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1"/>
          <w:numId w:val="0"/>
        </w:numPr>
        <w:adjustRightInd w:val="0"/>
        <w:snapToGrid w:val="0"/>
        <w:spacing w:before="156" w:beforeLines="50" w:line="360" w:lineRule="auto"/>
        <w:ind w:left="0" w:firstLine="0"/>
        <w:outlineLvl w:val="2"/>
        <w:rPr>
          <w:rFonts w:hint="eastAsia" w:eastAsia="宋体" w:asciiTheme="minorEastAsia" w:hAnsiTheme="minorEastAsia" w:cstheme="minorEastAsia"/>
          <w:b/>
          <w:bCs/>
          <w:sz w:val="28"/>
          <w:szCs w:val="28"/>
          <w:lang w:val="en-US" w:eastAsia="zh-CN"/>
        </w:rPr>
      </w:pPr>
      <w:r>
        <w:rPr>
          <w:rFonts w:hint="eastAsia" w:eastAsia="宋体" w:asciiTheme="minorEastAsia" w:hAnsiTheme="minorEastAsia" w:cstheme="minorEastAsia"/>
          <w:b/>
          <w:bCs/>
          <w:sz w:val="28"/>
          <w:szCs w:val="28"/>
          <w:lang w:eastAsia="zh-CN"/>
        </w:rPr>
        <w:t>附件</w:t>
      </w:r>
      <w:r>
        <w:rPr>
          <w:rFonts w:hint="eastAsia" w:eastAsia="宋体" w:asciiTheme="minorEastAsia" w:hAnsiTheme="minorEastAsia" w:cstheme="minorEastAsia"/>
          <w:b/>
          <w:bCs/>
          <w:sz w:val="28"/>
          <w:szCs w:val="28"/>
          <w:lang w:val="en-US" w:eastAsia="zh-CN"/>
        </w:rPr>
        <w:t xml:space="preserve">1             </w:t>
      </w:r>
    </w:p>
    <w:p>
      <w:pPr>
        <w:pStyle w:val="4"/>
        <w:numPr>
          <w:ilvl w:val="-1"/>
          <w:numId w:val="0"/>
        </w:numPr>
        <w:adjustRightInd w:val="0"/>
        <w:snapToGrid w:val="0"/>
        <w:spacing w:before="156" w:beforeLines="50" w:line="360" w:lineRule="auto"/>
        <w:ind w:left="0" w:firstLine="0" w:firstLineChars="0"/>
        <w:jc w:val="center"/>
        <w:outlineLvl w:val="2"/>
        <w:rPr>
          <w:rFonts w:hint="eastAsia" w:eastAsia="宋体" w:asciiTheme="minorEastAsia" w:hAnsiTheme="minorEastAsia" w:cstheme="minorEastAsia"/>
          <w:b/>
          <w:bCs/>
          <w:sz w:val="28"/>
          <w:szCs w:val="28"/>
          <w:lang w:eastAsia="zh-CN"/>
        </w:rPr>
      </w:pPr>
      <w:r>
        <w:rPr>
          <w:rFonts w:hint="eastAsia" w:eastAsia="宋体" w:asciiTheme="minorEastAsia" w:hAnsiTheme="minorEastAsia" w:cstheme="minorEastAsia"/>
          <w:b/>
          <w:bCs/>
          <w:sz w:val="28"/>
          <w:szCs w:val="28"/>
          <w:lang w:val="en-US" w:eastAsia="zh-CN"/>
        </w:rPr>
        <w:t>等保测评服务</w:t>
      </w:r>
      <w:r>
        <w:rPr>
          <w:rFonts w:hint="eastAsia" w:eastAsia="宋体" w:asciiTheme="minorEastAsia" w:hAnsiTheme="minorEastAsia" w:cstheme="minorEastAsia"/>
          <w:b/>
          <w:bCs/>
          <w:sz w:val="28"/>
          <w:szCs w:val="28"/>
          <w:lang w:eastAsia="zh-CN"/>
        </w:rPr>
        <w:t>技术规格说明书</w:t>
      </w:r>
    </w:p>
    <w:tbl>
      <w:tblPr>
        <w:tblStyle w:val="10"/>
        <w:tblW w:w="9343" w:type="dxa"/>
        <w:jc w:val="center"/>
        <w:tblInd w:w="0" w:type="dxa"/>
        <w:tblLayout w:type="fixed"/>
        <w:tblCellMar>
          <w:top w:w="0" w:type="dxa"/>
          <w:left w:w="57" w:type="dxa"/>
          <w:bottom w:w="0" w:type="dxa"/>
          <w:right w:w="57" w:type="dxa"/>
        </w:tblCellMar>
      </w:tblPr>
      <w:tblGrid>
        <w:gridCol w:w="698"/>
        <w:gridCol w:w="787"/>
        <w:gridCol w:w="850"/>
        <w:gridCol w:w="7008"/>
      </w:tblGrid>
      <w:tr>
        <w:tblPrEx>
          <w:tblLayout w:type="fixed"/>
          <w:tblCellMar>
            <w:top w:w="0" w:type="dxa"/>
            <w:left w:w="57" w:type="dxa"/>
            <w:bottom w:w="0" w:type="dxa"/>
            <w:right w:w="57" w:type="dxa"/>
          </w:tblCellMar>
        </w:tblPrEx>
        <w:trPr>
          <w:trHeight w:val="439" w:hRule="atLeast"/>
          <w:jc w:val="center"/>
        </w:trPr>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Arial"/>
                <w:b/>
                <w:kern w:val="0"/>
                <w:szCs w:val="21"/>
              </w:rPr>
            </w:pPr>
            <w:r>
              <w:rPr>
                <w:rFonts w:hint="eastAsia" w:ascii="宋体" w:hAnsi="宋体"/>
                <w:b/>
                <w:szCs w:val="21"/>
              </w:rPr>
              <w:t>序号</w:t>
            </w:r>
          </w:p>
        </w:tc>
        <w:tc>
          <w:tcPr>
            <w:tcW w:w="16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Arial"/>
                <w:b/>
                <w:kern w:val="0"/>
                <w:szCs w:val="21"/>
              </w:rPr>
            </w:pPr>
            <w:r>
              <w:rPr>
                <w:rFonts w:hint="eastAsia" w:ascii="宋体" w:hAnsi="宋体" w:cs="宋体"/>
                <w:b/>
                <w:bCs/>
                <w:kern w:val="0"/>
                <w:szCs w:val="21"/>
              </w:rPr>
              <w:t>指标项</w:t>
            </w:r>
          </w:p>
        </w:tc>
        <w:tc>
          <w:tcPr>
            <w:tcW w:w="7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Arial"/>
                <w:b/>
                <w:kern w:val="0"/>
                <w:szCs w:val="21"/>
              </w:rPr>
            </w:pPr>
            <w:r>
              <w:rPr>
                <w:rFonts w:hint="eastAsia" w:ascii="宋体" w:hAnsi="宋体" w:cs="宋体"/>
                <w:b/>
                <w:bCs/>
                <w:kern w:val="0"/>
                <w:szCs w:val="21"/>
              </w:rPr>
              <w:t>指标要求</w:t>
            </w:r>
          </w:p>
        </w:tc>
      </w:tr>
      <w:tr>
        <w:tblPrEx>
          <w:tblLayout w:type="fixed"/>
          <w:tblCellMar>
            <w:top w:w="0" w:type="dxa"/>
            <w:left w:w="57" w:type="dxa"/>
            <w:bottom w:w="0" w:type="dxa"/>
            <w:right w:w="57" w:type="dxa"/>
          </w:tblCellMar>
        </w:tblPrEx>
        <w:trPr>
          <w:trHeight w:val="439" w:hRule="atLeast"/>
          <w:jc w:val="center"/>
        </w:trPr>
        <w:tc>
          <w:tcPr>
            <w:tcW w:w="698"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numPr>
                <w:ilvl w:val="0"/>
                <w:numId w:val="1"/>
              </w:numPr>
              <w:spacing w:line="400" w:lineRule="exact"/>
              <w:jc w:val="right"/>
              <w:rPr>
                <w:kern w:val="0"/>
                <w:szCs w:val="22"/>
              </w:rPr>
            </w:pPr>
          </w:p>
        </w:tc>
        <w:tc>
          <w:tcPr>
            <w:tcW w:w="1637" w:type="dxa"/>
            <w:gridSpan w:val="2"/>
            <w:tcBorders>
              <w:top w:val="single" w:color="auto" w:sz="4" w:space="0"/>
              <w:left w:val="single" w:color="auto" w:sz="4" w:space="0"/>
              <w:bottom w:val="single" w:color="000000" w:sz="4" w:space="0"/>
              <w:right w:val="single" w:color="000000" w:sz="4" w:space="0"/>
            </w:tcBorders>
            <w:shd w:val="clear" w:color="auto" w:fill="auto"/>
            <w:vAlign w:val="center"/>
          </w:tcPr>
          <w:p>
            <w:pPr>
              <w:widowControl/>
              <w:spacing w:line="400" w:lineRule="exact"/>
              <w:jc w:val="left"/>
              <w:rPr>
                <w:rFonts w:ascii="宋体" w:hAnsi="宋体" w:cs="Arial"/>
                <w:kern w:val="0"/>
                <w:szCs w:val="21"/>
              </w:rPr>
            </w:pPr>
            <w:r>
              <w:rPr>
                <w:rFonts w:hint="eastAsia" w:ascii="宋体" w:hAnsi="宋体" w:cs="Arial"/>
                <w:kern w:val="0"/>
                <w:szCs w:val="21"/>
              </w:rPr>
              <w:t>遵循的法规</w:t>
            </w:r>
          </w:p>
        </w:tc>
        <w:tc>
          <w:tcPr>
            <w:tcW w:w="7008" w:type="dxa"/>
            <w:tcBorders>
              <w:top w:val="single" w:color="auto" w:sz="4" w:space="0"/>
              <w:left w:val="nil"/>
              <w:bottom w:val="single" w:color="000000" w:sz="4" w:space="0"/>
              <w:right w:val="single" w:color="000000" w:sz="4" w:space="0"/>
            </w:tcBorders>
            <w:shd w:val="clear" w:color="auto" w:fill="auto"/>
            <w:vAlign w:val="center"/>
          </w:tcPr>
          <w:p>
            <w:pPr>
              <w:pStyle w:val="12"/>
              <w:widowControl/>
              <w:spacing w:line="400" w:lineRule="exact"/>
              <w:ind w:firstLine="0" w:firstLineChars="0"/>
              <w:jc w:val="left"/>
              <w:rPr>
                <w:rFonts w:ascii="宋体" w:hAnsi="宋体" w:cs="Arial"/>
                <w:kern w:val="0"/>
                <w:szCs w:val="21"/>
              </w:rPr>
            </w:pPr>
            <w:r>
              <w:rPr>
                <w:rFonts w:hint="eastAsia" w:ascii="宋体" w:hAnsi="宋体" w:cs="Arial"/>
                <w:kern w:val="0"/>
                <w:szCs w:val="21"/>
              </w:rPr>
              <w:t>等保测评遵循以下法律、法规：</w:t>
            </w:r>
          </w:p>
          <w:p>
            <w:pPr>
              <w:pStyle w:val="12"/>
              <w:widowControl/>
              <w:numPr>
                <w:ilvl w:val="0"/>
                <w:numId w:val="2"/>
              </w:numPr>
              <w:spacing w:line="400" w:lineRule="exact"/>
              <w:ind w:firstLineChars="0"/>
              <w:jc w:val="left"/>
              <w:rPr>
                <w:rFonts w:ascii="宋体" w:hAnsi="宋体" w:cs="Arial"/>
                <w:kern w:val="0"/>
                <w:szCs w:val="21"/>
              </w:rPr>
            </w:pPr>
            <w:r>
              <w:rPr>
                <w:rFonts w:hint="eastAsia" w:ascii="宋体" w:hAnsi="宋体" w:cs="Arial"/>
                <w:kern w:val="0"/>
                <w:szCs w:val="21"/>
              </w:rPr>
              <w:t>《中华人民共和国网络安全法》；</w:t>
            </w:r>
          </w:p>
          <w:p>
            <w:pPr>
              <w:pStyle w:val="12"/>
              <w:widowControl/>
              <w:numPr>
                <w:ilvl w:val="0"/>
                <w:numId w:val="2"/>
              </w:numPr>
              <w:spacing w:line="400" w:lineRule="exact"/>
              <w:ind w:firstLineChars="0"/>
              <w:jc w:val="left"/>
              <w:rPr>
                <w:rFonts w:ascii="宋体" w:hAnsi="宋体" w:cs="Arial"/>
                <w:kern w:val="0"/>
                <w:szCs w:val="21"/>
              </w:rPr>
            </w:pPr>
            <w:r>
              <w:rPr>
                <w:rFonts w:hint="eastAsia" w:ascii="宋体" w:hAnsi="宋体" w:cs="Arial"/>
                <w:kern w:val="0"/>
                <w:szCs w:val="21"/>
              </w:rPr>
              <w:t>《中华人民共和国计算机信息系统安全保护条例》（国务院147号令）；</w:t>
            </w:r>
          </w:p>
          <w:p>
            <w:pPr>
              <w:pStyle w:val="12"/>
              <w:widowControl/>
              <w:numPr>
                <w:ilvl w:val="0"/>
                <w:numId w:val="2"/>
              </w:numPr>
              <w:spacing w:line="400" w:lineRule="exact"/>
              <w:ind w:firstLineChars="0"/>
              <w:jc w:val="left"/>
              <w:rPr>
                <w:rFonts w:ascii="宋体" w:hAnsi="宋体" w:cs="Arial"/>
                <w:kern w:val="0"/>
                <w:szCs w:val="21"/>
              </w:rPr>
            </w:pPr>
            <w:r>
              <w:rPr>
                <w:rFonts w:hint="eastAsia" w:ascii="宋体" w:hAnsi="宋体" w:cs="Arial"/>
                <w:kern w:val="0"/>
                <w:szCs w:val="21"/>
              </w:rPr>
              <w:t>《国家信息化领导小组关于加强信息安全保障工作的意见》（中办发[2003]27号）；</w:t>
            </w:r>
          </w:p>
          <w:p>
            <w:pPr>
              <w:pStyle w:val="12"/>
              <w:widowControl/>
              <w:numPr>
                <w:ilvl w:val="0"/>
                <w:numId w:val="2"/>
              </w:numPr>
              <w:spacing w:line="400" w:lineRule="exact"/>
              <w:ind w:firstLineChars="0"/>
              <w:jc w:val="left"/>
              <w:rPr>
                <w:rFonts w:ascii="宋体" w:hAnsi="宋体" w:cs="Arial"/>
                <w:kern w:val="0"/>
                <w:szCs w:val="21"/>
              </w:rPr>
            </w:pPr>
            <w:r>
              <w:rPr>
                <w:rFonts w:hint="eastAsia" w:ascii="宋体" w:hAnsi="宋体" w:cs="Arial"/>
                <w:kern w:val="0"/>
                <w:szCs w:val="21"/>
              </w:rPr>
              <w:t>《关于印发&lt;关于信息安全等级保护工作的实施意见&gt;的通知》（公通字[2004]66号文）；</w:t>
            </w:r>
          </w:p>
          <w:p>
            <w:pPr>
              <w:pStyle w:val="12"/>
              <w:widowControl/>
              <w:numPr>
                <w:ilvl w:val="0"/>
                <w:numId w:val="2"/>
              </w:numPr>
              <w:spacing w:line="400" w:lineRule="exact"/>
              <w:ind w:firstLineChars="0"/>
              <w:jc w:val="left"/>
              <w:rPr>
                <w:rFonts w:ascii="宋体" w:hAnsi="宋体" w:cs="Arial"/>
                <w:kern w:val="0"/>
                <w:szCs w:val="21"/>
              </w:rPr>
            </w:pPr>
            <w:r>
              <w:rPr>
                <w:rFonts w:hint="eastAsia" w:ascii="宋体" w:hAnsi="宋体" w:cs="Arial"/>
                <w:kern w:val="0"/>
                <w:szCs w:val="21"/>
              </w:rPr>
              <w:t>《关于印发&lt;信息安全等级保护管理办法&gt;的通知》（公通字[2007]43号文）；</w:t>
            </w:r>
          </w:p>
          <w:p>
            <w:pPr>
              <w:pStyle w:val="12"/>
              <w:widowControl/>
              <w:numPr>
                <w:ilvl w:val="0"/>
                <w:numId w:val="2"/>
              </w:numPr>
              <w:spacing w:line="400" w:lineRule="exact"/>
              <w:ind w:firstLineChars="0"/>
              <w:jc w:val="left"/>
              <w:rPr>
                <w:rFonts w:ascii="宋体" w:hAnsi="宋体" w:cs="Arial"/>
                <w:kern w:val="0"/>
                <w:szCs w:val="21"/>
              </w:rPr>
            </w:pPr>
            <w:r>
              <w:rPr>
                <w:rFonts w:hint="eastAsia" w:ascii="宋体" w:hAnsi="宋体" w:cs="Arial"/>
                <w:kern w:val="0"/>
                <w:szCs w:val="21"/>
              </w:rPr>
              <w:t>《关于开展全国重要信息系统安全等级保护定级工作的通知》（公信安[2007]861号文）；</w:t>
            </w:r>
          </w:p>
          <w:p>
            <w:pPr>
              <w:pStyle w:val="12"/>
              <w:widowControl/>
              <w:numPr>
                <w:ilvl w:val="0"/>
                <w:numId w:val="2"/>
              </w:numPr>
              <w:spacing w:line="400" w:lineRule="exact"/>
              <w:ind w:firstLineChars="0"/>
              <w:jc w:val="left"/>
              <w:rPr>
                <w:rFonts w:ascii="宋体" w:hAnsi="宋体" w:cs="Arial"/>
                <w:kern w:val="0"/>
                <w:szCs w:val="21"/>
              </w:rPr>
            </w:pPr>
            <w:r>
              <w:rPr>
                <w:rFonts w:hint="eastAsia" w:ascii="宋体" w:hAnsi="宋体" w:cs="Arial"/>
                <w:kern w:val="0"/>
                <w:szCs w:val="21"/>
              </w:rPr>
              <w:t>《广东省深化信息安全等级保护工作方案》(粤公通字[2010]45号)；</w:t>
            </w:r>
          </w:p>
          <w:p>
            <w:pPr>
              <w:pStyle w:val="12"/>
              <w:widowControl/>
              <w:numPr>
                <w:ilvl w:val="0"/>
                <w:numId w:val="2"/>
              </w:numPr>
              <w:spacing w:line="400" w:lineRule="exact"/>
              <w:ind w:firstLineChars="0"/>
              <w:jc w:val="left"/>
              <w:rPr>
                <w:rFonts w:ascii="宋体" w:hAnsi="宋体" w:cs="Arial"/>
                <w:kern w:val="0"/>
                <w:szCs w:val="21"/>
              </w:rPr>
            </w:pPr>
            <w:r>
              <w:rPr>
                <w:rFonts w:hint="eastAsia" w:ascii="宋体" w:hAnsi="宋体" w:cs="Arial"/>
                <w:kern w:val="0"/>
                <w:szCs w:val="21"/>
              </w:rPr>
              <w:t>卫生部关于印发《卫生行业信息安全等级保护工作的指导意见》的通知（卫办发〔2011〕85号）。</w:t>
            </w:r>
          </w:p>
        </w:tc>
      </w:tr>
      <w:tr>
        <w:tblPrEx>
          <w:tblLayout w:type="fixed"/>
          <w:tblCellMar>
            <w:top w:w="0" w:type="dxa"/>
            <w:left w:w="57" w:type="dxa"/>
            <w:bottom w:w="0" w:type="dxa"/>
            <w:right w:w="57" w:type="dxa"/>
          </w:tblCellMar>
        </w:tblPrEx>
        <w:trPr>
          <w:trHeight w:val="403" w:hRule="atLeast"/>
          <w:jc w:val="center"/>
        </w:trPr>
        <w:tc>
          <w:tcPr>
            <w:tcW w:w="69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numPr>
                <w:ilvl w:val="0"/>
                <w:numId w:val="1"/>
              </w:numPr>
              <w:spacing w:line="400" w:lineRule="exact"/>
              <w:jc w:val="right"/>
              <w:rPr>
                <w:kern w:val="0"/>
                <w:szCs w:val="22"/>
              </w:rPr>
            </w:pPr>
          </w:p>
        </w:tc>
        <w:tc>
          <w:tcPr>
            <w:tcW w:w="163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400" w:lineRule="exact"/>
              <w:jc w:val="left"/>
              <w:rPr>
                <w:rFonts w:ascii="宋体" w:hAnsi="宋体" w:cs="Arial"/>
                <w:kern w:val="0"/>
                <w:szCs w:val="21"/>
              </w:rPr>
            </w:pPr>
            <w:r>
              <w:rPr>
                <w:rFonts w:hint="eastAsia" w:ascii="宋体" w:hAnsi="宋体" w:cs="Arial"/>
                <w:kern w:val="0"/>
                <w:szCs w:val="21"/>
              </w:rPr>
              <w:t>遵循的技术标准和规范</w:t>
            </w:r>
          </w:p>
        </w:tc>
        <w:tc>
          <w:tcPr>
            <w:tcW w:w="7008" w:type="dxa"/>
            <w:tcBorders>
              <w:top w:val="single" w:color="000000" w:sz="4" w:space="0"/>
              <w:left w:val="nil"/>
              <w:bottom w:val="single" w:color="000000" w:sz="4" w:space="0"/>
              <w:right w:val="single" w:color="000000" w:sz="4" w:space="0"/>
            </w:tcBorders>
            <w:shd w:val="clear" w:color="auto" w:fill="auto"/>
            <w:vAlign w:val="center"/>
          </w:tcPr>
          <w:p>
            <w:pPr>
              <w:pStyle w:val="12"/>
              <w:widowControl/>
              <w:spacing w:line="400" w:lineRule="exact"/>
              <w:ind w:firstLine="0" w:firstLineChars="0"/>
              <w:jc w:val="left"/>
              <w:rPr>
                <w:rFonts w:ascii="宋体" w:hAnsi="宋体" w:cs="Arial"/>
                <w:kern w:val="0"/>
                <w:szCs w:val="21"/>
              </w:rPr>
            </w:pPr>
            <w:r>
              <w:rPr>
                <w:rFonts w:hint="eastAsia" w:ascii="宋体" w:hAnsi="宋体" w:cs="Arial"/>
                <w:kern w:val="0"/>
                <w:szCs w:val="21"/>
              </w:rPr>
              <w:t>等保测评遵循以下技术标准和规范：</w:t>
            </w:r>
          </w:p>
          <w:p>
            <w:pPr>
              <w:pStyle w:val="12"/>
              <w:widowControl/>
              <w:numPr>
                <w:ilvl w:val="0"/>
                <w:numId w:val="3"/>
              </w:numPr>
              <w:spacing w:line="400" w:lineRule="exact"/>
              <w:ind w:firstLineChars="0"/>
              <w:jc w:val="left"/>
              <w:rPr>
                <w:rFonts w:ascii="宋体" w:hAnsi="宋体" w:cs="Arial"/>
                <w:kern w:val="0"/>
                <w:szCs w:val="21"/>
              </w:rPr>
            </w:pPr>
            <w:r>
              <w:rPr>
                <w:rFonts w:hint="eastAsia" w:ascii="宋体" w:hAnsi="宋体" w:cs="Arial"/>
                <w:kern w:val="0"/>
                <w:szCs w:val="21"/>
              </w:rPr>
              <w:t>《信息安全技术 信息系统安全等级保护基本要求》（GB/T 22239-2008）；</w:t>
            </w:r>
          </w:p>
          <w:p>
            <w:pPr>
              <w:pStyle w:val="12"/>
              <w:widowControl/>
              <w:numPr>
                <w:ilvl w:val="0"/>
                <w:numId w:val="3"/>
              </w:numPr>
              <w:spacing w:line="400" w:lineRule="exact"/>
              <w:ind w:firstLineChars="0"/>
              <w:jc w:val="left"/>
              <w:rPr>
                <w:rFonts w:ascii="宋体" w:hAnsi="宋体" w:cs="Arial"/>
                <w:kern w:val="0"/>
                <w:szCs w:val="21"/>
              </w:rPr>
            </w:pPr>
            <w:r>
              <w:rPr>
                <w:rFonts w:hint="eastAsia" w:ascii="宋体" w:hAnsi="宋体" w:cs="Arial"/>
                <w:kern w:val="0"/>
                <w:szCs w:val="21"/>
              </w:rPr>
              <w:t>《信息系统安全等级保护定级指南》（GB T 22240-2008）</w:t>
            </w:r>
          </w:p>
          <w:p>
            <w:pPr>
              <w:pStyle w:val="12"/>
              <w:widowControl/>
              <w:numPr>
                <w:ilvl w:val="0"/>
                <w:numId w:val="3"/>
              </w:numPr>
              <w:spacing w:line="400" w:lineRule="exact"/>
              <w:ind w:firstLineChars="0"/>
              <w:jc w:val="left"/>
              <w:rPr>
                <w:rFonts w:ascii="宋体" w:hAnsi="宋体" w:cs="Arial"/>
                <w:kern w:val="0"/>
                <w:szCs w:val="21"/>
              </w:rPr>
            </w:pPr>
            <w:r>
              <w:rPr>
                <w:rFonts w:hint="eastAsia" w:ascii="宋体" w:hAnsi="宋体" w:cs="Arial"/>
                <w:kern w:val="0"/>
                <w:szCs w:val="21"/>
              </w:rPr>
              <w:t>《信息安全技术 信息系统安全等级保护测评过程指南》；</w:t>
            </w:r>
          </w:p>
          <w:p>
            <w:pPr>
              <w:pStyle w:val="12"/>
              <w:widowControl/>
              <w:numPr>
                <w:ilvl w:val="0"/>
                <w:numId w:val="3"/>
              </w:numPr>
              <w:spacing w:line="400" w:lineRule="exact"/>
              <w:ind w:firstLineChars="0"/>
              <w:jc w:val="left"/>
              <w:rPr>
                <w:rFonts w:ascii="宋体" w:hAnsi="宋体" w:cs="Arial"/>
                <w:kern w:val="0"/>
                <w:szCs w:val="21"/>
              </w:rPr>
            </w:pPr>
            <w:r>
              <w:rPr>
                <w:rFonts w:hint="eastAsia" w:ascii="宋体" w:hAnsi="宋体" w:cs="Arial"/>
                <w:kern w:val="0"/>
                <w:szCs w:val="21"/>
              </w:rPr>
              <w:t>《信息安全技术 信息系统安全等级保护实施指南》；</w:t>
            </w:r>
          </w:p>
          <w:p>
            <w:pPr>
              <w:pStyle w:val="12"/>
              <w:widowControl/>
              <w:numPr>
                <w:ilvl w:val="0"/>
                <w:numId w:val="3"/>
              </w:numPr>
              <w:spacing w:line="400" w:lineRule="exact"/>
              <w:ind w:firstLineChars="0"/>
              <w:jc w:val="left"/>
              <w:rPr>
                <w:rFonts w:ascii="宋体" w:hAnsi="宋体" w:cs="Arial"/>
                <w:kern w:val="0"/>
                <w:szCs w:val="21"/>
              </w:rPr>
            </w:pPr>
            <w:r>
              <w:rPr>
                <w:rFonts w:hint="eastAsia" w:ascii="宋体" w:hAnsi="宋体" w:cs="Arial"/>
                <w:kern w:val="0"/>
                <w:szCs w:val="21"/>
              </w:rPr>
              <w:t>《信息安全技术 信息系统安全等级保护测评要求》；</w:t>
            </w:r>
          </w:p>
          <w:p>
            <w:pPr>
              <w:pStyle w:val="12"/>
              <w:widowControl/>
              <w:numPr>
                <w:ilvl w:val="0"/>
                <w:numId w:val="3"/>
              </w:numPr>
              <w:spacing w:line="400" w:lineRule="exact"/>
              <w:ind w:firstLineChars="0"/>
              <w:jc w:val="left"/>
              <w:rPr>
                <w:rFonts w:ascii="宋体" w:hAnsi="宋体" w:cs="Arial"/>
                <w:kern w:val="0"/>
                <w:szCs w:val="21"/>
              </w:rPr>
            </w:pPr>
            <w:r>
              <w:rPr>
                <w:rFonts w:hint="eastAsia" w:ascii="宋体" w:hAnsi="宋体" w:cs="Arial"/>
                <w:kern w:val="0"/>
                <w:szCs w:val="21"/>
              </w:rPr>
              <w:t>《信息安全技术 信息系统安全等级保护安全设计技术要求》（信安秘字[2009]059号）；</w:t>
            </w:r>
          </w:p>
          <w:p>
            <w:pPr>
              <w:pStyle w:val="12"/>
              <w:widowControl/>
              <w:numPr>
                <w:ilvl w:val="0"/>
                <w:numId w:val="3"/>
              </w:numPr>
              <w:spacing w:line="400" w:lineRule="exact"/>
              <w:ind w:firstLineChars="0"/>
              <w:jc w:val="left"/>
              <w:rPr>
                <w:rFonts w:ascii="宋体" w:hAnsi="宋体" w:cs="Arial"/>
                <w:kern w:val="0"/>
                <w:szCs w:val="21"/>
              </w:rPr>
            </w:pPr>
            <w:r>
              <w:rPr>
                <w:rFonts w:hint="eastAsia" w:ascii="宋体" w:hAnsi="宋体" w:cs="Arial"/>
                <w:kern w:val="0"/>
                <w:szCs w:val="21"/>
              </w:rPr>
              <w:t>《信息安全技术 网络基础安全技术要求》（GB/T20270-2006）；</w:t>
            </w:r>
          </w:p>
          <w:p>
            <w:pPr>
              <w:pStyle w:val="12"/>
              <w:widowControl/>
              <w:numPr>
                <w:ilvl w:val="0"/>
                <w:numId w:val="3"/>
              </w:numPr>
              <w:spacing w:line="400" w:lineRule="exact"/>
              <w:ind w:firstLineChars="0"/>
              <w:jc w:val="left"/>
              <w:rPr>
                <w:rFonts w:ascii="宋体" w:hAnsi="宋体" w:cs="Arial"/>
                <w:kern w:val="0"/>
                <w:szCs w:val="21"/>
              </w:rPr>
            </w:pPr>
            <w:r>
              <w:rPr>
                <w:rFonts w:hint="eastAsia" w:ascii="宋体" w:hAnsi="宋体" w:cs="Arial"/>
                <w:kern w:val="0"/>
                <w:szCs w:val="21"/>
              </w:rPr>
              <w:t>《信息安全技术 操作系统安全技术要求》（GB/T20272-2006）；</w:t>
            </w:r>
          </w:p>
          <w:p>
            <w:pPr>
              <w:pStyle w:val="12"/>
              <w:widowControl/>
              <w:numPr>
                <w:ilvl w:val="0"/>
                <w:numId w:val="3"/>
              </w:numPr>
              <w:spacing w:line="400" w:lineRule="exact"/>
              <w:ind w:firstLineChars="0"/>
              <w:jc w:val="left"/>
              <w:rPr>
                <w:rFonts w:ascii="宋体" w:hAnsi="宋体" w:cs="Arial"/>
                <w:kern w:val="0"/>
                <w:szCs w:val="21"/>
              </w:rPr>
            </w:pPr>
            <w:r>
              <w:rPr>
                <w:rFonts w:hint="eastAsia" w:ascii="宋体" w:hAnsi="宋体" w:cs="Arial"/>
                <w:kern w:val="0"/>
                <w:szCs w:val="21"/>
              </w:rPr>
              <w:t>《信息安全技术 数据库管理系统安全技术要求》（GB/T20273-2006）；</w:t>
            </w:r>
          </w:p>
          <w:p>
            <w:pPr>
              <w:pStyle w:val="12"/>
              <w:widowControl/>
              <w:numPr>
                <w:ilvl w:val="0"/>
                <w:numId w:val="3"/>
              </w:numPr>
              <w:spacing w:line="400" w:lineRule="exact"/>
              <w:ind w:firstLineChars="0"/>
              <w:jc w:val="left"/>
              <w:rPr>
                <w:rFonts w:ascii="宋体" w:hAnsi="宋体" w:cs="Arial"/>
                <w:kern w:val="0"/>
                <w:szCs w:val="21"/>
              </w:rPr>
            </w:pPr>
            <w:r>
              <w:rPr>
                <w:rFonts w:hint="eastAsia" w:ascii="宋体" w:hAnsi="宋体" w:cs="Arial"/>
                <w:kern w:val="0"/>
                <w:szCs w:val="21"/>
              </w:rPr>
              <w:t>《信息安全技术 服务器技术要求》（GB/T21028-2007）；</w:t>
            </w:r>
          </w:p>
          <w:p>
            <w:pPr>
              <w:pStyle w:val="12"/>
              <w:widowControl/>
              <w:numPr>
                <w:ilvl w:val="0"/>
                <w:numId w:val="3"/>
              </w:numPr>
              <w:spacing w:line="400" w:lineRule="exact"/>
              <w:ind w:firstLineChars="0"/>
              <w:jc w:val="left"/>
              <w:rPr>
                <w:rFonts w:ascii="宋体" w:hAnsi="宋体" w:cs="Arial"/>
                <w:kern w:val="0"/>
                <w:szCs w:val="21"/>
              </w:rPr>
            </w:pPr>
            <w:r>
              <w:rPr>
                <w:rFonts w:hint="eastAsia" w:ascii="宋体" w:hAnsi="宋体" w:cs="Arial"/>
                <w:kern w:val="0"/>
                <w:szCs w:val="21"/>
              </w:rPr>
              <w:t>《信息安全技术 终端计算机系统安全等级技术要求》（GA/T671-2006）；</w:t>
            </w:r>
          </w:p>
        </w:tc>
      </w:tr>
      <w:tr>
        <w:tblPrEx>
          <w:tblLayout w:type="fixed"/>
          <w:tblCellMar>
            <w:top w:w="0" w:type="dxa"/>
            <w:left w:w="57" w:type="dxa"/>
            <w:bottom w:w="0" w:type="dxa"/>
            <w:right w:w="57" w:type="dxa"/>
          </w:tblCellMar>
        </w:tblPrEx>
        <w:trPr>
          <w:trHeight w:val="403" w:hRule="atLeast"/>
          <w:jc w:val="center"/>
        </w:trPr>
        <w:tc>
          <w:tcPr>
            <w:tcW w:w="69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numPr>
                <w:ilvl w:val="0"/>
                <w:numId w:val="1"/>
              </w:numPr>
              <w:spacing w:line="400" w:lineRule="exact"/>
              <w:jc w:val="right"/>
              <w:rPr>
                <w:kern w:val="0"/>
                <w:szCs w:val="22"/>
              </w:rPr>
            </w:pPr>
          </w:p>
        </w:tc>
        <w:tc>
          <w:tcPr>
            <w:tcW w:w="163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400" w:lineRule="exact"/>
              <w:jc w:val="left"/>
              <w:rPr>
                <w:rFonts w:ascii="宋体" w:hAnsi="宋体" w:cs="Arial"/>
                <w:kern w:val="0"/>
                <w:szCs w:val="21"/>
              </w:rPr>
            </w:pPr>
            <w:r>
              <w:rPr>
                <w:rFonts w:hint="eastAsia" w:ascii="宋体" w:hAnsi="宋体" w:cs="Arial"/>
                <w:kern w:val="0"/>
                <w:szCs w:val="21"/>
              </w:rPr>
              <w:t>评估范围</w:t>
            </w:r>
          </w:p>
        </w:tc>
        <w:tc>
          <w:tcPr>
            <w:tcW w:w="7008" w:type="dxa"/>
            <w:tcBorders>
              <w:top w:val="single" w:color="000000" w:sz="4" w:space="0"/>
              <w:left w:val="nil"/>
              <w:bottom w:val="single" w:color="000000" w:sz="4" w:space="0"/>
              <w:right w:val="single" w:color="000000" w:sz="4" w:space="0"/>
            </w:tcBorders>
            <w:shd w:val="clear" w:color="auto" w:fill="auto"/>
            <w:vAlign w:val="center"/>
          </w:tcPr>
          <w:p>
            <w:pPr>
              <w:widowControl/>
              <w:spacing w:line="400" w:lineRule="exact"/>
              <w:jc w:val="left"/>
              <w:rPr>
                <w:rFonts w:ascii="宋体" w:hAnsi="宋体" w:cs="Arial"/>
                <w:kern w:val="0"/>
                <w:szCs w:val="21"/>
              </w:rPr>
            </w:pPr>
            <w:r>
              <w:rPr>
                <w:rFonts w:hint="eastAsia" w:ascii="宋体" w:hAnsi="宋体" w:cs="Arial"/>
                <w:kern w:val="0"/>
                <w:szCs w:val="21"/>
              </w:rPr>
              <w:t>本次测评包括以下信息系统：</w:t>
            </w:r>
          </w:p>
          <w:p>
            <w:pPr>
              <w:pStyle w:val="12"/>
              <w:widowControl/>
              <w:numPr>
                <w:ilvl w:val="0"/>
                <w:numId w:val="4"/>
              </w:numPr>
              <w:spacing w:line="400" w:lineRule="exact"/>
              <w:ind w:firstLineChars="0"/>
              <w:jc w:val="left"/>
              <w:rPr>
                <w:rFonts w:ascii="宋体" w:hAnsi="宋体" w:cs="Arial"/>
                <w:kern w:val="0"/>
                <w:szCs w:val="21"/>
              </w:rPr>
            </w:pPr>
            <w:r>
              <w:rPr>
                <w:rFonts w:hint="eastAsia" w:ascii="宋体" w:hAnsi="宋体" w:cs="Arial"/>
                <w:kern w:val="0"/>
                <w:szCs w:val="21"/>
              </w:rPr>
              <w:t>HI</w:t>
            </w:r>
            <w:r>
              <w:rPr>
                <w:rFonts w:ascii="宋体" w:hAnsi="宋体" w:cs="Arial"/>
                <w:kern w:val="0"/>
                <w:szCs w:val="21"/>
              </w:rPr>
              <w:t>S</w:t>
            </w:r>
            <w:r>
              <w:rPr>
                <w:rFonts w:hint="eastAsia" w:ascii="宋体" w:hAnsi="宋体" w:cs="Arial"/>
                <w:kern w:val="0"/>
                <w:szCs w:val="21"/>
              </w:rPr>
              <w:t>系统</w:t>
            </w:r>
            <w:r>
              <w:rPr>
                <w:rFonts w:hint="eastAsia" w:ascii="宋体" w:hAnsi="宋体" w:cs="Arial"/>
                <w:kern w:val="0"/>
                <w:szCs w:val="21"/>
              </w:rPr>
              <w:tab/>
            </w:r>
            <w:r>
              <w:rPr>
                <w:rFonts w:hint="eastAsia" w:ascii="宋体" w:hAnsi="宋体" w:cs="Arial"/>
                <w:kern w:val="0"/>
                <w:szCs w:val="21"/>
              </w:rPr>
              <w:t>三级</w:t>
            </w:r>
          </w:p>
          <w:p>
            <w:pPr>
              <w:pStyle w:val="12"/>
              <w:widowControl/>
              <w:numPr>
                <w:ilvl w:val="0"/>
                <w:numId w:val="4"/>
              </w:numPr>
              <w:spacing w:line="400" w:lineRule="exact"/>
              <w:ind w:firstLineChars="0"/>
              <w:jc w:val="left"/>
              <w:rPr>
                <w:rFonts w:ascii="宋体" w:hAnsi="宋体" w:cs="Arial"/>
                <w:kern w:val="0"/>
                <w:szCs w:val="21"/>
              </w:rPr>
            </w:pPr>
            <w:r>
              <w:rPr>
                <w:rFonts w:ascii="宋体" w:hAnsi="宋体" w:cs="Arial"/>
                <w:kern w:val="0"/>
                <w:szCs w:val="21"/>
              </w:rPr>
              <w:t>LIS</w:t>
            </w:r>
            <w:r>
              <w:rPr>
                <w:rFonts w:hint="eastAsia" w:ascii="宋体" w:hAnsi="宋体" w:cs="Arial"/>
                <w:kern w:val="0"/>
                <w:szCs w:val="21"/>
              </w:rPr>
              <w:t>系统</w:t>
            </w:r>
            <w:r>
              <w:rPr>
                <w:rFonts w:hint="eastAsia" w:ascii="宋体" w:hAnsi="宋体" w:cs="Arial"/>
                <w:kern w:val="0"/>
                <w:szCs w:val="21"/>
              </w:rPr>
              <w:tab/>
            </w:r>
            <w:r>
              <w:rPr>
                <w:rFonts w:hint="eastAsia" w:ascii="宋体" w:hAnsi="宋体" w:cs="Arial"/>
                <w:kern w:val="0"/>
                <w:szCs w:val="21"/>
              </w:rPr>
              <w:t>二级</w:t>
            </w:r>
          </w:p>
          <w:p>
            <w:pPr>
              <w:pStyle w:val="12"/>
              <w:widowControl/>
              <w:numPr>
                <w:ilvl w:val="0"/>
                <w:numId w:val="4"/>
              </w:numPr>
              <w:spacing w:line="400" w:lineRule="exact"/>
              <w:ind w:firstLineChars="0"/>
              <w:jc w:val="left"/>
              <w:rPr>
                <w:rFonts w:ascii="宋体" w:hAnsi="宋体" w:cs="Arial"/>
                <w:kern w:val="0"/>
                <w:szCs w:val="21"/>
              </w:rPr>
            </w:pPr>
            <w:r>
              <w:rPr>
                <w:rFonts w:hint="eastAsia" w:ascii="宋体" w:hAnsi="宋体" w:cs="Arial"/>
                <w:kern w:val="0"/>
                <w:szCs w:val="21"/>
              </w:rPr>
              <w:t>P</w:t>
            </w:r>
            <w:r>
              <w:rPr>
                <w:rFonts w:ascii="宋体" w:hAnsi="宋体" w:cs="Arial"/>
                <w:kern w:val="0"/>
                <w:szCs w:val="21"/>
              </w:rPr>
              <w:t>ACS</w:t>
            </w:r>
            <w:r>
              <w:rPr>
                <w:rFonts w:hint="eastAsia" w:ascii="宋体" w:hAnsi="宋体" w:cs="Arial"/>
                <w:kern w:val="0"/>
                <w:szCs w:val="21"/>
              </w:rPr>
              <w:t>系统 二级</w:t>
            </w:r>
          </w:p>
          <w:p>
            <w:pPr>
              <w:pStyle w:val="12"/>
              <w:widowControl/>
              <w:numPr>
                <w:ilvl w:val="0"/>
                <w:numId w:val="4"/>
              </w:numPr>
              <w:spacing w:line="400" w:lineRule="exact"/>
              <w:ind w:firstLineChars="0"/>
              <w:jc w:val="left"/>
              <w:rPr>
                <w:rFonts w:ascii="宋体" w:hAnsi="宋体" w:cs="Arial"/>
                <w:kern w:val="0"/>
                <w:szCs w:val="21"/>
              </w:rPr>
            </w:pPr>
            <w:r>
              <w:rPr>
                <w:rFonts w:hint="eastAsia" w:ascii="宋体" w:hAnsi="宋体" w:cs="Arial"/>
                <w:kern w:val="0"/>
                <w:szCs w:val="21"/>
              </w:rPr>
              <w:t>OA系统</w:t>
            </w:r>
            <w:r>
              <w:rPr>
                <w:rFonts w:hint="eastAsia" w:ascii="宋体" w:hAnsi="宋体" w:cs="Arial"/>
                <w:kern w:val="0"/>
                <w:szCs w:val="21"/>
              </w:rPr>
              <w:tab/>
            </w:r>
            <w:r>
              <w:rPr>
                <w:rFonts w:hint="eastAsia" w:ascii="宋体" w:hAnsi="宋体" w:cs="Arial"/>
                <w:kern w:val="0"/>
                <w:szCs w:val="21"/>
              </w:rPr>
              <w:t>二级</w:t>
            </w:r>
          </w:p>
          <w:p>
            <w:pPr>
              <w:pStyle w:val="12"/>
              <w:widowControl/>
              <w:numPr>
                <w:ilvl w:val="0"/>
                <w:numId w:val="4"/>
              </w:numPr>
              <w:spacing w:line="400" w:lineRule="exact"/>
              <w:ind w:firstLineChars="0"/>
              <w:jc w:val="left"/>
              <w:rPr>
                <w:rFonts w:ascii="宋体" w:hAnsi="宋体" w:cs="Arial"/>
                <w:kern w:val="0"/>
                <w:szCs w:val="21"/>
              </w:rPr>
            </w:pPr>
            <w:r>
              <w:rPr>
                <w:rFonts w:hint="eastAsia" w:ascii="宋体" w:hAnsi="宋体" w:cs="Arial"/>
                <w:kern w:val="0"/>
                <w:szCs w:val="21"/>
              </w:rPr>
              <w:t>门户网站系统</w:t>
            </w:r>
            <w:r>
              <w:rPr>
                <w:rFonts w:hint="eastAsia" w:ascii="宋体" w:hAnsi="宋体" w:cs="Arial"/>
                <w:kern w:val="0"/>
                <w:szCs w:val="21"/>
                <w:lang w:val="en-US" w:eastAsia="zh-CN"/>
              </w:rPr>
              <w:t xml:space="preserve"> </w:t>
            </w:r>
            <w:bookmarkStart w:id="0" w:name="_GoBack"/>
            <w:bookmarkEnd w:id="0"/>
            <w:r>
              <w:rPr>
                <w:rFonts w:hint="eastAsia" w:ascii="宋体" w:hAnsi="宋体" w:cs="Arial"/>
                <w:kern w:val="0"/>
                <w:szCs w:val="21"/>
              </w:rPr>
              <w:t>二级</w:t>
            </w:r>
          </w:p>
        </w:tc>
      </w:tr>
      <w:tr>
        <w:tblPrEx>
          <w:tblLayout w:type="fixed"/>
          <w:tblCellMar>
            <w:top w:w="0" w:type="dxa"/>
            <w:left w:w="57" w:type="dxa"/>
            <w:bottom w:w="0" w:type="dxa"/>
            <w:right w:w="57" w:type="dxa"/>
          </w:tblCellMar>
        </w:tblPrEx>
        <w:trPr>
          <w:trHeight w:val="403" w:hRule="atLeast"/>
          <w:jc w:val="center"/>
        </w:trPr>
        <w:tc>
          <w:tcPr>
            <w:tcW w:w="69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numPr>
                <w:ilvl w:val="0"/>
                <w:numId w:val="1"/>
              </w:numPr>
              <w:spacing w:line="400" w:lineRule="exact"/>
              <w:jc w:val="right"/>
              <w:rPr>
                <w:kern w:val="0"/>
                <w:szCs w:val="22"/>
              </w:rPr>
            </w:pPr>
          </w:p>
        </w:tc>
        <w:tc>
          <w:tcPr>
            <w:tcW w:w="1637" w:type="dxa"/>
            <w:gridSpan w:val="2"/>
            <w:tcBorders>
              <w:top w:val="single" w:color="000000" w:sz="4" w:space="0"/>
              <w:left w:val="single" w:color="auto" w:sz="4" w:space="0"/>
              <w:bottom w:val="single" w:color="auto" w:sz="4" w:space="0"/>
              <w:right w:val="single" w:color="000000" w:sz="4" w:space="0"/>
            </w:tcBorders>
            <w:shd w:val="clear" w:color="auto" w:fill="auto"/>
            <w:vAlign w:val="center"/>
          </w:tcPr>
          <w:p>
            <w:pPr>
              <w:widowControl/>
              <w:spacing w:line="400" w:lineRule="exact"/>
              <w:jc w:val="left"/>
              <w:rPr>
                <w:rFonts w:ascii="宋体" w:hAnsi="宋体" w:cs="Arial"/>
                <w:kern w:val="0"/>
                <w:szCs w:val="21"/>
              </w:rPr>
            </w:pPr>
            <w:r>
              <w:rPr>
                <w:rFonts w:hint="eastAsia" w:ascii="宋体" w:hAnsi="宋体" w:cs="Arial"/>
                <w:kern w:val="0"/>
                <w:szCs w:val="21"/>
              </w:rPr>
              <w:t>差距评估要求</w:t>
            </w:r>
          </w:p>
        </w:tc>
        <w:tc>
          <w:tcPr>
            <w:tcW w:w="7008" w:type="dxa"/>
            <w:tcBorders>
              <w:top w:val="single" w:color="000000" w:sz="4" w:space="0"/>
              <w:left w:val="nil"/>
              <w:bottom w:val="single" w:color="000000" w:sz="4" w:space="0"/>
              <w:right w:val="single" w:color="000000"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以等级保护的法规、技术标准、技术规范为依据，中标人对以上</w:t>
            </w:r>
            <w:r>
              <w:rPr>
                <w:rFonts w:ascii="宋体" w:hAnsi="宋体"/>
              </w:rPr>
              <w:t>5</w:t>
            </w:r>
            <w:r>
              <w:rPr>
                <w:rFonts w:hint="eastAsia" w:ascii="宋体" w:hAnsi="宋体"/>
              </w:rPr>
              <w:t>个信息系统在物理安全、主机安全、应用安全、网络安全、数据安全及备份恢复、安全管理制度、安全管理机构、人员安全管理、系统建设管理和系统运维管理方面进行测评，发现安全保护现状，并为确立安全策略、制定安全规划、开展安全建设提供决策建议。</w:t>
            </w:r>
          </w:p>
        </w:tc>
      </w:tr>
      <w:tr>
        <w:tblPrEx>
          <w:tblLayout w:type="fixed"/>
          <w:tblCellMar>
            <w:top w:w="0" w:type="dxa"/>
            <w:left w:w="57" w:type="dxa"/>
            <w:bottom w:w="0" w:type="dxa"/>
            <w:right w:w="57" w:type="dxa"/>
          </w:tblCellMar>
        </w:tblPrEx>
        <w:trPr>
          <w:trHeight w:val="403" w:hRule="atLeast"/>
          <w:jc w:val="center"/>
        </w:trPr>
        <w:tc>
          <w:tcPr>
            <w:tcW w:w="69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numPr>
                <w:ilvl w:val="0"/>
                <w:numId w:val="1"/>
              </w:numPr>
              <w:spacing w:line="400" w:lineRule="exact"/>
              <w:jc w:val="right"/>
              <w:rPr>
                <w:kern w:val="0"/>
                <w:szCs w:val="22"/>
              </w:rPr>
            </w:pPr>
          </w:p>
        </w:tc>
        <w:tc>
          <w:tcPr>
            <w:tcW w:w="1637" w:type="dxa"/>
            <w:gridSpan w:val="2"/>
            <w:vMerge w:val="restart"/>
            <w:tcBorders>
              <w:left w:val="single" w:color="auto" w:sz="4" w:space="0"/>
              <w:right w:val="single" w:color="auto" w:sz="4" w:space="0"/>
            </w:tcBorders>
            <w:shd w:val="clear" w:color="auto" w:fill="auto"/>
            <w:vAlign w:val="center"/>
          </w:tcPr>
          <w:p>
            <w:pPr>
              <w:widowControl/>
              <w:spacing w:line="400" w:lineRule="exact"/>
              <w:jc w:val="left"/>
              <w:rPr>
                <w:rFonts w:ascii="宋体" w:hAnsi="宋体"/>
              </w:rPr>
            </w:pPr>
            <w:r>
              <w:rPr>
                <w:rFonts w:hint="eastAsia" w:ascii="宋体" w:hAnsi="宋体"/>
              </w:rPr>
              <w:t>差距评估服务</w:t>
            </w:r>
          </w:p>
        </w:tc>
        <w:tc>
          <w:tcPr>
            <w:tcW w:w="7008" w:type="dxa"/>
            <w:vMerge w:val="restart"/>
            <w:tcBorders>
              <w:top w:val="single" w:color="000000" w:sz="4" w:space="0"/>
              <w:left w:val="single" w:color="auto" w:sz="4" w:space="0"/>
              <w:right w:val="single" w:color="000000" w:sz="4" w:space="0"/>
            </w:tcBorders>
            <w:shd w:val="clear" w:color="auto" w:fill="auto"/>
            <w:vAlign w:val="center"/>
          </w:tcPr>
          <w:p>
            <w:pPr>
              <w:tabs>
                <w:tab w:val="left" w:pos="360"/>
                <w:tab w:val="left" w:pos="540"/>
              </w:tabs>
              <w:spacing w:line="400" w:lineRule="exact"/>
              <w:rPr>
                <w:rFonts w:ascii="宋体" w:hAnsi="宋体"/>
                <w:color w:val="FF0000"/>
              </w:rPr>
            </w:pPr>
            <w:r>
              <w:rPr>
                <w:rFonts w:hint="eastAsia" w:ascii="宋体" w:hAnsi="宋体"/>
                <w:color w:val="FF0000"/>
              </w:rPr>
              <w:t>安全评估服务</w:t>
            </w:r>
          </w:p>
          <w:p>
            <w:pPr>
              <w:tabs>
                <w:tab w:val="left" w:pos="360"/>
                <w:tab w:val="left" w:pos="540"/>
              </w:tabs>
              <w:spacing w:line="400" w:lineRule="exact"/>
              <w:rPr>
                <w:rFonts w:ascii="宋体" w:hAnsi="宋体"/>
              </w:rPr>
            </w:pPr>
            <w:r>
              <w:rPr>
                <w:rFonts w:hint="eastAsia" w:ascii="宋体" w:hAnsi="宋体"/>
              </w:rPr>
              <w:t>根据</w:t>
            </w:r>
            <w:r>
              <w:rPr>
                <w:rFonts w:hint="eastAsia" w:ascii="宋体" w:hAnsi="宋体"/>
                <w:color w:val="FF0000"/>
              </w:rPr>
              <w:t>南方医科大学第五附属医院</w:t>
            </w:r>
            <w:r>
              <w:rPr>
                <w:rFonts w:hint="eastAsia" w:ascii="宋体" w:hAnsi="宋体"/>
              </w:rPr>
              <w:t>的信息系统的划分情况、定级情况和承载业务情况，分析明确信息系统安全需求，采用设计合理的、满足等级保护要求的总体安全方案，制定安全实施计划，用以指导信息系统安全建设工程实施。同时，将采取包括现场观察、询问人员、查询资料、检查记录、检查配置、技术测试等有效措施和必要的漏洞扫描和配置审查等工具，对可能存在的信息安全风险进行识别分析，对信息系统的安全保护现状与等级保护要求之间的差距进行评估。</w:t>
            </w:r>
          </w:p>
        </w:tc>
      </w:tr>
      <w:tr>
        <w:tblPrEx>
          <w:tblLayout w:type="fixed"/>
          <w:tblCellMar>
            <w:top w:w="0" w:type="dxa"/>
            <w:left w:w="57" w:type="dxa"/>
            <w:bottom w:w="0" w:type="dxa"/>
            <w:right w:w="57" w:type="dxa"/>
          </w:tblCellMar>
        </w:tblPrEx>
        <w:trPr>
          <w:trHeight w:val="403" w:hRule="atLeast"/>
          <w:jc w:val="center"/>
        </w:trPr>
        <w:tc>
          <w:tcPr>
            <w:tcW w:w="69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numPr>
                <w:ilvl w:val="0"/>
                <w:numId w:val="1"/>
              </w:numPr>
              <w:spacing w:line="400" w:lineRule="exact"/>
              <w:jc w:val="right"/>
              <w:rPr>
                <w:kern w:val="0"/>
                <w:szCs w:val="22"/>
              </w:rPr>
            </w:pPr>
          </w:p>
        </w:tc>
        <w:tc>
          <w:tcPr>
            <w:tcW w:w="1637" w:type="dxa"/>
            <w:gridSpan w:val="2"/>
            <w:vMerge w:val="continue"/>
            <w:tcBorders>
              <w:left w:val="single" w:color="auto" w:sz="4" w:space="0"/>
              <w:right w:val="single" w:color="auto" w:sz="4" w:space="0"/>
            </w:tcBorders>
            <w:shd w:val="clear" w:color="auto" w:fill="auto"/>
            <w:vAlign w:val="center"/>
          </w:tcPr>
          <w:p>
            <w:pPr>
              <w:widowControl/>
              <w:spacing w:line="400" w:lineRule="exact"/>
              <w:jc w:val="left"/>
              <w:rPr>
                <w:rFonts w:ascii="宋体" w:hAnsi="宋体"/>
              </w:rPr>
            </w:pPr>
          </w:p>
        </w:tc>
        <w:tc>
          <w:tcPr>
            <w:tcW w:w="7008" w:type="dxa"/>
            <w:vMerge w:val="continue"/>
            <w:tcBorders>
              <w:left w:val="single" w:color="auto" w:sz="4" w:space="0"/>
              <w:right w:val="single" w:color="000000" w:sz="4" w:space="0"/>
            </w:tcBorders>
            <w:shd w:val="clear" w:color="auto" w:fill="auto"/>
            <w:vAlign w:val="center"/>
          </w:tcPr>
          <w:p>
            <w:pPr>
              <w:tabs>
                <w:tab w:val="left" w:pos="360"/>
                <w:tab w:val="left" w:pos="540"/>
              </w:tabs>
              <w:spacing w:line="400" w:lineRule="exact"/>
              <w:rPr>
                <w:rFonts w:ascii="宋体" w:hAnsi="宋体"/>
              </w:rPr>
            </w:pPr>
          </w:p>
        </w:tc>
      </w:tr>
      <w:tr>
        <w:tblPrEx>
          <w:tblLayout w:type="fixed"/>
          <w:tblCellMar>
            <w:top w:w="0" w:type="dxa"/>
            <w:left w:w="57" w:type="dxa"/>
            <w:bottom w:w="0" w:type="dxa"/>
            <w:right w:w="57" w:type="dxa"/>
          </w:tblCellMar>
        </w:tblPrEx>
        <w:trPr>
          <w:trHeight w:val="403" w:hRule="atLeast"/>
          <w:jc w:val="center"/>
        </w:trPr>
        <w:tc>
          <w:tcPr>
            <w:tcW w:w="69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numPr>
                <w:ilvl w:val="0"/>
                <w:numId w:val="1"/>
              </w:numPr>
              <w:spacing w:line="400" w:lineRule="exact"/>
              <w:jc w:val="right"/>
              <w:rPr>
                <w:kern w:val="0"/>
                <w:szCs w:val="22"/>
              </w:rPr>
            </w:pPr>
          </w:p>
        </w:tc>
        <w:tc>
          <w:tcPr>
            <w:tcW w:w="1637" w:type="dxa"/>
            <w:gridSpan w:val="2"/>
            <w:vMerge w:val="continue"/>
            <w:tcBorders>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宋体" w:hAnsi="宋体"/>
              </w:rPr>
            </w:pPr>
          </w:p>
        </w:tc>
        <w:tc>
          <w:tcPr>
            <w:tcW w:w="7008" w:type="dxa"/>
            <w:tcBorders>
              <w:left w:val="single" w:color="auto" w:sz="4" w:space="0"/>
              <w:bottom w:val="single" w:color="000000" w:sz="4" w:space="0"/>
              <w:right w:val="single" w:color="000000"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安全保障体系设计服务</w:t>
            </w:r>
          </w:p>
          <w:p>
            <w:pPr>
              <w:tabs>
                <w:tab w:val="left" w:pos="360"/>
                <w:tab w:val="left" w:pos="540"/>
              </w:tabs>
              <w:spacing w:line="400" w:lineRule="exact"/>
              <w:rPr>
                <w:rFonts w:ascii="宋体" w:hAnsi="宋体"/>
              </w:rPr>
            </w:pPr>
            <w:r>
              <w:rPr>
                <w:rFonts w:hint="eastAsia" w:ascii="宋体" w:hAnsi="宋体"/>
              </w:rPr>
              <w:t>根据等级保护差距评估报告与评估结果，针对存在的安全隐患以及未落实的安全措施制订安全整改方案，明确整改的目标、项目和进度，拟定信息安全保障标准与规范。</w:t>
            </w:r>
          </w:p>
          <w:p>
            <w:pPr>
              <w:tabs>
                <w:tab w:val="left" w:pos="360"/>
                <w:tab w:val="left" w:pos="540"/>
              </w:tabs>
              <w:spacing w:line="400" w:lineRule="exact"/>
              <w:rPr>
                <w:rFonts w:ascii="宋体" w:hAnsi="宋体"/>
              </w:rPr>
            </w:pPr>
            <w:r>
              <w:rPr>
                <w:rFonts w:hint="eastAsia" w:ascii="宋体" w:hAnsi="宋体"/>
              </w:rPr>
              <w:t>（1）提出符合等级保护《基本办法》要求的安全专用产品，完成相应安全域的划分及拓扑设计。</w:t>
            </w:r>
          </w:p>
          <w:p>
            <w:pPr>
              <w:tabs>
                <w:tab w:val="left" w:pos="360"/>
                <w:tab w:val="left" w:pos="540"/>
              </w:tabs>
              <w:spacing w:line="400" w:lineRule="exact"/>
              <w:rPr>
                <w:rFonts w:ascii="宋体" w:hAnsi="宋体"/>
              </w:rPr>
            </w:pPr>
            <w:r>
              <w:rPr>
                <w:rFonts w:hint="eastAsia" w:ascii="宋体" w:hAnsi="宋体"/>
              </w:rPr>
              <w:t>（2）协助落实安全技术措施，提供统一的信息安全规范与标准。</w:t>
            </w:r>
          </w:p>
        </w:tc>
      </w:tr>
      <w:tr>
        <w:tblPrEx>
          <w:tblLayout w:type="fixed"/>
          <w:tblCellMar>
            <w:top w:w="0" w:type="dxa"/>
            <w:left w:w="57" w:type="dxa"/>
            <w:bottom w:w="0" w:type="dxa"/>
            <w:right w:w="57" w:type="dxa"/>
          </w:tblCellMar>
        </w:tblPrEx>
        <w:trPr>
          <w:trHeight w:val="403" w:hRule="atLeast"/>
          <w:jc w:val="center"/>
        </w:trPr>
        <w:tc>
          <w:tcPr>
            <w:tcW w:w="69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numPr>
                <w:ilvl w:val="0"/>
                <w:numId w:val="1"/>
              </w:numPr>
              <w:spacing w:line="400" w:lineRule="exact"/>
              <w:jc w:val="right"/>
              <w:rPr>
                <w:kern w:val="0"/>
                <w:szCs w:val="22"/>
              </w:rPr>
            </w:pPr>
          </w:p>
        </w:tc>
        <w:tc>
          <w:tcPr>
            <w:tcW w:w="16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系统渗透测试服务</w:t>
            </w:r>
          </w:p>
        </w:tc>
        <w:tc>
          <w:tcPr>
            <w:tcW w:w="7008" w:type="dxa"/>
            <w:tcBorders>
              <w:top w:val="single" w:color="000000" w:sz="4" w:space="0"/>
              <w:left w:val="single" w:color="auto" w:sz="4" w:space="0"/>
              <w:bottom w:val="single" w:color="000000" w:sz="4" w:space="0"/>
              <w:right w:val="single" w:color="000000"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站在实战角度对系统进行的安全评估，可以让相关人员直观的了解到网络、系统、应用中隐含的漏洞和危害发生时可能导致的损失。检查包括：SQL注入、跨站脚本、WEB目录泄露、机密信息泄露等。</w:t>
            </w:r>
          </w:p>
        </w:tc>
      </w:tr>
      <w:tr>
        <w:tblPrEx>
          <w:tblLayout w:type="fixed"/>
          <w:tblCellMar>
            <w:top w:w="0" w:type="dxa"/>
            <w:left w:w="57" w:type="dxa"/>
            <w:bottom w:w="0" w:type="dxa"/>
            <w:right w:w="57" w:type="dxa"/>
          </w:tblCellMar>
        </w:tblPrEx>
        <w:trPr>
          <w:trHeight w:val="403" w:hRule="atLeast"/>
          <w:jc w:val="center"/>
        </w:trPr>
        <w:tc>
          <w:tcPr>
            <w:tcW w:w="69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numPr>
                <w:ilvl w:val="0"/>
                <w:numId w:val="1"/>
              </w:numPr>
              <w:spacing w:line="400" w:lineRule="exact"/>
              <w:jc w:val="right"/>
              <w:rPr>
                <w:kern w:val="0"/>
                <w:szCs w:val="22"/>
              </w:rPr>
            </w:pPr>
          </w:p>
        </w:tc>
        <w:tc>
          <w:tcPr>
            <w:tcW w:w="16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宋体" w:hAnsi="宋体"/>
              </w:rPr>
            </w:pPr>
            <w:r>
              <w:rPr>
                <w:rFonts w:hint="eastAsia" w:ascii="宋体" w:hAnsi="宋体"/>
              </w:rPr>
              <w:t>测评工作实施内容完整性要求</w:t>
            </w:r>
          </w:p>
        </w:tc>
        <w:tc>
          <w:tcPr>
            <w:tcW w:w="7008" w:type="dxa"/>
            <w:tcBorders>
              <w:top w:val="single" w:color="auto" w:sz="4" w:space="0"/>
              <w:left w:val="single" w:color="auto" w:sz="4" w:space="0"/>
              <w:bottom w:val="single" w:color="000000" w:sz="4" w:space="0"/>
              <w:right w:val="single" w:color="000000" w:sz="4" w:space="0"/>
            </w:tcBorders>
            <w:shd w:val="clear" w:color="auto" w:fill="auto"/>
            <w:vAlign w:val="center"/>
          </w:tcPr>
          <w:p>
            <w:pPr>
              <w:tabs>
                <w:tab w:val="left" w:pos="360"/>
                <w:tab w:val="left" w:pos="540"/>
              </w:tabs>
              <w:spacing w:line="400" w:lineRule="exact"/>
              <w:ind w:leftChars="-21" w:hanging="44" w:hangingChars="21"/>
              <w:rPr>
                <w:rFonts w:ascii="宋体" w:hAnsi="宋体"/>
              </w:rPr>
            </w:pPr>
            <w:r>
              <w:rPr>
                <w:rFonts w:hint="eastAsia" w:ascii="宋体" w:hAnsi="宋体"/>
              </w:rPr>
              <w:t>测评内容应至少包括：</w:t>
            </w:r>
          </w:p>
          <w:p>
            <w:pPr>
              <w:pStyle w:val="12"/>
              <w:widowControl/>
              <w:numPr>
                <w:ilvl w:val="0"/>
                <w:numId w:val="5"/>
              </w:numPr>
              <w:spacing w:line="400" w:lineRule="exact"/>
              <w:ind w:firstLineChars="0"/>
              <w:jc w:val="left"/>
              <w:rPr>
                <w:rFonts w:ascii="宋体" w:hAnsi="宋体" w:cs="Arial"/>
                <w:kern w:val="0"/>
                <w:szCs w:val="21"/>
              </w:rPr>
            </w:pPr>
            <w:r>
              <w:rPr>
                <w:rFonts w:hint="eastAsia" w:ascii="宋体" w:hAnsi="宋体" w:cs="Arial"/>
                <w:kern w:val="0"/>
                <w:szCs w:val="21"/>
              </w:rPr>
              <w:t>安全技术测评，主要包括：物理安全技术测评、网络安全技术测评、主机安全技术测评、应用安全技术测评、数据安全与备份恢复技术测评等五个层面上的测评；</w:t>
            </w:r>
          </w:p>
          <w:p>
            <w:pPr>
              <w:pStyle w:val="12"/>
              <w:widowControl/>
              <w:numPr>
                <w:ilvl w:val="0"/>
                <w:numId w:val="5"/>
              </w:numPr>
              <w:spacing w:line="400" w:lineRule="exact"/>
              <w:ind w:firstLineChars="0"/>
              <w:jc w:val="left"/>
              <w:rPr>
                <w:rFonts w:ascii="宋体" w:hAnsi="宋体" w:cs="Arial"/>
                <w:kern w:val="0"/>
                <w:szCs w:val="21"/>
              </w:rPr>
            </w:pPr>
            <w:r>
              <w:rPr>
                <w:rFonts w:hint="eastAsia" w:ascii="宋体" w:hAnsi="宋体" w:cs="Arial"/>
                <w:kern w:val="0"/>
                <w:szCs w:val="21"/>
              </w:rPr>
              <w:t>安全管理测评，主要包括：安全管理制度测评、安全管理机构测评、人员安全管理测评、系统建设管理测评、系统运维管理测评等五个层面上的测评；</w:t>
            </w:r>
          </w:p>
          <w:p>
            <w:pPr>
              <w:pStyle w:val="12"/>
              <w:widowControl/>
              <w:numPr>
                <w:ilvl w:val="0"/>
                <w:numId w:val="5"/>
              </w:numPr>
              <w:spacing w:line="400" w:lineRule="exact"/>
              <w:ind w:firstLineChars="0"/>
              <w:jc w:val="left"/>
              <w:rPr>
                <w:rFonts w:ascii="宋体" w:hAnsi="宋体"/>
              </w:rPr>
            </w:pPr>
            <w:r>
              <w:rPr>
                <w:rFonts w:hint="eastAsia" w:ascii="宋体" w:hAnsi="宋体" w:cs="Arial"/>
                <w:kern w:val="0"/>
                <w:szCs w:val="21"/>
              </w:rPr>
              <w:t>系统整体测评，主要包括：安全控制间安全测评、层面间安全测评、区域间安全测评、系统结构安全测评等四个层面上的测评。</w:t>
            </w:r>
          </w:p>
        </w:tc>
      </w:tr>
      <w:tr>
        <w:tblPrEx>
          <w:tblLayout w:type="fixed"/>
          <w:tblCellMar>
            <w:top w:w="0" w:type="dxa"/>
            <w:left w:w="57" w:type="dxa"/>
            <w:bottom w:w="0" w:type="dxa"/>
            <w:right w:w="57" w:type="dxa"/>
          </w:tblCellMar>
        </w:tblPrEx>
        <w:trPr>
          <w:trHeight w:val="403" w:hRule="atLeast"/>
          <w:jc w:val="center"/>
        </w:trPr>
        <w:tc>
          <w:tcPr>
            <w:tcW w:w="69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numPr>
                <w:ilvl w:val="0"/>
                <w:numId w:val="1"/>
              </w:numPr>
              <w:spacing w:line="400" w:lineRule="exact"/>
              <w:jc w:val="right"/>
              <w:rPr>
                <w:kern w:val="0"/>
                <w:szCs w:val="22"/>
              </w:rPr>
            </w:pPr>
          </w:p>
        </w:tc>
        <w:tc>
          <w:tcPr>
            <w:tcW w:w="787" w:type="dxa"/>
            <w:vMerge w:val="restart"/>
            <w:tcBorders>
              <w:top w:val="single" w:color="auto" w:sz="4" w:space="0"/>
              <w:left w:val="single" w:color="auto" w:sz="4" w:space="0"/>
              <w:right w:val="single" w:color="auto" w:sz="4" w:space="0"/>
            </w:tcBorders>
            <w:shd w:val="clear" w:color="auto" w:fill="auto"/>
            <w:vAlign w:val="center"/>
          </w:tcPr>
          <w:p>
            <w:pPr>
              <w:widowControl/>
              <w:spacing w:line="400" w:lineRule="exact"/>
              <w:jc w:val="left"/>
              <w:rPr>
                <w:rFonts w:ascii="宋体" w:hAnsi="宋体"/>
              </w:rPr>
            </w:pPr>
            <w:r>
              <w:rPr>
                <w:rFonts w:hint="eastAsia" w:ascii="宋体" w:hAnsi="宋体"/>
              </w:rPr>
              <w:t>安全评估系统(安全脆弱性扫描)工具指标要求</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支持的WEB服务器</w:t>
            </w:r>
          </w:p>
        </w:tc>
        <w:tc>
          <w:tcPr>
            <w:tcW w:w="7008" w:type="dxa"/>
            <w:tcBorders>
              <w:top w:val="single" w:color="auto" w:sz="4" w:space="0"/>
              <w:left w:val="single" w:color="auto" w:sz="4" w:space="0"/>
              <w:bottom w:val="single" w:color="000000" w:sz="4" w:space="0"/>
              <w:right w:val="single" w:color="000000"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如：</w:t>
            </w:r>
            <w:r>
              <w:rPr>
                <w:rFonts w:ascii="宋体" w:hAnsi="宋体"/>
              </w:rPr>
              <w:t>IIS</w:t>
            </w:r>
            <w:r>
              <w:rPr>
                <w:rFonts w:hint="eastAsia" w:ascii="宋体" w:hAnsi="宋体"/>
              </w:rPr>
              <w:t>、</w:t>
            </w:r>
            <w:r>
              <w:rPr>
                <w:rFonts w:ascii="宋体" w:hAnsi="宋体"/>
              </w:rPr>
              <w:t>Websphere</w:t>
            </w:r>
            <w:r>
              <w:rPr>
                <w:rFonts w:hint="eastAsia" w:ascii="宋体" w:hAnsi="宋体"/>
              </w:rPr>
              <w:t>、</w:t>
            </w:r>
            <w:r>
              <w:rPr>
                <w:rFonts w:ascii="宋体" w:hAnsi="宋体"/>
              </w:rPr>
              <w:t>Weblogic</w:t>
            </w:r>
            <w:r>
              <w:rPr>
                <w:rFonts w:hint="eastAsia" w:ascii="宋体" w:hAnsi="宋体"/>
              </w:rPr>
              <w:t>、</w:t>
            </w:r>
            <w:r>
              <w:rPr>
                <w:rFonts w:ascii="宋体" w:hAnsi="宋体"/>
              </w:rPr>
              <w:t>Apache</w:t>
            </w:r>
            <w:r>
              <w:rPr>
                <w:rFonts w:hint="eastAsia" w:ascii="宋体" w:hAnsi="宋体"/>
              </w:rPr>
              <w:t>等；</w:t>
            </w:r>
          </w:p>
        </w:tc>
      </w:tr>
      <w:tr>
        <w:tblPrEx>
          <w:tblLayout w:type="fixed"/>
          <w:tblCellMar>
            <w:top w:w="0" w:type="dxa"/>
            <w:left w:w="57" w:type="dxa"/>
            <w:bottom w:w="0" w:type="dxa"/>
            <w:right w:w="57" w:type="dxa"/>
          </w:tblCellMar>
        </w:tblPrEx>
        <w:trPr>
          <w:trHeight w:val="403" w:hRule="atLeast"/>
          <w:jc w:val="center"/>
        </w:trPr>
        <w:tc>
          <w:tcPr>
            <w:tcW w:w="69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numPr>
                <w:ilvl w:val="0"/>
                <w:numId w:val="1"/>
              </w:numPr>
              <w:spacing w:line="400" w:lineRule="exact"/>
              <w:jc w:val="right"/>
              <w:rPr>
                <w:kern w:val="0"/>
                <w:szCs w:val="22"/>
              </w:rPr>
            </w:pPr>
          </w:p>
        </w:tc>
        <w:tc>
          <w:tcPr>
            <w:tcW w:w="787" w:type="dxa"/>
            <w:vMerge w:val="continue"/>
            <w:tcBorders>
              <w:left w:val="single" w:color="auto" w:sz="4" w:space="0"/>
              <w:right w:val="single" w:color="auto" w:sz="4" w:space="0"/>
            </w:tcBorders>
            <w:shd w:val="clear" w:color="auto" w:fill="auto"/>
            <w:vAlign w:val="center"/>
          </w:tcPr>
          <w:p>
            <w:pPr>
              <w:widowControl/>
              <w:spacing w:line="400" w:lineRule="exact"/>
              <w:jc w:val="left"/>
              <w:rPr>
                <w:rFonts w:ascii="宋体" w:hAnsi="宋体"/>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支持的数据库类型</w:t>
            </w:r>
          </w:p>
        </w:tc>
        <w:tc>
          <w:tcPr>
            <w:tcW w:w="7008" w:type="dxa"/>
            <w:tcBorders>
              <w:top w:val="single" w:color="auto" w:sz="4" w:space="0"/>
              <w:left w:val="single" w:color="auto" w:sz="4" w:space="0"/>
              <w:bottom w:val="single" w:color="000000" w:sz="4" w:space="0"/>
              <w:right w:val="single" w:color="000000"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如：Access，Mysql</w:t>
            </w:r>
            <w:r>
              <w:rPr>
                <w:rFonts w:ascii="宋体" w:hAnsi="宋体"/>
              </w:rPr>
              <w:t>,ORACLE,DB2,PostgreSQL,Sybase,Informix,sqlite</w:t>
            </w:r>
          </w:p>
          <w:p>
            <w:pPr>
              <w:tabs>
                <w:tab w:val="left" w:pos="360"/>
                <w:tab w:val="left" w:pos="540"/>
              </w:tabs>
              <w:spacing w:line="400" w:lineRule="exact"/>
              <w:rPr>
                <w:rFonts w:ascii="宋体" w:hAnsi="宋体"/>
              </w:rPr>
            </w:pPr>
            <w:r>
              <w:rPr>
                <w:rFonts w:ascii="宋体" w:hAnsi="宋体"/>
              </w:rPr>
              <w:t>MSSQLSERVER</w:t>
            </w:r>
            <w:r>
              <w:rPr>
                <w:rFonts w:hint="eastAsia" w:ascii="宋体" w:hAnsi="宋体"/>
              </w:rPr>
              <w:t>等</w:t>
            </w:r>
          </w:p>
        </w:tc>
      </w:tr>
      <w:tr>
        <w:tblPrEx>
          <w:tblLayout w:type="fixed"/>
          <w:tblCellMar>
            <w:top w:w="0" w:type="dxa"/>
            <w:left w:w="57" w:type="dxa"/>
            <w:bottom w:w="0" w:type="dxa"/>
            <w:right w:w="57" w:type="dxa"/>
          </w:tblCellMar>
        </w:tblPrEx>
        <w:trPr>
          <w:trHeight w:val="403" w:hRule="atLeast"/>
          <w:jc w:val="center"/>
        </w:trPr>
        <w:tc>
          <w:tcPr>
            <w:tcW w:w="69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numPr>
                <w:ilvl w:val="0"/>
                <w:numId w:val="1"/>
              </w:numPr>
              <w:spacing w:line="400" w:lineRule="exact"/>
              <w:jc w:val="right"/>
              <w:rPr>
                <w:kern w:val="0"/>
                <w:szCs w:val="22"/>
              </w:rPr>
            </w:pPr>
          </w:p>
        </w:tc>
        <w:tc>
          <w:tcPr>
            <w:tcW w:w="787" w:type="dxa"/>
            <w:vMerge w:val="continue"/>
            <w:tcBorders>
              <w:left w:val="single" w:color="auto" w:sz="4" w:space="0"/>
              <w:right w:val="single" w:color="auto" w:sz="4" w:space="0"/>
            </w:tcBorders>
            <w:shd w:val="clear" w:color="auto" w:fill="auto"/>
            <w:vAlign w:val="center"/>
          </w:tcPr>
          <w:p>
            <w:pPr>
              <w:widowControl/>
              <w:spacing w:line="400" w:lineRule="exact"/>
              <w:jc w:val="left"/>
              <w:rPr>
                <w:rFonts w:ascii="宋体" w:hAnsi="宋体"/>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HTTP参数</w:t>
            </w:r>
          </w:p>
        </w:tc>
        <w:tc>
          <w:tcPr>
            <w:tcW w:w="7008" w:type="dxa"/>
            <w:tcBorders>
              <w:top w:val="single" w:color="auto" w:sz="4" w:space="0"/>
              <w:left w:val="single" w:color="auto" w:sz="4" w:space="0"/>
              <w:bottom w:val="single" w:color="000000" w:sz="4" w:space="0"/>
              <w:right w:val="single" w:color="000000"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能够检测</w:t>
            </w:r>
            <w:r>
              <w:rPr>
                <w:rFonts w:ascii="宋体" w:hAnsi="宋体"/>
              </w:rPr>
              <w:t>GET</w:t>
            </w:r>
            <w:r>
              <w:rPr>
                <w:rFonts w:hint="eastAsia" w:ascii="宋体" w:hAnsi="宋体"/>
              </w:rPr>
              <w:t>、</w:t>
            </w:r>
            <w:r>
              <w:rPr>
                <w:rFonts w:ascii="宋体" w:hAnsi="宋体"/>
              </w:rPr>
              <w:t>POST</w:t>
            </w:r>
            <w:r>
              <w:rPr>
                <w:rFonts w:hint="eastAsia" w:ascii="宋体" w:hAnsi="宋体"/>
              </w:rPr>
              <w:t>、</w:t>
            </w:r>
            <w:r>
              <w:rPr>
                <w:rFonts w:ascii="宋体" w:hAnsi="宋体"/>
              </w:rPr>
              <w:t>User-Agent</w:t>
            </w:r>
            <w:r>
              <w:rPr>
                <w:rFonts w:hint="eastAsia" w:ascii="宋体" w:hAnsi="宋体"/>
              </w:rPr>
              <w:t>、</w:t>
            </w:r>
            <w:r>
              <w:rPr>
                <w:rFonts w:ascii="宋体" w:hAnsi="宋体"/>
              </w:rPr>
              <w:t>C</w:t>
            </w:r>
            <w:r>
              <w:rPr>
                <w:rFonts w:hint="eastAsia" w:ascii="宋体" w:hAnsi="宋体"/>
              </w:rPr>
              <w:t>ookie等多种方式提交的</w:t>
            </w:r>
            <w:r>
              <w:rPr>
                <w:rFonts w:ascii="宋体" w:hAnsi="宋体"/>
              </w:rPr>
              <w:t>HTTP</w:t>
            </w:r>
            <w:r>
              <w:rPr>
                <w:rFonts w:hint="eastAsia" w:ascii="宋体" w:hAnsi="宋体"/>
              </w:rPr>
              <w:t>请求参数，并进行相应检测。</w:t>
            </w:r>
          </w:p>
        </w:tc>
      </w:tr>
      <w:tr>
        <w:tblPrEx>
          <w:tblLayout w:type="fixed"/>
          <w:tblCellMar>
            <w:top w:w="0" w:type="dxa"/>
            <w:left w:w="57" w:type="dxa"/>
            <w:bottom w:w="0" w:type="dxa"/>
            <w:right w:w="57" w:type="dxa"/>
          </w:tblCellMar>
        </w:tblPrEx>
        <w:trPr>
          <w:trHeight w:val="403" w:hRule="atLeast"/>
          <w:jc w:val="center"/>
        </w:trPr>
        <w:tc>
          <w:tcPr>
            <w:tcW w:w="69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numPr>
                <w:ilvl w:val="0"/>
                <w:numId w:val="1"/>
              </w:numPr>
              <w:spacing w:line="400" w:lineRule="exact"/>
              <w:jc w:val="right"/>
              <w:rPr>
                <w:kern w:val="0"/>
                <w:szCs w:val="22"/>
              </w:rPr>
            </w:pPr>
          </w:p>
        </w:tc>
        <w:tc>
          <w:tcPr>
            <w:tcW w:w="787" w:type="dxa"/>
            <w:vMerge w:val="continue"/>
            <w:tcBorders>
              <w:left w:val="single" w:color="auto" w:sz="4" w:space="0"/>
              <w:right w:val="single" w:color="auto" w:sz="4" w:space="0"/>
            </w:tcBorders>
            <w:shd w:val="clear" w:color="auto" w:fill="auto"/>
            <w:vAlign w:val="center"/>
          </w:tcPr>
          <w:p>
            <w:pPr>
              <w:widowControl/>
              <w:spacing w:line="400" w:lineRule="exact"/>
              <w:jc w:val="left"/>
              <w:rPr>
                <w:rFonts w:ascii="宋体" w:hAnsi="宋体"/>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支持的第三方组件</w:t>
            </w:r>
          </w:p>
        </w:tc>
        <w:tc>
          <w:tcPr>
            <w:tcW w:w="7008" w:type="dxa"/>
            <w:tcBorders>
              <w:top w:val="single" w:color="auto" w:sz="4" w:space="0"/>
              <w:left w:val="single" w:color="auto" w:sz="4" w:space="0"/>
              <w:bottom w:val="single" w:color="000000" w:sz="4" w:space="0"/>
              <w:right w:val="single" w:color="000000"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Discuz、大汉CMS、PHPCMS、DEDECMS、ECSHOP、WordPress、eWebEditor、FCKeditor、Struts2等国内外常见第三方组件</w:t>
            </w:r>
          </w:p>
        </w:tc>
      </w:tr>
      <w:tr>
        <w:tblPrEx>
          <w:tblLayout w:type="fixed"/>
          <w:tblCellMar>
            <w:top w:w="0" w:type="dxa"/>
            <w:left w:w="57" w:type="dxa"/>
            <w:bottom w:w="0" w:type="dxa"/>
            <w:right w:w="57" w:type="dxa"/>
          </w:tblCellMar>
        </w:tblPrEx>
        <w:trPr>
          <w:trHeight w:val="403" w:hRule="atLeast"/>
          <w:jc w:val="center"/>
        </w:trPr>
        <w:tc>
          <w:tcPr>
            <w:tcW w:w="69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numPr>
                <w:ilvl w:val="0"/>
                <w:numId w:val="1"/>
              </w:numPr>
              <w:spacing w:line="400" w:lineRule="exact"/>
              <w:jc w:val="right"/>
              <w:rPr>
                <w:kern w:val="0"/>
                <w:szCs w:val="22"/>
              </w:rPr>
            </w:pPr>
          </w:p>
        </w:tc>
        <w:tc>
          <w:tcPr>
            <w:tcW w:w="787" w:type="dxa"/>
            <w:vMerge w:val="continue"/>
            <w:tcBorders>
              <w:left w:val="single" w:color="auto" w:sz="4" w:space="0"/>
              <w:right w:val="single" w:color="auto" w:sz="4" w:space="0"/>
            </w:tcBorders>
            <w:shd w:val="clear" w:color="auto" w:fill="auto"/>
            <w:vAlign w:val="center"/>
          </w:tcPr>
          <w:p>
            <w:pPr>
              <w:widowControl/>
              <w:spacing w:line="400" w:lineRule="exact"/>
              <w:jc w:val="left"/>
              <w:rPr>
                <w:rFonts w:ascii="宋体" w:hAnsi="宋体"/>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网页木马</w:t>
            </w:r>
          </w:p>
        </w:tc>
        <w:tc>
          <w:tcPr>
            <w:tcW w:w="7008" w:type="dxa"/>
            <w:tcBorders>
              <w:top w:val="single" w:color="auto" w:sz="4" w:space="0"/>
              <w:left w:val="single" w:color="auto" w:sz="4" w:space="0"/>
              <w:bottom w:val="single" w:color="000000" w:sz="4" w:space="0"/>
              <w:right w:val="single" w:color="000000"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支持对各种挂马方式的网页木马进行全自动、高性能、智能化分析，并对网页木马传播的病毒类型做出准确剖析和网页木马宿主做出精确定位。</w:t>
            </w:r>
          </w:p>
        </w:tc>
      </w:tr>
      <w:tr>
        <w:tblPrEx>
          <w:tblLayout w:type="fixed"/>
          <w:tblCellMar>
            <w:top w:w="0" w:type="dxa"/>
            <w:left w:w="57" w:type="dxa"/>
            <w:bottom w:w="0" w:type="dxa"/>
            <w:right w:w="57" w:type="dxa"/>
          </w:tblCellMar>
        </w:tblPrEx>
        <w:trPr>
          <w:trHeight w:val="403" w:hRule="atLeast"/>
          <w:jc w:val="center"/>
        </w:trPr>
        <w:tc>
          <w:tcPr>
            <w:tcW w:w="69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numPr>
                <w:ilvl w:val="0"/>
                <w:numId w:val="1"/>
              </w:numPr>
              <w:spacing w:line="400" w:lineRule="exact"/>
              <w:jc w:val="right"/>
              <w:rPr>
                <w:kern w:val="0"/>
                <w:szCs w:val="22"/>
              </w:rPr>
            </w:pPr>
          </w:p>
        </w:tc>
        <w:tc>
          <w:tcPr>
            <w:tcW w:w="787" w:type="dxa"/>
            <w:vMerge w:val="continue"/>
            <w:tcBorders>
              <w:left w:val="single" w:color="auto" w:sz="4" w:space="0"/>
              <w:right w:val="single" w:color="auto" w:sz="4" w:space="0"/>
            </w:tcBorders>
            <w:shd w:val="clear" w:color="auto" w:fill="auto"/>
            <w:vAlign w:val="center"/>
          </w:tcPr>
          <w:p>
            <w:pPr>
              <w:widowControl/>
              <w:spacing w:line="400" w:lineRule="exact"/>
              <w:jc w:val="left"/>
              <w:rPr>
                <w:rFonts w:ascii="宋体" w:hAnsi="宋体"/>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脚本木马</w:t>
            </w:r>
          </w:p>
        </w:tc>
        <w:tc>
          <w:tcPr>
            <w:tcW w:w="7008" w:type="dxa"/>
            <w:tcBorders>
              <w:top w:val="single" w:color="auto" w:sz="4" w:space="0"/>
              <w:left w:val="single" w:color="auto" w:sz="4" w:space="0"/>
              <w:bottom w:val="single" w:color="000000" w:sz="4" w:space="0"/>
              <w:right w:val="single" w:color="000000"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支持指纹识别和暴力猜解定位出是否存在脚本木马（WebShell）</w:t>
            </w:r>
          </w:p>
        </w:tc>
      </w:tr>
      <w:tr>
        <w:tblPrEx>
          <w:tblLayout w:type="fixed"/>
          <w:tblCellMar>
            <w:top w:w="0" w:type="dxa"/>
            <w:left w:w="57" w:type="dxa"/>
            <w:bottom w:w="0" w:type="dxa"/>
            <w:right w:w="57" w:type="dxa"/>
          </w:tblCellMar>
        </w:tblPrEx>
        <w:trPr>
          <w:trHeight w:val="403" w:hRule="atLeast"/>
          <w:jc w:val="center"/>
        </w:trPr>
        <w:tc>
          <w:tcPr>
            <w:tcW w:w="69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numPr>
                <w:ilvl w:val="0"/>
                <w:numId w:val="1"/>
              </w:numPr>
              <w:spacing w:line="400" w:lineRule="exact"/>
              <w:jc w:val="right"/>
              <w:rPr>
                <w:kern w:val="0"/>
                <w:szCs w:val="22"/>
              </w:rPr>
            </w:pPr>
          </w:p>
        </w:tc>
        <w:tc>
          <w:tcPr>
            <w:tcW w:w="787" w:type="dxa"/>
            <w:vMerge w:val="continue"/>
            <w:tcBorders>
              <w:left w:val="single" w:color="auto" w:sz="4" w:space="0"/>
              <w:right w:val="single" w:color="auto" w:sz="4" w:space="0"/>
            </w:tcBorders>
            <w:shd w:val="clear" w:color="auto" w:fill="auto"/>
            <w:vAlign w:val="center"/>
          </w:tcPr>
          <w:p>
            <w:pPr>
              <w:widowControl/>
              <w:spacing w:line="400" w:lineRule="exact"/>
              <w:jc w:val="left"/>
              <w:rPr>
                <w:rFonts w:ascii="宋体" w:hAnsi="宋体"/>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暗链</w:t>
            </w:r>
          </w:p>
        </w:tc>
        <w:tc>
          <w:tcPr>
            <w:tcW w:w="7008" w:type="dxa"/>
            <w:tcBorders>
              <w:top w:val="single" w:color="auto" w:sz="4" w:space="0"/>
              <w:left w:val="single" w:color="auto" w:sz="4" w:space="0"/>
              <w:bottom w:val="single" w:color="000000" w:sz="4" w:space="0"/>
              <w:right w:val="single" w:color="000000"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是否支持扫描各种隐藏连接的暗链，并且定位到哪个页面被挂暗链</w:t>
            </w:r>
          </w:p>
        </w:tc>
      </w:tr>
      <w:tr>
        <w:tblPrEx>
          <w:tblLayout w:type="fixed"/>
          <w:tblCellMar>
            <w:top w:w="0" w:type="dxa"/>
            <w:left w:w="57" w:type="dxa"/>
            <w:bottom w:w="0" w:type="dxa"/>
            <w:right w:w="57" w:type="dxa"/>
          </w:tblCellMar>
        </w:tblPrEx>
        <w:trPr>
          <w:trHeight w:val="403" w:hRule="atLeast"/>
          <w:jc w:val="center"/>
        </w:trPr>
        <w:tc>
          <w:tcPr>
            <w:tcW w:w="69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numPr>
                <w:ilvl w:val="0"/>
                <w:numId w:val="1"/>
              </w:numPr>
              <w:spacing w:line="400" w:lineRule="exact"/>
              <w:jc w:val="right"/>
              <w:rPr>
                <w:kern w:val="0"/>
                <w:szCs w:val="22"/>
              </w:rPr>
            </w:pPr>
          </w:p>
        </w:tc>
        <w:tc>
          <w:tcPr>
            <w:tcW w:w="787" w:type="dxa"/>
            <w:vMerge w:val="continue"/>
            <w:tcBorders>
              <w:left w:val="single" w:color="auto" w:sz="4" w:space="0"/>
              <w:right w:val="single" w:color="auto" w:sz="4" w:space="0"/>
            </w:tcBorders>
            <w:shd w:val="clear" w:color="auto" w:fill="auto"/>
            <w:vAlign w:val="center"/>
          </w:tcPr>
          <w:p>
            <w:pPr>
              <w:widowControl/>
              <w:spacing w:line="400" w:lineRule="exact"/>
              <w:jc w:val="left"/>
              <w:rPr>
                <w:rFonts w:ascii="宋体" w:hAnsi="宋体"/>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WEB漏洞扫描</w:t>
            </w:r>
          </w:p>
        </w:tc>
        <w:tc>
          <w:tcPr>
            <w:tcW w:w="7008" w:type="dxa"/>
            <w:tcBorders>
              <w:top w:val="single" w:color="auto" w:sz="4" w:space="0"/>
              <w:left w:val="single" w:color="auto" w:sz="4" w:space="0"/>
              <w:bottom w:val="single" w:color="000000" w:sz="4" w:space="0"/>
              <w:right w:val="single" w:color="000000"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支持常见的WEB应用弱点检测，</w:t>
            </w:r>
            <w:r>
              <w:rPr>
                <w:rFonts w:ascii="宋体" w:hAnsi="宋体"/>
              </w:rPr>
              <w:t>支持OWASP TOP 10等主流安全漏洞</w:t>
            </w:r>
            <w:r>
              <w:rPr>
                <w:rFonts w:hint="eastAsia" w:ascii="宋体" w:hAnsi="宋体"/>
              </w:rPr>
              <w:t>，如：SQL注入、Cookie注入、Base64注入、XSS跨站脚本、框架注入、链接注入、隐藏字段、CSRF跨站伪造请求、命令注入、命令执行、代码注入、遍历目录、弱口令、表单绕过、文件包含、管理后台、敏感信息泄漏、第三方组件、其他各类CGI漏洞等各种类型。</w:t>
            </w:r>
          </w:p>
        </w:tc>
      </w:tr>
      <w:tr>
        <w:tblPrEx>
          <w:tblLayout w:type="fixed"/>
          <w:tblCellMar>
            <w:top w:w="0" w:type="dxa"/>
            <w:left w:w="57" w:type="dxa"/>
            <w:bottom w:w="0" w:type="dxa"/>
            <w:right w:w="57" w:type="dxa"/>
          </w:tblCellMar>
        </w:tblPrEx>
        <w:trPr>
          <w:trHeight w:val="403" w:hRule="atLeast"/>
          <w:jc w:val="center"/>
        </w:trPr>
        <w:tc>
          <w:tcPr>
            <w:tcW w:w="69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numPr>
                <w:ilvl w:val="0"/>
                <w:numId w:val="1"/>
              </w:numPr>
              <w:spacing w:line="400" w:lineRule="exact"/>
              <w:jc w:val="right"/>
              <w:rPr>
                <w:kern w:val="0"/>
                <w:szCs w:val="22"/>
              </w:rPr>
            </w:pPr>
          </w:p>
        </w:tc>
        <w:tc>
          <w:tcPr>
            <w:tcW w:w="787" w:type="dxa"/>
            <w:vMerge w:val="continue"/>
            <w:tcBorders>
              <w:left w:val="single" w:color="auto" w:sz="4" w:space="0"/>
              <w:right w:val="single" w:color="auto" w:sz="4" w:space="0"/>
            </w:tcBorders>
            <w:shd w:val="clear" w:color="auto" w:fill="auto"/>
            <w:vAlign w:val="center"/>
          </w:tcPr>
          <w:p>
            <w:pPr>
              <w:widowControl/>
              <w:spacing w:line="400" w:lineRule="exact"/>
              <w:jc w:val="left"/>
              <w:rPr>
                <w:rFonts w:ascii="宋体" w:hAnsi="宋体"/>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策略分类</w:t>
            </w:r>
          </w:p>
        </w:tc>
        <w:tc>
          <w:tcPr>
            <w:tcW w:w="7008" w:type="dxa"/>
            <w:tcBorders>
              <w:top w:val="single" w:color="auto" w:sz="4" w:space="0"/>
              <w:left w:val="single" w:color="auto" w:sz="4" w:space="0"/>
              <w:bottom w:val="single" w:color="000000" w:sz="4" w:space="0"/>
              <w:right w:val="single" w:color="000000"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是否支持将漏洞以紧急、高危、中危、低危、信息进行危害程度的分类，并且可根据用户需要自定义漏洞等级</w:t>
            </w:r>
          </w:p>
        </w:tc>
      </w:tr>
      <w:tr>
        <w:tblPrEx>
          <w:tblLayout w:type="fixed"/>
          <w:tblCellMar>
            <w:top w:w="0" w:type="dxa"/>
            <w:left w:w="57" w:type="dxa"/>
            <w:bottom w:w="0" w:type="dxa"/>
            <w:right w:w="57" w:type="dxa"/>
          </w:tblCellMar>
        </w:tblPrEx>
        <w:trPr>
          <w:trHeight w:val="403" w:hRule="atLeast"/>
          <w:jc w:val="center"/>
        </w:trPr>
        <w:tc>
          <w:tcPr>
            <w:tcW w:w="69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numPr>
                <w:ilvl w:val="0"/>
                <w:numId w:val="1"/>
              </w:numPr>
              <w:spacing w:line="400" w:lineRule="exact"/>
              <w:jc w:val="right"/>
              <w:rPr>
                <w:kern w:val="0"/>
                <w:szCs w:val="22"/>
              </w:rPr>
            </w:pPr>
          </w:p>
        </w:tc>
        <w:tc>
          <w:tcPr>
            <w:tcW w:w="787" w:type="dxa"/>
            <w:vMerge w:val="continue"/>
            <w:tcBorders>
              <w:left w:val="single" w:color="auto" w:sz="4" w:space="0"/>
              <w:right w:val="single" w:color="auto" w:sz="4" w:space="0"/>
            </w:tcBorders>
            <w:shd w:val="clear" w:color="auto" w:fill="auto"/>
            <w:vAlign w:val="center"/>
          </w:tcPr>
          <w:p>
            <w:pPr>
              <w:widowControl/>
              <w:spacing w:line="400" w:lineRule="exact"/>
              <w:jc w:val="left"/>
              <w:rPr>
                <w:rFonts w:ascii="宋体" w:hAnsi="宋体"/>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策略自定义</w:t>
            </w:r>
          </w:p>
        </w:tc>
        <w:tc>
          <w:tcPr>
            <w:tcW w:w="7008" w:type="dxa"/>
            <w:tcBorders>
              <w:top w:val="single" w:color="auto" w:sz="4" w:space="0"/>
              <w:left w:val="single" w:color="auto" w:sz="4" w:space="0"/>
              <w:bottom w:val="single" w:color="000000" w:sz="4" w:space="0"/>
              <w:right w:val="single" w:color="000000"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▲支持根据自行需要以插件形式自定义添加策略提高扫描结果，以满足更高级用户的需求。</w:t>
            </w:r>
          </w:p>
        </w:tc>
      </w:tr>
      <w:tr>
        <w:tblPrEx>
          <w:tblLayout w:type="fixed"/>
          <w:tblCellMar>
            <w:top w:w="0" w:type="dxa"/>
            <w:left w:w="57" w:type="dxa"/>
            <w:bottom w:w="0" w:type="dxa"/>
            <w:right w:w="57" w:type="dxa"/>
          </w:tblCellMar>
        </w:tblPrEx>
        <w:trPr>
          <w:trHeight w:val="403" w:hRule="atLeast"/>
          <w:jc w:val="center"/>
        </w:trPr>
        <w:tc>
          <w:tcPr>
            <w:tcW w:w="69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numPr>
                <w:ilvl w:val="0"/>
                <w:numId w:val="1"/>
              </w:numPr>
              <w:spacing w:line="400" w:lineRule="exact"/>
              <w:jc w:val="right"/>
              <w:rPr>
                <w:kern w:val="0"/>
                <w:szCs w:val="22"/>
              </w:rPr>
            </w:pPr>
          </w:p>
        </w:tc>
        <w:tc>
          <w:tcPr>
            <w:tcW w:w="787" w:type="dxa"/>
            <w:vMerge w:val="continue"/>
            <w:tcBorders>
              <w:left w:val="single" w:color="auto" w:sz="4" w:space="0"/>
              <w:right w:val="single" w:color="auto" w:sz="4" w:space="0"/>
            </w:tcBorders>
            <w:shd w:val="clear" w:color="auto" w:fill="auto"/>
            <w:vAlign w:val="center"/>
          </w:tcPr>
          <w:p>
            <w:pPr>
              <w:widowControl/>
              <w:spacing w:line="400" w:lineRule="exact"/>
              <w:jc w:val="left"/>
              <w:rPr>
                <w:rFonts w:ascii="宋体" w:hAnsi="宋体"/>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扫描功能</w:t>
            </w:r>
          </w:p>
        </w:tc>
        <w:tc>
          <w:tcPr>
            <w:tcW w:w="7008" w:type="dxa"/>
            <w:tcBorders>
              <w:top w:val="single" w:color="auto" w:sz="4" w:space="0"/>
              <w:left w:val="single" w:color="auto" w:sz="4" w:space="0"/>
              <w:bottom w:val="single" w:color="000000" w:sz="4" w:space="0"/>
              <w:right w:val="single" w:color="000000" w:sz="4" w:space="0"/>
            </w:tcBorders>
            <w:shd w:val="clear" w:color="auto" w:fill="auto"/>
            <w:vAlign w:val="center"/>
          </w:tcPr>
          <w:p>
            <w:pPr>
              <w:tabs>
                <w:tab w:val="left" w:pos="360"/>
                <w:tab w:val="left" w:pos="540"/>
              </w:tabs>
              <w:spacing w:line="400" w:lineRule="exact"/>
              <w:ind w:leftChars="-21" w:hanging="44" w:hangingChars="21"/>
              <w:rPr>
                <w:rFonts w:ascii="宋体" w:hAnsi="宋体"/>
              </w:rPr>
            </w:pPr>
            <w:r>
              <w:rPr>
                <w:rFonts w:hint="eastAsia" w:ascii="宋体" w:hAnsi="宋体"/>
              </w:rPr>
              <w:t>支持主动扫描、被动扫描两种模式的深度扫描；支持多域名批量扫描；</w:t>
            </w:r>
          </w:p>
          <w:p>
            <w:pPr>
              <w:tabs>
                <w:tab w:val="left" w:pos="360"/>
                <w:tab w:val="left" w:pos="540"/>
              </w:tabs>
              <w:spacing w:line="400" w:lineRule="exact"/>
              <w:ind w:leftChars="-21" w:hanging="44" w:hangingChars="21"/>
              <w:rPr>
                <w:rFonts w:ascii="宋体" w:hAnsi="宋体"/>
              </w:rPr>
            </w:pPr>
            <w:r>
              <w:rPr>
                <w:rFonts w:hint="eastAsia" w:ascii="宋体" w:hAnsi="宋体"/>
              </w:rPr>
              <w:t>支持多任务并发扫描：单个程序可执行多个扫描任务同时并发扫描；</w:t>
            </w:r>
          </w:p>
          <w:p>
            <w:pPr>
              <w:tabs>
                <w:tab w:val="left" w:pos="360"/>
                <w:tab w:val="left" w:pos="540"/>
              </w:tabs>
              <w:spacing w:line="400" w:lineRule="exact"/>
              <w:ind w:leftChars="-21" w:hanging="44" w:hangingChars="21"/>
              <w:rPr>
                <w:rFonts w:ascii="宋体" w:hAnsi="宋体"/>
              </w:rPr>
            </w:pPr>
            <w:r>
              <w:rPr>
                <w:rFonts w:hint="eastAsia" w:ascii="宋体" w:hAnsi="宋体"/>
              </w:rPr>
              <w:t>支持定制扫描：用户可根据目标扫描网站的特点以及所在</w:t>
            </w:r>
            <w:r>
              <w:rPr>
                <w:rFonts w:hint="eastAsia" w:ascii="宋体" w:hAnsi="宋体"/>
              </w:rPr>
              <w:cr/>
            </w:r>
            <w:r>
              <w:rPr>
                <w:rFonts w:hint="eastAsia" w:ascii="宋体" w:hAnsi="宋体"/>
              </w:rPr>
              <w:t>网络环境，对扫描过程进行定制，如爬行、检测、过滤、网络环境等；</w:t>
            </w:r>
          </w:p>
          <w:p>
            <w:pPr>
              <w:tabs>
                <w:tab w:val="left" w:pos="360"/>
                <w:tab w:val="left" w:pos="540"/>
              </w:tabs>
              <w:spacing w:line="400" w:lineRule="exact"/>
              <w:ind w:leftChars="-21" w:hanging="44" w:hangingChars="21"/>
              <w:rPr>
                <w:rFonts w:ascii="宋体" w:hAnsi="宋体"/>
              </w:rPr>
            </w:pPr>
            <w:r>
              <w:rPr>
                <w:rFonts w:hint="eastAsia" w:ascii="宋体" w:hAnsi="宋体"/>
              </w:rPr>
              <w:t>支持WEB2.0扫描：采用自主研发的网页执行模块，执行网页中的JavaScript脚本获取其中的链接，也可通过正则表达式匹配页面中的链接；</w:t>
            </w:r>
          </w:p>
        </w:tc>
      </w:tr>
      <w:tr>
        <w:tblPrEx>
          <w:tblLayout w:type="fixed"/>
          <w:tblCellMar>
            <w:top w:w="0" w:type="dxa"/>
            <w:left w:w="57" w:type="dxa"/>
            <w:bottom w:w="0" w:type="dxa"/>
            <w:right w:w="57" w:type="dxa"/>
          </w:tblCellMar>
        </w:tblPrEx>
        <w:trPr>
          <w:trHeight w:val="403" w:hRule="atLeast"/>
          <w:jc w:val="center"/>
        </w:trPr>
        <w:tc>
          <w:tcPr>
            <w:tcW w:w="69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numPr>
                <w:ilvl w:val="0"/>
                <w:numId w:val="1"/>
              </w:numPr>
              <w:spacing w:line="400" w:lineRule="exact"/>
              <w:jc w:val="right"/>
              <w:rPr>
                <w:kern w:val="0"/>
                <w:szCs w:val="22"/>
              </w:rPr>
            </w:pPr>
          </w:p>
        </w:tc>
        <w:tc>
          <w:tcPr>
            <w:tcW w:w="787" w:type="dxa"/>
            <w:vMerge w:val="continue"/>
            <w:tcBorders>
              <w:left w:val="single" w:color="auto" w:sz="4" w:space="0"/>
              <w:right w:val="single" w:color="auto" w:sz="4" w:space="0"/>
            </w:tcBorders>
            <w:shd w:val="clear" w:color="auto" w:fill="auto"/>
            <w:vAlign w:val="center"/>
          </w:tcPr>
          <w:p>
            <w:pPr>
              <w:widowControl/>
              <w:spacing w:line="400" w:lineRule="exact"/>
              <w:jc w:val="left"/>
              <w:rPr>
                <w:rFonts w:ascii="宋体" w:hAnsi="宋体"/>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渗透测试</w:t>
            </w:r>
          </w:p>
        </w:tc>
        <w:tc>
          <w:tcPr>
            <w:tcW w:w="7008" w:type="dxa"/>
            <w:tcBorders>
              <w:top w:val="single" w:color="auto" w:sz="4" w:space="0"/>
              <w:left w:val="single" w:color="auto" w:sz="4" w:space="0"/>
              <w:bottom w:val="single" w:color="000000" w:sz="4" w:space="0"/>
              <w:right w:val="single" w:color="000000" w:sz="4" w:space="0"/>
            </w:tcBorders>
            <w:shd w:val="clear" w:color="auto" w:fill="auto"/>
            <w:vAlign w:val="center"/>
          </w:tcPr>
          <w:p>
            <w:pPr>
              <w:tabs>
                <w:tab w:val="left" w:pos="360"/>
                <w:tab w:val="left" w:pos="540"/>
              </w:tabs>
              <w:spacing w:line="400" w:lineRule="exact"/>
              <w:rPr>
                <w:rFonts w:ascii="宋体" w:hAnsi="宋体"/>
              </w:rPr>
            </w:pPr>
            <w:r>
              <w:rPr>
                <w:rFonts w:ascii="宋体" w:hAnsi="宋体"/>
              </w:rPr>
              <w:t>通过所发现的应用漏洞，模拟黑客使用的漏洞攻击手段，对目标应用进行深入安全分析，利用沙盒技术实施无害攻击，包括后台数据库中的数据提取、执行控制台命令、获取注册表数据、获取目录树、数据库操作、备份数据库、远程文件下载、文件上传等</w:t>
            </w:r>
            <w:r>
              <w:rPr>
                <w:rFonts w:hint="eastAsia" w:ascii="宋体" w:hAnsi="宋体"/>
              </w:rPr>
              <w:t>，</w:t>
            </w:r>
            <w:r>
              <w:rPr>
                <w:rFonts w:ascii="宋体" w:hAnsi="宋体"/>
              </w:rPr>
              <w:t>取得系统安全威胁的直接证据；</w:t>
            </w:r>
          </w:p>
        </w:tc>
      </w:tr>
      <w:tr>
        <w:tblPrEx>
          <w:tblLayout w:type="fixed"/>
          <w:tblCellMar>
            <w:top w:w="0" w:type="dxa"/>
            <w:left w:w="57" w:type="dxa"/>
            <w:bottom w:w="0" w:type="dxa"/>
            <w:right w:w="57" w:type="dxa"/>
          </w:tblCellMar>
        </w:tblPrEx>
        <w:trPr>
          <w:trHeight w:val="403" w:hRule="atLeast"/>
          <w:jc w:val="center"/>
        </w:trPr>
        <w:tc>
          <w:tcPr>
            <w:tcW w:w="69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numPr>
                <w:ilvl w:val="0"/>
                <w:numId w:val="1"/>
              </w:numPr>
              <w:spacing w:line="400" w:lineRule="exact"/>
              <w:jc w:val="right"/>
              <w:rPr>
                <w:kern w:val="0"/>
                <w:szCs w:val="22"/>
              </w:rPr>
            </w:pPr>
          </w:p>
        </w:tc>
        <w:tc>
          <w:tcPr>
            <w:tcW w:w="787" w:type="dxa"/>
            <w:vMerge w:val="continue"/>
            <w:tcBorders>
              <w:left w:val="single" w:color="auto" w:sz="4" w:space="0"/>
              <w:right w:val="single" w:color="auto" w:sz="4" w:space="0"/>
            </w:tcBorders>
            <w:shd w:val="clear" w:color="auto" w:fill="auto"/>
            <w:vAlign w:val="center"/>
          </w:tcPr>
          <w:p>
            <w:pPr>
              <w:widowControl/>
              <w:spacing w:line="400" w:lineRule="exact"/>
              <w:jc w:val="left"/>
              <w:rPr>
                <w:rFonts w:ascii="宋体" w:hAnsi="宋体"/>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逻辑漏洞检测</w:t>
            </w:r>
          </w:p>
        </w:tc>
        <w:tc>
          <w:tcPr>
            <w:tcW w:w="7008" w:type="dxa"/>
            <w:tcBorders>
              <w:top w:val="single" w:color="auto" w:sz="4" w:space="0"/>
              <w:left w:val="single" w:color="auto" w:sz="4" w:space="0"/>
              <w:bottom w:val="single" w:color="000000" w:sz="4" w:space="0"/>
              <w:right w:val="single" w:color="000000"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提供逻辑漏洞检测，能够对数据包进行拦截、重放，可以对历史数据进行重放测试</w:t>
            </w:r>
          </w:p>
        </w:tc>
      </w:tr>
      <w:tr>
        <w:tblPrEx>
          <w:tblLayout w:type="fixed"/>
          <w:tblCellMar>
            <w:top w:w="0" w:type="dxa"/>
            <w:left w:w="57" w:type="dxa"/>
            <w:bottom w:w="0" w:type="dxa"/>
            <w:right w:w="57" w:type="dxa"/>
          </w:tblCellMar>
        </w:tblPrEx>
        <w:trPr>
          <w:trHeight w:val="403" w:hRule="atLeast"/>
          <w:jc w:val="center"/>
        </w:trPr>
        <w:tc>
          <w:tcPr>
            <w:tcW w:w="69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numPr>
                <w:ilvl w:val="0"/>
                <w:numId w:val="1"/>
              </w:numPr>
              <w:spacing w:line="400" w:lineRule="exact"/>
              <w:jc w:val="right"/>
              <w:rPr>
                <w:kern w:val="0"/>
                <w:szCs w:val="22"/>
              </w:rPr>
            </w:pPr>
          </w:p>
        </w:tc>
        <w:tc>
          <w:tcPr>
            <w:tcW w:w="787" w:type="dxa"/>
            <w:vMerge w:val="continue"/>
            <w:tcBorders>
              <w:left w:val="single" w:color="auto" w:sz="4" w:space="0"/>
              <w:right w:val="single" w:color="auto" w:sz="4" w:space="0"/>
            </w:tcBorders>
            <w:shd w:val="clear" w:color="auto" w:fill="auto"/>
            <w:vAlign w:val="center"/>
          </w:tcPr>
          <w:p>
            <w:pPr>
              <w:widowControl/>
              <w:spacing w:line="400" w:lineRule="exact"/>
              <w:jc w:val="left"/>
              <w:rPr>
                <w:rFonts w:ascii="宋体" w:hAnsi="宋体"/>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漏洞分析</w:t>
            </w:r>
          </w:p>
        </w:tc>
        <w:tc>
          <w:tcPr>
            <w:tcW w:w="7008" w:type="dxa"/>
            <w:tcBorders>
              <w:top w:val="single" w:color="auto" w:sz="4" w:space="0"/>
              <w:left w:val="single" w:color="auto" w:sz="4" w:space="0"/>
              <w:bottom w:val="single" w:color="000000" w:sz="4" w:space="0"/>
              <w:right w:val="single" w:color="000000"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提供直观的风险危害等级图表和风险类型统计图表、漏洞的描述、漏洞的风险级别、加固建议</w:t>
            </w:r>
          </w:p>
        </w:tc>
      </w:tr>
      <w:tr>
        <w:tblPrEx>
          <w:tblLayout w:type="fixed"/>
          <w:tblCellMar>
            <w:top w:w="0" w:type="dxa"/>
            <w:left w:w="57" w:type="dxa"/>
            <w:bottom w:w="0" w:type="dxa"/>
            <w:right w:w="57" w:type="dxa"/>
          </w:tblCellMar>
        </w:tblPrEx>
        <w:trPr>
          <w:trHeight w:val="403" w:hRule="atLeast"/>
          <w:jc w:val="center"/>
        </w:trPr>
        <w:tc>
          <w:tcPr>
            <w:tcW w:w="69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numPr>
                <w:ilvl w:val="0"/>
                <w:numId w:val="1"/>
              </w:numPr>
              <w:spacing w:line="400" w:lineRule="exact"/>
              <w:jc w:val="right"/>
              <w:rPr>
                <w:kern w:val="0"/>
                <w:szCs w:val="22"/>
              </w:rPr>
            </w:pPr>
          </w:p>
        </w:tc>
        <w:tc>
          <w:tcPr>
            <w:tcW w:w="787" w:type="dxa"/>
            <w:vMerge w:val="continue"/>
            <w:tcBorders>
              <w:left w:val="single" w:color="auto" w:sz="4" w:space="0"/>
              <w:right w:val="single" w:color="auto" w:sz="4" w:space="0"/>
            </w:tcBorders>
            <w:shd w:val="clear" w:color="auto" w:fill="auto"/>
            <w:vAlign w:val="center"/>
          </w:tcPr>
          <w:p>
            <w:pPr>
              <w:widowControl/>
              <w:spacing w:line="400" w:lineRule="exact"/>
              <w:jc w:val="left"/>
              <w:rPr>
                <w:rFonts w:ascii="宋体" w:hAnsi="宋体"/>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趋势分析</w:t>
            </w:r>
          </w:p>
        </w:tc>
        <w:tc>
          <w:tcPr>
            <w:tcW w:w="7008" w:type="dxa"/>
            <w:tcBorders>
              <w:top w:val="single" w:color="auto" w:sz="4" w:space="0"/>
              <w:left w:val="single" w:color="auto" w:sz="4" w:space="0"/>
              <w:bottom w:val="single" w:color="000000" w:sz="4" w:space="0"/>
              <w:right w:val="single" w:color="000000"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可根据对网站的多次扫描提供横纵向的趋势分析报告</w:t>
            </w:r>
          </w:p>
        </w:tc>
      </w:tr>
      <w:tr>
        <w:tblPrEx>
          <w:tblLayout w:type="fixed"/>
          <w:tblCellMar>
            <w:top w:w="0" w:type="dxa"/>
            <w:left w:w="57" w:type="dxa"/>
            <w:bottom w:w="0" w:type="dxa"/>
            <w:right w:w="57" w:type="dxa"/>
          </w:tblCellMar>
        </w:tblPrEx>
        <w:trPr>
          <w:trHeight w:val="403" w:hRule="atLeast"/>
          <w:jc w:val="center"/>
        </w:trPr>
        <w:tc>
          <w:tcPr>
            <w:tcW w:w="69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numPr>
                <w:ilvl w:val="0"/>
                <w:numId w:val="1"/>
              </w:numPr>
              <w:spacing w:line="400" w:lineRule="exact"/>
              <w:jc w:val="right"/>
              <w:rPr>
                <w:kern w:val="0"/>
                <w:szCs w:val="22"/>
              </w:rPr>
            </w:pPr>
          </w:p>
        </w:tc>
        <w:tc>
          <w:tcPr>
            <w:tcW w:w="787" w:type="dxa"/>
            <w:vMerge w:val="continue"/>
            <w:tcBorders>
              <w:left w:val="single" w:color="auto" w:sz="4" w:space="0"/>
              <w:right w:val="single" w:color="auto" w:sz="4" w:space="0"/>
            </w:tcBorders>
            <w:shd w:val="clear" w:color="auto" w:fill="auto"/>
            <w:vAlign w:val="center"/>
          </w:tcPr>
          <w:p>
            <w:pPr>
              <w:widowControl/>
              <w:spacing w:line="400" w:lineRule="exact"/>
              <w:jc w:val="left"/>
              <w:rPr>
                <w:rFonts w:ascii="宋体" w:hAnsi="宋体"/>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输出格式</w:t>
            </w:r>
          </w:p>
        </w:tc>
        <w:tc>
          <w:tcPr>
            <w:tcW w:w="7008" w:type="dxa"/>
            <w:tcBorders>
              <w:top w:val="single" w:color="auto" w:sz="4" w:space="0"/>
              <w:left w:val="single" w:color="auto" w:sz="4" w:space="0"/>
              <w:bottom w:val="single" w:color="000000" w:sz="4" w:space="0"/>
              <w:right w:val="single" w:color="000000"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PDF、WORD、XLS、XML等</w:t>
            </w:r>
          </w:p>
        </w:tc>
      </w:tr>
      <w:tr>
        <w:tblPrEx>
          <w:tblLayout w:type="fixed"/>
          <w:tblCellMar>
            <w:top w:w="0" w:type="dxa"/>
            <w:left w:w="57" w:type="dxa"/>
            <w:bottom w:w="0" w:type="dxa"/>
            <w:right w:w="57" w:type="dxa"/>
          </w:tblCellMar>
        </w:tblPrEx>
        <w:trPr>
          <w:trHeight w:val="403" w:hRule="atLeast"/>
          <w:jc w:val="center"/>
        </w:trPr>
        <w:tc>
          <w:tcPr>
            <w:tcW w:w="69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numPr>
                <w:ilvl w:val="0"/>
                <w:numId w:val="1"/>
              </w:numPr>
              <w:spacing w:line="400" w:lineRule="exact"/>
              <w:jc w:val="right"/>
              <w:rPr>
                <w:kern w:val="0"/>
                <w:szCs w:val="22"/>
              </w:rPr>
            </w:pPr>
          </w:p>
        </w:tc>
        <w:tc>
          <w:tcPr>
            <w:tcW w:w="787" w:type="dxa"/>
            <w:vMerge w:val="continue"/>
            <w:tcBorders>
              <w:left w:val="single" w:color="auto" w:sz="4" w:space="0"/>
              <w:right w:val="single" w:color="auto" w:sz="4" w:space="0"/>
            </w:tcBorders>
            <w:shd w:val="clear" w:color="auto" w:fill="auto"/>
            <w:vAlign w:val="center"/>
          </w:tcPr>
          <w:p>
            <w:pPr>
              <w:widowControl/>
              <w:spacing w:line="400" w:lineRule="exact"/>
              <w:jc w:val="left"/>
              <w:rPr>
                <w:rFonts w:ascii="宋体" w:hAnsi="宋体"/>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报告导出</w:t>
            </w:r>
          </w:p>
        </w:tc>
        <w:tc>
          <w:tcPr>
            <w:tcW w:w="7008" w:type="dxa"/>
            <w:tcBorders>
              <w:top w:val="single" w:color="auto" w:sz="4" w:space="0"/>
              <w:left w:val="single" w:color="auto" w:sz="4" w:space="0"/>
              <w:bottom w:val="single" w:color="000000" w:sz="4" w:space="0"/>
              <w:right w:val="single" w:color="000000"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单任务多网站可批量导出单个网站报告</w:t>
            </w:r>
          </w:p>
        </w:tc>
      </w:tr>
      <w:tr>
        <w:tblPrEx>
          <w:tblLayout w:type="fixed"/>
          <w:tblCellMar>
            <w:top w:w="0" w:type="dxa"/>
            <w:left w:w="57" w:type="dxa"/>
            <w:bottom w:w="0" w:type="dxa"/>
            <w:right w:w="57" w:type="dxa"/>
          </w:tblCellMar>
        </w:tblPrEx>
        <w:trPr>
          <w:trHeight w:val="403" w:hRule="atLeast"/>
          <w:jc w:val="center"/>
        </w:trPr>
        <w:tc>
          <w:tcPr>
            <w:tcW w:w="69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numPr>
                <w:ilvl w:val="0"/>
                <w:numId w:val="1"/>
              </w:numPr>
              <w:spacing w:line="400" w:lineRule="exact"/>
              <w:jc w:val="right"/>
              <w:rPr>
                <w:kern w:val="0"/>
                <w:szCs w:val="22"/>
              </w:rPr>
            </w:pPr>
          </w:p>
        </w:tc>
        <w:tc>
          <w:tcPr>
            <w:tcW w:w="787" w:type="dxa"/>
            <w:vMerge w:val="continue"/>
            <w:tcBorders>
              <w:left w:val="single" w:color="auto" w:sz="4" w:space="0"/>
              <w:right w:val="single" w:color="auto" w:sz="4" w:space="0"/>
            </w:tcBorders>
            <w:shd w:val="clear" w:color="auto" w:fill="auto"/>
            <w:vAlign w:val="center"/>
          </w:tcPr>
          <w:p>
            <w:pPr>
              <w:widowControl/>
              <w:spacing w:line="400" w:lineRule="exact"/>
              <w:jc w:val="left"/>
              <w:rPr>
                <w:rFonts w:ascii="宋体" w:hAnsi="宋体"/>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品牌要求</w:t>
            </w:r>
          </w:p>
        </w:tc>
        <w:tc>
          <w:tcPr>
            <w:tcW w:w="7008" w:type="dxa"/>
            <w:tcBorders>
              <w:top w:val="single" w:color="auto" w:sz="4" w:space="0"/>
              <w:left w:val="single" w:color="auto" w:sz="4" w:space="0"/>
              <w:bottom w:val="single" w:color="000000" w:sz="4" w:space="0"/>
              <w:right w:val="single" w:color="000000"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产品应通过国家信息安全测评信息技术产品安全测评证书EAL3+级别</w:t>
            </w:r>
          </w:p>
        </w:tc>
      </w:tr>
      <w:tr>
        <w:tblPrEx>
          <w:tblLayout w:type="fixed"/>
          <w:tblCellMar>
            <w:top w:w="0" w:type="dxa"/>
            <w:left w:w="57" w:type="dxa"/>
            <w:bottom w:w="0" w:type="dxa"/>
            <w:right w:w="57" w:type="dxa"/>
          </w:tblCellMar>
        </w:tblPrEx>
        <w:trPr>
          <w:trHeight w:val="403" w:hRule="atLeast"/>
          <w:jc w:val="center"/>
        </w:trPr>
        <w:tc>
          <w:tcPr>
            <w:tcW w:w="69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numPr>
                <w:ilvl w:val="0"/>
                <w:numId w:val="1"/>
              </w:numPr>
              <w:spacing w:line="400" w:lineRule="exact"/>
              <w:jc w:val="right"/>
              <w:rPr>
                <w:kern w:val="0"/>
                <w:szCs w:val="22"/>
              </w:rPr>
            </w:pPr>
          </w:p>
        </w:tc>
        <w:tc>
          <w:tcPr>
            <w:tcW w:w="787" w:type="dxa"/>
            <w:vMerge w:val="continue"/>
            <w:tcBorders>
              <w:left w:val="single" w:color="auto" w:sz="4" w:space="0"/>
              <w:right w:val="single" w:color="auto" w:sz="4" w:space="0"/>
            </w:tcBorders>
            <w:shd w:val="clear" w:color="auto" w:fill="auto"/>
            <w:vAlign w:val="center"/>
          </w:tcPr>
          <w:p>
            <w:pPr>
              <w:widowControl/>
              <w:spacing w:line="400" w:lineRule="exact"/>
              <w:jc w:val="left"/>
              <w:rPr>
                <w:rFonts w:ascii="宋体" w:hAnsi="宋体"/>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品牌要求</w:t>
            </w:r>
          </w:p>
        </w:tc>
        <w:tc>
          <w:tcPr>
            <w:tcW w:w="7008" w:type="dxa"/>
            <w:tcBorders>
              <w:top w:val="single" w:color="auto" w:sz="4" w:space="0"/>
              <w:left w:val="single" w:color="auto" w:sz="4" w:space="0"/>
              <w:bottom w:val="single" w:color="000000" w:sz="4" w:space="0"/>
              <w:right w:val="single" w:color="000000"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产品厂家应为《信息安全技术 Web应用安全扫描产品安全技术要求》标准起草单位之一</w:t>
            </w:r>
          </w:p>
        </w:tc>
      </w:tr>
      <w:tr>
        <w:tblPrEx>
          <w:tblLayout w:type="fixed"/>
          <w:tblCellMar>
            <w:top w:w="0" w:type="dxa"/>
            <w:left w:w="57" w:type="dxa"/>
            <w:bottom w:w="0" w:type="dxa"/>
            <w:right w:w="57" w:type="dxa"/>
          </w:tblCellMar>
        </w:tblPrEx>
        <w:trPr>
          <w:trHeight w:val="403" w:hRule="atLeast"/>
          <w:jc w:val="center"/>
        </w:trPr>
        <w:tc>
          <w:tcPr>
            <w:tcW w:w="69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numPr>
                <w:ilvl w:val="0"/>
                <w:numId w:val="1"/>
              </w:numPr>
              <w:spacing w:line="400" w:lineRule="exact"/>
              <w:jc w:val="right"/>
              <w:rPr>
                <w:kern w:val="0"/>
                <w:szCs w:val="22"/>
              </w:rPr>
            </w:pPr>
          </w:p>
        </w:tc>
        <w:tc>
          <w:tcPr>
            <w:tcW w:w="787" w:type="dxa"/>
            <w:vMerge w:val="continue"/>
            <w:tcBorders>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宋体" w:hAnsi="宋体"/>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 w:val="left" w:pos="540"/>
              </w:tabs>
              <w:spacing w:line="400" w:lineRule="exact"/>
              <w:rPr>
                <w:rFonts w:ascii="宋体" w:hAnsi="宋体"/>
              </w:rPr>
            </w:pPr>
            <w:r>
              <w:rPr>
                <w:rFonts w:hint="eastAsia" w:ascii="宋体" w:hAnsi="宋体"/>
              </w:rPr>
              <w:t>品牌要求</w:t>
            </w:r>
          </w:p>
        </w:tc>
        <w:tc>
          <w:tcPr>
            <w:tcW w:w="7008" w:type="dxa"/>
            <w:tcBorders>
              <w:top w:val="single" w:color="auto" w:sz="4" w:space="0"/>
              <w:left w:val="single" w:color="auto" w:sz="4" w:space="0"/>
              <w:bottom w:val="single" w:color="000000" w:sz="4" w:space="0"/>
              <w:right w:val="single" w:color="000000" w:sz="4" w:space="0"/>
            </w:tcBorders>
            <w:shd w:val="clear" w:color="auto" w:fill="auto"/>
            <w:vAlign w:val="center"/>
          </w:tcPr>
          <w:p>
            <w:pPr>
              <w:tabs>
                <w:tab w:val="left" w:pos="360"/>
                <w:tab w:val="left" w:pos="540"/>
              </w:tabs>
              <w:spacing w:line="400" w:lineRule="exact"/>
              <w:ind w:leftChars="-21" w:hanging="44" w:hangingChars="21"/>
              <w:rPr>
                <w:rFonts w:ascii="宋体" w:hAnsi="宋体"/>
              </w:rPr>
            </w:pPr>
            <w:r>
              <w:rPr>
                <w:rFonts w:hint="eastAsia" w:ascii="宋体" w:hAnsi="宋体"/>
              </w:rPr>
              <w:t>厂商具备国家级网络安全应急服务支撑单位</w:t>
            </w:r>
          </w:p>
        </w:tc>
      </w:tr>
      <w:tr>
        <w:tblPrEx>
          <w:tblLayout w:type="fixed"/>
          <w:tblCellMar>
            <w:top w:w="0" w:type="dxa"/>
            <w:left w:w="57" w:type="dxa"/>
            <w:bottom w:w="0" w:type="dxa"/>
            <w:right w:w="57" w:type="dxa"/>
          </w:tblCellMar>
        </w:tblPrEx>
        <w:trPr>
          <w:trHeight w:val="444" w:hRule="atLeast"/>
          <w:jc w:val="center"/>
        </w:trPr>
        <w:tc>
          <w:tcPr>
            <w:tcW w:w="698"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numPr>
                <w:ilvl w:val="0"/>
                <w:numId w:val="1"/>
              </w:numPr>
              <w:spacing w:line="400" w:lineRule="exact"/>
              <w:jc w:val="right"/>
              <w:rPr>
                <w:kern w:val="0"/>
                <w:szCs w:val="22"/>
              </w:rPr>
            </w:pPr>
          </w:p>
        </w:tc>
        <w:tc>
          <w:tcPr>
            <w:tcW w:w="1637" w:type="dxa"/>
            <w:gridSpan w:val="2"/>
            <w:tcBorders>
              <w:left w:val="single" w:color="auto" w:sz="4" w:space="0"/>
              <w:bottom w:val="single" w:color="auto" w:sz="4" w:space="0"/>
              <w:right w:val="single" w:color="auto" w:sz="4" w:space="0"/>
            </w:tcBorders>
            <w:shd w:val="clear" w:color="auto" w:fill="auto"/>
            <w:vAlign w:val="center"/>
          </w:tcPr>
          <w:p>
            <w:pPr>
              <w:spacing w:line="400" w:lineRule="exact"/>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项目实施基本要求</w:t>
            </w:r>
          </w:p>
        </w:tc>
        <w:tc>
          <w:tcPr>
            <w:tcW w:w="7008" w:type="dxa"/>
            <w:tcBorders>
              <w:top w:val="single" w:color="auto" w:sz="4" w:space="0"/>
              <w:left w:val="single" w:color="auto" w:sz="4" w:space="0"/>
              <w:bottom w:val="single" w:color="000000" w:sz="4" w:space="0"/>
              <w:right w:val="single" w:color="000000" w:sz="4" w:space="0"/>
            </w:tcBorders>
            <w:shd w:val="clear" w:color="auto" w:fill="auto"/>
            <w:vAlign w:val="center"/>
          </w:tcPr>
          <w:p>
            <w:pPr>
              <w:tabs>
                <w:tab w:val="left" w:pos="360"/>
                <w:tab w:val="left" w:pos="540"/>
              </w:tabs>
              <w:spacing w:line="4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测评服务机构必须具备独立完成本项目的能力；</w:t>
            </w:r>
          </w:p>
          <w:p>
            <w:pPr>
              <w:tabs>
                <w:tab w:val="left" w:pos="360"/>
                <w:tab w:val="left" w:pos="540"/>
              </w:tabs>
              <w:spacing w:line="4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测评服务机构应对了解到的信息保密，并提供保密承诺。</w:t>
            </w:r>
          </w:p>
          <w:p>
            <w:pPr>
              <w:tabs>
                <w:tab w:val="left" w:pos="360"/>
                <w:tab w:val="left" w:pos="540"/>
              </w:tabs>
              <w:spacing w:line="4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测评服务机构必须为本项目成立等级保护测评小组，安排包括项目经理和核心技术人员。</w:t>
            </w:r>
          </w:p>
          <w:p>
            <w:pPr>
              <w:tabs>
                <w:tab w:val="left" w:pos="360"/>
                <w:tab w:val="left" w:pos="540"/>
              </w:tabs>
              <w:spacing w:line="4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测评服务机构必须按照等级保护的标准要求展开，并最终达到市公安网监等级保护的相关要求。</w:t>
            </w:r>
          </w:p>
        </w:tc>
      </w:tr>
    </w:tbl>
    <w:p>
      <w:pPr>
        <w:pStyle w:val="4"/>
        <w:adjustRightInd w:val="0"/>
        <w:snapToGrid w:val="0"/>
        <w:spacing w:line="360" w:lineRule="auto"/>
        <w:rPr>
          <w:rFonts w:asciiTheme="minorEastAsia" w:hAnsiTheme="minorEastAsia" w:cstheme="minorEastAsia"/>
          <w:bC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4E7C"/>
    <w:multiLevelType w:val="multilevel"/>
    <w:tmpl w:val="0A7F4E7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22FD0458"/>
    <w:multiLevelType w:val="multilevel"/>
    <w:tmpl w:val="22FD045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7C84AC7"/>
    <w:multiLevelType w:val="multilevel"/>
    <w:tmpl w:val="27C84AC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D8B66C9"/>
    <w:multiLevelType w:val="multilevel"/>
    <w:tmpl w:val="2D8B66C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7A52E21"/>
    <w:multiLevelType w:val="multilevel"/>
    <w:tmpl w:val="57A52E2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B1"/>
    <w:rsid w:val="0005233A"/>
    <w:rsid w:val="00173ABA"/>
    <w:rsid w:val="002A1732"/>
    <w:rsid w:val="002C1702"/>
    <w:rsid w:val="00354A44"/>
    <w:rsid w:val="00442EE7"/>
    <w:rsid w:val="0044373C"/>
    <w:rsid w:val="004A3310"/>
    <w:rsid w:val="004F2FCF"/>
    <w:rsid w:val="004F6498"/>
    <w:rsid w:val="005100DF"/>
    <w:rsid w:val="005368DF"/>
    <w:rsid w:val="005774D2"/>
    <w:rsid w:val="005A277D"/>
    <w:rsid w:val="005B3908"/>
    <w:rsid w:val="00632347"/>
    <w:rsid w:val="0064162E"/>
    <w:rsid w:val="006547DB"/>
    <w:rsid w:val="006B4506"/>
    <w:rsid w:val="006E3716"/>
    <w:rsid w:val="007D012F"/>
    <w:rsid w:val="00836F1C"/>
    <w:rsid w:val="00854742"/>
    <w:rsid w:val="009017F4"/>
    <w:rsid w:val="00926375"/>
    <w:rsid w:val="009573C6"/>
    <w:rsid w:val="009B018E"/>
    <w:rsid w:val="00AC7F0A"/>
    <w:rsid w:val="00B1217F"/>
    <w:rsid w:val="00B339ED"/>
    <w:rsid w:val="00B659E1"/>
    <w:rsid w:val="00B7125A"/>
    <w:rsid w:val="00B90B3F"/>
    <w:rsid w:val="00D85FC7"/>
    <w:rsid w:val="00DB38AE"/>
    <w:rsid w:val="00E07483"/>
    <w:rsid w:val="00E8504C"/>
    <w:rsid w:val="00EA0673"/>
    <w:rsid w:val="00EF276A"/>
    <w:rsid w:val="00F177BF"/>
    <w:rsid w:val="00F37CE4"/>
    <w:rsid w:val="00FA4834"/>
    <w:rsid w:val="00FC2150"/>
    <w:rsid w:val="00FC56E8"/>
    <w:rsid w:val="00FD01B1"/>
    <w:rsid w:val="025809B0"/>
    <w:rsid w:val="2F512C08"/>
    <w:rsid w:val="4FEF6248"/>
    <w:rsid w:val="65DF05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7"/>
    <w:semiHidden/>
    <w:unhideWhenUsed/>
    <w:qFormat/>
    <w:uiPriority w:val="99"/>
    <w:rPr>
      <w:b/>
      <w:bCs/>
    </w:rPr>
  </w:style>
  <w:style w:type="paragraph" w:styleId="3">
    <w:name w:val="annotation text"/>
    <w:basedOn w:val="1"/>
    <w:link w:val="16"/>
    <w:semiHidden/>
    <w:unhideWhenUsed/>
    <w:qFormat/>
    <w:uiPriority w:val="99"/>
    <w:pPr>
      <w:jc w:val="left"/>
    </w:pPr>
  </w:style>
  <w:style w:type="paragraph" w:styleId="4">
    <w:name w:val="Plain Text"/>
    <w:basedOn w:val="1"/>
    <w:link w:val="11"/>
    <w:qFormat/>
    <w:uiPriority w:val="0"/>
    <w:rPr>
      <w:rFonts w:ascii="宋体" w:hAnsi="Courier New" w:cs="Courier New" w:eastAsiaTheme="minorEastAsia"/>
      <w:szCs w:val="21"/>
    </w:rPr>
  </w:style>
  <w:style w:type="paragraph" w:styleId="5">
    <w:name w:val="Balloon Text"/>
    <w:basedOn w:val="1"/>
    <w:link w:val="13"/>
    <w:semiHidden/>
    <w:unhideWhenUsed/>
    <w:qFormat/>
    <w:uiPriority w:val="99"/>
    <w:rPr>
      <w:sz w:val="18"/>
      <w:szCs w:val="18"/>
    </w:rPr>
  </w:style>
  <w:style w:type="paragraph" w:styleId="6">
    <w:name w:val="footer"/>
    <w:basedOn w:val="1"/>
    <w:link w:val="15"/>
    <w:semiHidden/>
    <w:unhideWhenUsed/>
    <w:qFormat/>
    <w:uiPriority w:val="99"/>
    <w:pPr>
      <w:tabs>
        <w:tab w:val="center" w:pos="4153"/>
        <w:tab w:val="right" w:pos="8306"/>
      </w:tabs>
      <w:snapToGrid w:val="0"/>
      <w:jc w:val="left"/>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nhideWhenUsed/>
    <w:uiPriority w:val="99"/>
    <w:rPr>
      <w:sz w:val="21"/>
      <w:szCs w:val="21"/>
    </w:rPr>
  </w:style>
  <w:style w:type="character" w:customStyle="1" w:styleId="11">
    <w:name w:val="纯文本 Char"/>
    <w:basedOn w:val="8"/>
    <w:link w:val="4"/>
    <w:qFormat/>
    <w:uiPriority w:val="0"/>
    <w:rPr>
      <w:rFonts w:ascii="宋体" w:hAnsi="Courier New" w:cs="Courier New"/>
      <w:szCs w:val="21"/>
    </w:rPr>
  </w:style>
  <w:style w:type="paragraph" w:styleId="12">
    <w:name w:val="List Paragraph"/>
    <w:basedOn w:val="1"/>
    <w:qFormat/>
    <w:uiPriority w:val="34"/>
    <w:pPr>
      <w:ind w:firstLine="420" w:firstLineChars="200"/>
    </w:pPr>
  </w:style>
  <w:style w:type="character" w:customStyle="1" w:styleId="13">
    <w:name w:val="批注框文本 Char"/>
    <w:basedOn w:val="8"/>
    <w:link w:val="5"/>
    <w:semiHidden/>
    <w:qFormat/>
    <w:uiPriority w:val="99"/>
    <w:rPr>
      <w:rFonts w:ascii="Times New Roman" w:hAnsi="Times New Roman" w:eastAsia="宋体" w:cs="Times New Roman"/>
      <w:sz w:val="18"/>
      <w:szCs w:val="18"/>
    </w:rPr>
  </w:style>
  <w:style w:type="character" w:customStyle="1" w:styleId="14">
    <w:name w:val="页眉 Char"/>
    <w:basedOn w:val="8"/>
    <w:link w:val="7"/>
    <w:semiHidden/>
    <w:qFormat/>
    <w:uiPriority w:val="99"/>
    <w:rPr>
      <w:rFonts w:ascii="Times New Roman" w:hAnsi="Times New Roman" w:eastAsia="宋体" w:cs="Times New Roman"/>
      <w:sz w:val="18"/>
      <w:szCs w:val="18"/>
    </w:rPr>
  </w:style>
  <w:style w:type="character" w:customStyle="1" w:styleId="15">
    <w:name w:val="页脚 Char"/>
    <w:basedOn w:val="8"/>
    <w:link w:val="6"/>
    <w:semiHidden/>
    <w:uiPriority w:val="99"/>
    <w:rPr>
      <w:rFonts w:ascii="Times New Roman" w:hAnsi="Times New Roman" w:eastAsia="宋体" w:cs="Times New Roman"/>
      <w:sz w:val="18"/>
      <w:szCs w:val="18"/>
    </w:rPr>
  </w:style>
  <w:style w:type="character" w:customStyle="1" w:styleId="16">
    <w:name w:val="批注文字 Char"/>
    <w:basedOn w:val="8"/>
    <w:link w:val="3"/>
    <w:semiHidden/>
    <w:uiPriority w:val="99"/>
    <w:rPr>
      <w:rFonts w:ascii="Times New Roman" w:hAnsi="Times New Roman" w:eastAsia="宋体" w:cs="Times New Roman"/>
      <w:szCs w:val="24"/>
    </w:rPr>
  </w:style>
  <w:style w:type="character" w:customStyle="1" w:styleId="17">
    <w:name w:val="批注主题 Char"/>
    <w:basedOn w:val="16"/>
    <w:link w:val="2"/>
    <w:semiHidden/>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C6DF4A-55FD-4F5E-B9F1-68FD774B04E7}">
  <ds:schemaRefs/>
</ds:datastoreItem>
</file>

<file path=docProps/app.xml><?xml version="1.0" encoding="utf-8"?>
<Properties xmlns="http://schemas.openxmlformats.org/officeDocument/2006/extended-properties" xmlns:vt="http://schemas.openxmlformats.org/officeDocument/2006/docPropsVTypes">
  <Template>Normal.dotm</Template>
  <Pages>4</Pages>
  <Words>482</Words>
  <Characters>2749</Characters>
  <Lines>22</Lines>
  <Paragraphs>6</Paragraphs>
  <TotalTime>5</TotalTime>
  <ScaleCrop>false</ScaleCrop>
  <LinksUpToDate>false</LinksUpToDate>
  <CharactersWithSpaces>3225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2018-08-29T01:12:00Z</dcterms:created>
  <dc:creator>bend_shen@qq.com</dc:creator>
  <cp:lastModifiedBy>立足人类</cp:lastModifiedBy>
  <dcterms:modified xsi:type="dcterms:W3CDTF">2018-08-29T07:11:30Z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