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3ABD23">
      <w:pPr>
        <w:spacing w:line="240" w:lineRule="auto"/>
        <w:jc w:val="center"/>
        <w:rPr>
          <w:rFonts w:hint="eastAsia" w:ascii="宋体" w:hAnsi="宋体"/>
          <w:b/>
          <w:bCs w:val="0"/>
          <w:color w:val="auto"/>
          <w:kern w:val="0"/>
          <w:sz w:val="48"/>
          <w:szCs w:val="48"/>
          <w:highlight w:val="none"/>
          <w:lang w:val="en-US" w:eastAsia="zh-CN"/>
        </w:rPr>
      </w:pPr>
    </w:p>
    <w:p w14:paraId="04867707">
      <w:pPr>
        <w:spacing w:line="240" w:lineRule="auto"/>
        <w:jc w:val="center"/>
        <w:rPr>
          <w:rFonts w:hint="eastAsia" w:ascii="宋体" w:hAnsi="宋体"/>
          <w:b/>
          <w:bCs w:val="0"/>
          <w:color w:val="auto"/>
          <w:kern w:val="0"/>
          <w:sz w:val="48"/>
          <w:szCs w:val="48"/>
          <w:highlight w:val="none"/>
          <w:lang w:val="en-US" w:eastAsia="zh-CN"/>
        </w:rPr>
      </w:pPr>
    </w:p>
    <w:p w14:paraId="4FBA059A">
      <w:pPr>
        <w:spacing w:line="240" w:lineRule="auto"/>
        <w:jc w:val="center"/>
        <w:rPr>
          <w:rFonts w:hint="eastAsia" w:ascii="宋体" w:hAnsi="宋体"/>
          <w:b/>
          <w:bCs w:val="0"/>
          <w:color w:val="auto"/>
          <w:kern w:val="0"/>
          <w:sz w:val="48"/>
          <w:szCs w:val="48"/>
          <w:highlight w:val="none"/>
          <w:lang w:val="en-US" w:eastAsia="zh-CN"/>
        </w:rPr>
      </w:pPr>
    </w:p>
    <w:p w14:paraId="60E03D37">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27889"/>
      <w:bookmarkStart w:id="1" w:name="_Toc27377"/>
      <w:bookmarkStart w:id="2" w:name="_Toc32384"/>
      <w:bookmarkStart w:id="3" w:name="_Toc7317"/>
      <w:bookmarkStart w:id="4" w:name="_Toc21682"/>
      <w:bookmarkStart w:id="5" w:name="_Toc2082"/>
      <w:bookmarkStart w:id="6" w:name="_Toc11537"/>
      <w:bookmarkStart w:id="7" w:name="_Toc7601"/>
      <w:bookmarkStart w:id="8" w:name="_Toc8692"/>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bookmarkEnd w:id="4"/>
      <w:bookmarkEnd w:id="5"/>
      <w:bookmarkEnd w:id="6"/>
      <w:bookmarkEnd w:id="7"/>
      <w:bookmarkEnd w:id="8"/>
    </w:p>
    <w:p w14:paraId="533593F8">
      <w:pPr>
        <w:spacing w:line="480" w:lineRule="auto"/>
        <w:jc w:val="center"/>
        <w:outlineLvl w:val="0"/>
        <w:rPr>
          <w:rFonts w:hint="eastAsia" w:ascii="宋体" w:hAnsi="宋体"/>
          <w:b/>
          <w:bCs/>
          <w:color w:val="auto"/>
          <w:sz w:val="52"/>
          <w:szCs w:val="52"/>
          <w:highlight w:val="none"/>
        </w:rPr>
      </w:pPr>
      <w:bookmarkStart w:id="9" w:name="_Toc6352"/>
      <w:bookmarkStart w:id="10" w:name="_Toc1392"/>
      <w:bookmarkStart w:id="11" w:name="_Toc8689"/>
      <w:bookmarkStart w:id="12" w:name="_Toc21588"/>
      <w:bookmarkStart w:id="13" w:name="_Toc9543"/>
      <w:bookmarkStart w:id="14" w:name="_Toc17289"/>
      <w:r>
        <w:rPr>
          <w:rFonts w:hint="eastAsia" w:ascii="宋体" w:hAnsi="宋体"/>
          <w:b/>
          <w:bCs/>
          <w:color w:val="auto"/>
          <w:sz w:val="52"/>
          <w:szCs w:val="52"/>
          <w:highlight w:val="none"/>
          <w:lang w:eastAsia="zh-CN"/>
        </w:rPr>
        <w:t>多媒体分诊导引系统升级项目</w:t>
      </w:r>
    </w:p>
    <w:p w14:paraId="3A064237">
      <w:pPr>
        <w:spacing w:line="480" w:lineRule="auto"/>
        <w:jc w:val="center"/>
        <w:outlineLvl w:val="0"/>
        <w:rPr>
          <w:rFonts w:hint="eastAsia" w:ascii="宋体" w:hAnsi="宋体"/>
          <w:b/>
          <w:bCs/>
          <w:color w:val="auto"/>
          <w:sz w:val="44"/>
          <w:szCs w:val="44"/>
          <w:highlight w:val="none"/>
        </w:rPr>
      </w:pPr>
      <w:bookmarkStart w:id="15" w:name="_Toc405"/>
    </w:p>
    <w:p w14:paraId="77F37907">
      <w:pPr>
        <w:spacing w:line="480" w:lineRule="auto"/>
        <w:jc w:val="center"/>
        <w:outlineLvl w:val="0"/>
        <w:rPr>
          <w:rFonts w:hint="eastAsia" w:ascii="宋体" w:hAnsi="宋体"/>
          <w:b/>
          <w:bCs/>
          <w:color w:val="auto"/>
          <w:sz w:val="44"/>
          <w:szCs w:val="44"/>
          <w:highlight w:val="none"/>
        </w:rPr>
      </w:pPr>
      <w:bookmarkStart w:id="16" w:name="_Toc6913"/>
    </w:p>
    <w:p w14:paraId="033E7EEE">
      <w:pPr>
        <w:spacing w:line="480" w:lineRule="auto"/>
        <w:jc w:val="center"/>
        <w:outlineLvl w:val="0"/>
        <w:rPr>
          <w:rFonts w:ascii="宋体" w:hAnsi="宋体"/>
          <w:b/>
          <w:bCs/>
          <w:color w:val="auto"/>
          <w:sz w:val="44"/>
          <w:szCs w:val="44"/>
          <w:highlight w:val="none"/>
        </w:rPr>
      </w:pPr>
      <w:bookmarkStart w:id="17" w:name="_Toc23596"/>
      <w:r>
        <w:rPr>
          <w:rFonts w:hint="eastAsia" w:ascii="宋体" w:hAnsi="宋体"/>
          <w:b/>
          <w:bCs/>
          <w:color w:val="auto"/>
          <w:sz w:val="44"/>
          <w:szCs w:val="44"/>
          <w:highlight w:val="none"/>
        </w:rPr>
        <w:t>院内采购文件</w:t>
      </w:r>
      <w:bookmarkEnd w:id="9"/>
      <w:bookmarkEnd w:id="10"/>
      <w:bookmarkEnd w:id="11"/>
      <w:bookmarkEnd w:id="12"/>
      <w:bookmarkEnd w:id="13"/>
      <w:bookmarkEnd w:id="14"/>
      <w:bookmarkEnd w:id="15"/>
      <w:bookmarkEnd w:id="16"/>
      <w:bookmarkEnd w:id="17"/>
    </w:p>
    <w:p w14:paraId="40D5F025">
      <w:pPr>
        <w:spacing w:line="480" w:lineRule="auto"/>
        <w:ind w:firstLine="843" w:firstLineChars="300"/>
        <w:jc w:val="center"/>
        <w:rPr>
          <w:rFonts w:ascii="宋体" w:hAnsi="宋体"/>
          <w:b/>
          <w:bCs/>
          <w:color w:val="auto"/>
          <w:sz w:val="28"/>
          <w:szCs w:val="28"/>
          <w:highlight w:val="none"/>
        </w:rPr>
      </w:pPr>
    </w:p>
    <w:p w14:paraId="62F2FFF8">
      <w:pPr>
        <w:pStyle w:val="33"/>
        <w:rPr>
          <w:color w:val="auto"/>
          <w:highlight w:val="none"/>
        </w:rPr>
      </w:pPr>
    </w:p>
    <w:p w14:paraId="11678527">
      <w:pPr>
        <w:pStyle w:val="33"/>
        <w:rPr>
          <w:color w:val="auto"/>
          <w:highlight w:val="none"/>
        </w:rPr>
      </w:pPr>
    </w:p>
    <w:p w14:paraId="45A7C5FC">
      <w:pPr>
        <w:pStyle w:val="33"/>
        <w:rPr>
          <w:color w:val="auto"/>
          <w:highlight w:val="none"/>
        </w:rPr>
      </w:pPr>
    </w:p>
    <w:p w14:paraId="6A7A5E1B">
      <w:pPr>
        <w:pStyle w:val="33"/>
        <w:rPr>
          <w:color w:val="auto"/>
          <w:highlight w:val="none"/>
        </w:rPr>
      </w:pPr>
    </w:p>
    <w:p w14:paraId="0CBAB38D">
      <w:pPr>
        <w:pStyle w:val="33"/>
        <w:rPr>
          <w:color w:val="auto"/>
          <w:highlight w:val="none"/>
        </w:rPr>
      </w:pPr>
    </w:p>
    <w:p w14:paraId="6D33775C">
      <w:pPr>
        <w:pStyle w:val="33"/>
        <w:spacing w:line="360" w:lineRule="auto"/>
        <w:rPr>
          <w:rFonts w:hint="eastAsia" w:ascii="方正小标宋简体" w:hAnsi="宋体" w:eastAsia="方正小标宋简体"/>
          <w:color w:val="auto"/>
          <w:sz w:val="32"/>
          <w:highlight w:val="none"/>
        </w:rPr>
      </w:pPr>
      <w:bookmarkStart w:id="493" w:name="_GoBack"/>
      <w:bookmarkEnd w:id="493"/>
    </w:p>
    <w:p w14:paraId="6B725909">
      <w:pPr>
        <w:adjustRightInd w:val="0"/>
        <w:snapToGrid w:val="0"/>
        <w:spacing w:line="360" w:lineRule="auto"/>
        <w:ind w:firstLine="2530" w:firstLineChars="700"/>
        <w:jc w:val="both"/>
        <w:outlineLvl w:val="0"/>
        <w:rPr>
          <w:rFonts w:hint="default" w:ascii="宋体" w:hAnsi="宋体" w:eastAsia="宋体" w:cs="Times New Roman"/>
          <w:b/>
          <w:bCs/>
          <w:color w:val="auto"/>
          <w:kern w:val="2"/>
          <w:sz w:val="36"/>
          <w:szCs w:val="36"/>
          <w:highlight w:val="none"/>
          <w:lang w:val="en-US" w:eastAsia="zh-CN" w:bidi="ar-SA"/>
        </w:rPr>
      </w:pPr>
      <w:bookmarkStart w:id="18" w:name="_Toc4265"/>
      <w:bookmarkStart w:id="19" w:name="_Toc27237"/>
      <w:bookmarkStart w:id="20" w:name="_Toc14397"/>
      <w:bookmarkStart w:id="21" w:name="_Toc26438"/>
      <w:bookmarkStart w:id="22" w:name="_Toc27491"/>
      <w:bookmarkStart w:id="23" w:name="_Toc19230"/>
      <w:bookmarkStart w:id="24" w:name="_Toc21404"/>
      <w:bookmarkStart w:id="25" w:name="_Toc10444"/>
      <w:bookmarkStart w:id="26" w:name="_Toc25591"/>
      <w:r>
        <w:rPr>
          <w:rFonts w:hint="eastAsia" w:ascii="宋体" w:hAnsi="宋体" w:eastAsia="宋体" w:cs="Times New Roman"/>
          <w:b/>
          <w:bCs/>
          <w:color w:val="auto"/>
          <w:kern w:val="2"/>
          <w:sz w:val="36"/>
          <w:szCs w:val="36"/>
          <w:highlight w:val="none"/>
          <w:lang w:val="en-US" w:eastAsia="zh-CN" w:bidi="ar-SA"/>
        </w:rPr>
        <w:t>项目编号：</w:t>
      </w:r>
      <w:bookmarkEnd w:id="18"/>
      <w:bookmarkEnd w:id="19"/>
      <w:bookmarkEnd w:id="20"/>
      <w:bookmarkEnd w:id="21"/>
      <w:bookmarkEnd w:id="22"/>
      <w:bookmarkEnd w:id="23"/>
      <w:bookmarkEnd w:id="24"/>
      <w:bookmarkEnd w:id="25"/>
      <w:bookmarkEnd w:id="26"/>
      <w:r>
        <w:rPr>
          <w:rFonts w:hint="eastAsia" w:ascii="宋体" w:hAnsi="宋体" w:cs="Times New Roman"/>
          <w:b/>
          <w:bCs/>
          <w:color w:val="auto"/>
          <w:kern w:val="2"/>
          <w:sz w:val="36"/>
          <w:szCs w:val="36"/>
          <w:highlight w:val="none"/>
          <w:lang w:val="en-US" w:eastAsia="zh-CN" w:bidi="ar-SA"/>
        </w:rPr>
        <w:t>NYWYF20260014</w:t>
      </w:r>
    </w:p>
    <w:p w14:paraId="6EDE21F0">
      <w:pPr>
        <w:pStyle w:val="33"/>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6068F8DF">
      <w:pPr>
        <w:widowControl/>
        <w:ind w:right="-26"/>
        <w:jc w:val="center"/>
        <w:textAlignment w:val="bottom"/>
        <w:rPr>
          <w:rFonts w:hint="eastAsia" w:ascii="方正小标宋简体" w:hAnsi="宋体" w:eastAsia="方正小标宋简体"/>
          <w:color w:val="auto"/>
          <w:sz w:val="32"/>
          <w:highlight w:val="none"/>
          <w:lang w:eastAsia="zh-CN"/>
        </w:rPr>
      </w:pPr>
    </w:p>
    <w:p w14:paraId="1EA56EED">
      <w:pPr>
        <w:adjustRightInd w:val="0"/>
        <w:snapToGrid w:val="0"/>
        <w:spacing w:line="360" w:lineRule="auto"/>
        <w:rPr>
          <w:rFonts w:ascii="宋体" w:hAnsi="宋体"/>
          <w:b/>
          <w:bCs/>
          <w:color w:val="auto"/>
          <w:sz w:val="28"/>
          <w:szCs w:val="28"/>
          <w:highlight w:val="none"/>
        </w:rPr>
      </w:pPr>
    </w:p>
    <w:p w14:paraId="7A81B0C6">
      <w:pPr>
        <w:spacing w:line="360" w:lineRule="auto"/>
        <w:jc w:val="both"/>
        <w:rPr>
          <w:rFonts w:ascii="宋体" w:hAnsi="宋体"/>
          <w:b/>
          <w:bCs/>
          <w:color w:val="auto"/>
          <w:sz w:val="28"/>
          <w:szCs w:val="28"/>
          <w:highlight w:val="none"/>
        </w:rPr>
      </w:pPr>
    </w:p>
    <w:p w14:paraId="310CE4F7">
      <w:pPr>
        <w:spacing w:line="360" w:lineRule="auto"/>
        <w:jc w:val="center"/>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pgBorders>
            <w:top w:val="none" w:sz="0" w:space="0"/>
            <w:left w:val="none" w:sz="0" w:space="0"/>
            <w:bottom w:val="none" w:sz="0" w:space="0"/>
            <w:right w:val="none" w:sz="0" w:space="0"/>
          </w:pgBorders>
          <w:cols w:space="720" w:num="1"/>
          <w:docGrid w:type="lines" w:linePitch="312" w:charSpace="0"/>
        </w:sectPr>
      </w:pPr>
      <w:bookmarkStart w:id="27" w:name="_Toc18768"/>
      <w:bookmarkStart w:id="28" w:name="_Toc8029"/>
      <w:bookmarkStart w:id="29" w:name="_Toc21516"/>
      <w:bookmarkStart w:id="30" w:name="_Toc2813"/>
      <w:bookmarkStart w:id="31" w:name="_Toc23851"/>
      <w:bookmarkStart w:id="32" w:name="_Toc24090"/>
      <w:bookmarkStart w:id="33" w:name="_Toc16418"/>
      <w:bookmarkStart w:id="34" w:name="_Toc17298"/>
      <w:bookmarkStart w:id="35" w:name="_Toc16844"/>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9</w:t>
      </w:r>
      <w:r>
        <w:rPr>
          <w:rFonts w:hint="eastAsia" w:ascii="宋体" w:hAnsi="宋体"/>
          <w:b/>
          <w:bCs/>
          <w:color w:val="auto"/>
          <w:sz w:val="32"/>
          <w:szCs w:val="32"/>
          <w:highlight w:val="none"/>
        </w:rPr>
        <w:t>月</w:t>
      </w:r>
      <w:bookmarkEnd w:id="27"/>
      <w:bookmarkEnd w:id="28"/>
      <w:bookmarkEnd w:id="29"/>
      <w:bookmarkEnd w:id="30"/>
      <w:bookmarkEnd w:id="31"/>
      <w:bookmarkEnd w:id="32"/>
      <w:bookmarkEnd w:id="33"/>
      <w:bookmarkEnd w:id="34"/>
      <w:bookmarkEnd w:id="35"/>
    </w:p>
    <w:p w14:paraId="605D7E3F">
      <w:pPr>
        <w:rPr>
          <w:color w:val="auto"/>
          <w:highlight w:val="none"/>
        </w:rPr>
      </w:pPr>
    </w:p>
    <w:sdt>
      <w:sdtPr>
        <w:rPr>
          <w:rFonts w:ascii="宋体" w:hAnsi="宋体" w:eastAsia="宋体" w:cs="Times New Roman"/>
          <w:color w:val="auto"/>
          <w:kern w:val="2"/>
          <w:sz w:val="21"/>
          <w:szCs w:val="24"/>
          <w:highlight w:val="none"/>
          <w:lang w:val="en-US" w:eastAsia="zh-CN" w:bidi="ar-SA"/>
        </w:rPr>
        <w:id w:val="147454774"/>
        <w15:color w:val="DBDBDB"/>
      </w:sdtPr>
      <w:sdtEndPr>
        <w:rPr>
          <w:rFonts w:ascii="宋体" w:hAnsi="宋体" w:eastAsia="宋体" w:cs="Times New Roman"/>
          <w:color w:val="auto"/>
          <w:kern w:val="2"/>
          <w:sz w:val="21"/>
          <w:szCs w:val="24"/>
          <w:highlight w:val="none"/>
          <w:lang w:val="en-US" w:eastAsia="zh-CN" w:bidi="ar-SA"/>
        </w:rPr>
      </w:sdtEndPr>
      <w:sdtContent>
        <w:p w14:paraId="7E97A6F7">
          <w:pPr>
            <w:spacing w:before="0" w:beforeLines="0" w:after="0" w:afterLines="0" w:line="360" w:lineRule="auto"/>
            <w:ind w:left="0" w:leftChars="0" w:right="0" w:rightChars="0" w:firstLine="0" w:firstLineChars="0"/>
            <w:jc w:val="center"/>
            <w:rPr>
              <w:rFonts w:ascii="宋体" w:hAnsi="宋体" w:eastAsia="宋体" w:cs="Times New Roman"/>
              <w:color w:val="auto"/>
              <w:kern w:val="2"/>
              <w:sz w:val="21"/>
              <w:szCs w:val="24"/>
              <w:highlight w:val="none"/>
              <w:lang w:val="en-US" w:eastAsia="zh-CN" w:bidi="ar-SA"/>
            </w:rPr>
          </w:pPr>
        </w:p>
        <w:sdt>
          <w:sdtPr>
            <w:rPr>
              <w:rFonts w:ascii="宋体" w:hAnsi="宋体" w:eastAsia="宋体" w:cs="Times New Roman"/>
              <w:color w:val="auto"/>
              <w:kern w:val="2"/>
              <w:sz w:val="21"/>
              <w:szCs w:val="24"/>
              <w:highlight w:val="none"/>
              <w:lang w:val="en-US" w:eastAsia="zh-CN" w:bidi="ar-SA"/>
            </w:rPr>
            <w:id w:val="147474849"/>
            <w15:color w:val="DBDBDB"/>
            <w:docPartObj>
              <w:docPartGallery w:val="Table of Contents"/>
              <w:docPartUnique/>
            </w:docPartObj>
          </w:sdtPr>
          <w:sdtEndPr>
            <w:rPr>
              <w:rFonts w:ascii="宋体" w:hAnsi="宋体" w:eastAsia="宋体" w:cs="Times New Roman"/>
              <w:color w:val="auto"/>
              <w:kern w:val="2"/>
              <w:sz w:val="21"/>
              <w:szCs w:val="24"/>
              <w:highlight w:val="none"/>
              <w:lang w:val="en-US" w:eastAsia="zh-CN" w:bidi="ar-SA"/>
            </w:rPr>
          </w:sdtEndPr>
          <w:sdtContent>
            <w:p w14:paraId="755EEF5A">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6"/>
                  <w:szCs w:val="36"/>
                  <w:highlight w:val="none"/>
                </w:rPr>
                <w:t>目</w:t>
              </w:r>
              <w:r>
                <w:rPr>
                  <w:rFonts w:hint="eastAsia" w:ascii="宋体" w:hAnsi="宋体" w:eastAsia="宋体"/>
                  <w:b/>
                  <w:bCs/>
                  <w:color w:val="auto"/>
                  <w:sz w:val="36"/>
                  <w:szCs w:val="36"/>
                  <w:highlight w:val="none"/>
                  <w:lang w:val="en-US" w:eastAsia="zh-CN"/>
                </w:rPr>
                <w:t xml:space="preserve">  </w:t>
              </w:r>
              <w:r>
                <w:rPr>
                  <w:rFonts w:ascii="宋体" w:hAnsi="宋体" w:eastAsia="宋体"/>
                  <w:b/>
                  <w:bCs/>
                  <w:color w:val="auto"/>
                  <w:sz w:val="36"/>
                  <w:szCs w:val="36"/>
                  <w:highlight w:val="none"/>
                </w:rPr>
                <w:t>录</w:t>
              </w:r>
            </w:p>
            <w:p w14:paraId="39225504">
              <w:pPr>
                <w:pStyle w:val="15"/>
                <w:tabs>
                  <w:tab w:val="right" w:leader="dot" w:pos="9638"/>
                </w:tabs>
                <w:rPr>
                  <w:color w:val="auto"/>
                  <w:highlight w:val="none"/>
                </w:rPr>
              </w:pPr>
              <w:r>
                <w:rPr>
                  <w:color w:val="auto"/>
                  <w:highlight w:val="none"/>
                </w:rPr>
                <w:fldChar w:fldCharType="begin"/>
              </w:r>
              <w:r>
                <w:rPr>
                  <w:color w:val="auto"/>
                  <w:highlight w:val="none"/>
                </w:rPr>
                <w:instrText xml:space="preserve">TOC \o "1-2" \h \u </w:instrText>
              </w:r>
              <w:r>
                <w:rPr>
                  <w:color w:val="auto"/>
                  <w:highlight w:val="none"/>
                </w:rPr>
                <w:fldChar w:fldCharType="separate"/>
              </w:r>
            </w:p>
            <w:p w14:paraId="7B8F8D00">
              <w:pPr>
                <w:pStyle w:val="15"/>
                <w:tabs>
                  <w:tab w:val="right" w:leader="dot" w:pos="9638"/>
                </w:tabs>
                <w:spacing w:line="360" w:lineRule="auto"/>
                <w:rPr>
                  <w:b/>
                  <w:bCs/>
                  <w:color w:val="auto"/>
                  <w:sz w:val="28"/>
                  <w:szCs w:val="28"/>
                  <w:highlight w:val="none"/>
                </w:rPr>
              </w:pPr>
              <w:r>
                <w:rPr>
                  <w:b/>
                  <w:bCs/>
                  <w:color w:val="auto"/>
                  <w:sz w:val="28"/>
                  <w:szCs w:val="28"/>
                  <w:highlight w:val="none"/>
                </w:rPr>
                <w:fldChar w:fldCharType="begin"/>
              </w:r>
              <w:r>
                <w:rPr>
                  <w:b/>
                  <w:bCs/>
                  <w:color w:val="auto"/>
                  <w:sz w:val="28"/>
                  <w:szCs w:val="28"/>
                  <w:highlight w:val="none"/>
                </w:rPr>
                <w:instrText xml:space="preserve"> HYPERLINK \l _Toc8510 </w:instrText>
              </w:r>
              <w:r>
                <w:rPr>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_Toc8510 \h </w:instrText>
              </w:r>
              <w:r>
                <w:rPr>
                  <w:b/>
                  <w:bCs/>
                  <w:color w:val="auto"/>
                  <w:sz w:val="28"/>
                  <w:szCs w:val="28"/>
                  <w:highlight w:val="none"/>
                </w:rPr>
                <w:fldChar w:fldCharType="separate"/>
              </w:r>
              <w:r>
                <w:rPr>
                  <w:b/>
                  <w:bCs/>
                  <w:color w:val="auto"/>
                  <w:sz w:val="28"/>
                  <w:szCs w:val="28"/>
                  <w:highlight w:val="none"/>
                </w:rPr>
                <w:t>1</w:t>
              </w:r>
              <w:r>
                <w:rPr>
                  <w:b/>
                  <w:bCs/>
                  <w:color w:val="auto"/>
                  <w:sz w:val="28"/>
                  <w:szCs w:val="28"/>
                  <w:highlight w:val="none"/>
                </w:rPr>
                <w:fldChar w:fldCharType="end"/>
              </w:r>
              <w:r>
                <w:rPr>
                  <w:b/>
                  <w:bCs/>
                  <w:color w:val="auto"/>
                  <w:sz w:val="28"/>
                  <w:szCs w:val="28"/>
                  <w:highlight w:val="none"/>
                </w:rPr>
                <w:fldChar w:fldCharType="end"/>
              </w:r>
            </w:p>
            <w:p w14:paraId="043994EF">
              <w:pPr>
                <w:pStyle w:val="15"/>
                <w:tabs>
                  <w:tab w:val="right" w:leader="dot" w:pos="9638"/>
                </w:tabs>
                <w:spacing w:line="360" w:lineRule="auto"/>
                <w:rPr>
                  <w:b/>
                  <w:bCs/>
                  <w:color w:val="auto"/>
                  <w:sz w:val="28"/>
                  <w:szCs w:val="28"/>
                  <w:highlight w:val="none"/>
                </w:rPr>
              </w:pPr>
              <w:r>
                <w:rPr>
                  <w:b/>
                  <w:bCs/>
                  <w:color w:val="auto"/>
                  <w:sz w:val="28"/>
                  <w:szCs w:val="28"/>
                  <w:highlight w:val="none"/>
                </w:rPr>
                <w:fldChar w:fldCharType="begin"/>
              </w:r>
              <w:r>
                <w:rPr>
                  <w:b/>
                  <w:bCs/>
                  <w:color w:val="auto"/>
                  <w:sz w:val="28"/>
                  <w:szCs w:val="28"/>
                  <w:highlight w:val="none"/>
                </w:rPr>
                <w:instrText xml:space="preserve"> HYPERLINK \l _Toc18199 </w:instrText>
              </w:r>
              <w:r>
                <w:rPr>
                  <w:b/>
                  <w:bCs/>
                  <w:color w:val="auto"/>
                  <w:sz w:val="28"/>
                  <w:szCs w:val="28"/>
                  <w:highlight w:val="none"/>
                </w:rPr>
                <w:fldChar w:fldCharType="separate"/>
              </w:r>
              <w:r>
                <w:rPr>
                  <w:rFonts w:hint="eastAsia" w:ascii="宋体" w:hAnsi="宋体"/>
                  <w:b/>
                  <w:bCs/>
                  <w:color w:val="auto"/>
                  <w:sz w:val="28"/>
                  <w:szCs w:val="28"/>
                  <w:highlight w:val="none"/>
                </w:rPr>
                <w:t xml:space="preserve">第二部分 </w:t>
              </w:r>
              <w:r>
                <w:rPr>
                  <w:rFonts w:hint="eastAsia" w:ascii="宋体" w:hAnsi="宋体"/>
                  <w:b/>
                  <w:bCs/>
                  <w:color w:val="auto"/>
                  <w:sz w:val="28"/>
                  <w:szCs w:val="28"/>
                  <w:highlight w:val="none"/>
                  <w:lang w:val="en-US" w:eastAsia="zh-CN"/>
                </w:rPr>
                <w:t>采购需求</w:t>
              </w:r>
              <w:r>
                <w:rPr>
                  <w:b/>
                  <w:bCs/>
                  <w:color w:val="auto"/>
                  <w:sz w:val="28"/>
                  <w:szCs w:val="28"/>
                  <w:highlight w:val="none"/>
                </w:rPr>
                <w:tab/>
              </w:r>
              <w:r>
                <w:rPr>
                  <w:b/>
                  <w:bCs/>
                  <w:color w:val="auto"/>
                  <w:sz w:val="28"/>
                  <w:szCs w:val="28"/>
                  <w:highlight w:val="none"/>
                </w:rPr>
                <w:fldChar w:fldCharType="begin"/>
              </w:r>
              <w:r>
                <w:rPr>
                  <w:b/>
                  <w:bCs/>
                  <w:color w:val="auto"/>
                  <w:sz w:val="28"/>
                  <w:szCs w:val="28"/>
                  <w:highlight w:val="none"/>
                </w:rPr>
                <w:instrText xml:space="preserve"> PAGEREF _Toc18199 \h </w:instrText>
              </w:r>
              <w:r>
                <w:rPr>
                  <w:b/>
                  <w:bCs/>
                  <w:color w:val="auto"/>
                  <w:sz w:val="28"/>
                  <w:szCs w:val="28"/>
                  <w:highlight w:val="none"/>
                </w:rPr>
                <w:fldChar w:fldCharType="separate"/>
              </w:r>
              <w:r>
                <w:rPr>
                  <w:b/>
                  <w:bCs/>
                  <w:color w:val="auto"/>
                  <w:sz w:val="28"/>
                  <w:szCs w:val="28"/>
                  <w:highlight w:val="none"/>
                </w:rPr>
                <w:t>3</w:t>
              </w:r>
              <w:r>
                <w:rPr>
                  <w:b/>
                  <w:bCs/>
                  <w:color w:val="auto"/>
                  <w:sz w:val="28"/>
                  <w:szCs w:val="28"/>
                  <w:highlight w:val="none"/>
                </w:rPr>
                <w:fldChar w:fldCharType="end"/>
              </w:r>
              <w:r>
                <w:rPr>
                  <w:b/>
                  <w:bCs/>
                  <w:color w:val="auto"/>
                  <w:sz w:val="28"/>
                  <w:szCs w:val="28"/>
                  <w:highlight w:val="none"/>
                </w:rPr>
                <w:fldChar w:fldCharType="end"/>
              </w:r>
            </w:p>
            <w:p w14:paraId="5DCCAC32">
              <w:pPr>
                <w:pStyle w:val="15"/>
                <w:tabs>
                  <w:tab w:val="right" w:leader="dot" w:pos="9638"/>
                </w:tabs>
                <w:spacing w:line="360" w:lineRule="auto"/>
                <w:rPr>
                  <w:rFonts w:hint="eastAsia"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_Toc27027 </w:instrText>
              </w:r>
              <w:r>
                <w:rPr>
                  <w:b/>
                  <w:bCs/>
                  <w:color w:val="auto"/>
                  <w:sz w:val="28"/>
                  <w:szCs w:val="28"/>
                  <w:highlight w:val="none"/>
                </w:rPr>
                <w:fldChar w:fldCharType="separate"/>
              </w:r>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评分标准</w:t>
              </w:r>
              <w:r>
                <w:rPr>
                  <w:b/>
                  <w:bCs/>
                  <w:color w:val="auto"/>
                  <w:sz w:val="28"/>
                  <w:szCs w:val="28"/>
                  <w:highlight w:val="none"/>
                </w:rPr>
                <w:tab/>
              </w:r>
              <w:r>
                <w:rPr>
                  <w:rFonts w:hint="eastAsia"/>
                  <w:b/>
                  <w:bCs/>
                  <w:color w:val="auto"/>
                  <w:sz w:val="28"/>
                  <w:szCs w:val="28"/>
                  <w:highlight w:val="none"/>
                  <w:lang w:val="en-US" w:eastAsia="zh-CN"/>
                </w:rPr>
                <w:t>1</w:t>
              </w:r>
              <w:r>
                <w:rPr>
                  <w:b/>
                  <w:bCs/>
                  <w:color w:val="auto"/>
                  <w:sz w:val="28"/>
                  <w:szCs w:val="28"/>
                  <w:highlight w:val="none"/>
                </w:rPr>
                <w:fldChar w:fldCharType="end"/>
              </w:r>
              <w:r>
                <w:rPr>
                  <w:rFonts w:hint="eastAsia"/>
                  <w:b/>
                  <w:bCs/>
                  <w:color w:val="auto"/>
                  <w:sz w:val="28"/>
                  <w:szCs w:val="28"/>
                  <w:highlight w:val="none"/>
                  <w:lang w:val="en-US" w:eastAsia="zh-CN"/>
                </w:rPr>
                <w:t>4</w:t>
              </w:r>
            </w:p>
            <w:p w14:paraId="4010C2AB">
              <w:pPr>
                <w:pStyle w:val="15"/>
                <w:tabs>
                  <w:tab w:val="right" w:leader="dot" w:pos="9638"/>
                </w:tabs>
                <w:spacing w:line="360" w:lineRule="auto"/>
                <w:rPr>
                  <w:rFonts w:hint="eastAsia"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_Toc12085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第四部分 合同模板</w:t>
              </w:r>
              <w:r>
                <w:rPr>
                  <w:b/>
                  <w:bCs/>
                  <w:color w:val="auto"/>
                  <w:sz w:val="28"/>
                  <w:szCs w:val="28"/>
                  <w:highlight w:val="none"/>
                </w:rPr>
                <w:tab/>
              </w:r>
              <w:r>
                <w:rPr>
                  <w:rFonts w:hint="eastAsia"/>
                  <w:b/>
                  <w:bCs/>
                  <w:color w:val="auto"/>
                  <w:sz w:val="28"/>
                  <w:szCs w:val="28"/>
                  <w:highlight w:val="none"/>
                  <w:lang w:val="en-US" w:eastAsia="zh-CN"/>
                </w:rPr>
                <w:t>1</w:t>
              </w:r>
              <w:r>
                <w:rPr>
                  <w:b/>
                  <w:bCs/>
                  <w:color w:val="auto"/>
                  <w:sz w:val="28"/>
                  <w:szCs w:val="28"/>
                  <w:highlight w:val="none"/>
                </w:rPr>
                <w:fldChar w:fldCharType="end"/>
              </w:r>
              <w:r>
                <w:rPr>
                  <w:rFonts w:hint="eastAsia"/>
                  <w:b/>
                  <w:bCs/>
                  <w:color w:val="auto"/>
                  <w:sz w:val="28"/>
                  <w:szCs w:val="28"/>
                  <w:highlight w:val="none"/>
                  <w:lang w:val="en-US" w:eastAsia="zh-CN"/>
                </w:rPr>
                <w:t>6</w:t>
              </w:r>
            </w:p>
            <w:p w14:paraId="58642428">
              <w:pPr>
                <w:pStyle w:val="15"/>
                <w:tabs>
                  <w:tab w:val="right" w:leader="dot" w:pos="9638"/>
                </w:tabs>
                <w:spacing w:line="360" w:lineRule="auto"/>
                <w:rPr>
                  <w:rFonts w:hint="eastAsia"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_Toc23421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 xml:space="preserve">第五部分 </w:t>
              </w:r>
              <w:r>
                <w:rPr>
                  <w:rFonts w:hint="eastAsia" w:ascii="宋体" w:hAnsi="宋体" w:cs="Times New Roman"/>
                  <w:b/>
                  <w:bCs/>
                  <w:color w:val="auto"/>
                  <w:kern w:val="2"/>
                  <w:sz w:val="28"/>
                  <w:szCs w:val="28"/>
                  <w:highlight w:val="none"/>
                  <w:lang w:val="en-US" w:eastAsia="zh-CN" w:bidi="ar-SA"/>
                </w:rPr>
                <w:t>供应商须知</w:t>
              </w:r>
              <w:r>
                <w:rPr>
                  <w:b/>
                  <w:bCs/>
                  <w:color w:val="auto"/>
                  <w:sz w:val="28"/>
                  <w:szCs w:val="28"/>
                  <w:highlight w:val="none"/>
                </w:rPr>
                <w:tab/>
              </w:r>
              <w:r>
                <w:rPr>
                  <w:rFonts w:hint="eastAsia"/>
                  <w:b/>
                  <w:bCs/>
                  <w:color w:val="auto"/>
                  <w:sz w:val="28"/>
                  <w:szCs w:val="28"/>
                  <w:highlight w:val="none"/>
                  <w:lang w:val="en-US" w:eastAsia="zh-CN"/>
                </w:rPr>
                <w:t>2</w:t>
              </w:r>
              <w:r>
                <w:rPr>
                  <w:b/>
                  <w:bCs/>
                  <w:color w:val="auto"/>
                  <w:sz w:val="28"/>
                  <w:szCs w:val="28"/>
                  <w:highlight w:val="none"/>
                </w:rPr>
                <w:fldChar w:fldCharType="end"/>
              </w:r>
              <w:r>
                <w:rPr>
                  <w:rFonts w:hint="eastAsia"/>
                  <w:b/>
                  <w:bCs/>
                  <w:color w:val="auto"/>
                  <w:sz w:val="28"/>
                  <w:szCs w:val="28"/>
                  <w:highlight w:val="none"/>
                  <w:lang w:val="en-US" w:eastAsia="zh-CN"/>
                </w:rPr>
                <w:t>9</w:t>
              </w:r>
            </w:p>
            <w:p w14:paraId="4E1477B2">
              <w:pPr>
                <w:pStyle w:val="15"/>
                <w:tabs>
                  <w:tab w:val="right" w:leader="dot" w:pos="9638"/>
                </w:tabs>
                <w:spacing w:line="360" w:lineRule="auto"/>
                <w:rPr>
                  <w:rFonts w:hint="eastAsia" w:eastAsia="宋体"/>
                  <w:b/>
                  <w:bCs/>
                  <w:color w:val="auto"/>
                  <w:sz w:val="28"/>
                  <w:szCs w:val="28"/>
                  <w:highlight w:val="none"/>
                  <w:lang w:val="en-US" w:eastAsia="zh-CN"/>
                </w:rPr>
              </w:pPr>
              <w:r>
                <w:rPr>
                  <w:b/>
                  <w:bCs/>
                  <w:color w:val="auto"/>
                  <w:sz w:val="28"/>
                  <w:szCs w:val="28"/>
                  <w:highlight w:val="none"/>
                </w:rPr>
                <w:fldChar w:fldCharType="begin"/>
              </w:r>
              <w:r>
                <w:rPr>
                  <w:b/>
                  <w:bCs/>
                  <w:color w:val="auto"/>
                  <w:sz w:val="28"/>
                  <w:szCs w:val="28"/>
                  <w:highlight w:val="none"/>
                </w:rPr>
                <w:instrText xml:space="preserve"> HYPERLINK \l _Toc4558 </w:instrText>
              </w:r>
              <w:r>
                <w:rPr>
                  <w:b/>
                  <w:bCs/>
                  <w:color w:val="auto"/>
                  <w:sz w:val="28"/>
                  <w:szCs w:val="28"/>
                  <w:highlight w:val="none"/>
                </w:rPr>
                <w:fldChar w:fldCharType="separate"/>
              </w:r>
              <w:r>
                <w:rPr>
                  <w:rFonts w:hint="eastAsia" w:ascii="宋体" w:hAnsi="宋体" w:eastAsia="宋体" w:cs="Times New Roman"/>
                  <w:b/>
                  <w:bCs/>
                  <w:color w:val="auto"/>
                  <w:kern w:val="2"/>
                  <w:sz w:val="28"/>
                  <w:szCs w:val="28"/>
                  <w:highlight w:val="none"/>
                  <w:lang w:val="en-US" w:eastAsia="zh-CN" w:bidi="ar-SA"/>
                </w:rPr>
                <w:t>第六部分 相关格式文件</w:t>
              </w:r>
              <w:r>
                <w:rPr>
                  <w:b/>
                  <w:bCs/>
                  <w:color w:val="auto"/>
                  <w:sz w:val="28"/>
                  <w:szCs w:val="28"/>
                  <w:highlight w:val="none"/>
                </w:rPr>
                <w:tab/>
              </w:r>
              <w:r>
                <w:rPr>
                  <w:rFonts w:hint="eastAsia"/>
                  <w:b/>
                  <w:bCs/>
                  <w:color w:val="auto"/>
                  <w:sz w:val="28"/>
                  <w:szCs w:val="28"/>
                  <w:highlight w:val="none"/>
                  <w:lang w:val="en-US" w:eastAsia="zh-CN"/>
                </w:rPr>
                <w:t>3</w:t>
              </w:r>
              <w:r>
                <w:rPr>
                  <w:b/>
                  <w:bCs/>
                  <w:color w:val="auto"/>
                  <w:sz w:val="28"/>
                  <w:szCs w:val="28"/>
                  <w:highlight w:val="none"/>
                </w:rPr>
                <w:fldChar w:fldCharType="end"/>
              </w:r>
              <w:r>
                <w:rPr>
                  <w:rFonts w:hint="eastAsia"/>
                  <w:b/>
                  <w:bCs/>
                  <w:color w:val="auto"/>
                  <w:sz w:val="28"/>
                  <w:szCs w:val="28"/>
                  <w:highlight w:val="none"/>
                  <w:lang w:val="en-US" w:eastAsia="zh-CN"/>
                </w:rPr>
                <w:t>1</w:t>
              </w:r>
            </w:p>
            <w:p w14:paraId="75FFC3ED">
              <w:pPr>
                <w:pStyle w:val="15"/>
                <w:tabs>
                  <w:tab w:val="right" w:leader="dot" w:pos="9638"/>
                </w:tabs>
                <w:spacing w:line="360" w:lineRule="auto"/>
                <w:rPr>
                  <w:b/>
                  <w:bCs/>
                  <w:color w:val="auto"/>
                  <w:sz w:val="28"/>
                  <w:szCs w:val="28"/>
                  <w:highlight w:val="none"/>
                </w:rPr>
              </w:pPr>
            </w:p>
            <w:p w14:paraId="5B0CA605">
              <w:pPr>
                <w:rPr>
                  <w:color w:val="auto"/>
                  <w:highlight w:val="none"/>
                </w:rPr>
              </w:pPr>
              <w:r>
                <w:rPr>
                  <w:color w:val="auto"/>
                  <w:highlight w:val="none"/>
                </w:rPr>
                <w:fldChar w:fldCharType="end"/>
              </w:r>
            </w:p>
          </w:sdtContent>
        </w:sdt>
        <w:p w14:paraId="6C425688">
          <w:pPr>
            <w:rPr>
              <w:color w:val="auto"/>
              <w:highlight w:val="none"/>
            </w:rPr>
          </w:pPr>
        </w:p>
        <w:p w14:paraId="75CE8BC1">
          <w:pPr>
            <w:spacing w:line="360" w:lineRule="auto"/>
            <w:jc w:val="left"/>
            <w:outlineLvl w:val="9"/>
            <w:rPr>
              <w:rFonts w:ascii="宋体" w:hAnsi="宋体" w:eastAsia="宋体" w:cs="Times New Roman"/>
              <w:color w:val="auto"/>
              <w:kern w:val="2"/>
              <w:sz w:val="21"/>
              <w:szCs w:val="24"/>
              <w:highlight w:val="none"/>
              <w:lang w:val="en-US" w:eastAsia="zh-CN" w:bidi="ar-SA"/>
            </w:rPr>
          </w:pPr>
          <w:bookmarkStart w:id="36" w:name="_Toc19427"/>
          <w:bookmarkStart w:id="37" w:name="_Toc517"/>
        </w:p>
      </w:sdtContent>
    </w:sdt>
    <w:p w14:paraId="49BDBF6E">
      <w:pPr>
        <w:bidi w:val="0"/>
        <w:rPr>
          <w:rFonts w:hint="eastAsia" w:ascii="Times New Roman" w:hAnsi="Times New Roman" w:eastAsia="宋体" w:cs="Times New Roman"/>
          <w:color w:val="auto"/>
          <w:kern w:val="2"/>
          <w:sz w:val="21"/>
          <w:szCs w:val="24"/>
          <w:highlight w:val="none"/>
          <w:lang w:val="en-US" w:eastAsia="zh-CN" w:bidi="ar-SA"/>
        </w:rPr>
      </w:pPr>
    </w:p>
    <w:p w14:paraId="6201A3FA">
      <w:pPr>
        <w:bidi w:val="0"/>
        <w:rPr>
          <w:rFonts w:hint="eastAsia"/>
          <w:color w:val="auto"/>
          <w:highlight w:val="none"/>
          <w:lang w:val="en-US" w:eastAsia="zh-CN"/>
        </w:rPr>
      </w:pPr>
    </w:p>
    <w:p w14:paraId="5DC4FBC2">
      <w:pPr>
        <w:bidi w:val="0"/>
        <w:rPr>
          <w:rFonts w:hint="eastAsia"/>
          <w:color w:val="auto"/>
          <w:highlight w:val="none"/>
          <w:lang w:val="en-US" w:eastAsia="zh-CN"/>
        </w:rPr>
      </w:pPr>
    </w:p>
    <w:p w14:paraId="47F23B00">
      <w:pPr>
        <w:bidi w:val="0"/>
        <w:rPr>
          <w:rFonts w:hint="eastAsia"/>
          <w:color w:val="auto"/>
          <w:highlight w:val="none"/>
          <w:lang w:val="en-US" w:eastAsia="zh-CN"/>
        </w:rPr>
      </w:pPr>
    </w:p>
    <w:p w14:paraId="32AF8509">
      <w:pPr>
        <w:bidi w:val="0"/>
        <w:rPr>
          <w:rFonts w:hint="eastAsia"/>
          <w:color w:val="auto"/>
          <w:highlight w:val="none"/>
          <w:lang w:val="en-US" w:eastAsia="zh-CN"/>
        </w:rPr>
      </w:pPr>
    </w:p>
    <w:p w14:paraId="356AD80A">
      <w:pPr>
        <w:bidi w:val="0"/>
        <w:rPr>
          <w:rFonts w:hint="eastAsia"/>
          <w:color w:val="auto"/>
          <w:highlight w:val="none"/>
          <w:lang w:val="en-US" w:eastAsia="zh-CN"/>
        </w:rPr>
      </w:pPr>
    </w:p>
    <w:p w14:paraId="08674C04">
      <w:pPr>
        <w:bidi w:val="0"/>
        <w:rPr>
          <w:rFonts w:hint="eastAsia"/>
          <w:color w:val="auto"/>
          <w:highlight w:val="none"/>
          <w:lang w:val="en-US" w:eastAsia="zh-CN"/>
        </w:rPr>
      </w:pPr>
    </w:p>
    <w:p w14:paraId="7F630DBD">
      <w:pPr>
        <w:bidi w:val="0"/>
        <w:rPr>
          <w:rFonts w:hint="eastAsia"/>
          <w:color w:val="auto"/>
          <w:highlight w:val="none"/>
          <w:lang w:val="en-US" w:eastAsia="zh-CN"/>
        </w:rPr>
      </w:pPr>
    </w:p>
    <w:p w14:paraId="275B2F57">
      <w:pPr>
        <w:tabs>
          <w:tab w:val="left" w:pos="7969"/>
        </w:tabs>
        <w:bidi w:val="0"/>
        <w:jc w:val="left"/>
        <w:rPr>
          <w:rFonts w:hint="eastAsia"/>
          <w:color w:val="auto"/>
          <w:highlight w:val="none"/>
          <w:lang w:val="en-US" w:eastAsia="zh-CN"/>
        </w:rPr>
        <w:sectPr>
          <w:headerReference r:id="rId7" w:type="default"/>
          <w:footerReference r:id="rId8"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color w:val="auto"/>
          <w:highlight w:val="none"/>
          <w:lang w:val="en-US" w:eastAsia="zh-CN"/>
        </w:rPr>
        <w:tab/>
      </w:r>
    </w:p>
    <w:p w14:paraId="711946A1">
      <w:pPr>
        <w:spacing w:line="360" w:lineRule="auto"/>
        <w:jc w:val="center"/>
        <w:outlineLvl w:val="0"/>
        <w:rPr>
          <w:rFonts w:ascii="仿宋" w:hAnsi="仿宋" w:eastAsia="仿宋" w:cs="Helvetica"/>
          <w:color w:val="auto"/>
          <w:sz w:val="33"/>
          <w:szCs w:val="33"/>
          <w:highlight w:val="none"/>
        </w:rPr>
      </w:pPr>
      <w:bookmarkStart w:id="38" w:name="_Toc20707"/>
      <w:bookmarkStart w:id="39" w:name="_Toc8510"/>
      <w:bookmarkStart w:id="40" w:name="_Toc16951"/>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36"/>
      <w:bookmarkEnd w:id="37"/>
      <w:bookmarkEnd w:id="38"/>
      <w:bookmarkEnd w:id="39"/>
      <w:bookmarkEnd w:id="40"/>
    </w:p>
    <w:p w14:paraId="01540D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highlight w:val="none"/>
        </w:rPr>
      </w:pPr>
      <w:bookmarkStart w:id="41" w:name="_Toc11230"/>
      <w:bookmarkStart w:id="42" w:name="_Toc31562"/>
      <w:r>
        <w:rPr>
          <w:rFonts w:hint="eastAsia" w:ascii="宋体" w:hAnsi="宋体" w:eastAsia="宋体" w:cs="宋体"/>
          <w:b w:val="0"/>
          <w:bCs/>
          <w:color w:val="auto"/>
          <w:kern w:val="0"/>
          <w:sz w:val="21"/>
          <w:szCs w:val="21"/>
          <w:highlight w:val="none"/>
        </w:rPr>
        <w:t>根据我院业务发展需要，近期拟对</w:t>
      </w:r>
      <w:r>
        <w:rPr>
          <w:rFonts w:hint="eastAsia" w:ascii="宋体" w:hAnsi="宋体" w:cs="宋体"/>
          <w:b w:val="0"/>
          <w:bCs/>
          <w:color w:val="auto"/>
          <w:kern w:val="0"/>
          <w:sz w:val="21"/>
          <w:szCs w:val="21"/>
          <w:highlight w:val="none"/>
          <w:lang w:eastAsia="zh-CN"/>
        </w:rPr>
        <w:t>多媒体分诊导引系统升级项目</w:t>
      </w:r>
      <w:r>
        <w:rPr>
          <w:rFonts w:hint="eastAsia" w:ascii="宋体" w:hAnsi="宋体" w:eastAsia="宋体" w:cs="宋体"/>
          <w:b w:val="0"/>
          <w:bCs/>
          <w:color w:val="auto"/>
          <w:kern w:val="0"/>
          <w:sz w:val="21"/>
          <w:szCs w:val="21"/>
          <w:highlight w:val="none"/>
        </w:rPr>
        <w:t>进行采购，现根据相关规定特此公告，欢迎符合条件的供应商参加。</w:t>
      </w:r>
    </w:p>
    <w:p w14:paraId="4A74EAD1">
      <w:pPr>
        <w:keepNext w:val="0"/>
        <w:keepLines w:val="0"/>
        <w:pageBreakBefore w:val="0"/>
        <w:numPr>
          <w:ilvl w:val="0"/>
          <w:numId w:val="2"/>
        </w:numPr>
        <w:tabs>
          <w:tab w:val="left" w:pos="0"/>
          <w:tab w:val="left" w:pos="7174"/>
        </w:tabs>
        <w:kinsoku/>
        <w:wordWrap/>
        <w:overflowPunct/>
        <w:topLinePunct w:val="0"/>
        <w:bidi w:val="0"/>
        <w:spacing w:line="40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采购需求</w:t>
      </w:r>
    </w:p>
    <w:p w14:paraId="04F0EA84">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default" w:ascii="宋体" w:hAnsi="宋体" w:cs="宋体"/>
          <w:b w:val="0"/>
          <w:bCs w:val="0"/>
          <w:color w:val="auto"/>
          <w:sz w:val="21"/>
          <w:szCs w:val="21"/>
          <w:highlight w:val="none"/>
          <w:lang w:val="en-US" w:eastAsia="zh-CN"/>
        </w:rPr>
      </w:pPr>
      <w:r>
        <w:rPr>
          <w:rFonts w:hint="eastAsia" w:ascii="宋体" w:hAnsi="宋体" w:cs="宋体"/>
          <w:b/>
          <w:bCs/>
          <w:color w:val="auto"/>
          <w:sz w:val="21"/>
          <w:szCs w:val="21"/>
          <w:highlight w:val="none"/>
          <w:lang w:val="en-US" w:eastAsia="zh-CN"/>
        </w:rPr>
        <w:t>1.</w:t>
      </w:r>
      <w:r>
        <w:rPr>
          <w:rFonts w:hint="eastAsia" w:ascii="宋体" w:hAnsi="宋体" w:eastAsia="宋体" w:cs="宋体"/>
          <w:b/>
          <w:bCs/>
          <w:color w:val="auto"/>
          <w:sz w:val="21"/>
          <w:szCs w:val="21"/>
          <w:highlight w:val="none"/>
          <w:lang w:val="en-US" w:eastAsia="zh-CN"/>
        </w:rPr>
        <w:t>项目编号：</w:t>
      </w:r>
      <w:r>
        <w:rPr>
          <w:rFonts w:hint="eastAsia" w:ascii="宋体" w:hAnsi="宋体" w:cs="宋体"/>
          <w:b w:val="0"/>
          <w:bCs w:val="0"/>
          <w:color w:val="auto"/>
          <w:sz w:val="21"/>
          <w:szCs w:val="21"/>
          <w:highlight w:val="none"/>
          <w:lang w:val="en-US" w:eastAsia="zh-CN"/>
        </w:rPr>
        <w:t>NYWYF20260014</w:t>
      </w:r>
    </w:p>
    <w:p w14:paraId="687D218A">
      <w:pPr>
        <w:keepNext w:val="0"/>
        <w:keepLines w:val="0"/>
        <w:pageBreakBefore w:val="0"/>
        <w:numPr>
          <w:ilvl w:val="0"/>
          <w:numId w:val="0"/>
        </w:numPr>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2.项目名称：</w:t>
      </w:r>
      <w:r>
        <w:rPr>
          <w:rFonts w:hint="eastAsia" w:ascii="宋体" w:hAnsi="宋体" w:eastAsia="宋体" w:cs="宋体"/>
          <w:b w:val="0"/>
          <w:bCs w:val="0"/>
          <w:color w:val="auto"/>
          <w:sz w:val="21"/>
          <w:szCs w:val="21"/>
          <w:highlight w:val="none"/>
          <w:lang w:val="en-US" w:eastAsia="zh-CN"/>
        </w:rPr>
        <w:t>南方医科大学第五附属医院</w:t>
      </w:r>
      <w:r>
        <w:rPr>
          <w:rFonts w:hint="eastAsia" w:ascii="宋体" w:hAnsi="宋体" w:cs="宋体"/>
          <w:b w:val="0"/>
          <w:bCs w:val="0"/>
          <w:color w:val="auto"/>
          <w:sz w:val="21"/>
          <w:szCs w:val="21"/>
          <w:highlight w:val="none"/>
          <w:lang w:val="en-US" w:eastAsia="zh-CN"/>
        </w:rPr>
        <w:t>多媒体分诊导引系统升级项目</w:t>
      </w:r>
    </w:p>
    <w:p w14:paraId="34A71706">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3.项目</w:t>
      </w:r>
      <w:r>
        <w:rPr>
          <w:rFonts w:hint="eastAsia" w:ascii="宋体" w:hAnsi="宋体" w:cs="宋体"/>
          <w:b/>
          <w:bCs/>
          <w:color w:val="auto"/>
          <w:sz w:val="21"/>
          <w:szCs w:val="21"/>
          <w:highlight w:val="none"/>
          <w:lang w:val="en-US" w:eastAsia="zh-CN"/>
        </w:rPr>
        <w:t>预算（</w:t>
      </w:r>
      <w:r>
        <w:rPr>
          <w:rFonts w:hint="eastAsia" w:ascii="宋体" w:hAnsi="宋体" w:eastAsia="宋体" w:cs="宋体"/>
          <w:b/>
          <w:bCs/>
          <w:color w:val="auto"/>
          <w:sz w:val="21"/>
          <w:szCs w:val="21"/>
          <w:highlight w:val="none"/>
          <w:lang w:val="en-US" w:eastAsia="zh-CN"/>
        </w:rPr>
        <w:t>限价</w:t>
      </w:r>
      <w:r>
        <w:rPr>
          <w:rFonts w:hint="eastAsia" w:ascii="宋体" w:hAnsi="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110000</w:t>
      </w:r>
      <w:r>
        <w:rPr>
          <w:rFonts w:hint="eastAsia" w:ascii="宋体" w:hAnsi="宋体" w:eastAsia="宋体" w:cs="宋体"/>
          <w:b w:val="0"/>
          <w:bCs w:val="0"/>
          <w:color w:val="auto"/>
          <w:sz w:val="21"/>
          <w:szCs w:val="21"/>
          <w:highlight w:val="none"/>
          <w:lang w:val="en-US" w:eastAsia="zh-CN"/>
        </w:rPr>
        <w:t>元</w:t>
      </w:r>
    </w:p>
    <w:p w14:paraId="2BC5E80F">
      <w:pPr>
        <w:keepNext w:val="0"/>
        <w:keepLines w:val="0"/>
        <w:pageBreakBefore w:val="0"/>
        <w:kinsoku/>
        <w:wordWrap/>
        <w:overflowPunct/>
        <w:topLinePunct w:val="0"/>
        <w:autoSpaceDE w:val="0"/>
        <w:autoSpaceDN w:val="0"/>
        <w:bidi w:val="0"/>
        <w:spacing w:line="400" w:lineRule="exact"/>
        <w:ind w:firstLine="422" w:firstLineChars="200"/>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4.工期：</w:t>
      </w:r>
      <w:r>
        <w:rPr>
          <w:rFonts w:hint="eastAsia" w:ascii="宋体" w:hAnsi="宋体" w:cs="宋体"/>
          <w:b w:val="0"/>
          <w:bCs w:val="0"/>
          <w:color w:val="auto"/>
          <w:sz w:val="21"/>
          <w:szCs w:val="21"/>
          <w:highlight w:val="none"/>
          <w:lang w:val="en-US" w:eastAsia="zh-CN"/>
        </w:rPr>
        <w:t>自合同签订之日起6个月内完成部署，并且所有功能能够正常使用</w:t>
      </w:r>
      <w:r>
        <w:rPr>
          <w:rFonts w:hint="eastAsia" w:ascii="宋体" w:hAnsi="宋体" w:eastAsia="宋体" w:cs="宋体"/>
          <w:b w:val="0"/>
          <w:bCs w:val="0"/>
          <w:color w:val="auto"/>
          <w:kern w:val="0"/>
          <w:sz w:val="21"/>
          <w:szCs w:val="21"/>
          <w:highlight w:val="none"/>
          <w:lang w:val="en-US" w:eastAsia="zh-CN"/>
        </w:rPr>
        <w:t>。</w:t>
      </w:r>
    </w:p>
    <w:p w14:paraId="41F2C96A">
      <w:pPr>
        <w:keepNext w:val="0"/>
        <w:keepLines w:val="0"/>
        <w:pageBreakBefore w:val="0"/>
        <w:kinsoku/>
        <w:wordWrap/>
        <w:overflowPunct/>
        <w:topLinePunct w:val="0"/>
        <w:autoSpaceDE w:val="0"/>
        <w:autoSpaceDN w:val="0"/>
        <w:bidi w:val="0"/>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en-US" w:eastAsia="zh-CN"/>
        </w:rPr>
        <w:t>采购内容及要求：</w:t>
      </w:r>
      <w:r>
        <w:rPr>
          <w:rFonts w:hint="eastAsia" w:ascii="宋体" w:hAnsi="宋体" w:eastAsia="宋体" w:cs="宋体"/>
          <w:b w:val="0"/>
          <w:bCs w:val="0"/>
          <w:color w:val="auto"/>
          <w:sz w:val="21"/>
          <w:szCs w:val="21"/>
          <w:highlight w:val="none"/>
          <w:lang w:val="en-US" w:eastAsia="zh-CN"/>
        </w:rPr>
        <w:t>详见第二部分采购需求</w:t>
      </w:r>
    </w:p>
    <w:p w14:paraId="1351CB1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二、提供资料相关事项</w:t>
      </w:r>
    </w:p>
    <w:p w14:paraId="0356D18F">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1.报名截止时间：</w:t>
      </w:r>
      <w:r>
        <w:rPr>
          <w:rFonts w:hint="eastAsia" w:ascii="宋体" w:hAnsi="宋体" w:eastAsia="宋体" w:cs="宋体"/>
          <w:color w:val="auto"/>
          <w:sz w:val="21"/>
          <w:szCs w:val="21"/>
          <w:highlight w:val="none"/>
        </w:rPr>
        <w:t>202</w:t>
      </w:r>
      <w:r>
        <w:rPr>
          <w:rFonts w:hint="eastAsia" w:ascii="宋体" w:hAnsi="宋体" w:cs="宋体"/>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年</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月</w:t>
      </w:r>
      <w:r>
        <w:rPr>
          <w:rFonts w:hint="eastAsia" w:ascii="宋体" w:hAnsi="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lang w:val="en-US" w:eastAsia="zh-CN"/>
        </w:rPr>
        <w:t>日</w:t>
      </w:r>
      <w:r>
        <w:rPr>
          <w:rFonts w:hint="eastAsia" w:ascii="宋体" w:hAnsi="宋体" w:cs="宋体"/>
          <w:b w:val="0"/>
          <w:bCs w:val="0"/>
          <w:color w:val="auto"/>
          <w:sz w:val="21"/>
          <w:szCs w:val="21"/>
          <w:highlight w:val="none"/>
          <w:lang w:val="en-US" w:eastAsia="zh-CN"/>
        </w:rPr>
        <w:t>17点30</w:t>
      </w:r>
      <w:r>
        <w:rPr>
          <w:rFonts w:hint="eastAsia" w:ascii="宋体" w:hAnsi="宋体" w:eastAsia="宋体" w:cs="宋体"/>
          <w:color w:val="auto"/>
          <w:sz w:val="21"/>
          <w:szCs w:val="21"/>
          <w:highlight w:val="none"/>
        </w:rPr>
        <w:t>分</w:t>
      </w:r>
    </w:p>
    <w:p w14:paraId="00286A3E">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2.报名方式：</w:t>
      </w:r>
      <w:r>
        <w:rPr>
          <w:rFonts w:hint="eastAsia" w:ascii="宋体" w:hAnsi="宋体" w:eastAsia="宋体" w:cs="宋体"/>
          <w:color w:val="auto"/>
          <w:sz w:val="21"/>
          <w:szCs w:val="21"/>
          <w:highlight w:val="none"/>
        </w:rPr>
        <w:t>电子邮件报名</w:t>
      </w:r>
    </w:p>
    <w:p w14:paraId="42D0BF5D">
      <w:pPr>
        <w:keepNext w:val="0"/>
        <w:keepLines w:val="0"/>
        <w:pageBreakBefore w:val="0"/>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3.报名所需提供资料及要求</w:t>
      </w:r>
      <w:r>
        <w:rPr>
          <w:rFonts w:hint="eastAsia" w:ascii="宋体" w:hAnsi="宋体" w:eastAsia="宋体" w:cs="宋体"/>
          <w:color w:val="auto"/>
          <w:sz w:val="21"/>
          <w:szCs w:val="21"/>
          <w:highlight w:val="none"/>
        </w:rPr>
        <w:t>：详见</w:t>
      </w:r>
      <w:r>
        <w:rPr>
          <w:rFonts w:hint="eastAsia" w:ascii="宋体" w:hAnsi="宋体" w:eastAsia="宋体" w:cs="宋体"/>
          <w:color w:val="auto"/>
          <w:sz w:val="21"/>
          <w:szCs w:val="21"/>
          <w:highlight w:val="none"/>
          <w:lang w:val="en-US" w:eastAsia="zh-CN"/>
        </w:rPr>
        <w:t>公告</w:t>
      </w:r>
      <w:r>
        <w:rPr>
          <w:rFonts w:hint="eastAsia" w:ascii="宋体" w:hAnsi="宋体" w:eastAsia="宋体" w:cs="宋体"/>
          <w:color w:val="auto"/>
          <w:sz w:val="21"/>
          <w:szCs w:val="21"/>
          <w:highlight w:val="none"/>
        </w:rPr>
        <w:t>附件3报名资料</w:t>
      </w:r>
    </w:p>
    <w:p w14:paraId="3D432B5C">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温馨告知：报名资料除封面外，其他材料须双面打印，打印出来的资料盖章后，扫描成PDF版</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各报名供应商应确保所提供报名</w:t>
      </w:r>
      <w:r>
        <w:rPr>
          <w:rFonts w:hint="eastAsia" w:ascii="宋体" w:hAnsi="宋体" w:cs="宋体"/>
          <w:b/>
          <w:bCs/>
          <w:color w:val="auto"/>
          <w:sz w:val="21"/>
          <w:szCs w:val="21"/>
          <w:highlight w:val="none"/>
          <w:lang w:eastAsia="zh-CN"/>
        </w:rPr>
        <w:t>资料</w:t>
      </w:r>
      <w:r>
        <w:rPr>
          <w:rFonts w:hint="eastAsia" w:ascii="宋体" w:hAnsi="宋体" w:eastAsia="宋体" w:cs="宋体"/>
          <w:b/>
          <w:bCs/>
          <w:color w:val="auto"/>
          <w:sz w:val="21"/>
          <w:szCs w:val="21"/>
          <w:highlight w:val="none"/>
        </w:rPr>
        <w:t>真实、完整、清晰可辨，</w:t>
      </w:r>
      <w:r>
        <w:rPr>
          <w:rFonts w:hint="eastAsia" w:ascii="宋体" w:hAnsi="宋体" w:cs="宋体"/>
          <w:b/>
          <w:bCs/>
          <w:color w:val="auto"/>
          <w:sz w:val="21"/>
          <w:szCs w:val="21"/>
          <w:highlight w:val="none"/>
          <w:lang w:eastAsia="zh-CN"/>
        </w:rPr>
        <w:t>若报名</w:t>
      </w:r>
      <w:r>
        <w:rPr>
          <w:rFonts w:hint="eastAsia" w:ascii="宋体" w:hAnsi="宋体" w:eastAsia="宋体" w:cs="宋体"/>
          <w:b/>
          <w:bCs/>
          <w:color w:val="auto"/>
          <w:sz w:val="21"/>
          <w:szCs w:val="21"/>
          <w:highlight w:val="none"/>
        </w:rPr>
        <w:t>资料模糊不清、难以辨认，视为未</w:t>
      </w:r>
      <w:r>
        <w:rPr>
          <w:rFonts w:hint="eastAsia" w:ascii="宋体" w:hAnsi="宋体" w:cs="宋体"/>
          <w:b/>
          <w:bCs/>
          <w:color w:val="auto"/>
          <w:sz w:val="21"/>
          <w:szCs w:val="21"/>
          <w:highlight w:val="none"/>
          <w:lang w:eastAsia="zh-CN"/>
        </w:rPr>
        <w:t>提供</w:t>
      </w:r>
      <w:r>
        <w:rPr>
          <w:rFonts w:hint="eastAsia" w:ascii="宋体" w:hAnsi="宋体" w:eastAsia="宋体" w:cs="宋体"/>
          <w:b/>
          <w:bCs/>
          <w:color w:val="auto"/>
          <w:sz w:val="21"/>
          <w:szCs w:val="21"/>
          <w:highlight w:val="none"/>
        </w:rPr>
        <w:t>，由此造成报名不成功、不能进入评审环节等严重后果由供应商自行负责。</w:t>
      </w:r>
    </w:p>
    <w:p w14:paraId="4182FB96">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评审时间及地点：</w:t>
      </w:r>
      <w:r>
        <w:rPr>
          <w:rFonts w:hint="eastAsia" w:ascii="宋体" w:hAnsi="宋体" w:eastAsia="宋体" w:cs="宋体"/>
          <w:color w:val="auto"/>
          <w:sz w:val="21"/>
          <w:szCs w:val="21"/>
          <w:highlight w:val="none"/>
        </w:rPr>
        <w:t>待定（根据医院工作安排通知符合要求报名公司）</w:t>
      </w:r>
    </w:p>
    <w:p w14:paraId="4B7B49C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5.报名注意事项：</w:t>
      </w:r>
    </w:p>
    <w:p w14:paraId="726C9788">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（1）请各报名供应商在报名截止时间前，按照报名资料要求做好整套报名资料，发送至指定邮箱，报名时间截止后，由相关人员统一审核。</w:t>
      </w:r>
    </w:p>
    <w:p w14:paraId="36CD262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（2）各报名供应商应确保所提供报名资料真实、完整、清晰可辨，报名资料模糊不清、难以辨认，视为未提供处理，由此造成报名不成功、不能进入评审环节等严重后果由供应商自行负责。</w:t>
      </w:r>
    </w:p>
    <w:p w14:paraId="76F7FD43">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（3）报名时间截止后不再受理报名或资料变更和补充，报名时间截止后所接收的任何邮件视为无效邮件。</w:t>
      </w:r>
    </w:p>
    <w:p w14:paraId="20C4DADE">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color w:val="auto"/>
          <w:kern w:val="0"/>
          <w:sz w:val="21"/>
          <w:szCs w:val="21"/>
          <w:highlight w:val="none"/>
        </w:rPr>
        <w:t>三、报名供应商资格要求</w:t>
      </w:r>
    </w:p>
    <w:p w14:paraId="4B8ECD55">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1.具有独立承担民事责任的能力：</w:t>
      </w:r>
      <w:r>
        <w:rPr>
          <w:rFonts w:hint="eastAsia" w:ascii="宋体" w:hAnsi="宋体" w:eastAsia="宋体" w:cs="宋体"/>
          <w:b/>
          <w:bCs w:val="0"/>
          <w:color w:val="auto"/>
          <w:kern w:val="0"/>
          <w:sz w:val="21"/>
          <w:szCs w:val="21"/>
          <w:highlight w:val="none"/>
          <w:lang w:val="en-US" w:eastAsia="zh-CN"/>
        </w:rPr>
        <w:t>在中华人民共和国境内注册的法人或其他组织，</w:t>
      </w:r>
      <w:r>
        <w:rPr>
          <w:rFonts w:hint="eastAsia" w:ascii="宋体" w:hAnsi="宋体" w:cs="宋体"/>
          <w:b/>
          <w:bCs w:val="0"/>
          <w:color w:val="auto"/>
          <w:kern w:val="0"/>
          <w:sz w:val="21"/>
          <w:szCs w:val="21"/>
          <w:highlight w:val="none"/>
          <w:lang w:val="en-US" w:eastAsia="zh-CN"/>
        </w:rPr>
        <w:t>提交有效的</w:t>
      </w:r>
      <w:r>
        <w:rPr>
          <w:rFonts w:hint="eastAsia" w:ascii="宋体" w:hAnsi="宋体" w:eastAsia="宋体" w:cs="宋体"/>
          <w:b/>
          <w:bCs w:val="0"/>
          <w:color w:val="auto"/>
          <w:kern w:val="0"/>
          <w:sz w:val="21"/>
          <w:szCs w:val="21"/>
          <w:highlight w:val="none"/>
          <w:lang w:val="en-US" w:eastAsia="zh-CN"/>
        </w:rPr>
        <w:t>营业执照（或事业法人登记证或身份证等相关证明）副本复印件，</w:t>
      </w:r>
      <w:r>
        <w:rPr>
          <w:rFonts w:hint="eastAsia" w:ascii="宋体" w:hAnsi="宋体" w:cs="宋体"/>
          <w:b/>
          <w:bCs w:val="0"/>
          <w:color w:val="auto"/>
          <w:kern w:val="0"/>
          <w:sz w:val="21"/>
          <w:szCs w:val="21"/>
          <w:highlight w:val="none"/>
          <w:lang w:val="en-US" w:eastAsia="zh-CN"/>
        </w:rPr>
        <w:t>并加盖公章。</w:t>
      </w:r>
    </w:p>
    <w:p w14:paraId="335C6A23">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有依法缴纳税收和社会保障资金的良好记录。</w:t>
      </w:r>
      <w:r>
        <w:rPr>
          <w:rFonts w:hint="eastAsia" w:ascii="宋体" w:hAnsi="宋体" w:eastAsia="宋体" w:cs="宋体"/>
          <w:b/>
          <w:bCs w:val="0"/>
          <w:color w:val="auto"/>
          <w:kern w:val="0"/>
          <w:sz w:val="21"/>
          <w:szCs w:val="21"/>
          <w:highlight w:val="none"/>
          <w:lang w:val="en-US" w:eastAsia="zh-CN"/>
        </w:rPr>
        <w:t>提供书面声明函或承诺函，并加盖公章。</w:t>
      </w:r>
    </w:p>
    <w:p w14:paraId="6113F3B9">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具有良好的商业信誉和健全的财务会计制度。</w:t>
      </w:r>
      <w:r>
        <w:rPr>
          <w:rFonts w:hint="eastAsia" w:ascii="宋体" w:hAnsi="宋体" w:eastAsia="宋体" w:cs="宋体"/>
          <w:b/>
          <w:bCs w:val="0"/>
          <w:color w:val="auto"/>
          <w:kern w:val="0"/>
          <w:sz w:val="21"/>
          <w:szCs w:val="21"/>
          <w:highlight w:val="none"/>
          <w:lang w:val="en-US" w:eastAsia="zh-CN"/>
        </w:rPr>
        <w:t>提供书面声明函或承诺函，并加盖公章。</w:t>
      </w:r>
    </w:p>
    <w:p w14:paraId="459C979B">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w:t>
      </w:r>
      <w:r>
        <w:rPr>
          <w:rFonts w:hint="eastAsia" w:ascii="宋体" w:hAnsi="宋体" w:cs="宋体"/>
          <w:b w:val="0"/>
          <w:bCs/>
          <w:color w:val="auto"/>
          <w:kern w:val="0"/>
          <w:sz w:val="21"/>
          <w:szCs w:val="21"/>
          <w:highlight w:val="none"/>
          <w:lang w:val="en-US" w:eastAsia="zh-CN" w:bidi="ar-SA"/>
        </w:rPr>
        <w:t>.具有</w:t>
      </w:r>
      <w:r>
        <w:rPr>
          <w:rFonts w:hint="eastAsia" w:ascii="宋体" w:hAnsi="宋体" w:eastAsia="宋体" w:cs="宋体"/>
          <w:b w:val="0"/>
          <w:bCs/>
          <w:color w:val="auto"/>
          <w:kern w:val="0"/>
          <w:sz w:val="21"/>
          <w:szCs w:val="21"/>
          <w:highlight w:val="none"/>
          <w:lang w:val="en-US" w:eastAsia="zh-CN" w:bidi="ar-SA"/>
        </w:rPr>
        <w:t>履行合同所必需的设备和专业技术能力。</w:t>
      </w:r>
      <w:r>
        <w:rPr>
          <w:rFonts w:hint="eastAsia" w:ascii="宋体" w:hAnsi="宋体" w:eastAsia="宋体" w:cs="宋体"/>
          <w:b/>
          <w:bCs w:val="0"/>
          <w:color w:val="auto"/>
          <w:kern w:val="0"/>
          <w:sz w:val="21"/>
          <w:szCs w:val="21"/>
          <w:highlight w:val="none"/>
          <w:lang w:val="en-US" w:eastAsia="zh-CN"/>
        </w:rPr>
        <w:t>提供书面声明函或承诺函，并加盖公章。</w:t>
      </w:r>
    </w:p>
    <w:p w14:paraId="1FAA83B1">
      <w:pPr>
        <w:pStyle w:val="18"/>
        <w:keepNext w:val="0"/>
        <w:keepLines w:val="0"/>
        <w:pageBreakBefore w:val="0"/>
        <w:kinsoku/>
        <w:wordWrap/>
        <w:overflowPunct/>
        <w:topLinePunct w:val="0"/>
        <w:autoSpaceDE/>
        <w:autoSpaceDN/>
        <w:bidi w:val="0"/>
        <w:adjustRightInd/>
        <w:snapToGrid/>
        <w:spacing w:after="0" w:line="400" w:lineRule="exact"/>
        <w:ind w:left="0" w:leftChars="0" w:firstLine="420" w:firstLineChars="0"/>
        <w:textAlignment w:val="auto"/>
        <w:rPr>
          <w:rFonts w:hint="eastAsia" w:ascii="宋体" w:hAnsi="宋体" w:cs="宋体"/>
          <w:b/>
          <w:bCs w:val="0"/>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bidi="ar-SA"/>
        </w:rPr>
        <w:t>5</w:t>
      </w:r>
      <w:r>
        <w:rPr>
          <w:rFonts w:hint="eastAsia" w:ascii="宋体" w:hAnsi="宋体" w:cs="宋体"/>
          <w:b w:val="0"/>
          <w:bCs/>
          <w:color w:val="auto"/>
          <w:kern w:val="0"/>
          <w:sz w:val="21"/>
          <w:szCs w:val="21"/>
          <w:highlight w:val="none"/>
          <w:lang w:val="en-US" w:eastAsia="zh-CN" w:bidi="ar-SA"/>
        </w:rPr>
        <w:t>.</w:t>
      </w:r>
      <w:r>
        <w:rPr>
          <w:rFonts w:hint="eastAsia" w:ascii="宋体" w:hAnsi="宋体" w:eastAsia="宋体" w:cs="宋体"/>
          <w:b w:val="0"/>
          <w:bCs/>
          <w:color w:val="auto"/>
          <w:kern w:val="0"/>
          <w:sz w:val="21"/>
          <w:szCs w:val="21"/>
          <w:highlight w:val="none"/>
          <w:lang w:val="en-US" w:eastAsia="zh-CN" w:bidi="ar-SA"/>
        </w:rPr>
        <w:t>参加采购活动前3年内，在经营活动中没有重大违法记录。</w:t>
      </w:r>
      <w:r>
        <w:rPr>
          <w:rFonts w:hint="eastAsia" w:ascii="宋体" w:hAnsi="宋体" w:eastAsia="宋体" w:cs="宋体"/>
          <w:b/>
          <w:bCs w:val="0"/>
          <w:color w:val="auto"/>
          <w:kern w:val="0"/>
          <w:sz w:val="21"/>
          <w:szCs w:val="21"/>
          <w:highlight w:val="none"/>
          <w:lang w:val="en-US" w:eastAsia="zh-CN"/>
        </w:rPr>
        <w:t>提供书面声明函或承诺函，并加盖公章。</w:t>
      </w:r>
    </w:p>
    <w:p w14:paraId="1113AC04">
      <w:pPr>
        <w:keepNext w:val="0"/>
        <w:keepLines w:val="0"/>
        <w:pageBreakBefore w:val="0"/>
        <w:widowControl/>
        <w:kinsoku/>
        <w:wordWrap/>
        <w:overflowPunct/>
        <w:topLinePunct w:val="0"/>
        <w:autoSpaceDE/>
        <w:autoSpaceDN/>
        <w:bidi w:val="0"/>
        <w:adjustRightInd/>
        <w:snapToGrid/>
        <w:spacing w:line="400" w:lineRule="exact"/>
        <w:ind w:left="0" w:leftChars="0" w:firstLine="420" w:firstLineChars="200"/>
        <w:jc w:val="left"/>
        <w:textAlignment w:val="auto"/>
        <w:rPr>
          <w:rFonts w:hint="eastAsia" w:ascii="宋体" w:hAnsi="宋体" w:eastAsia="宋体" w:cs="宋体"/>
          <w:b/>
          <w:bCs w:val="0"/>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r>
        <w:rPr>
          <w:rFonts w:hint="eastAsia" w:ascii="宋体" w:hAnsi="宋体" w:eastAsia="宋体" w:cs="宋体"/>
          <w:b w:val="0"/>
          <w:bCs/>
          <w:color w:val="auto"/>
          <w:kern w:val="0"/>
          <w:sz w:val="21"/>
          <w:szCs w:val="21"/>
          <w:highlight w:val="none"/>
          <w:lang w:val="en-US" w:eastAsia="zh-CN"/>
        </w:rPr>
        <w:t>.</w:t>
      </w:r>
      <w:r>
        <w:rPr>
          <w:rFonts w:hint="eastAsia" w:ascii="宋体" w:hAnsi="宋体" w:cs="宋体"/>
          <w:b w:val="0"/>
          <w:bCs/>
          <w:color w:val="auto"/>
          <w:kern w:val="0"/>
          <w:sz w:val="21"/>
          <w:szCs w:val="21"/>
          <w:highlight w:val="none"/>
          <w:lang w:val="en-US" w:eastAsia="zh-CN"/>
        </w:rPr>
        <w:t>本项目</w:t>
      </w:r>
      <w:r>
        <w:rPr>
          <w:rFonts w:hint="eastAsia" w:ascii="宋体" w:hAnsi="宋体" w:eastAsia="宋体" w:cs="宋体"/>
          <w:b w:val="0"/>
          <w:bCs/>
          <w:color w:val="auto"/>
          <w:kern w:val="0"/>
          <w:sz w:val="21"/>
          <w:szCs w:val="21"/>
          <w:highlight w:val="none"/>
          <w:lang w:val="en-US" w:eastAsia="zh-CN"/>
        </w:rPr>
        <w:t>不接受联合体响应。</w:t>
      </w:r>
      <w:r>
        <w:rPr>
          <w:rFonts w:hint="eastAsia" w:ascii="宋体" w:hAnsi="宋体" w:eastAsia="宋体" w:cs="宋体"/>
          <w:b/>
          <w:bCs w:val="0"/>
          <w:color w:val="auto"/>
          <w:kern w:val="0"/>
          <w:sz w:val="21"/>
          <w:szCs w:val="21"/>
          <w:highlight w:val="none"/>
          <w:lang w:val="en-US" w:eastAsia="zh-CN"/>
        </w:rPr>
        <w:t>提供书面声明函或承诺函，并加盖公章。</w:t>
      </w:r>
    </w:p>
    <w:p w14:paraId="29B13AE7">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bCs w:val="0"/>
          <w:color w:val="auto"/>
          <w:kern w:val="0"/>
          <w:sz w:val="21"/>
          <w:szCs w:val="21"/>
          <w:highlight w:val="none"/>
          <w:lang w:val="en-US" w:eastAsia="zh-CN"/>
        </w:rPr>
        <w:t>注</w:t>
      </w:r>
      <w:r>
        <w:rPr>
          <w:rFonts w:hint="eastAsia" w:ascii="宋体" w:hAnsi="宋体" w:cs="宋体"/>
          <w:b/>
          <w:bCs w:val="0"/>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lang w:val="en-US" w:eastAsia="zh-CN"/>
        </w:rPr>
        <w:t>供应商若不能同时满足以上条件</w:t>
      </w:r>
      <w:r>
        <w:rPr>
          <w:rFonts w:hint="eastAsia" w:ascii="宋体" w:hAnsi="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lang w:val="en-US" w:eastAsia="zh-CN"/>
        </w:rPr>
        <w:t>则视为投标参与无效</w:t>
      </w:r>
      <w:r>
        <w:rPr>
          <w:rFonts w:hint="eastAsia" w:ascii="宋体" w:hAnsi="宋体" w:cs="宋体"/>
          <w:b/>
          <w:bCs w:val="0"/>
          <w:color w:val="auto"/>
          <w:kern w:val="0"/>
          <w:sz w:val="21"/>
          <w:szCs w:val="21"/>
          <w:highlight w:val="none"/>
          <w:lang w:val="en-US" w:eastAsia="zh-CN"/>
        </w:rPr>
        <w:t>（如发现提供虚假材料者，取消其参加评审资格和成交资格）。</w:t>
      </w:r>
    </w:p>
    <w:p w14:paraId="54F322F3">
      <w:pPr>
        <w:keepNext w:val="0"/>
        <w:keepLines w:val="0"/>
        <w:pageBreakBefore w:val="0"/>
        <w:widowControl/>
        <w:kinsoku/>
        <w:wordWrap/>
        <w:overflowPunct/>
        <w:topLinePunct w:val="0"/>
        <w:bidi w:val="0"/>
        <w:spacing w:line="400" w:lineRule="exact"/>
        <w:ind w:firstLine="316" w:firstLineChars="150"/>
        <w:jc w:val="left"/>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四、联系方式</w:t>
      </w:r>
      <w:r>
        <w:rPr>
          <w:rFonts w:hint="eastAsia" w:ascii="宋体" w:hAnsi="宋体" w:cs="宋体"/>
          <w:b/>
          <w:color w:val="auto"/>
          <w:kern w:val="0"/>
          <w:sz w:val="21"/>
          <w:szCs w:val="21"/>
          <w:highlight w:val="none"/>
          <w:lang w:eastAsia="zh-CN"/>
        </w:rPr>
        <w:t>：</w:t>
      </w:r>
    </w:p>
    <w:p w14:paraId="2D4CEEC3">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cs="宋体"/>
          <w:color w:val="auto"/>
          <w:kern w:val="0"/>
          <w:sz w:val="21"/>
          <w:szCs w:val="21"/>
          <w:highlight w:val="none"/>
          <w:lang w:val="en-US" w:eastAsia="zh-CN"/>
        </w:rPr>
        <w:t>莫</w:t>
      </w:r>
      <w:r>
        <w:rPr>
          <w:rFonts w:hint="eastAsia" w:ascii="宋体" w:hAnsi="宋体" w:eastAsia="宋体" w:cs="宋体"/>
          <w:color w:val="auto"/>
          <w:kern w:val="0"/>
          <w:sz w:val="21"/>
          <w:szCs w:val="21"/>
          <w:highlight w:val="none"/>
        </w:rPr>
        <w:t>老师：020-6</w:t>
      </w:r>
      <w:r>
        <w:rPr>
          <w:rFonts w:hint="eastAsia" w:ascii="宋体" w:hAnsi="宋体" w:eastAsia="宋体" w:cs="宋体"/>
          <w:color w:val="auto"/>
          <w:kern w:val="0"/>
          <w:sz w:val="21"/>
          <w:szCs w:val="21"/>
          <w:highlight w:val="none"/>
          <w:lang w:val="en-US" w:eastAsia="zh-CN"/>
        </w:rPr>
        <w:t>2236261</w:t>
      </w:r>
      <w:r>
        <w:rPr>
          <w:rFonts w:hint="eastAsia" w:ascii="宋体" w:hAnsi="宋体" w:eastAsia="宋体" w:cs="宋体"/>
          <w:color w:val="auto"/>
          <w:kern w:val="0"/>
          <w:sz w:val="21"/>
          <w:szCs w:val="21"/>
          <w:highlight w:val="none"/>
        </w:rPr>
        <w:t>（采购业务咨询）  邮箱：nywycgb@126.com</w:t>
      </w:r>
    </w:p>
    <w:p w14:paraId="61EAB851">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江</w:t>
      </w:r>
      <w:r>
        <w:rPr>
          <w:rFonts w:hint="eastAsia" w:ascii="宋体" w:hAnsi="宋体" w:eastAsia="宋体" w:cs="宋体"/>
          <w:color w:val="auto"/>
          <w:kern w:val="0"/>
          <w:sz w:val="21"/>
          <w:szCs w:val="21"/>
          <w:highlight w:val="none"/>
          <w:lang w:val="en-US" w:eastAsia="zh-CN"/>
        </w:rPr>
        <w:t>老师：020-62236250</w:t>
      </w:r>
      <w:r>
        <w:rPr>
          <w:rFonts w:hint="eastAsia" w:ascii="宋体" w:hAnsi="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lang w:val="en-US" w:eastAsia="zh-CN"/>
        </w:rPr>
        <w:t>项目需求咨询）</w:t>
      </w:r>
    </w:p>
    <w:p w14:paraId="3CCF7944">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吴</w:t>
      </w:r>
      <w:r>
        <w:rPr>
          <w:rFonts w:hint="eastAsia" w:ascii="宋体" w:hAnsi="宋体" w:eastAsia="宋体" w:cs="宋体"/>
          <w:color w:val="auto"/>
          <w:kern w:val="0"/>
          <w:sz w:val="21"/>
          <w:szCs w:val="21"/>
          <w:highlight w:val="none"/>
          <w:lang w:val="en-US" w:eastAsia="zh-CN"/>
        </w:rPr>
        <w:t>老师：020-62236105（投诉举报电话）</w:t>
      </w:r>
    </w:p>
    <w:p w14:paraId="4C5DBDD2">
      <w:pPr>
        <w:keepNext w:val="0"/>
        <w:keepLines w:val="0"/>
        <w:pageBreakBefore w:val="0"/>
        <w:widowControl/>
        <w:kinsoku/>
        <w:wordWrap/>
        <w:overflowPunct/>
        <w:topLinePunct w:val="0"/>
        <w:bidi w:val="0"/>
        <w:spacing w:line="400" w:lineRule="exact"/>
        <w:ind w:firstLine="315" w:firstLineChars="15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联系时间（工作日）：8:30-12:00，14:30-17:30</w:t>
      </w:r>
    </w:p>
    <w:p w14:paraId="14A72667">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highlight w:val="none"/>
        </w:rPr>
      </w:pPr>
    </w:p>
    <w:p w14:paraId="0C3082F3">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highlight w:val="none"/>
        </w:rPr>
      </w:pPr>
    </w:p>
    <w:p w14:paraId="05E2F9D1">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highlight w:val="none"/>
        </w:rPr>
      </w:pPr>
    </w:p>
    <w:p w14:paraId="1102110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highlight w:val="none"/>
        </w:rPr>
      </w:pPr>
    </w:p>
    <w:p w14:paraId="37177686">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南方医科大学第五附属医院</w:t>
      </w:r>
    </w:p>
    <w:p w14:paraId="59E5C18D">
      <w:pPr>
        <w:keepNext w:val="0"/>
        <w:keepLines w:val="0"/>
        <w:pageBreakBefore w:val="0"/>
        <w:widowControl/>
        <w:kinsoku/>
        <w:wordWrap/>
        <w:overflowPunct/>
        <w:topLinePunct w:val="0"/>
        <w:bidi w:val="0"/>
        <w:spacing w:line="400" w:lineRule="exact"/>
        <w:jc w:val="right"/>
        <w:textAlignment w:val="auto"/>
        <w:rPr>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202</w:t>
      </w:r>
      <w:r>
        <w:rPr>
          <w:rFonts w:hint="eastAsia" w:ascii="宋体" w:hAnsi="宋体" w:cs="宋体"/>
          <w:color w:val="auto"/>
          <w:kern w:val="0"/>
          <w:sz w:val="21"/>
          <w:szCs w:val="21"/>
          <w:highlight w:val="none"/>
          <w:lang w:val="en-US" w:eastAsia="zh-CN"/>
        </w:rPr>
        <w:t>6</w:t>
      </w:r>
      <w:r>
        <w:rPr>
          <w:rFonts w:hint="eastAsia" w:ascii="宋体" w:hAnsi="宋体" w:eastAsia="宋体" w:cs="宋体"/>
          <w:color w:val="auto"/>
          <w:kern w:val="0"/>
          <w:sz w:val="21"/>
          <w:szCs w:val="21"/>
          <w:highlight w:val="none"/>
        </w:rPr>
        <w:t>年</w:t>
      </w:r>
      <w:r>
        <w:rPr>
          <w:rFonts w:hint="eastAsia" w:ascii="宋体" w:hAnsi="宋体" w:cs="宋体"/>
          <w:color w:val="auto"/>
          <w:kern w:val="0"/>
          <w:sz w:val="21"/>
          <w:szCs w:val="21"/>
          <w:highlight w:val="none"/>
          <w:lang w:val="en-US" w:eastAsia="zh-CN"/>
        </w:rPr>
        <w:t>9</w:t>
      </w:r>
      <w:r>
        <w:rPr>
          <w:rFonts w:hint="eastAsia" w:ascii="宋体" w:hAnsi="宋体" w:eastAsia="宋体" w:cs="宋体"/>
          <w:color w:val="auto"/>
          <w:kern w:val="0"/>
          <w:sz w:val="21"/>
          <w:szCs w:val="21"/>
          <w:highlight w:val="none"/>
        </w:rPr>
        <w:t>月</w:t>
      </w:r>
      <w:r>
        <w:rPr>
          <w:rFonts w:hint="eastAsia" w:ascii="宋体" w:hAnsi="宋体" w:cs="宋体"/>
          <w:color w:val="auto"/>
          <w:kern w:val="0"/>
          <w:sz w:val="21"/>
          <w:szCs w:val="21"/>
          <w:highlight w:val="none"/>
          <w:lang w:val="en-US" w:eastAsia="zh-CN"/>
        </w:rPr>
        <w:t>30</w:t>
      </w:r>
      <w:r>
        <w:rPr>
          <w:rFonts w:hint="eastAsia" w:ascii="宋体" w:hAnsi="宋体" w:eastAsia="宋体" w:cs="宋体"/>
          <w:color w:val="auto"/>
          <w:kern w:val="0"/>
          <w:sz w:val="21"/>
          <w:szCs w:val="21"/>
          <w:highlight w:val="none"/>
        </w:rPr>
        <w:t>日</w:t>
      </w:r>
    </w:p>
    <w:p w14:paraId="70535F57">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3237F02B">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E540E5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659615A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4798B30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0397DEC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F267BE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7005AF13">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60DD7DE6">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4974BAA">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686CAE5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31DDA562">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02A00198">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5C4284A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30F1B6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7239638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32A68C99">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7DDE61B1">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4E7B1C94">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sectPr>
          <w:headerReference r:id="rId9" w:type="default"/>
          <w:footerReference r:id="rId10" w:type="default"/>
          <w:pgSz w:w="12240" w:h="15840"/>
          <w:pgMar w:top="1440" w:right="1418" w:bottom="1440" w:left="1418" w:header="720" w:footer="720" w:gutter="0"/>
          <w:pgBorders>
            <w:top w:val="none" w:sz="0" w:space="0"/>
            <w:left w:val="none" w:sz="0" w:space="0"/>
            <w:bottom w:val="none" w:sz="0" w:space="0"/>
            <w:right w:val="none" w:sz="0" w:space="0"/>
          </w:pgBorders>
          <w:pgNumType w:fmt="decimal" w:start="1"/>
          <w:cols w:space="720" w:num="1"/>
        </w:sectPr>
      </w:pPr>
    </w:p>
    <w:p w14:paraId="4FDD1F40">
      <w:pPr>
        <w:numPr>
          <w:ilvl w:val="0"/>
          <w:numId w:val="3"/>
        </w:numPr>
        <w:spacing w:line="360" w:lineRule="auto"/>
        <w:ind w:firstLine="422" w:firstLineChars="150"/>
        <w:jc w:val="center"/>
        <w:outlineLvl w:val="0"/>
        <w:rPr>
          <w:rFonts w:hint="eastAsia" w:ascii="宋体" w:hAnsi="宋体"/>
          <w:b/>
          <w:bCs/>
          <w:color w:val="auto"/>
          <w:sz w:val="28"/>
          <w:szCs w:val="28"/>
          <w:highlight w:val="none"/>
        </w:rPr>
      </w:pPr>
      <w:bookmarkStart w:id="43" w:name="_Toc18199"/>
      <w:bookmarkStart w:id="44" w:name="_Toc29094"/>
      <w:r>
        <w:rPr>
          <w:rFonts w:hint="eastAsia" w:ascii="宋体" w:hAnsi="宋体"/>
          <w:b/>
          <w:bCs/>
          <w:color w:val="auto"/>
          <w:sz w:val="28"/>
          <w:szCs w:val="28"/>
          <w:highlight w:val="none"/>
          <w:lang w:val="en-US" w:eastAsia="zh-CN"/>
        </w:rPr>
        <w:t>采购需求</w:t>
      </w:r>
      <w:bookmarkEnd w:id="41"/>
      <w:bookmarkEnd w:id="42"/>
      <w:bookmarkEnd w:id="43"/>
      <w:bookmarkEnd w:id="44"/>
    </w:p>
    <w:p w14:paraId="31C37965">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527" w:firstLineChars="250"/>
        <w:jc w:val="left"/>
        <w:textAlignment w:val="auto"/>
        <w:rPr>
          <w:rFonts w:hint="eastAsia" w:ascii="宋体" w:hAnsi="宋体" w:eastAsia="宋体" w:cs="宋体"/>
          <w:b/>
          <w:color w:val="auto"/>
          <w:kern w:val="0"/>
          <w:sz w:val="21"/>
          <w:szCs w:val="21"/>
          <w:highlight w:val="none"/>
          <w:lang w:val="en-US" w:eastAsia="zh-CN"/>
        </w:rPr>
      </w:pPr>
      <w:bookmarkStart w:id="45" w:name="_Toc32106"/>
      <w:bookmarkStart w:id="46" w:name="_Toc10636"/>
      <w:bookmarkStart w:id="47" w:name="_Toc12178"/>
      <w:bookmarkStart w:id="48" w:name="_Toc4236"/>
      <w:bookmarkStart w:id="49" w:name="_Toc26796"/>
      <w:bookmarkStart w:id="50" w:name="_Toc6416"/>
      <w:bookmarkStart w:id="51" w:name="_Toc27614"/>
      <w:bookmarkStart w:id="52" w:name="_Toc20762"/>
      <w:bookmarkStart w:id="53" w:name="_Toc28850"/>
      <w:bookmarkStart w:id="54" w:name="_Toc20606"/>
      <w:bookmarkStart w:id="55" w:name="_Toc8122"/>
      <w:r>
        <w:rPr>
          <w:rFonts w:hint="eastAsia" w:ascii="宋体" w:hAnsi="宋体" w:eastAsia="宋体" w:cs="宋体"/>
          <w:b/>
          <w:bCs/>
          <w:color w:val="auto"/>
          <w:kern w:val="0"/>
          <w:sz w:val="21"/>
          <w:szCs w:val="21"/>
          <w:highlight w:val="none"/>
          <w:lang w:val="en-US" w:eastAsia="zh-CN"/>
        </w:rPr>
        <w:t>一、项目概况</w:t>
      </w:r>
    </w:p>
    <w:p w14:paraId="781496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（一）项目名称：南方医科大学第五附属医院</w:t>
      </w:r>
      <w:r>
        <w:rPr>
          <w:rFonts w:hint="eastAsia" w:ascii="宋体" w:hAnsi="宋体" w:cs="宋体"/>
          <w:b w:val="0"/>
          <w:bCs/>
          <w:color w:val="auto"/>
          <w:kern w:val="0"/>
          <w:sz w:val="21"/>
          <w:szCs w:val="21"/>
          <w:highlight w:val="none"/>
          <w:lang w:val="en-US" w:eastAsia="zh-CN"/>
        </w:rPr>
        <w:t>多媒体分诊导引系统升级项目</w:t>
      </w:r>
    </w:p>
    <w:p w14:paraId="16AB92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（二）项目</w:t>
      </w:r>
      <w:r>
        <w:rPr>
          <w:rFonts w:hint="eastAsia" w:ascii="宋体" w:hAnsi="宋体" w:cs="宋体"/>
          <w:b w:val="0"/>
          <w:bCs/>
          <w:color w:val="auto"/>
          <w:kern w:val="0"/>
          <w:sz w:val="21"/>
          <w:szCs w:val="21"/>
          <w:highlight w:val="none"/>
          <w:lang w:val="en-US" w:eastAsia="zh-CN"/>
        </w:rPr>
        <w:t>预算（</w:t>
      </w:r>
      <w:r>
        <w:rPr>
          <w:rFonts w:hint="eastAsia" w:ascii="宋体" w:hAnsi="宋体" w:eastAsia="宋体" w:cs="宋体"/>
          <w:b w:val="0"/>
          <w:bCs/>
          <w:color w:val="auto"/>
          <w:kern w:val="0"/>
          <w:sz w:val="21"/>
          <w:szCs w:val="21"/>
          <w:highlight w:val="none"/>
          <w:lang w:val="en-US" w:eastAsia="zh-CN"/>
        </w:rPr>
        <w:t>限价</w:t>
      </w:r>
      <w:r>
        <w:rPr>
          <w:rFonts w:hint="eastAsia" w:ascii="宋体" w:hAnsi="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lang w:val="en-US" w:eastAsia="zh-CN"/>
        </w:rPr>
        <w:t>：</w:t>
      </w:r>
      <w:r>
        <w:rPr>
          <w:rFonts w:hint="eastAsia" w:ascii="宋体" w:hAnsi="宋体" w:cs="宋体"/>
          <w:b w:val="0"/>
          <w:bCs/>
          <w:color w:val="auto"/>
          <w:kern w:val="0"/>
          <w:sz w:val="21"/>
          <w:szCs w:val="21"/>
          <w:highlight w:val="none"/>
          <w:lang w:val="en-US" w:eastAsia="zh-CN"/>
        </w:rPr>
        <w:t>110000</w:t>
      </w:r>
      <w:r>
        <w:rPr>
          <w:rFonts w:hint="eastAsia" w:ascii="宋体" w:hAnsi="宋体" w:eastAsia="宋体" w:cs="宋体"/>
          <w:b w:val="0"/>
          <w:bCs/>
          <w:color w:val="auto"/>
          <w:kern w:val="0"/>
          <w:sz w:val="21"/>
          <w:szCs w:val="21"/>
          <w:highlight w:val="none"/>
          <w:lang w:val="en-US" w:eastAsia="zh-CN"/>
        </w:rPr>
        <w:t>元</w:t>
      </w:r>
    </w:p>
    <w:p w14:paraId="043B10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strike w:val="0"/>
          <w:dstrike w:val="0"/>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（三）工期</w:t>
      </w:r>
      <w:r>
        <w:rPr>
          <w:rFonts w:hint="eastAsia" w:ascii="宋体" w:hAnsi="宋体" w:eastAsia="宋体" w:cs="宋体"/>
          <w:b w:val="0"/>
          <w:bCs/>
          <w:color w:val="auto"/>
          <w:kern w:val="0"/>
          <w:sz w:val="21"/>
          <w:szCs w:val="21"/>
          <w:highlight w:val="none"/>
          <w:lang w:val="en-US" w:eastAsia="zh-CN"/>
        </w:rPr>
        <w:t>：自合同签订之日起6个月内完成部署，并且所有功能能够正常使用。</w:t>
      </w:r>
    </w:p>
    <w:p w14:paraId="23332A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（四）</w:t>
      </w:r>
      <w:r>
        <w:rPr>
          <w:rFonts w:hint="eastAsia" w:ascii="宋体" w:hAnsi="宋体" w:eastAsia="宋体" w:cs="宋体"/>
          <w:b w:val="0"/>
          <w:bCs/>
          <w:color w:val="auto"/>
          <w:kern w:val="0"/>
          <w:sz w:val="21"/>
          <w:szCs w:val="21"/>
          <w:highlight w:val="none"/>
          <w:lang w:val="en-US" w:eastAsia="zh-CN"/>
        </w:rPr>
        <w:t>地点：采购人指定地点</w:t>
      </w:r>
      <w:r>
        <w:rPr>
          <w:rFonts w:hint="eastAsia" w:ascii="宋体" w:hAnsi="宋体" w:cs="宋体"/>
          <w:b w:val="0"/>
          <w:bCs/>
          <w:color w:val="auto"/>
          <w:kern w:val="0"/>
          <w:sz w:val="21"/>
          <w:szCs w:val="21"/>
          <w:highlight w:val="none"/>
          <w:lang w:val="en-US" w:eastAsia="zh-CN"/>
        </w:rPr>
        <w:t>。</w:t>
      </w:r>
    </w:p>
    <w:p w14:paraId="417EAD3A">
      <w:pPr>
        <w:keepNext w:val="0"/>
        <w:keepLines w:val="0"/>
        <w:pageBreakBefore w:val="0"/>
        <w:widowControl/>
        <w:kinsoku/>
        <w:wordWrap/>
        <w:overflowPunct/>
        <w:topLinePunct w:val="0"/>
        <w:autoSpaceDE/>
        <w:autoSpaceDN/>
        <w:bidi w:val="0"/>
        <w:adjustRightInd/>
        <w:snapToGrid/>
        <w:spacing w:line="360" w:lineRule="auto"/>
        <w:ind w:left="0" w:leftChars="0" w:right="0" w:rightChars="0" w:firstLine="422" w:firstLineChars="200"/>
        <w:jc w:val="left"/>
        <w:textAlignment w:val="auto"/>
        <w:rPr>
          <w:rFonts w:hint="default"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1"/>
          <w:szCs w:val="21"/>
          <w:highlight w:val="none"/>
          <w:lang w:val="en-US" w:eastAsia="zh-CN"/>
        </w:rPr>
        <w:t>二</w:t>
      </w:r>
      <w:r>
        <w:rPr>
          <w:rFonts w:hint="eastAsia" w:ascii="宋体" w:hAnsi="宋体" w:eastAsia="宋体" w:cs="宋体"/>
          <w:b/>
          <w:bCs/>
          <w:color w:val="auto"/>
          <w:kern w:val="0"/>
          <w:sz w:val="21"/>
          <w:szCs w:val="21"/>
          <w:highlight w:val="none"/>
          <w:lang w:val="en-US" w:eastAsia="zh-CN"/>
        </w:rPr>
        <w:t>、技术要求</w:t>
      </w:r>
    </w:p>
    <w:p w14:paraId="60656E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（一）采购项目需实现的功能和目标</w:t>
      </w:r>
      <w:r>
        <w:rPr>
          <w:rFonts w:hint="eastAsia" w:ascii="宋体" w:hAnsi="宋体" w:cs="宋体"/>
          <w:b/>
          <w:bCs w:val="0"/>
          <w:color w:val="auto"/>
          <w:kern w:val="0"/>
          <w:sz w:val="21"/>
          <w:szCs w:val="21"/>
          <w:highlight w:val="none"/>
          <w:lang w:val="en-US" w:eastAsia="zh-CN"/>
        </w:rPr>
        <w:t>（除“▲”和“★”条款外，按序号1-4计4条一般性条款）</w:t>
      </w:r>
    </w:p>
    <w:p w14:paraId="2D90E14A">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w:t>
      </w:r>
      <w:r>
        <w:rPr>
          <w:rFonts w:hint="eastAsia" w:ascii="宋体" w:hAnsi="宋体" w:eastAsia="宋体" w:cs="宋体"/>
          <w:b w:val="0"/>
          <w:bCs w:val="0"/>
          <w:sz w:val="21"/>
          <w:szCs w:val="21"/>
          <w:highlight w:val="none"/>
        </w:rPr>
        <w:t>现状：</w:t>
      </w:r>
      <w:r>
        <w:rPr>
          <w:rFonts w:hint="eastAsia" w:ascii="宋体" w:hAnsi="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 xml:space="preserve">现有分诊叫号系统建设时间较早，部分终端设备存在硬件老化、系统版本偏低、运行卡顿、叫号漏号、远程运维不便、队列调整能力不足等问题，已难以充分满足当前门诊、急诊、体检等区域的高峰就诊秩序管理和智慧门诊建设需要。 </w:t>
      </w:r>
    </w:p>
    <w:p w14:paraId="65E3D0B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rPr>
        <w:t>建设目标：本项目拟在保留原有可用线路、终端和数据资源的基础上，对多媒体分诊导引系统进行信创升级、软硬件适配、接口联调和功能优化，重点提升系统稳定性、兼容性、可维护性和分诊队列管理能力，进一步规范候诊秩序、改善患者体验、支撑医院精细化管理。</w:t>
      </w:r>
    </w:p>
    <w:p w14:paraId="21526D6D">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rPr>
        <w:t>总体实现功能：</w:t>
      </w:r>
    </w:p>
    <w:p w14:paraId="3E0F98D0">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kern w:val="2"/>
          <w:sz w:val="21"/>
          <w:szCs w:val="21"/>
          <w:highlight w:val="none"/>
          <w:lang w:val="en-US" w:eastAsia="zh-CN" w:bidi="ar-SA"/>
        </w:rPr>
        <w:t>（1）</w:t>
      </w:r>
      <w:r>
        <w:rPr>
          <w:rFonts w:hint="eastAsia" w:ascii="宋体" w:hAnsi="宋体" w:eastAsia="宋体" w:cs="宋体"/>
          <w:b w:val="0"/>
          <w:bCs w:val="0"/>
          <w:sz w:val="21"/>
          <w:szCs w:val="21"/>
          <w:highlight w:val="none"/>
        </w:rPr>
        <w:t>实现与</w:t>
      </w:r>
      <w:r>
        <w:rPr>
          <w:rFonts w:hint="eastAsia" w:ascii="宋体" w:hAnsi="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HIS、预约挂号、检查检验等系统的数据互通；</w:t>
      </w:r>
    </w:p>
    <w:p w14:paraId="18B835D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支持预约、现场、复诊、特殊人群优先等多业务场景排队叫号；</w:t>
      </w:r>
    </w:p>
    <w:p w14:paraId="7C2CAB94">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支持分诊台根据实际业务需要调整患者队列顺序；</w:t>
      </w:r>
    </w:p>
    <w:p w14:paraId="1440958F">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提供候诊显示、语音播报、诊室屏/综合屏展示、统计报表、权限管理、运行监控和运维管理等能力；</w:t>
      </w:r>
    </w:p>
    <w:p w14:paraId="6791422A">
      <w:pPr>
        <w:keepNext w:val="0"/>
        <w:keepLines w:val="0"/>
        <w:pageBreakBefore w:val="0"/>
        <w:widowControl/>
        <w:suppressLineNumbers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4.</w:t>
      </w:r>
      <w:r>
        <w:rPr>
          <w:rFonts w:hint="eastAsia" w:ascii="宋体" w:hAnsi="宋体" w:eastAsia="宋体" w:cs="宋体"/>
          <w:b w:val="0"/>
          <w:bCs w:val="0"/>
          <w:sz w:val="21"/>
          <w:szCs w:val="21"/>
          <w:highlight w:val="none"/>
        </w:rPr>
        <w:t>满足医院信创适配、数据安全和后续扩展要求。</w:t>
      </w:r>
    </w:p>
    <w:p w14:paraId="408BFE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firstLine="420" w:firstLineChars="20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kern w:val="2"/>
          <w:sz w:val="21"/>
          <w:szCs w:val="21"/>
          <w:highlight w:val="none"/>
          <w:lang w:val="en-US" w:eastAsia="zh-CN" w:bidi="ar-SA"/>
        </w:rPr>
        <w:t>（二）</w:t>
      </w:r>
      <w:r>
        <w:rPr>
          <w:rFonts w:hint="eastAsia" w:ascii="宋体" w:hAnsi="宋体" w:eastAsia="宋体" w:cs="宋体"/>
          <w:b w:val="0"/>
          <w:bCs w:val="0"/>
          <w:sz w:val="21"/>
          <w:szCs w:val="21"/>
          <w:highlight w:val="none"/>
        </w:rPr>
        <w:t>技术</w:t>
      </w:r>
      <w:r>
        <w:rPr>
          <w:rFonts w:hint="eastAsia" w:ascii="宋体" w:hAnsi="宋体" w:cs="宋体"/>
          <w:b w:val="0"/>
          <w:bCs w:val="0"/>
          <w:sz w:val="21"/>
          <w:szCs w:val="21"/>
          <w:highlight w:val="none"/>
          <w:lang w:val="en-US" w:eastAsia="zh-CN"/>
        </w:rPr>
        <w:t>参数</w:t>
      </w:r>
      <w:r>
        <w:rPr>
          <w:rFonts w:hint="eastAsia" w:ascii="宋体" w:hAnsi="宋体" w:eastAsia="宋体" w:cs="宋体"/>
          <w:b w:val="0"/>
          <w:bCs w:val="0"/>
          <w:sz w:val="21"/>
          <w:szCs w:val="21"/>
          <w:highlight w:val="none"/>
        </w:rPr>
        <w:t>要求</w:t>
      </w:r>
      <w:r>
        <w:rPr>
          <w:rFonts w:hint="eastAsia" w:ascii="宋体" w:hAnsi="宋体" w:cs="宋体"/>
          <w:b/>
          <w:bCs w:val="0"/>
          <w:color w:val="auto"/>
          <w:kern w:val="0"/>
          <w:sz w:val="21"/>
          <w:szCs w:val="21"/>
          <w:highlight w:val="none"/>
          <w:lang w:val="en-US" w:eastAsia="zh-CN"/>
        </w:rPr>
        <w:t>（除“▲”和“★”条款外，按序号1-12计12条一般性条款）</w:t>
      </w:r>
    </w:p>
    <w:p w14:paraId="1F19ED24">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w:t>
      </w:r>
      <w:r>
        <w:rPr>
          <w:rFonts w:hint="eastAsia" w:ascii="宋体" w:hAnsi="宋体" w:eastAsia="宋体" w:cs="宋体"/>
          <w:b w:val="0"/>
          <w:bCs/>
          <w:sz w:val="21"/>
          <w:szCs w:val="21"/>
          <w:highlight w:val="none"/>
        </w:rPr>
        <w:t>信息发布系统平台软件（信创版）</w:t>
      </w:r>
    </w:p>
    <w:p w14:paraId="3BF68BB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w:t>
      </w:r>
      <w:r>
        <w:rPr>
          <w:rFonts w:hint="default" w:ascii="宋体" w:hAnsi="宋体" w:eastAsia="宋体" w:cs="宋体"/>
          <w:b w:val="0"/>
          <w:bCs/>
          <w:kern w:val="2"/>
          <w:sz w:val="21"/>
          <w:szCs w:val="21"/>
          <w:highlight w:val="none"/>
          <w:lang w:val="en-US" w:eastAsia="zh-CN" w:bidi="ar-SA"/>
        </w:rPr>
        <w:t>1</w:t>
      </w:r>
      <w:r>
        <w:rPr>
          <w:rFonts w:hint="eastAsia" w:ascii="宋体" w:hAnsi="宋体" w:cs="宋体"/>
          <w:b w:val="0"/>
          <w:bCs/>
          <w:kern w:val="2"/>
          <w:sz w:val="21"/>
          <w:szCs w:val="21"/>
          <w:highlight w:val="none"/>
          <w:lang w:val="en-US" w:eastAsia="zh-CN" w:bidi="ar-SA"/>
        </w:rPr>
        <w:t>）</w:t>
      </w:r>
      <w:r>
        <w:rPr>
          <w:rFonts w:hint="eastAsia" w:ascii="宋体" w:hAnsi="宋体" w:eastAsia="宋体" w:cs="宋体"/>
          <w:b w:val="0"/>
          <w:bCs/>
          <w:sz w:val="21"/>
          <w:szCs w:val="21"/>
          <w:highlight w:val="none"/>
        </w:rPr>
        <w:t>为方便管理，信息发布系统需与排队叫号系统需在同一平台管理；</w:t>
      </w:r>
    </w:p>
    <w:p w14:paraId="23D3D00E">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w:t>
      </w:r>
      <w:r>
        <w:rPr>
          <w:rFonts w:hint="eastAsia" w:ascii="宋体" w:hAnsi="宋体" w:eastAsia="宋体" w:cs="宋体"/>
          <w:b w:val="0"/>
          <w:bCs/>
          <w:sz w:val="21"/>
          <w:szCs w:val="21"/>
          <w:highlight w:val="none"/>
        </w:rPr>
        <w:t>系统需支持各类素材的分类管理，格式转换灵活，可对素材进行预览；</w:t>
      </w:r>
    </w:p>
    <w:p w14:paraId="086E4374">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（3）</w:t>
      </w:r>
      <w:r>
        <w:rPr>
          <w:rFonts w:hint="eastAsia" w:ascii="宋体" w:hAnsi="宋体" w:eastAsia="宋体" w:cs="宋体"/>
          <w:b w:val="0"/>
          <w:bCs/>
          <w:sz w:val="21"/>
          <w:szCs w:val="21"/>
          <w:highlight w:val="none"/>
        </w:rPr>
        <w:t>系统需支持提供常规节目模板库，同时管理员可自行设计制作模板，或在模板基础上进行定制修改形成新的模板，可以保存、复用；可以导入导出节目模板；</w:t>
      </w:r>
    </w:p>
    <w:p w14:paraId="4C8DED14">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（4）</w:t>
      </w:r>
      <w:r>
        <w:rPr>
          <w:rFonts w:hint="eastAsia" w:ascii="宋体" w:hAnsi="宋体" w:eastAsia="宋体" w:cs="宋体"/>
          <w:b w:val="0"/>
          <w:bCs/>
          <w:sz w:val="21"/>
          <w:szCs w:val="21"/>
          <w:highlight w:val="none"/>
        </w:rPr>
        <w:t>系统需支持备份管理：系统可手动、自动对数据库进行备份，手动还原；</w:t>
      </w:r>
    </w:p>
    <w:p w14:paraId="2EEAF4F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（5）</w:t>
      </w:r>
      <w:r>
        <w:rPr>
          <w:rFonts w:hint="eastAsia" w:ascii="宋体" w:hAnsi="宋体" w:eastAsia="宋体" w:cs="宋体"/>
          <w:b w:val="0"/>
          <w:bCs/>
          <w:sz w:val="21"/>
          <w:szCs w:val="21"/>
          <w:highlight w:val="none"/>
        </w:rPr>
        <w:t>将制作好的节目发送到指定的单个播放端或某个播放组，系统须支持设定节目下载时间，实现立即传输、定时传输或周期传输，支持大文件素材的断点续传功能；脱机发布方式</w:t>
      </w:r>
      <w:r>
        <w:rPr>
          <w:rFonts w:hint="eastAsia" w:ascii="宋体" w:hAnsi="宋体" w:eastAsia="宋体" w:cs="宋体"/>
          <w:b w:val="0"/>
          <w:bCs/>
          <w:color w:val="000000" w:themeColor="text1"/>
          <w:sz w:val="21"/>
          <w:szCs w:val="21"/>
          <w:highlight w:val="none"/>
          <w14:textFill>
            <w14:solidFill>
              <w14:schemeClr w14:val="tx1"/>
            </w14:solidFill>
          </w14:textFill>
        </w:rPr>
        <w:t>；</w:t>
      </w:r>
    </w:p>
    <w:p w14:paraId="70597A5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（6）</w:t>
      </w:r>
      <w:r>
        <w:rPr>
          <w:rFonts w:hint="eastAsia" w:ascii="宋体" w:hAnsi="宋体" w:eastAsia="宋体" w:cs="宋体"/>
          <w:b w:val="0"/>
          <w:bCs/>
          <w:sz w:val="21"/>
          <w:szCs w:val="21"/>
          <w:highlight w:val="none"/>
        </w:rPr>
        <w:t>系统需支持多种播出方式：自动播出、定时播出、即时插播、多时段播出等。即时插播，将插播的内容设定完成，立即派送到指定的单个或多个客户端，系统将插播节目规划及多媒体内容下载到各个指定的客户端，并记录传送结果。客户端成功接收后立即播放插播节目，插播节目结束后恢复执行原来的节目表；</w:t>
      </w:r>
    </w:p>
    <w:p w14:paraId="36EC922B">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（7）</w:t>
      </w:r>
      <w:r>
        <w:rPr>
          <w:rFonts w:hint="eastAsia" w:ascii="宋体" w:hAnsi="宋体" w:eastAsia="宋体" w:cs="宋体"/>
          <w:b w:val="0"/>
          <w:bCs/>
          <w:sz w:val="21"/>
          <w:szCs w:val="21"/>
          <w:highlight w:val="none"/>
        </w:rPr>
        <w:t>系统需支持唯一的操作员ID、操作密码。用户安全策略由用户认证系统统一设置，每个操作员的操作等级及权限设置应至少包括允许操作的单台设备或者设备组、允许操作的功能，用户之间可以相互屏蔽各自的资源和频道等。用户认证系统具备操作员ID号的创建、删除、分配和修改功能；</w:t>
      </w:r>
    </w:p>
    <w:p w14:paraId="5BFCEB1F">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8</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对系统的用户及用户组、发布点及发布组、多级管理等功能进行权限的设置，以方便系统的管理及维护；</w:t>
      </w:r>
    </w:p>
    <w:p w14:paraId="33AFF2FE">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9</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系统需支持播出单审核功能：系统具备播出单审核与预览功能，操作员编辑后的播出单，需要通过对应的审核员进行审核，审核后的播出单才能进行发布，审核不通过的进行打回，通过站内消息通知操作员；</w:t>
      </w:r>
    </w:p>
    <w:p w14:paraId="2F870A4C">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10</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系统终端需一定的存储能力，可支持本地离线的发布，保证遇紧急情况时，所有显示屏都可正常播出本地节目；</w:t>
      </w:r>
    </w:p>
    <w:p w14:paraId="23B33CAF">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11</w:t>
      </w:r>
      <w:r>
        <w:rPr>
          <w:rFonts w:hint="eastAsia" w:ascii="宋体" w:hAnsi="宋体" w:cs="宋体"/>
          <w:b w:val="0"/>
          <w:bCs/>
          <w:sz w:val="21"/>
          <w:szCs w:val="21"/>
          <w:highlight w:val="none"/>
          <w:lang w:eastAsia="zh-CN"/>
        </w:rPr>
        <w:t>）</w:t>
      </w:r>
      <w:r>
        <w:rPr>
          <w:rFonts w:hint="eastAsia"/>
          <w:lang w:val="en-US" w:eastAsia="zh-CN"/>
        </w:rPr>
        <w:t>系</w:t>
      </w:r>
      <w:r>
        <w:rPr>
          <w:rFonts w:hint="eastAsia" w:ascii="宋体" w:hAnsi="宋体" w:eastAsia="宋体" w:cs="宋体"/>
          <w:b w:val="0"/>
          <w:bCs/>
          <w:sz w:val="21"/>
          <w:szCs w:val="21"/>
          <w:highlight w:val="none"/>
        </w:rPr>
        <w:t>统应采用B/S架构，任意在线管理人员均可通过浏览器登录系统后台，对系统所有部署硬件及播放内容进行远程管理，包括远程查看设备运行状态（在线或离线），远程重启，远程定时开关机设定，远程截图，远程升级等；且需支持信息发布系统与叫号系统在同一平台上管控</w:t>
      </w:r>
      <w:r>
        <w:rPr>
          <w:rFonts w:hint="eastAsia" w:ascii="宋体" w:hAnsi="宋体" w:cs="宋体"/>
          <w:b w:val="0"/>
          <w:bCs/>
          <w:sz w:val="21"/>
          <w:szCs w:val="21"/>
          <w:highlight w:val="none"/>
          <w:lang w:eastAsia="zh-CN"/>
        </w:rPr>
        <w:t>；</w:t>
      </w:r>
    </w:p>
    <w:p w14:paraId="7F640D7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设备支持统一管理、集中控制，远程推送不同素材</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支持直播流的播放，可以添加编码器的直播源，支持会议信号、电视信号、卫星信号、监控信号、网络直播源等直播素材的播放</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支持按照用户设定的规则进行播放</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同时支持接收客户端及管理端发送的文字广播内容，并自动转换为语音进行播报；功能可适配系统内所有一级分诊屏设备。设备支持来电自动进入工作状态。（需提供第三方检测机构出具的检测报告）</w:t>
      </w:r>
    </w:p>
    <w:p w14:paraId="0214E86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2</w:t>
      </w:r>
      <w:r>
        <w:rPr>
          <w:rFonts w:hint="eastAsia" w:ascii="宋体" w:hAnsi="宋体" w:cs="宋体"/>
          <w:b w:val="0"/>
          <w:bCs/>
          <w:sz w:val="21"/>
          <w:szCs w:val="21"/>
          <w:highlight w:val="none"/>
          <w:lang w:val="en-US" w:eastAsia="zh-CN"/>
        </w:rPr>
        <w:t>.</w:t>
      </w:r>
      <w:r>
        <w:rPr>
          <w:rFonts w:hint="eastAsia" w:ascii="宋体" w:hAnsi="宋体" w:eastAsia="宋体" w:cs="宋体"/>
          <w:b w:val="0"/>
          <w:bCs/>
          <w:sz w:val="21"/>
          <w:szCs w:val="21"/>
          <w:highlight w:val="none"/>
        </w:rPr>
        <w:t>排队叫号系统平台软件（信创版）</w:t>
      </w:r>
    </w:p>
    <w:p w14:paraId="6FA0BDB6">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叫号系统软件装载在分诊及HIS接口服务器上，该服务器需有良好的数据备份及安全措施</w:t>
      </w:r>
      <w:r>
        <w:rPr>
          <w:rFonts w:hint="eastAsia" w:ascii="宋体" w:hAnsi="宋体" w:cs="宋体"/>
          <w:b w:val="0"/>
          <w:bCs/>
          <w:sz w:val="21"/>
          <w:szCs w:val="21"/>
          <w:highlight w:val="none"/>
          <w:lang w:eastAsia="zh-CN"/>
        </w:rPr>
        <w:t>；</w:t>
      </w:r>
    </w:p>
    <w:p w14:paraId="3A11910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系统后台应具备部门管理、用户管理、角色管理功能，终端管理，监控管理等子模块功能，方便后期维护人员对终端、播放内容进行高效管理</w:t>
      </w:r>
      <w:r>
        <w:rPr>
          <w:rFonts w:hint="eastAsia" w:ascii="宋体" w:hAnsi="宋体" w:cs="宋体"/>
          <w:b w:val="0"/>
          <w:bCs/>
          <w:sz w:val="21"/>
          <w:szCs w:val="21"/>
          <w:highlight w:val="none"/>
          <w:lang w:eastAsia="zh-CN"/>
        </w:rPr>
        <w:t>；</w:t>
      </w:r>
    </w:p>
    <w:p w14:paraId="772CD15F">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系统需具备与微信公众号对接能力，系统应具备扫一扫二维码查询排队进度功能，应具备患者主动查询排队信息功能；应具备叫号预备推送功能</w:t>
      </w:r>
      <w:r>
        <w:rPr>
          <w:rFonts w:hint="eastAsia" w:ascii="宋体" w:hAnsi="宋体" w:cs="宋体"/>
          <w:b w:val="0"/>
          <w:bCs/>
          <w:sz w:val="21"/>
          <w:szCs w:val="21"/>
          <w:highlight w:val="none"/>
          <w:lang w:eastAsia="zh-CN"/>
        </w:rPr>
        <w:t>；</w:t>
      </w:r>
    </w:p>
    <w:p w14:paraId="7D3B1B8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系统需支持接收HIS接口数据、医生诊室电脑、护士站电脑传来的信息，实时生成最新的分诊导引排队队列信息，并按显示规则推送到相对应的一级分诊屏、二级分诊屏上</w:t>
      </w:r>
      <w:r>
        <w:rPr>
          <w:rFonts w:hint="eastAsia" w:ascii="宋体" w:hAnsi="宋体" w:cs="宋体"/>
          <w:b w:val="0"/>
          <w:bCs/>
          <w:sz w:val="21"/>
          <w:szCs w:val="21"/>
          <w:highlight w:val="none"/>
          <w:lang w:eastAsia="zh-CN"/>
        </w:rPr>
        <w:t>；</w:t>
      </w:r>
    </w:p>
    <w:p w14:paraId="743B34D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可根据一个诊室多医生的实际情况，调整二级屏的显示模式</w:t>
      </w:r>
      <w:r>
        <w:rPr>
          <w:rFonts w:hint="eastAsia" w:ascii="宋体" w:hAnsi="宋体" w:cs="宋体"/>
          <w:b w:val="0"/>
          <w:bCs/>
          <w:sz w:val="21"/>
          <w:szCs w:val="21"/>
          <w:highlight w:val="none"/>
          <w:lang w:eastAsia="zh-CN"/>
        </w:rPr>
        <w:t>；</w:t>
      </w:r>
    </w:p>
    <w:p w14:paraId="5FB0A5BA">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6</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一级、二级分诊屏的显示画面可根据医院需求定制且修改方便</w:t>
      </w:r>
      <w:r>
        <w:rPr>
          <w:rFonts w:hint="eastAsia" w:ascii="宋体" w:hAnsi="宋体" w:cs="宋体"/>
          <w:b w:val="0"/>
          <w:bCs/>
          <w:sz w:val="21"/>
          <w:szCs w:val="21"/>
          <w:highlight w:val="none"/>
          <w:lang w:eastAsia="zh-CN"/>
        </w:rPr>
        <w:t>；</w:t>
      </w:r>
    </w:p>
    <w:p w14:paraId="71E6E30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7</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满足多系统之间互联互通要求，方便后期对数据接口以及软件故障排查，系统需具备日志可视化管理功能，并能通过日志生成时间、操作者来源、操作类型、操作模块、操作结果、操作时间、耗时等进行快速筛查，极大方便后期日常维护工作</w:t>
      </w:r>
      <w:r>
        <w:rPr>
          <w:rFonts w:hint="eastAsia" w:ascii="宋体" w:hAnsi="宋体" w:cs="宋体"/>
          <w:b w:val="0"/>
          <w:bCs/>
          <w:sz w:val="21"/>
          <w:szCs w:val="21"/>
          <w:highlight w:val="none"/>
          <w:lang w:eastAsia="zh-CN"/>
        </w:rPr>
        <w:t>；</w:t>
      </w:r>
    </w:p>
    <w:p w14:paraId="13AB1FD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8</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为保证系统数据安全，系统后台需支持对数据的可视化管理，支持自定义设置历史数据保留时长，支持对数据进行隐私保护标识符号进行设置，支持选择是否开启数据备份服务，以及备份周期进行选择</w:t>
      </w:r>
      <w:r>
        <w:rPr>
          <w:rFonts w:hint="eastAsia" w:ascii="宋体" w:hAnsi="宋体" w:cs="宋体"/>
          <w:b w:val="0"/>
          <w:bCs/>
          <w:sz w:val="21"/>
          <w:szCs w:val="21"/>
          <w:highlight w:val="none"/>
          <w:lang w:eastAsia="zh-CN"/>
        </w:rPr>
        <w:t>；</w:t>
      </w:r>
    </w:p>
    <w:p w14:paraId="6A680F7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9</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根据</w:t>
      </w:r>
      <w:r>
        <w:rPr>
          <w:rFonts w:hint="eastAsia" w:ascii="宋体" w:hAnsi="宋体" w:cs="宋体"/>
          <w:b w:val="0"/>
          <w:bCs/>
          <w:sz w:val="21"/>
          <w:szCs w:val="21"/>
          <w:highlight w:val="none"/>
          <w:lang w:val="en-US" w:eastAsia="zh-CN"/>
        </w:rPr>
        <w:t>采购人</w:t>
      </w:r>
      <w:r>
        <w:rPr>
          <w:rFonts w:hint="eastAsia" w:ascii="宋体" w:hAnsi="宋体" w:eastAsia="宋体" w:cs="宋体"/>
          <w:b w:val="0"/>
          <w:bCs/>
          <w:sz w:val="21"/>
          <w:szCs w:val="21"/>
          <w:highlight w:val="none"/>
        </w:rPr>
        <w:t>实际情况，针对预约患者签到规则，系统应具备可视化管理功能，支持选择是否开启预约签到功能，开启后，支持对预约患者提前签到时间、预约迟到条件、迟到患者惩罚机制，叫号策略等做相应的管理</w:t>
      </w:r>
      <w:r>
        <w:rPr>
          <w:rFonts w:hint="eastAsia" w:ascii="宋体" w:hAnsi="宋体" w:cs="宋体"/>
          <w:b w:val="0"/>
          <w:bCs/>
          <w:sz w:val="21"/>
          <w:szCs w:val="21"/>
          <w:highlight w:val="none"/>
          <w:lang w:eastAsia="zh-CN"/>
        </w:rPr>
        <w:t>；</w:t>
      </w:r>
    </w:p>
    <w:p w14:paraId="495F9A9A">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10</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系统需支持自动将患者平均分配到普通号出诊医生队列中，并按顺序叫号；支持自动将挂专家号的患者与专家一一对应，并按顺序叫号；对于患者要选择医生的，可支持由护士站电脑手动选择对应的医生诊室</w:t>
      </w:r>
      <w:r>
        <w:rPr>
          <w:rFonts w:hint="eastAsia" w:ascii="宋体" w:hAnsi="宋体" w:cs="宋体"/>
          <w:b w:val="0"/>
          <w:bCs/>
          <w:sz w:val="21"/>
          <w:szCs w:val="21"/>
          <w:highlight w:val="none"/>
          <w:lang w:eastAsia="zh-CN"/>
        </w:rPr>
        <w:t>；</w:t>
      </w:r>
    </w:p>
    <w:p w14:paraId="7AAA10C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11</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系统需支持全自动形成队列、人工报到形成队列（患者自助报到、护士操作报到）以及自动及人工混合报到三种模式</w:t>
      </w:r>
      <w:r>
        <w:rPr>
          <w:rFonts w:hint="eastAsia" w:ascii="宋体" w:hAnsi="宋体" w:cs="宋体"/>
          <w:b w:val="0"/>
          <w:bCs/>
          <w:sz w:val="21"/>
          <w:szCs w:val="21"/>
          <w:highlight w:val="none"/>
          <w:lang w:eastAsia="zh-CN"/>
        </w:rPr>
        <w:t>；</w:t>
      </w:r>
    </w:p>
    <w:p w14:paraId="56381834">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系统可根据各个科室的就诊流程，灵活配置叫号机制，适应各种队列排序方式、各种呼叫模式、各种显示样式、各种语音效果</w:t>
      </w:r>
      <w:r>
        <w:rPr>
          <w:rFonts w:hint="eastAsia" w:ascii="宋体" w:hAnsi="宋体" w:cs="宋体"/>
          <w:b w:val="0"/>
          <w:bCs/>
          <w:sz w:val="21"/>
          <w:szCs w:val="21"/>
          <w:highlight w:val="none"/>
          <w:lang w:eastAsia="zh-CN"/>
        </w:rPr>
        <w:t>；</w:t>
      </w:r>
    </w:p>
    <w:p w14:paraId="6E38FF0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需满足</w:t>
      </w:r>
      <w:r>
        <w:rPr>
          <w:rFonts w:hint="eastAsia" w:ascii="宋体" w:hAnsi="宋体" w:cs="宋体"/>
          <w:b w:val="0"/>
          <w:bCs/>
          <w:sz w:val="21"/>
          <w:szCs w:val="21"/>
          <w:highlight w:val="none"/>
          <w:lang w:val="en-US" w:eastAsia="zh-CN"/>
        </w:rPr>
        <w:t>采购人</w:t>
      </w:r>
      <w:r>
        <w:rPr>
          <w:rFonts w:hint="eastAsia" w:ascii="宋体" w:hAnsi="宋体" w:eastAsia="宋体" w:cs="宋体"/>
          <w:b w:val="0"/>
          <w:bCs/>
          <w:sz w:val="21"/>
          <w:szCs w:val="21"/>
          <w:highlight w:val="none"/>
        </w:rPr>
        <w:t>对于多媒体医疗导引系统平台的定制化需求，可进行软件二次开发</w:t>
      </w:r>
      <w:r>
        <w:rPr>
          <w:rFonts w:hint="eastAsia" w:ascii="宋体" w:hAnsi="宋体" w:cs="宋体"/>
          <w:b w:val="0"/>
          <w:bCs/>
          <w:sz w:val="21"/>
          <w:szCs w:val="21"/>
          <w:highlight w:val="none"/>
          <w:lang w:eastAsia="zh-CN"/>
        </w:rPr>
        <w:t>；</w:t>
      </w:r>
    </w:p>
    <w:p w14:paraId="026DDFE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门诊辅助决策功能，系统支持收集与门诊医疗服务有关的数据资料，并进行整理和分析，反映门诊医疗服务的数量和质量，为加强门诊科学管理提供依据的活动，根据院内门诊数据，通过分类和统计，以图表形式呈现，以数据内容支撑院内门诊的决策</w:t>
      </w:r>
      <w:r>
        <w:rPr>
          <w:rFonts w:hint="eastAsia" w:ascii="宋体" w:hAnsi="宋体" w:cs="宋体"/>
          <w:b w:val="0"/>
          <w:bCs/>
          <w:sz w:val="21"/>
          <w:szCs w:val="21"/>
          <w:highlight w:val="none"/>
          <w:lang w:eastAsia="zh-CN"/>
        </w:rPr>
        <w:t>；</w:t>
      </w:r>
    </w:p>
    <w:p w14:paraId="04A17B5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系统设计具备多重安全访问与数据备份机制，保证系统运行的安全与稳定</w:t>
      </w:r>
      <w:r>
        <w:rPr>
          <w:rFonts w:hint="eastAsia" w:ascii="宋体" w:hAnsi="宋体" w:cs="宋体"/>
          <w:b w:val="0"/>
          <w:bCs/>
          <w:sz w:val="21"/>
          <w:szCs w:val="21"/>
          <w:highlight w:val="none"/>
          <w:lang w:eastAsia="zh-CN"/>
        </w:rPr>
        <w:t>；</w:t>
      </w:r>
    </w:p>
    <w:p w14:paraId="4C5F6BE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16</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信息显示隐私保护：对面向公众的候诊屏显示，支持后台一键开启/关闭患者信息显示隐私保护功能，支持自定义隐私保护显示效果，如姓氏显示法，星号隐藏法等</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（需提供第三方检测机构出具的检测报告）</w:t>
      </w:r>
    </w:p>
    <w:p w14:paraId="6A0B13C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17</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高可用容灾：系统提供高可用容灾服务，支持主应用服务器故障时自动转移至备应用服务器</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（需提供第三方检测机构出具的检测报告</w:t>
      </w:r>
      <w:r>
        <w:rPr>
          <w:rFonts w:hint="eastAsia" w:ascii="宋体" w:hAnsi="宋体" w:eastAsia="宋体" w:cs="宋体"/>
          <w:b w:val="0"/>
          <w:bCs/>
          <w:kern w:val="0"/>
          <w:sz w:val="21"/>
          <w:szCs w:val="21"/>
          <w:highlight w:val="none"/>
        </w:rPr>
        <w:t>）</w:t>
      </w:r>
    </w:p>
    <w:p w14:paraId="01B2796C">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18</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为保障</w:t>
      </w:r>
      <w:r>
        <w:rPr>
          <w:rFonts w:hint="eastAsia" w:ascii="宋体" w:hAnsi="宋体" w:cs="宋体"/>
          <w:b w:val="0"/>
          <w:bCs/>
          <w:sz w:val="21"/>
          <w:szCs w:val="21"/>
          <w:highlight w:val="none"/>
          <w:lang w:val="en-US" w:eastAsia="zh-CN"/>
        </w:rPr>
        <w:t>采购人</w:t>
      </w:r>
      <w:r>
        <w:rPr>
          <w:rFonts w:hint="eastAsia" w:ascii="宋体" w:hAnsi="宋体" w:eastAsia="宋体" w:cs="宋体"/>
          <w:b w:val="0"/>
          <w:bCs/>
          <w:sz w:val="21"/>
          <w:szCs w:val="21"/>
          <w:highlight w:val="none"/>
        </w:rPr>
        <w:t>分诊导医系统的安全，</w:t>
      </w:r>
      <w:r>
        <w:rPr>
          <w:rFonts w:hint="eastAsia" w:ascii="宋体" w:hAnsi="宋体" w:cs="宋体"/>
          <w:b w:val="0"/>
          <w:bCs/>
          <w:strike w:val="0"/>
          <w:dstrike w:val="0"/>
          <w:sz w:val="21"/>
          <w:szCs w:val="21"/>
          <w:highlight w:val="none"/>
          <w:lang w:val="en-US" w:eastAsia="zh-CN"/>
        </w:rPr>
        <w:t>系统</w:t>
      </w:r>
      <w:r>
        <w:rPr>
          <w:rFonts w:hint="eastAsia" w:ascii="宋体" w:hAnsi="宋体" w:eastAsia="宋体" w:cs="宋体"/>
          <w:b w:val="0"/>
          <w:bCs/>
          <w:sz w:val="21"/>
          <w:szCs w:val="21"/>
          <w:highlight w:val="none"/>
        </w:rPr>
        <w:t>应无重大风险隐患，高风险问题应不大于10个，中风险问题应不大于35个，低风险问题不大于20个，测评结论应为基本符合或者符合</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（需提供安全等级保护(第三级)测评报告关键页）</w:t>
      </w:r>
    </w:p>
    <w:p w14:paraId="7EB114E2">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19</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为达到信息化系统全面信创化的国家战略要求，软件</w:t>
      </w:r>
      <w:r>
        <w:rPr>
          <w:rFonts w:hint="eastAsia" w:ascii="宋体" w:hAnsi="宋体" w:cs="宋体"/>
          <w:b w:val="0"/>
          <w:bCs/>
          <w:sz w:val="21"/>
          <w:szCs w:val="21"/>
          <w:highlight w:val="none"/>
          <w:lang w:val="en-US" w:eastAsia="zh-CN"/>
        </w:rPr>
        <w:t>需</w:t>
      </w:r>
      <w:r>
        <w:rPr>
          <w:rFonts w:hint="eastAsia" w:ascii="宋体" w:hAnsi="宋体" w:eastAsia="宋体" w:cs="宋体"/>
          <w:b w:val="0"/>
          <w:bCs/>
          <w:sz w:val="21"/>
          <w:szCs w:val="21"/>
          <w:highlight w:val="none"/>
        </w:rPr>
        <w:t>与国产服务器、国产操作系统、国产数据库</w:t>
      </w:r>
      <w:r>
        <w:rPr>
          <w:rFonts w:hint="eastAsia" w:ascii="宋体" w:hAnsi="宋体" w:cs="宋体"/>
          <w:b w:val="0"/>
          <w:bCs/>
          <w:sz w:val="21"/>
          <w:szCs w:val="21"/>
          <w:highlight w:val="none"/>
          <w:lang w:val="en-US" w:eastAsia="zh-CN"/>
        </w:rPr>
        <w:t>适配</w:t>
      </w:r>
      <w:r>
        <w:rPr>
          <w:rFonts w:hint="eastAsia" w:ascii="宋体" w:hAnsi="宋体" w:eastAsia="宋体" w:cs="宋体"/>
          <w:b w:val="0"/>
          <w:bCs/>
          <w:sz w:val="21"/>
          <w:szCs w:val="21"/>
          <w:highlight w:val="none"/>
        </w:rPr>
        <w:t>。（需提供国产化适配</w:t>
      </w:r>
      <w:r>
        <w:rPr>
          <w:rFonts w:hint="eastAsia" w:ascii="宋体" w:hAnsi="宋体" w:cs="宋体"/>
          <w:b w:val="0"/>
          <w:bCs/>
          <w:color w:val="auto"/>
          <w:sz w:val="21"/>
          <w:szCs w:val="21"/>
          <w:highlight w:val="none"/>
          <w:lang w:val="en-US" w:eastAsia="zh-CN"/>
        </w:rPr>
        <w:t>认证</w:t>
      </w:r>
      <w:r>
        <w:rPr>
          <w:rFonts w:hint="eastAsia" w:ascii="宋体" w:hAnsi="宋体" w:eastAsia="宋体" w:cs="宋体"/>
          <w:b w:val="0"/>
          <w:bCs/>
          <w:color w:val="auto"/>
          <w:sz w:val="21"/>
          <w:szCs w:val="21"/>
          <w:highlight w:val="none"/>
        </w:rPr>
        <w:t>证</w:t>
      </w:r>
      <w:r>
        <w:rPr>
          <w:rFonts w:hint="eastAsia" w:ascii="宋体" w:hAnsi="宋体" w:eastAsia="宋体" w:cs="宋体"/>
          <w:b w:val="0"/>
          <w:bCs/>
          <w:sz w:val="21"/>
          <w:szCs w:val="21"/>
          <w:highlight w:val="none"/>
        </w:rPr>
        <w:t>书）</w:t>
      </w:r>
    </w:p>
    <w:p w14:paraId="0463569D">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3.</w:t>
      </w:r>
      <w:r>
        <w:rPr>
          <w:rFonts w:hint="eastAsia" w:ascii="宋体" w:hAnsi="宋体" w:eastAsia="宋体" w:cs="宋体"/>
          <w:b w:val="0"/>
          <w:bCs/>
          <w:sz w:val="21"/>
          <w:szCs w:val="21"/>
          <w:highlight w:val="none"/>
        </w:rPr>
        <w:t>普通门诊导诊叫号系统</w:t>
      </w:r>
    </w:p>
    <w:p w14:paraId="1B20F7A6">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为了保证平台统一性和易用性，需能在对应的系统管理平台下进行管理和数据源设置</w:t>
      </w:r>
      <w:r>
        <w:rPr>
          <w:rFonts w:hint="eastAsia" w:ascii="宋体" w:hAnsi="宋体" w:cs="宋体"/>
          <w:b w:val="0"/>
          <w:bCs/>
          <w:sz w:val="21"/>
          <w:szCs w:val="21"/>
          <w:highlight w:val="none"/>
          <w:lang w:eastAsia="zh-CN"/>
        </w:rPr>
        <w:t>；</w:t>
      </w:r>
    </w:p>
    <w:p w14:paraId="4D50F36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模块需能实现一二级分诊功能，当前患者叫号时可设置同时呼叫等候患者前来二级分诊区域进行等候</w:t>
      </w:r>
      <w:r>
        <w:rPr>
          <w:rFonts w:hint="eastAsia" w:ascii="宋体" w:hAnsi="宋体" w:cs="宋体"/>
          <w:b w:val="0"/>
          <w:bCs/>
          <w:sz w:val="21"/>
          <w:szCs w:val="21"/>
          <w:highlight w:val="none"/>
          <w:lang w:eastAsia="zh-CN"/>
        </w:rPr>
        <w:t>；</w:t>
      </w:r>
    </w:p>
    <w:p w14:paraId="1CD6F7D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可实现患者可以通过自助端、移动端、分诊台多方式实现签到后进入队列排队，对于复诊、过号患者可以二次报到后进入队列并有特殊标识，实现预约、复诊优先原则，预约未到可以进行惩罚机制，尽可能杜绝过号现象出现，提高看诊效率，可在系统内设置复诊、过号规则</w:t>
      </w:r>
      <w:r>
        <w:rPr>
          <w:rFonts w:hint="eastAsia" w:ascii="宋体" w:hAnsi="宋体" w:cs="宋体"/>
          <w:b w:val="0"/>
          <w:bCs/>
          <w:sz w:val="21"/>
          <w:szCs w:val="21"/>
          <w:highlight w:val="none"/>
          <w:lang w:eastAsia="zh-CN"/>
        </w:rPr>
        <w:t>；</w:t>
      </w:r>
    </w:p>
    <w:p w14:paraId="7E8BF38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为了满足患者使用便利，系统可支持与智慧医院小程序或公众号对接，实现线上签到、队列提醒等功能。</w:t>
      </w:r>
    </w:p>
    <w:p w14:paraId="23A27B1F">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4.</w:t>
      </w:r>
      <w:r>
        <w:rPr>
          <w:rFonts w:hint="eastAsia" w:ascii="宋体" w:hAnsi="宋体" w:eastAsia="宋体" w:cs="宋体"/>
          <w:b w:val="0"/>
          <w:bCs/>
          <w:sz w:val="21"/>
          <w:szCs w:val="21"/>
          <w:highlight w:val="none"/>
        </w:rPr>
        <w:t>药房导诊叫号系统</w:t>
      </w:r>
    </w:p>
    <w:p w14:paraId="1D75187D">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取药需采用报到机制，避免发药机发药后无人领取现象，患者报到方可发药，有效解决取药窗口药品堆积或药品再退库的问题</w:t>
      </w:r>
      <w:r>
        <w:rPr>
          <w:rFonts w:hint="eastAsia" w:ascii="宋体" w:hAnsi="宋体" w:cs="宋体"/>
          <w:b w:val="0"/>
          <w:bCs/>
          <w:sz w:val="21"/>
          <w:szCs w:val="21"/>
          <w:highlight w:val="none"/>
          <w:lang w:eastAsia="zh-CN"/>
        </w:rPr>
        <w:t>；</w:t>
      </w:r>
    </w:p>
    <w:p w14:paraId="48111ECE">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采用条码机制，有效识别患者身份，优化发药师叫号流程，实现自动叫号，减少工作量</w:t>
      </w:r>
      <w:r>
        <w:rPr>
          <w:rFonts w:hint="eastAsia" w:ascii="宋体" w:hAnsi="宋体" w:cs="宋体"/>
          <w:b w:val="0"/>
          <w:bCs/>
          <w:sz w:val="21"/>
          <w:szCs w:val="21"/>
          <w:highlight w:val="none"/>
          <w:lang w:eastAsia="zh-CN"/>
        </w:rPr>
        <w:t>；</w:t>
      </w:r>
    </w:p>
    <w:p w14:paraId="5545B93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通过液晶一体机和吸顶喇叭的提示播报信息，有效引导患者取药。</w:t>
      </w:r>
    </w:p>
    <w:p w14:paraId="235CF371">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5.</w:t>
      </w:r>
      <w:r>
        <w:rPr>
          <w:rFonts w:hint="eastAsia" w:ascii="宋体" w:hAnsi="宋体" w:eastAsia="宋体" w:cs="宋体"/>
          <w:b w:val="0"/>
          <w:bCs/>
          <w:sz w:val="21"/>
          <w:szCs w:val="21"/>
          <w:highlight w:val="none"/>
        </w:rPr>
        <w:t>医技检查导诊叫号系统</w:t>
      </w:r>
    </w:p>
    <w:p w14:paraId="47A68062">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系统支持过号患者与初检患者进行间隔呼叫的设定，设定规则灵活简便</w:t>
      </w:r>
      <w:r>
        <w:rPr>
          <w:rFonts w:hint="eastAsia" w:ascii="宋体" w:hAnsi="宋体" w:cs="宋体"/>
          <w:b w:val="0"/>
          <w:bCs/>
          <w:sz w:val="21"/>
          <w:szCs w:val="21"/>
          <w:highlight w:val="none"/>
          <w:lang w:eastAsia="zh-CN"/>
        </w:rPr>
        <w:t>；</w:t>
      </w:r>
    </w:p>
    <w:p w14:paraId="61FDEAB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支持护士操作预约和患者自助预约两种模式，预约平台要求操作简便，易学易用；</w:t>
      </w:r>
    </w:p>
    <w:p w14:paraId="043C688A">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护士可为患者进行单次、多次预约，修改预约和取消预约等操作；</w:t>
      </w:r>
    </w:p>
    <w:p w14:paraId="1A46BE8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在患者有多个检查项的情况下，当其被一检查项呼叫到时，其他检查项状态为挂起状态，待该患者完成当前检查后，其他检查项方可呼叫</w:t>
      </w:r>
      <w:r>
        <w:rPr>
          <w:rFonts w:hint="eastAsia" w:ascii="宋体" w:hAnsi="宋体" w:cs="宋体"/>
          <w:b w:val="0"/>
          <w:bCs/>
          <w:sz w:val="21"/>
          <w:szCs w:val="21"/>
          <w:highlight w:val="none"/>
          <w:lang w:eastAsia="zh-CN"/>
        </w:rPr>
        <w:t>；</w:t>
      </w:r>
    </w:p>
    <w:p w14:paraId="6E6F9C2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在患者不具备检查条件时，护士分诊台软件可设置为挂起状态，待具备检查条件时，方可呼叫。</w:t>
      </w:r>
    </w:p>
    <w:p w14:paraId="2D5A8E7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6.</w:t>
      </w:r>
      <w:r>
        <w:rPr>
          <w:rFonts w:hint="eastAsia" w:ascii="宋体" w:hAnsi="宋体" w:eastAsia="宋体" w:cs="宋体"/>
          <w:b w:val="0"/>
          <w:bCs/>
          <w:sz w:val="21"/>
          <w:szCs w:val="21"/>
          <w:highlight w:val="none"/>
        </w:rPr>
        <w:t>检验科室导诊叫号系统</w:t>
      </w:r>
    </w:p>
    <w:p w14:paraId="141CD78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在患者进行报到后，自动进入采血排队队列</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采血窗口按照患者报到的顺序进行叫号，窗口屏幕语音呼叫并显示患者信息</w:t>
      </w:r>
      <w:r>
        <w:rPr>
          <w:rFonts w:hint="eastAsia" w:ascii="宋体" w:hAnsi="宋体" w:cs="宋体"/>
          <w:b w:val="0"/>
          <w:bCs/>
          <w:sz w:val="21"/>
          <w:szCs w:val="21"/>
          <w:highlight w:val="none"/>
          <w:lang w:eastAsia="zh-CN"/>
        </w:rPr>
        <w:t>；</w:t>
      </w:r>
    </w:p>
    <w:p w14:paraId="4FDE7D5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患者排队顺序以报到时间或者取号时间为准，支持过号患者优先机制。</w:t>
      </w:r>
    </w:p>
    <w:p w14:paraId="605B8A1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7.</w:t>
      </w:r>
      <w:r>
        <w:rPr>
          <w:rFonts w:hint="eastAsia" w:ascii="宋体" w:hAnsi="宋体" w:eastAsia="宋体" w:cs="宋体"/>
          <w:b w:val="0"/>
          <w:bCs/>
          <w:sz w:val="21"/>
          <w:szCs w:val="21"/>
          <w:highlight w:val="none"/>
        </w:rPr>
        <w:t>护士分诊台管理客户端软件</w:t>
      </w:r>
    </w:p>
    <w:p w14:paraId="32FAC90C">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支持查看当前诊区的每个队列叫号情况（如：排队队列名称、候诊人数、已就诊人数、未到过号人数、当前队列最后一次呼叫的患者姓名、排队序号、呼叫医生或诊位、叫号时间等）</w:t>
      </w:r>
      <w:r>
        <w:rPr>
          <w:rFonts w:hint="eastAsia" w:ascii="宋体" w:hAnsi="宋体" w:cs="宋体"/>
          <w:b w:val="0"/>
          <w:bCs/>
          <w:sz w:val="21"/>
          <w:szCs w:val="21"/>
          <w:highlight w:val="none"/>
          <w:lang w:eastAsia="zh-CN"/>
        </w:rPr>
        <w:t>；</w:t>
      </w:r>
    </w:p>
    <w:p w14:paraId="3DEF795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支持医生模式或者诊室模式分别显示医生或者诊室队列，同时需支持对患者进行呼叫、分诊、报到、转诊、优先、弃号、调号、身份变更、延迟就诊等相关功能，支持通过已签到、未签到、呼叫记录对队列进行快速筛选，也可支持通过患者姓名、卡号等身份介质快速搜索就诊患者，并对其进行状态变更操作</w:t>
      </w:r>
      <w:r>
        <w:rPr>
          <w:rFonts w:hint="eastAsia" w:ascii="宋体" w:hAnsi="宋体" w:cs="宋体"/>
          <w:b w:val="0"/>
          <w:bCs/>
          <w:sz w:val="21"/>
          <w:szCs w:val="21"/>
          <w:highlight w:val="none"/>
          <w:lang w:eastAsia="zh-CN"/>
        </w:rPr>
        <w:t>；</w:t>
      </w:r>
    </w:p>
    <w:p w14:paraId="746D6C8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（3）</w:t>
      </w:r>
      <w:r>
        <w:rPr>
          <w:rFonts w:hint="eastAsia" w:ascii="宋体" w:hAnsi="宋体" w:eastAsia="宋体" w:cs="宋体"/>
          <w:b w:val="0"/>
          <w:bCs/>
          <w:sz w:val="21"/>
          <w:szCs w:val="21"/>
          <w:highlight w:val="none"/>
        </w:rPr>
        <w:t>需支持置顶功能，分诊台科室、医生比较集中的情况下，护士可以通过手动的方式来实现关注的科室、医生放置到首位；</w:t>
      </w:r>
    </w:p>
    <w:p w14:paraId="00A84B1D">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（4）</w:t>
      </w:r>
      <w:r>
        <w:rPr>
          <w:rFonts w:hint="eastAsia" w:ascii="宋体" w:hAnsi="宋体" w:eastAsia="宋体" w:cs="宋体"/>
          <w:b w:val="0"/>
          <w:bCs/>
          <w:sz w:val="21"/>
          <w:szCs w:val="21"/>
          <w:highlight w:val="none"/>
        </w:rPr>
        <w:t>需支持对叫号策略进行可视化管理，支持在同一后台界面，对初诊、优先、回诊、过号、复诊、预约、迟到、转诊等多种患者类型的叫号优先级别、间隔进行调整。针对特殊类型患者，可手动添加患者类型，如70岁以上老人、军人、军属等，同时支持对该类型患者排队优先级别进行调整</w:t>
      </w:r>
      <w:r>
        <w:rPr>
          <w:rFonts w:hint="eastAsia" w:ascii="宋体" w:hAnsi="宋体" w:cs="宋体"/>
          <w:b w:val="0"/>
          <w:bCs/>
          <w:sz w:val="21"/>
          <w:szCs w:val="21"/>
          <w:highlight w:val="none"/>
          <w:lang w:eastAsia="zh-CN"/>
        </w:rPr>
        <w:t>；</w:t>
      </w:r>
    </w:p>
    <w:p w14:paraId="44C7FBB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（5）</w:t>
      </w:r>
      <w:r>
        <w:rPr>
          <w:rFonts w:hint="eastAsia" w:ascii="宋体" w:hAnsi="宋体" w:eastAsia="宋体" w:cs="宋体"/>
          <w:b w:val="0"/>
          <w:bCs/>
          <w:sz w:val="21"/>
          <w:szCs w:val="21"/>
          <w:highlight w:val="none"/>
        </w:rPr>
        <w:t>对于初诊、过号、回诊、迟到等不同状态、不同身份的患者，排队顺序规则需支持不少于1000种不同规则，且不同队列可应用不同排队规则</w:t>
      </w:r>
      <w:r>
        <w:rPr>
          <w:rFonts w:hint="eastAsia" w:ascii="宋体" w:hAnsi="宋体" w:cs="宋体"/>
          <w:b w:val="0"/>
          <w:bCs/>
          <w:sz w:val="21"/>
          <w:szCs w:val="21"/>
          <w:highlight w:val="none"/>
          <w:lang w:eastAsia="zh-CN"/>
        </w:rPr>
        <w:t>；</w:t>
      </w:r>
    </w:p>
    <w:p w14:paraId="0966CD5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kern w:val="2"/>
          <w:sz w:val="21"/>
          <w:szCs w:val="21"/>
          <w:highlight w:val="none"/>
          <w:lang w:val="en-US" w:eastAsia="zh-CN" w:bidi="ar-SA"/>
        </w:rPr>
        <w:t>（6）</w:t>
      </w:r>
      <w:r>
        <w:rPr>
          <w:rFonts w:hint="eastAsia" w:ascii="宋体" w:hAnsi="宋体" w:eastAsia="宋体" w:cs="宋体"/>
          <w:b w:val="0"/>
          <w:bCs/>
          <w:sz w:val="21"/>
          <w:szCs w:val="21"/>
          <w:highlight w:val="none"/>
        </w:rPr>
        <w:t>应具备预检功能，可通过卡片识别患者基本信息，并支持手工录入身高、体重、心率、体温、血压、视力、行程异常、跌倒评估等相关预检信息，当医生呼叫时候，可将在预检信息在虚拟叫号器端展现，提升医生看诊效率</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（需提供第三方检测机构出具的检测报告）</w:t>
      </w:r>
    </w:p>
    <w:p w14:paraId="6489C79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7</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应具备对诊区内设备进行日常维护管理，需支持对设备状态、位置等进行远程监控，还需支持对设备进行相关操作，包括但不限于重启、开关机设置、截屏、清屏、刷新等处理</w:t>
      </w:r>
      <w:r>
        <w:rPr>
          <w:rFonts w:hint="eastAsia" w:ascii="宋体" w:hAnsi="宋体" w:cs="宋体"/>
          <w:b w:val="0"/>
          <w:bCs/>
          <w:sz w:val="21"/>
          <w:szCs w:val="21"/>
          <w:highlight w:val="none"/>
          <w:lang w:eastAsia="zh-CN"/>
        </w:rPr>
        <w:t>；</w:t>
      </w:r>
    </w:p>
    <w:p w14:paraId="73017CB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8</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为方便护士对正在呼叫患者或已呼叫患者身份信息确认，需支持显示区域内，3-5名患者的历史呼叫记录，便于护士核实就诊患者身份</w:t>
      </w:r>
      <w:r>
        <w:rPr>
          <w:rFonts w:hint="eastAsia" w:ascii="宋体" w:hAnsi="宋体" w:cs="宋体"/>
          <w:b w:val="0"/>
          <w:bCs/>
          <w:sz w:val="21"/>
          <w:szCs w:val="21"/>
          <w:highlight w:val="none"/>
          <w:lang w:eastAsia="zh-CN"/>
        </w:rPr>
        <w:t>；</w:t>
      </w:r>
    </w:p>
    <w:p w14:paraId="6397481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9</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为方便医护人员及时沟通，需支持医护通讯功能，可查看区域内在线医生情况，通过点选医生，即可查看医生发出的相关信息</w:t>
      </w:r>
      <w:r>
        <w:rPr>
          <w:rFonts w:hint="eastAsia" w:ascii="宋体" w:hAnsi="宋体" w:cs="宋体"/>
          <w:b w:val="0"/>
          <w:bCs/>
          <w:sz w:val="21"/>
          <w:szCs w:val="21"/>
          <w:highlight w:val="none"/>
          <w:lang w:eastAsia="zh-CN"/>
        </w:rPr>
        <w:t>；</w:t>
      </w:r>
    </w:p>
    <w:p w14:paraId="42E2DE86">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10</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支持同步HIS系统中医生排班数据，并支持临时手动调整功能；支持编辑周期内医生排班功能，并支持对医生每天出诊情况进行手动调整</w:t>
      </w:r>
      <w:r>
        <w:rPr>
          <w:rFonts w:hint="eastAsia" w:ascii="宋体" w:hAnsi="宋体" w:cs="宋体"/>
          <w:b w:val="0"/>
          <w:bCs/>
          <w:sz w:val="21"/>
          <w:szCs w:val="21"/>
          <w:highlight w:val="none"/>
          <w:lang w:eastAsia="zh-CN"/>
        </w:rPr>
        <w:t>；</w:t>
      </w:r>
    </w:p>
    <w:p w14:paraId="1E35D91A">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（11）</w:t>
      </w:r>
      <w:r>
        <w:rPr>
          <w:rFonts w:hint="eastAsia" w:ascii="宋体" w:hAnsi="宋体" w:eastAsia="宋体" w:cs="宋体"/>
          <w:b w:val="0"/>
          <w:bCs/>
          <w:sz w:val="21"/>
          <w:szCs w:val="21"/>
          <w:highlight w:val="none"/>
        </w:rPr>
        <w:t>可以查看某检查项的排队信息，包含剩余号量、等候人数、过号人数、预约未报到人数，以及各个患者的排队检查信息</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同时可以为患者做“优先”、“暂停”、“调号”等操作</w:t>
      </w:r>
      <w:r>
        <w:rPr>
          <w:rFonts w:hint="eastAsia" w:ascii="宋体" w:hAnsi="宋体" w:cs="宋体"/>
          <w:b w:val="0"/>
          <w:bCs/>
          <w:sz w:val="21"/>
          <w:szCs w:val="21"/>
          <w:highlight w:val="none"/>
          <w:lang w:eastAsia="zh-CN"/>
        </w:rPr>
        <w:t>；</w:t>
      </w:r>
    </w:p>
    <w:p w14:paraId="065A0D1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支持刷卡、扫描条码、手工录入等多种方式进行初诊患者签到、复诊患者二次签到、过号患者再报到、患者状态查询、患者排序调号、患者预约等</w:t>
      </w:r>
      <w:r>
        <w:rPr>
          <w:rFonts w:hint="eastAsia" w:ascii="宋体" w:hAnsi="宋体" w:cs="宋体"/>
          <w:b w:val="0"/>
          <w:bCs/>
          <w:sz w:val="21"/>
          <w:szCs w:val="21"/>
          <w:highlight w:val="none"/>
          <w:lang w:eastAsia="zh-CN"/>
        </w:rPr>
        <w:t>；</w:t>
      </w:r>
    </w:p>
    <w:p w14:paraId="3752ADAC">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（13）</w:t>
      </w:r>
      <w:r>
        <w:rPr>
          <w:rFonts w:hint="eastAsia" w:ascii="宋体" w:hAnsi="宋体" w:eastAsia="宋体" w:cs="宋体"/>
          <w:b w:val="0"/>
          <w:bCs/>
          <w:sz w:val="21"/>
          <w:szCs w:val="21"/>
          <w:highlight w:val="none"/>
        </w:rPr>
        <w:t>早间高峰期患者突增情况下，需支持自动报到和手动批量报到机制，避免患者拥堵分诊台签到，降低排队护士工作量</w:t>
      </w:r>
      <w:r>
        <w:rPr>
          <w:rFonts w:hint="eastAsia" w:ascii="宋体" w:hAnsi="宋体" w:cs="宋体"/>
          <w:b w:val="0"/>
          <w:bCs/>
          <w:sz w:val="21"/>
          <w:szCs w:val="21"/>
          <w:highlight w:val="none"/>
          <w:lang w:eastAsia="zh-CN"/>
        </w:rPr>
        <w:t>；</w:t>
      </w:r>
    </w:p>
    <w:p w14:paraId="388E8DD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（14）</w:t>
      </w:r>
      <w:r>
        <w:rPr>
          <w:rFonts w:hint="eastAsia" w:ascii="宋体" w:hAnsi="宋体" w:eastAsia="宋体" w:cs="宋体"/>
          <w:b w:val="0"/>
          <w:bCs/>
          <w:sz w:val="21"/>
          <w:szCs w:val="21"/>
          <w:highlight w:val="none"/>
        </w:rPr>
        <w:t>在普通号情况下，需支持将患者手动分配至指定医生或诊室下排队候诊</w:t>
      </w:r>
      <w:r>
        <w:rPr>
          <w:rFonts w:hint="eastAsia" w:ascii="宋体" w:hAnsi="宋体" w:cs="宋体"/>
          <w:b w:val="0"/>
          <w:bCs/>
          <w:sz w:val="21"/>
          <w:szCs w:val="21"/>
          <w:highlight w:val="none"/>
          <w:lang w:eastAsia="zh-CN"/>
        </w:rPr>
        <w:t>；</w:t>
      </w:r>
    </w:p>
    <w:p w14:paraId="33DB47F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（15）</w:t>
      </w:r>
      <w:r>
        <w:rPr>
          <w:rFonts w:hint="eastAsia" w:ascii="宋体" w:hAnsi="宋体" w:eastAsia="宋体" w:cs="宋体"/>
          <w:b w:val="0"/>
          <w:bCs/>
          <w:sz w:val="21"/>
          <w:szCs w:val="21"/>
          <w:highlight w:val="none"/>
        </w:rPr>
        <w:t>需支持对“特殊”患者进行标识，并对此类患者进行优先就诊操作，例如老、幼、军人、离休等患者可优先就诊，同时叫号屏幕可显示此类患者标识，如“军”、“幼”等，并用其他颜色以示区别</w:t>
      </w:r>
      <w:r>
        <w:rPr>
          <w:rFonts w:hint="eastAsia" w:ascii="宋体" w:hAnsi="宋体" w:cs="宋体"/>
          <w:b w:val="0"/>
          <w:bCs/>
          <w:sz w:val="21"/>
          <w:szCs w:val="21"/>
          <w:highlight w:val="none"/>
          <w:lang w:eastAsia="zh-CN"/>
        </w:rPr>
        <w:t>；</w:t>
      </w:r>
    </w:p>
    <w:p w14:paraId="12CD0D1F">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（16）</w:t>
      </w:r>
      <w:r>
        <w:rPr>
          <w:rFonts w:hint="eastAsia" w:ascii="宋体" w:hAnsi="宋体" w:eastAsia="宋体" w:cs="宋体"/>
          <w:b w:val="0"/>
          <w:bCs/>
          <w:sz w:val="21"/>
          <w:szCs w:val="21"/>
          <w:highlight w:val="none"/>
        </w:rPr>
        <w:t>需支持同一诊区下转诊功能，可将患者从一个队列转到另一个队列排队</w:t>
      </w:r>
      <w:r>
        <w:rPr>
          <w:rFonts w:hint="eastAsia" w:ascii="宋体" w:hAnsi="宋体" w:cs="宋体"/>
          <w:b w:val="0"/>
          <w:bCs/>
          <w:sz w:val="21"/>
          <w:szCs w:val="21"/>
          <w:highlight w:val="none"/>
          <w:lang w:eastAsia="zh-CN"/>
        </w:rPr>
        <w:t>；</w:t>
      </w:r>
    </w:p>
    <w:p w14:paraId="024F51EE">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（17）</w:t>
      </w:r>
      <w:r>
        <w:rPr>
          <w:rFonts w:hint="eastAsia" w:ascii="宋体" w:hAnsi="宋体" w:eastAsia="宋体" w:cs="宋体"/>
          <w:b w:val="0"/>
          <w:bCs/>
          <w:sz w:val="21"/>
          <w:szCs w:val="21"/>
          <w:highlight w:val="none"/>
        </w:rPr>
        <w:t>系统需支持延迟呼叫，例如在检查、检验科室，当患者暂时不满足检查、检验条件时，护士可对患者进行延迟就诊操作，延迟时长可自定义，时间截止时，自动取消患者延迟状态，也可以通过护士手动取消患者延迟状态</w:t>
      </w:r>
      <w:r>
        <w:rPr>
          <w:rFonts w:hint="eastAsia" w:ascii="宋体" w:hAnsi="宋体" w:cs="宋体"/>
          <w:b w:val="0"/>
          <w:bCs/>
          <w:sz w:val="21"/>
          <w:szCs w:val="21"/>
          <w:highlight w:val="none"/>
          <w:lang w:eastAsia="zh-CN"/>
        </w:rPr>
        <w:t>；</w:t>
      </w:r>
    </w:p>
    <w:p w14:paraId="2A2D1030">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（18）</w:t>
      </w:r>
      <w:r>
        <w:rPr>
          <w:rFonts w:hint="eastAsia" w:ascii="宋体" w:hAnsi="宋体" w:eastAsia="宋体" w:cs="宋体"/>
          <w:b w:val="0"/>
          <w:bCs/>
          <w:sz w:val="21"/>
          <w:szCs w:val="21"/>
          <w:highlight w:val="none"/>
        </w:rPr>
        <w:t>需支持复诊（回诊）患者签到再次进入队列功能，同时可根据需求设置复诊插队策略，例如：优先插队、间隔插队</w:t>
      </w:r>
      <w:r>
        <w:rPr>
          <w:rFonts w:hint="eastAsia" w:ascii="宋体" w:hAnsi="宋体" w:cs="宋体"/>
          <w:b w:val="0"/>
          <w:bCs/>
          <w:sz w:val="21"/>
          <w:szCs w:val="21"/>
          <w:highlight w:val="none"/>
          <w:lang w:eastAsia="zh-CN"/>
        </w:rPr>
        <w:t>；</w:t>
      </w:r>
    </w:p>
    <w:p w14:paraId="6A65BD1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（19）</w:t>
      </w:r>
      <w:r>
        <w:rPr>
          <w:rFonts w:hint="eastAsia" w:ascii="宋体" w:hAnsi="宋体" w:eastAsia="宋体" w:cs="宋体"/>
          <w:b w:val="0"/>
          <w:bCs/>
          <w:sz w:val="21"/>
          <w:szCs w:val="21"/>
          <w:highlight w:val="none"/>
        </w:rPr>
        <w:t>支持绿色通道（弃号）功能，可不经叫号直接就诊</w:t>
      </w:r>
      <w:r>
        <w:rPr>
          <w:rFonts w:hint="eastAsia" w:ascii="宋体" w:hAnsi="宋体" w:cs="宋体"/>
          <w:b w:val="0"/>
          <w:bCs/>
          <w:sz w:val="21"/>
          <w:szCs w:val="21"/>
          <w:highlight w:val="none"/>
          <w:lang w:eastAsia="zh-CN"/>
        </w:rPr>
        <w:t>；</w:t>
      </w:r>
    </w:p>
    <w:p w14:paraId="5AA4FFDF">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20</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支持过号患者签到再次进入队列功能，同时可根据需求设置过号患者优先就诊，延后就诊，延后就诊可设置延后位数</w:t>
      </w:r>
      <w:r>
        <w:rPr>
          <w:rFonts w:hint="eastAsia" w:ascii="宋体" w:hAnsi="宋体" w:cs="宋体"/>
          <w:b w:val="0"/>
          <w:bCs/>
          <w:sz w:val="21"/>
          <w:szCs w:val="21"/>
          <w:highlight w:val="none"/>
          <w:lang w:eastAsia="zh-CN"/>
        </w:rPr>
        <w:t>；</w:t>
      </w:r>
    </w:p>
    <w:p w14:paraId="5EFFC9FA">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w:t>
      </w:r>
      <w:r>
        <w:rPr>
          <w:rFonts w:hint="eastAsia" w:ascii="宋体" w:hAnsi="宋体" w:eastAsia="宋体" w:cs="宋体"/>
          <w:b w:val="0"/>
          <w:bCs/>
          <w:sz w:val="21"/>
          <w:szCs w:val="21"/>
          <w:highlight w:val="none"/>
        </w:rPr>
        <w:t>需支持记录护士上一步操作功能，主界面位置显示上一步护士操作信息。</w:t>
      </w:r>
    </w:p>
    <w:p w14:paraId="5DF532B1">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8.</w:t>
      </w:r>
      <w:r>
        <w:rPr>
          <w:rFonts w:hint="eastAsia" w:ascii="宋体" w:hAnsi="宋体" w:eastAsia="宋体" w:cs="宋体"/>
          <w:b w:val="0"/>
          <w:bCs/>
          <w:sz w:val="21"/>
          <w:szCs w:val="21"/>
          <w:highlight w:val="none"/>
        </w:rPr>
        <w:t>医生工作站客户端软件</w:t>
      </w:r>
    </w:p>
    <w:p w14:paraId="7F5C4C5D">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支持医生ID号登录；</w:t>
      </w:r>
    </w:p>
    <w:p w14:paraId="6B46CA25">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支持叫号、重呼、选呼三种呼叫方式；支持过号（呼叫未到）、诊结两种结束状态；支持暂离、停诊等状态切换；</w:t>
      </w:r>
    </w:p>
    <w:p w14:paraId="4CC1BE3B">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医生同时出诊多队列时,可自行设定多队列的呼叫策略；</w:t>
      </w:r>
    </w:p>
    <w:p w14:paraId="319CE86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支持悬浮窗及自动停靠；</w:t>
      </w:r>
    </w:p>
    <w:p w14:paraId="340AF94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可开放叫号器功能接口，允许第三方系统调用</w:t>
      </w:r>
      <w:r>
        <w:rPr>
          <w:rFonts w:hint="eastAsia" w:ascii="宋体" w:hAnsi="宋体" w:cs="宋体"/>
          <w:b w:val="0"/>
          <w:bCs/>
          <w:sz w:val="21"/>
          <w:szCs w:val="21"/>
          <w:highlight w:val="none"/>
          <w:lang w:eastAsia="zh-CN"/>
        </w:rPr>
        <w:t>。</w:t>
      </w:r>
    </w:p>
    <w:p w14:paraId="3449200C">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9.</w:t>
      </w:r>
      <w:r>
        <w:rPr>
          <w:rFonts w:hint="eastAsia" w:ascii="宋体" w:hAnsi="宋体" w:eastAsia="宋体" w:cs="宋体"/>
          <w:b w:val="0"/>
          <w:bCs/>
          <w:sz w:val="21"/>
          <w:szCs w:val="21"/>
          <w:highlight w:val="none"/>
        </w:rPr>
        <w:t>语音库模块</w:t>
      </w:r>
    </w:p>
    <w:p w14:paraId="1A0B0797">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系统应具备按照病区划分的、语音效果可覆盖整个物理病区的语音播报软件或功能模块</w:t>
      </w:r>
      <w:r>
        <w:rPr>
          <w:rFonts w:hint="eastAsia" w:ascii="宋体" w:hAnsi="宋体" w:cs="宋体"/>
          <w:b w:val="0"/>
          <w:bCs/>
          <w:sz w:val="21"/>
          <w:szCs w:val="21"/>
          <w:highlight w:val="none"/>
          <w:lang w:eastAsia="zh-CN"/>
        </w:rPr>
        <w:t>；</w:t>
      </w:r>
    </w:p>
    <w:p w14:paraId="6D9A7A4B">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语音播报软件应具备全语音库的语音呼叫功能，需支持文本内容(中文、数字)自动语音合成与播报，排队叫号信息可自动合成为语音信息播放</w:t>
      </w:r>
      <w:r>
        <w:rPr>
          <w:rFonts w:hint="eastAsia" w:ascii="宋体" w:hAnsi="宋体" w:cs="宋体"/>
          <w:b w:val="0"/>
          <w:bCs/>
          <w:sz w:val="21"/>
          <w:szCs w:val="21"/>
          <w:highlight w:val="none"/>
          <w:lang w:eastAsia="zh-CN"/>
        </w:rPr>
        <w:t>；</w:t>
      </w:r>
    </w:p>
    <w:p w14:paraId="333B303E">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需支持叫号语音音量网络远程调节</w:t>
      </w:r>
      <w:r>
        <w:rPr>
          <w:rFonts w:hint="eastAsia" w:ascii="宋体" w:hAnsi="宋体" w:cs="宋体"/>
          <w:b w:val="0"/>
          <w:bCs/>
          <w:sz w:val="21"/>
          <w:szCs w:val="21"/>
          <w:highlight w:val="none"/>
          <w:lang w:eastAsia="zh-CN"/>
        </w:rPr>
        <w:t>；</w:t>
      </w:r>
    </w:p>
    <w:p w14:paraId="349DE9B1">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语音要求为女声，支持普通话、粤语播放，且语音清晰、流畅、无噪音、声音感受效果良好，可覆盖病区的所有角落。</w:t>
      </w:r>
    </w:p>
    <w:p w14:paraId="5EBE4A9C">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10.</w:t>
      </w:r>
      <w:r>
        <w:rPr>
          <w:rFonts w:hint="eastAsia" w:ascii="宋体" w:hAnsi="宋体" w:eastAsia="宋体" w:cs="宋体"/>
          <w:b w:val="0"/>
          <w:bCs/>
          <w:sz w:val="21"/>
          <w:szCs w:val="21"/>
          <w:highlight w:val="none"/>
        </w:rPr>
        <w:t>显示客户端软件</w:t>
      </w:r>
    </w:p>
    <w:p w14:paraId="5CD37BD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需具备分屏显示功能</w:t>
      </w:r>
      <w:r>
        <w:rPr>
          <w:rFonts w:hint="eastAsia" w:ascii="宋体" w:hAnsi="宋体" w:cs="宋体"/>
          <w:b w:val="0"/>
          <w:bCs/>
          <w:sz w:val="21"/>
          <w:szCs w:val="21"/>
          <w:highlight w:val="none"/>
          <w:lang w:eastAsia="zh-CN"/>
        </w:rPr>
        <w:t>；</w:t>
      </w:r>
    </w:p>
    <w:p w14:paraId="1B71A6C8">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显示内容至少应包括科室名称、病人姓名、病人排队号码以及就诊科室号等内容</w:t>
      </w:r>
      <w:r>
        <w:rPr>
          <w:rFonts w:hint="eastAsia" w:ascii="宋体" w:hAnsi="宋体" w:cs="宋体"/>
          <w:b w:val="0"/>
          <w:bCs/>
          <w:sz w:val="21"/>
          <w:szCs w:val="21"/>
          <w:highlight w:val="none"/>
          <w:lang w:eastAsia="zh-CN"/>
        </w:rPr>
        <w:t>；</w:t>
      </w:r>
    </w:p>
    <w:p w14:paraId="15FFA114">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显示界面支持根据具体需求进行不限于颜色、板式、字体的修改</w:t>
      </w:r>
      <w:r>
        <w:rPr>
          <w:rFonts w:hint="eastAsia" w:ascii="宋体" w:hAnsi="宋体" w:cs="宋体"/>
          <w:b w:val="0"/>
          <w:bCs/>
          <w:sz w:val="21"/>
          <w:szCs w:val="21"/>
          <w:highlight w:val="none"/>
          <w:lang w:eastAsia="zh-CN"/>
        </w:rPr>
        <w:t>；</w:t>
      </w:r>
    </w:p>
    <w:p w14:paraId="72D39BC9">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需具备叫号弹窗提示功能</w:t>
      </w:r>
      <w:r>
        <w:rPr>
          <w:rFonts w:hint="eastAsia" w:ascii="宋体" w:hAnsi="宋体" w:cs="宋体"/>
          <w:b w:val="0"/>
          <w:bCs/>
          <w:sz w:val="21"/>
          <w:szCs w:val="21"/>
          <w:highlight w:val="none"/>
          <w:lang w:eastAsia="zh-CN"/>
        </w:rPr>
        <w:t>；</w:t>
      </w:r>
    </w:p>
    <w:p w14:paraId="4F8E4823">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需具备特殊患者如过号、复诊、优先等，页面具备特殊备注功能。</w:t>
      </w:r>
    </w:p>
    <w:p w14:paraId="717EA5B5">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11.</w:t>
      </w:r>
      <w:r>
        <w:rPr>
          <w:rFonts w:hint="eastAsia" w:ascii="宋体" w:hAnsi="宋体" w:eastAsia="宋体" w:cs="宋体"/>
          <w:b w:val="0"/>
          <w:bCs/>
          <w:sz w:val="21"/>
          <w:szCs w:val="21"/>
          <w:highlight w:val="none"/>
        </w:rPr>
        <w:t>数据系统接口软件</w:t>
      </w:r>
    </w:p>
    <w:p w14:paraId="2EACFE86">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（1）</w:t>
      </w:r>
      <w:r>
        <w:rPr>
          <w:rFonts w:hint="eastAsia" w:ascii="宋体" w:hAnsi="宋体" w:eastAsia="宋体" w:cs="宋体"/>
          <w:b w:val="0"/>
          <w:bCs/>
          <w:sz w:val="21"/>
          <w:szCs w:val="21"/>
          <w:highlight w:val="none"/>
        </w:rPr>
        <w:t>系统需与</w:t>
      </w:r>
      <w:r>
        <w:rPr>
          <w:rFonts w:hint="eastAsia" w:ascii="宋体" w:hAnsi="宋体" w:cs="宋体"/>
          <w:b w:val="0"/>
          <w:bCs/>
          <w:sz w:val="21"/>
          <w:szCs w:val="21"/>
          <w:highlight w:val="none"/>
          <w:lang w:val="en-US" w:eastAsia="zh-CN"/>
        </w:rPr>
        <w:t>采购人</w:t>
      </w:r>
      <w:r>
        <w:rPr>
          <w:rFonts w:hint="eastAsia" w:ascii="宋体" w:hAnsi="宋体" w:eastAsia="宋体" w:cs="宋体"/>
          <w:b w:val="0"/>
          <w:bCs/>
          <w:sz w:val="21"/>
          <w:szCs w:val="21"/>
          <w:highlight w:val="none"/>
        </w:rPr>
        <w:t>HIS、LIS、PACS等系统进行数据对接，其应遵循标准的HL7接口，支持视图方式、Webservice方式、DLL调用方式实现各系统间的数据交换</w:t>
      </w:r>
      <w:r>
        <w:rPr>
          <w:rFonts w:hint="eastAsia" w:ascii="宋体" w:hAnsi="宋体" w:cs="宋体"/>
          <w:b w:val="0"/>
          <w:bCs/>
          <w:sz w:val="21"/>
          <w:szCs w:val="21"/>
          <w:highlight w:val="none"/>
          <w:lang w:eastAsia="zh-CN"/>
        </w:rPr>
        <w:t>；</w:t>
      </w:r>
    </w:p>
    <w:p w14:paraId="198992CD">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含终端软件授权，医生工作站软件、含内嵌HIS叫号，微信公众号、HIS系统、LIS系统、影像系统及集成平台等第三方平台系统对接，含所有接口费。（须提供《承诺函》，格式自拟）</w:t>
      </w:r>
    </w:p>
    <w:p w14:paraId="219B3B97">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12.</w:t>
      </w:r>
      <w:r>
        <w:rPr>
          <w:rFonts w:hint="eastAsia" w:ascii="宋体" w:hAnsi="宋体" w:eastAsia="宋体" w:cs="宋体"/>
          <w:b w:val="0"/>
          <w:bCs/>
          <w:sz w:val="21"/>
          <w:szCs w:val="21"/>
          <w:highlight w:val="none"/>
        </w:rPr>
        <w:t>其他要求</w:t>
      </w:r>
    </w:p>
    <w:p w14:paraId="38213952">
      <w:pPr>
        <w:keepNext w:val="0"/>
        <w:keepLines w:val="0"/>
        <w:pageBreakBefore w:val="0"/>
        <w:numPr>
          <w:ilvl w:val="0"/>
          <w:numId w:val="0"/>
        </w:numPr>
        <w:tabs>
          <w:tab w:val="left" w:pos="785"/>
        </w:tabs>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w:t>
      </w: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1</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为保障项目顺利交付，采购人有权要求</w:t>
      </w:r>
      <w:r>
        <w:rPr>
          <w:rFonts w:hint="eastAsia" w:ascii="宋体" w:hAnsi="宋体" w:cs="宋体"/>
          <w:b w:val="0"/>
          <w:bCs/>
          <w:sz w:val="21"/>
          <w:szCs w:val="21"/>
          <w:highlight w:val="none"/>
          <w:lang w:val="en-US" w:eastAsia="zh-CN"/>
        </w:rPr>
        <w:t>供应商</w:t>
      </w:r>
      <w:r>
        <w:rPr>
          <w:rFonts w:hint="eastAsia" w:ascii="宋体" w:hAnsi="宋体" w:eastAsia="宋体" w:cs="宋体"/>
          <w:b w:val="0"/>
          <w:bCs/>
          <w:sz w:val="21"/>
          <w:szCs w:val="21"/>
          <w:highlight w:val="none"/>
        </w:rPr>
        <w:t>，在</w:t>
      </w:r>
      <w:r>
        <w:rPr>
          <w:rFonts w:hint="eastAsia" w:ascii="宋体" w:hAnsi="宋体" w:cs="宋体"/>
          <w:b w:val="0"/>
          <w:bCs/>
          <w:sz w:val="21"/>
          <w:szCs w:val="21"/>
          <w:highlight w:val="none"/>
          <w:lang w:val="en-US" w:eastAsia="zh-CN"/>
        </w:rPr>
        <w:t>结果</w:t>
      </w:r>
      <w:r>
        <w:rPr>
          <w:rFonts w:hint="eastAsia" w:ascii="宋体" w:hAnsi="宋体" w:eastAsia="宋体" w:cs="宋体"/>
          <w:b w:val="0"/>
          <w:bCs/>
          <w:sz w:val="21"/>
          <w:szCs w:val="21"/>
          <w:highlight w:val="none"/>
        </w:rPr>
        <w:t>公告发出后3个工作日内，到</w:t>
      </w:r>
      <w:r>
        <w:rPr>
          <w:rFonts w:hint="eastAsia" w:ascii="宋体" w:hAnsi="宋体" w:cs="宋体"/>
          <w:b w:val="0"/>
          <w:bCs/>
          <w:sz w:val="21"/>
          <w:szCs w:val="21"/>
          <w:highlight w:val="none"/>
          <w:lang w:val="en-US" w:eastAsia="zh-CN"/>
        </w:rPr>
        <w:t>采购人</w:t>
      </w:r>
      <w:r>
        <w:rPr>
          <w:rFonts w:hint="eastAsia" w:ascii="宋体" w:hAnsi="宋体" w:eastAsia="宋体" w:cs="宋体"/>
          <w:b w:val="0"/>
          <w:bCs/>
          <w:sz w:val="21"/>
          <w:szCs w:val="21"/>
          <w:highlight w:val="none"/>
        </w:rPr>
        <w:t>现场，对本次</w:t>
      </w:r>
      <w:r>
        <w:rPr>
          <w:rFonts w:hint="eastAsia" w:ascii="宋体" w:hAnsi="宋体" w:cs="宋体"/>
          <w:b w:val="0"/>
          <w:bCs/>
          <w:sz w:val="21"/>
          <w:szCs w:val="21"/>
          <w:highlight w:val="none"/>
          <w:lang w:val="en-US" w:eastAsia="zh-CN"/>
        </w:rPr>
        <w:t>采购</w:t>
      </w:r>
      <w:r>
        <w:rPr>
          <w:rFonts w:hint="eastAsia" w:ascii="宋体" w:hAnsi="宋体" w:eastAsia="宋体" w:cs="宋体"/>
          <w:b w:val="0"/>
          <w:bCs/>
          <w:sz w:val="21"/>
          <w:szCs w:val="21"/>
          <w:highlight w:val="none"/>
        </w:rPr>
        <w:t>的所有功能进行逐一演示。如果存在虚假</w:t>
      </w:r>
      <w:r>
        <w:rPr>
          <w:rFonts w:hint="eastAsia" w:ascii="宋体" w:hAnsi="宋体" w:cs="宋体"/>
          <w:b w:val="0"/>
          <w:bCs/>
          <w:sz w:val="21"/>
          <w:szCs w:val="21"/>
          <w:highlight w:val="none"/>
          <w:lang w:val="en-US" w:eastAsia="zh-CN"/>
        </w:rPr>
        <w:t>响应</w:t>
      </w:r>
      <w:r>
        <w:rPr>
          <w:rFonts w:hint="eastAsia" w:ascii="宋体" w:hAnsi="宋体" w:eastAsia="宋体" w:cs="宋体"/>
          <w:b w:val="0"/>
          <w:bCs/>
          <w:sz w:val="21"/>
          <w:szCs w:val="21"/>
          <w:highlight w:val="none"/>
        </w:rPr>
        <w:t>，采购人有权取消其</w:t>
      </w:r>
      <w:r>
        <w:rPr>
          <w:rFonts w:hint="eastAsia" w:ascii="宋体" w:hAnsi="宋体" w:cs="宋体"/>
          <w:b w:val="0"/>
          <w:bCs/>
          <w:sz w:val="21"/>
          <w:szCs w:val="21"/>
          <w:highlight w:val="none"/>
          <w:lang w:val="en-US" w:eastAsia="zh-CN"/>
        </w:rPr>
        <w:t>成交</w:t>
      </w:r>
      <w:r>
        <w:rPr>
          <w:rFonts w:hint="eastAsia" w:ascii="宋体" w:hAnsi="宋体" w:eastAsia="宋体" w:cs="宋体"/>
          <w:b w:val="0"/>
          <w:bCs/>
          <w:sz w:val="21"/>
          <w:szCs w:val="21"/>
          <w:highlight w:val="none"/>
        </w:rPr>
        <w:t>资格，报相关部门处理，并保留追究其法律责任的权利</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（须提供《承诺函》，格式自拟）</w:t>
      </w:r>
    </w:p>
    <w:p w14:paraId="04F1325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所需硬件清单及技术参数要求</w:t>
      </w:r>
    </w:p>
    <w:p w14:paraId="5417C106">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需更换部分叫号屏，支持到可安装安卓9.0版本以上，数量为15台，具体最低配置要求如下：</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1"/>
        <w:gridCol w:w="4204"/>
        <w:gridCol w:w="1721"/>
      </w:tblGrid>
      <w:tr w14:paraId="5708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1" w:type="dxa"/>
            <w:vAlign w:val="top"/>
          </w:tcPr>
          <w:p w14:paraId="65FF3B77">
            <w:pPr>
              <w:spacing w:line="360" w:lineRule="auto"/>
              <w:jc w:val="center"/>
              <w:rPr>
                <w:rFonts w:ascii="仿宋" w:hAnsi="仿宋" w:eastAsia="仿宋" w:cs="仿宋"/>
                <w:bCs/>
                <w:sz w:val="24"/>
                <w:highlight w:val="none"/>
              </w:rPr>
            </w:pPr>
            <w:r>
              <w:rPr>
                <w:rFonts w:hint="eastAsia" w:ascii="宋体" w:hAnsi="宋体" w:eastAsia="宋体" w:cs="宋体"/>
                <w:b/>
                <w:bCs/>
                <w:color w:val="000000"/>
                <w:kern w:val="0"/>
                <w:sz w:val="24"/>
                <w:highlight w:val="none"/>
                <w:lang w:bidi="ar"/>
              </w:rPr>
              <w:t>名称</w:t>
            </w:r>
          </w:p>
        </w:tc>
        <w:tc>
          <w:tcPr>
            <w:tcW w:w="4204" w:type="dxa"/>
            <w:vAlign w:val="top"/>
          </w:tcPr>
          <w:p w14:paraId="105399FA">
            <w:pPr>
              <w:spacing w:line="360" w:lineRule="auto"/>
              <w:jc w:val="center"/>
              <w:rPr>
                <w:rFonts w:ascii="仿宋" w:hAnsi="仿宋" w:eastAsia="仿宋" w:cs="仿宋"/>
                <w:bCs/>
                <w:sz w:val="24"/>
                <w:highlight w:val="none"/>
              </w:rPr>
            </w:pPr>
            <w:r>
              <w:rPr>
                <w:rFonts w:hint="eastAsia" w:ascii="宋体" w:hAnsi="宋体" w:eastAsia="宋体" w:cs="宋体"/>
                <w:b/>
                <w:bCs/>
                <w:color w:val="000000"/>
                <w:sz w:val="24"/>
                <w:highlight w:val="none"/>
              </w:rPr>
              <w:t>规格参数</w:t>
            </w:r>
          </w:p>
        </w:tc>
        <w:tc>
          <w:tcPr>
            <w:tcW w:w="1721" w:type="dxa"/>
            <w:vAlign w:val="top"/>
          </w:tcPr>
          <w:p w14:paraId="7246BC39">
            <w:pPr>
              <w:spacing w:line="360" w:lineRule="auto"/>
              <w:jc w:val="center"/>
              <w:rPr>
                <w:rFonts w:ascii="仿宋" w:hAnsi="仿宋" w:eastAsia="仿宋" w:cs="仿宋"/>
                <w:bCs/>
                <w:sz w:val="24"/>
                <w:highlight w:val="none"/>
              </w:rPr>
            </w:pPr>
            <w:r>
              <w:rPr>
                <w:rFonts w:hint="eastAsia" w:ascii="宋体" w:hAnsi="宋体" w:eastAsia="宋体" w:cs="宋体"/>
                <w:b/>
                <w:bCs/>
                <w:color w:val="000000"/>
                <w:sz w:val="24"/>
                <w:highlight w:val="none"/>
              </w:rPr>
              <w:t>需求数量</w:t>
            </w:r>
          </w:p>
        </w:tc>
      </w:tr>
      <w:tr w14:paraId="47912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1" w:type="dxa"/>
            <w:vAlign w:val="top"/>
          </w:tcPr>
          <w:p w14:paraId="0B705FA5">
            <w:pPr>
              <w:spacing w:line="360" w:lineRule="auto"/>
              <w:jc w:val="center"/>
              <w:rPr>
                <w:rFonts w:ascii="仿宋" w:hAnsi="仿宋" w:eastAsia="仿宋" w:cs="仿宋"/>
                <w:bCs/>
                <w:sz w:val="24"/>
                <w:highlight w:val="none"/>
              </w:rPr>
            </w:pPr>
            <w:r>
              <w:rPr>
                <w:rFonts w:hint="eastAsia" w:ascii="宋体" w:hAnsi="宋体" w:eastAsia="宋体" w:cs="宋体"/>
                <w:color w:val="000000"/>
                <w:szCs w:val="21"/>
                <w:highlight w:val="none"/>
                <w:lang w:val="en-US" w:eastAsia="zh-CN"/>
              </w:rPr>
              <w:t>叫号</w:t>
            </w:r>
            <w:r>
              <w:rPr>
                <w:rFonts w:hint="eastAsia" w:ascii="宋体" w:hAnsi="宋体" w:eastAsia="宋体" w:cs="宋体"/>
                <w:color w:val="000000"/>
                <w:szCs w:val="21"/>
                <w:highlight w:val="none"/>
              </w:rPr>
              <w:t>屏</w:t>
            </w:r>
          </w:p>
        </w:tc>
        <w:tc>
          <w:tcPr>
            <w:tcW w:w="4204" w:type="dxa"/>
            <w:vAlign w:val="top"/>
          </w:tcPr>
          <w:p w14:paraId="27B97C5C">
            <w:pPr>
              <w:tabs>
                <w:tab w:val="left" w:pos="3227"/>
              </w:tabs>
              <w:jc w:val="left"/>
              <w:rPr>
                <w:rFonts w:ascii="宋体" w:hAnsi="宋体" w:eastAsia="宋体" w:cs="宋体"/>
                <w:szCs w:val="21"/>
                <w:highlight w:val="none"/>
              </w:rPr>
            </w:pPr>
            <w:r>
              <w:rPr>
                <w:rFonts w:hint="eastAsia" w:ascii="宋体" w:hAnsi="宋体" w:eastAsia="宋体" w:cs="宋体"/>
                <w:szCs w:val="21"/>
                <w:highlight w:val="none"/>
              </w:rPr>
              <w:t>内存：1GB</w:t>
            </w:r>
          </w:p>
          <w:p w14:paraId="11E49411">
            <w:pPr>
              <w:tabs>
                <w:tab w:val="left" w:pos="3227"/>
              </w:tabs>
              <w:jc w:val="left"/>
              <w:rPr>
                <w:rFonts w:ascii="宋体" w:hAnsi="宋体" w:eastAsia="宋体" w:cs="宋体"/>
                <w:szCs w:val="21"/>
                <w:highlight w:val="none"/>
              </w:rPr>
            </w:pPr>
            <w:r>
              <w:rPr>
                <w:rFonts w:hint="eastAsia" w:ascii="宋体" w:hAnsi="宋体" w:eastAsia="宋体" w:cs="宋体"/>
                <w:szCs w:val="21"/>
                <w:highlight w:val="none"/>
              </w:rPr>
              <w:t>存储：8GB</w:t>
            </w:r>
          </w:p>
          <w:p w14:paraId="0910FDF6">
            <w:pPr>
              <w:tabs>
                <w:tab w:val="left" w:pos="3227"/>
              </w:tabs>
              <w:jc w:val="left"/>
              <w:rPr>
                <w:rFonts w:ascii="宋体" w:hAnsi="宋体" w:eastAsia="宋体" w:cs="宋体"/>
                <w:szCs w:val="21"/>
                <w:highlight w:val="none"/>
              </w:rPr>
            </w:pPr>
            <w:r>
              <w:rPr>
                <w:rFonts w:hint="eastAsia" w:ascii="宋体" w:hAnsi="宋体" w:eastAsia="宋体" w:cs="宋体"/>
                <w:szCs w:val="21"/>
                <w:highlight w:val="none"/>
              </w:rPr>
              <w:t>系统：Android 9.0</w:t>
            </w:r>
          </w:p>
          <w:p w14:paraId="59EA7767">
            <w:pPr>
              <w:tabs>
                <w:tab w:val="left" w:pos="3227"/>
              </w:tabs>
              <w:jc w:val="left"/>
              <w:rPr>
                <w:rFonts w:ascii="宋体" w:hAnsi="宋体" w:eastAsia="宋体" w:cs="宋体"/>
                <w:szCs w:val="21"/>
                <w:highlight w:val="none"/>
              </w:rPr>
            </w:pPr>
            <w:r>
              <w:rPr>
                <w:rFonts w:hint="eastAsia" w:ascii="宋体" w:hAnsi="宋体" w:eastAsia="宋体" w:cs="宋体"/>
                <w:szCs w:val="21"/>
                <w:highlight w:val="none"/>
              </w:rPr>
              <w:t xml:space="preserve">分辨率输出：1366 </w:t>
            </w:r>
            <w:r>
              <w:rPr>
                <w:rFonts w:hint="default" w:ascii="Arial" w:hAnsi="Arial" w:eastAsia="宋体" w:cs="Arial"/>
                <w:szCs w:val="21"/>
                <w:highlight w:val="none"/>
              </w:rPr>
              <w:t>×</w:t>
            </w:r>
            <w:r>
              <w:rPr>
                <w:rFonts w:hint="eastAsia" w:ascii="宋体" w:hAnsi="宋体" w:eastAsia="宋体" w:cs="宋体"/>
                <w:szCs w:val="21"/>
                <w:highlight w:val="none"/>
              </w:rPr>
              <w:t xml:space="preserve"> 768</w:t>
            </w:r>
          </w:p>
        </w:tc>
        <w:tc>
          <w:tcPr>
            <w:tcW w:w="1721" w:type="dxa"/>
            <w:vAlign w:val="top"/>
          </w:tcPr>
          <w:p w14:paraId="12F387B5">
            <w:pPr>
              <w:spacing w:line="360" w:lineRule="auto"/>
              <w:jc w:val="center"/>
              <w:rPr>
                <w:rFonts w:ascii="仿宋" w:hAnsi="仿宋" w:eastAsia="仿宋" w:cs="仿宋"/>
                <w:bCs/>
                <w:sz w:val="24"/>
                <w:highlight w:val="none"/>
              </w:rPr>
            </w:pPr>
            <w:r>
              <w:rPr>
                <w:rFonts w:hint="eastAsia" w:ascii="宋体" w:hAnsi="宋体" w:eastAsia="宋体" w:cs="宋体"/>
                <w:color w:val="000000"/>
                <w:szCs w:val="21"/>
                <w:highlight w:val="none"/>
              </w:rPr>
              <w:t>15</w:t>
            </w:r>
          </w:p>
        </w:tc>
      </w:tr>
    </w:tbl>
    <w:p w14:paraId="4C7A3678">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项目实施规范要求</w:t>
      </w:r>
    </w:p>
    <w:p w14:paraId="42A7AF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1</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系统应兼容</w:t>
      </w:r>
      <w:r>
        <w:rPr>
          <w:rFonts w:hint="eastAsia" w:ascii="宋体" w:hAnsi="宋体" w:cs="宋体"/>
          <w:b w:val="0"/>
          <w:bCs/>
          <w:color w:val="000000"/>
          <w:kern w:val="0"/>
          <w:sz w:val="21"/>
          <w:szCs w:val="21"/>
          <w:highlight w:val="none"/>
          <w:lang w:val="en-US" w:eastAsia="zh-CN" w:bidi="ar"/>
        </w:rPr>
        <w:t>采购人</w:t>
      </w:r>
      <w:r>
        <w:rPr>
          <w:rFonts w:hint="eastAsia" w:ascii="宋体" w:hAnsi="宋体" w:eastAsia="宋体" w:cs="宋体"/>
          <w:b w:val="0"/>
          <w:bCs/>
          <w:color w:val="000000"/>
          <w:kern w:val="0"/>
          <w:sz w:val="21"/>
          <w:szCs w:val="21"/>
          <w:highlight w:val="none"/>
          <w:lang w:bidi="ar"/>
        </w:rPr>
        <w:t>现有业务流程和可用设备，支持后续新增诊区、科室、终端屏幕、接口和业务规则扩展</w:t>
      </w:r>
      <w:r>
        <w:rPr>
          <w:rFonts w:hint="eastAsia" w:ascii="宋体" w:hAnsi="宋体" w:cs="宋体"/>
          <w:b w:val="0"/>
          <w:bCs/>
          <w:color w:val="000000"/>
          <w:kern w:val="0"/>
          <w:sz w:val="21"/>
          <w:szCs w:val="21"/>
          <w:highlight w:val="none"/>
          <w:lang w:eastAsia="zh-CN" w:bidi="ar"/>
        </w:rPr>
        <w:t>；</w:t>
      </w:r>
    </w:p>
    <w:p w14:paraId="2A3ECD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2</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升级改造应尽量复用</w:t>
      </w:r>
      <w:r>
        <w:rPr>
          <w:rFonts w:hint="eastAsia" w:ascii="宋体" w:hAnsi="宋体" w:cs="宋体"/>
          <w:b w:val="0"/>
          <w:bCs/>
          <w:color w:val="000000"/>
          <w:kern w:val="0"/>
          <w:sz w:val="21"/>
          <w:szCs w:val="21"/>
          <w:highlight w:val="none"/>
          <w:lang w:val="en-US" w:eastAsia="zh-CN" w:bidi="ar"/>
        </w:rPr>
        <w:t>采购人</w:t>
      </w:r>
      <w:r>
        <w:rPr>
          <w:rFonts w:hint="eastAsia" w:ascii="宋体" w:hAnsi="宋体" w:eastAsia="宋体" w:cs="宋体"/>
          <w:b w:val="0"/>
          <w:bCs/>
          <w:color w:val="000000"/>
          <w:kern w:val="0"/>
          <w:sz w:val="21"/>
          <w:szCs w:val="21"/>
          <w:highlight w:val="none"/>
          <w:lang w:bidi="ar"/>
        </w:rPr>
        <w:t>现有线路、网络环境、终端显示设备和历史数据资源，减少重复建设和对门急诊正常业务的影响</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 xml:space="preserve"> </w:t>
      </w:r>
    </w:p>
    <w:p w14:paraId="201651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3</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系统应支持 7</w:t>
      </w:r>
      <w:r>
        <w:rPr>
          <w:rFonts w:hint="default" w:ascii="Arial" w:hAnsi="Arial" w:eastAsia="宋体" w:cs="Arial"/>
          <w:b w:val="0"/>
          <w:bCs/>
          <w:color w:val="000000"/>
          <w:kern w:val="0"/>
          <w:sz w:val="21"/>
          <w:szCs w:val="21"/>
          <w:highlight w:val="none"/>
          <w:lang w:bidi="ar"/>
        </w:rPr>
        <w:t>×</w:t>
      </w:r>
      <w:r>
        <w:rPr>
          <w:rFonts w:hint="eastAsia" w:ascii="宋体" w:hAnsi="宋体" w:eastAsia="宋体" w:cs="宋体"/>
          <w:b w:val="0"/>
          <w:bCs/>
          <w:color w:val="000000"/>
          <w:kern w:val="0"/>
          <w:sz w:val="21"/>
          <w:szCs w:val="21"/>
          <w:highlight w:val="none"/>
          <w:lang w:bidi="ar"/>
        </w:rPr>
        <w:t>24 小时稳定运行，具备异常恢复、日志追踪、数据备份、权限控制和故障告警能力；上线前应完成测试环境验证、接口联调、模拟叫号测试和业务流程测试</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 xml:space="preserve"> </w:t>
      </w:r>
    </w:p>
    <w:p w14:paraId="16EBC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4）</w:t>
      </w:r>
      <w:r>
        <w:rPr>
          <w:rFonts w:hint="eastAsia" w:ascii="宋体" w:hAnsi="宋体" w:eastAsia="宋体" w:cs="宋体"/>
          <w:b w:val="0"/>
          <w:bCs/>
          <w:color w:val="000000"/>
          <w:kern w:val="0"/>
          <w:sz w:val="21"/>
          <w:szCs w:val="21"/>
          <w:highlight w:val="none"/>
          <w:lang w:bidi="ar"/>
        </w:rPr>
        <w:t>系统切换应采用分区域、分阶段方式实施，优先选择夜间、周末或非诊疗高峰时段施工</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上线期间应保留原系统或人工叫号应急方案，确保出现异常时可快速回退</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 xml:space="preserve"> </w:t>
      </w:r>
    </w:p>
    <w:p w14:paraId="5D37C7A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5</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供应商应保证所投产品及服务不存在知识产权纠纷，涉及第三方软硬件授权、接口开发、安装调试、培训、运维等费用均应包含在本项目总报价内。</w:t>
      </w:r>
    </w:p>
    <w:p w14:paraId="5683F78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4</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项目团队人员要求：</w:t>
      </w:r>
    </w:p>
    <w:p w14:paraId="6DF6C009">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项目经理 1 名，本科及以上；</w:t>
      </w:r>
    </w:p>
    <w:p w14:paraId="220EAF2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技术人员至少 2 名，大专及以上；</w:t>
      </w:r>
    </w:p>
    <w:p w14:paraId="627419C8">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3</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团队成员至少有一人具有工业和信息化部(工信部)和人力资源和社会保障部(人社部)颁发的系统集成项目管理工程师及有</w:t>
      </w:r>
      <w:r>
        <w:rPr>
          <w:rFonts w:hint="eastAsia" w:ascii="宋体" w:hAnsi="宋体" w:cs="宋体"/>
          <w:b w:val="0"/>
          <w:bCs/>
          <w:sz w:val="21"/>
          <w:szCs w:val="21"/>
          <w:highlight w:val="none"/>
          <w:lang w:val="en-US" w:eastAsia="zh-CN"/>
        </w:rPr>
        <w:t>3</w:t>
      </w:r>
      <w:r>
        <w:rPr>
          <w:rFonts w:hint="eastAsia" w:ascii="宋体" w:hAnsi="宋体" w:eastAsia="宋体" w:cs="宋体"/>
          <w:b w:val="0"/>
          <w:bCs/>
          <w:sz w:val="21"/>
          <w:szCs w:val="21"/>
          <w:highlight w:val="none"/>
        </w:rPr>
        <w:t>年</w:t>
      </w:r>
      <w:r>
        <w:rPr>
          <w:rFonts w:hint="eastAsia" w:ascii="宋体" w:hAnsi="宋体" w:cs="宋体"/>
          <w:b w:val="0"/>
          <w:bCs/>
          <w:sz w:val="21"/>
          <w:szCs w:val="21"/>
          <w:highlight w:val="none"/>
          <w:lang w:val="en-US" w:eastAsia="zh-CN"/>
        </w:rPr>
        <w:t>或</w:t>
      </w:r>
      <w:r>
        <w:rPr>
          <w:rFonts w:hint="eastAsia" w:ascii="宋体" w:hAnsi="宋体" w:eastAsia="宋体" w:cs="宋体"/>
          <w:b w:val="0"/>
          <w:bCs/>
          <w:sz w:val="21"/>
          <w:szCs w:val="21"/>
          <w:highlight w:val="none"/>
        </w:rPr>
        <w:t>以上的同类项目交付经验。</w:t>
      </w:r>
    </w:p>
    <w:p w14:paraId="1BC0A290">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5</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软件产权说明</w:t>
      </w:r>
    </w:p>
    <w:p w14:paraId="36101A10">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采购人对供应商服务成果拥有所有权及全部、完整的知识产权（包括但不限于著作权、专利权、商标权以及知识产权申请权等）</w:t>
      </w:r>
      <w:r>
        <w:rPr>
          <w:rFonts w:hint="eastAsia" w:ascii="宋体" w:hAnsi="宋体" w:eastAsia="宋体" w:cs="宋体"/>
          <w:b w:val="0"/>
          <w:bCs/>
          <w:sz w:val="21"/>
          <w:szCs w:val="21"/>
          <w:highlight w:val="none"/>
          <w:lang w:eastAsia="zh-CN"/>
        </w:rPr>
        <w:t>；</w:t>
      </w:r>
    </w:p>
    <w:p w14:paraId="7726AB1D">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本项目成交供应商须保证为采购人所提供的成果，产品、服务中所包含任何项目的著作权（或版权）等知识产权为成交供应商合法拥有或经第三方同意合法使用并可被采购人合法使用，不存在侵犯任何第三方的知识产权以及其他任何合法权利，因使用未被授权使用的技术、组件等知识产权问题引起的纠纷由成交供应商自行承担，采购人不承担因此产生的任何责任</w:t>
      </w:r>
      <w:r>
        <w:rPr>
          <w:rFonts w:hint="eastAsia" w:ascii="宋体" w:hAnsi="宋体" w:eastAsia="宋体" w:cs="宋体"/>
          <w:b w:val="0"/>
          <w:bCs/>
          <w:sz w:val="21"/>
          <w:szCs w:val="21"/>
          <w:highlight w:val="none"/>
          <w:lang w:eastAsia="zh-CN"/>
        </w:rPr>
        <w:t>；</w:t>
      </w:r>
    </w:p>
    <w:p w14:paraId="7558B113">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3</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本项目研究成果及其技术文档等所有权由采购人享有，成交供应商有义务将相关的全部技术文档等完整资料交付采购人，未经采购人许可，成交供应商不得将相关采购人资料提供给第三方。报价应包含所有应向所有权人支付的专利权、商标权或其它知识产权的一切相关费用。如采购人需要对相关知识产权办理申请、登记手续的，成交供应商应当提供协助，包括但不限于提供相关数据</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资料和文件。</w:t>
      </w:r>
    </w:p>
    <w:p w14:paraId="0644E8AF">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eastAsia="zh-CN"/>
        </w:rPr>
        <w:t>（</w:t>
      </w:r>
      <w:r>
        <w:rPr>
          <w:rFonts w:hint="eastAsia" w:ascii="宋体" w:hAnsi="宋体" w:cs="宋体"/>
          <w:b w:val="0"/>
          <w:bCs/>
          <w:sz w:val="21"/>
          <w:szCs w:val="21"/>
          <w:highlight w:val="none"/>
          <w:lang w:val="en-US" w:eastAsia="zh-CN"/>
        </w:rPr>
        <w:t>6</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保密要求</w:t>
      </w:r>
    </w:p>
    <w:p w14:paraId="6388AAFD">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1）保密要求：</w:t>
      </w:r>
    </w:p>
    <w:p w14:paraId="72B1A6F2">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①</w:t>
      </w:r>
      <w:r>
        <w:rPr>
          <w:rFonts w:hint="eastAsia" w:ascii="宋体" w:hAnsi="宋体" w:cs="宋体"/>
          <w:b w:val="0"/>
          <w:bCs/>
          <w:sz w:val="21"/>
          <w:szCs w:val="21"/>
          <w:highlight w:val="none"/>
          <w:lang w:eastAsia="zh-CN"/>
        </w:rPr>
        <w:t>供应商</w:t>
      </w:r>
      <w:r>
        <w:rPr>
          <w:rFonts w:hint="eastAsia" w:ascii="宋体" w:hAnsi="宋体" w:eastAsia="宋体" w:cs="宋体"/>
          <w:b w:val="0"/>
          <w:bCs/>
          <w:sz w:val="21"/>
          <w:szCs w:val="21"/>
          <w:highlight w:val="none"/>
        </w:rPr>
        <w:t>在项目实施前须与采购人签署保密协议书，保证不向外泄露本项目的所有程序、资料及数据用作其他用途</w:t>
      </w:r>
      <w:r>
        <w:rPr>
          <w:rFonts w:hint="eastAsia" w:ascii="宋体" w:hAnsi="宋体" w:cs="宋体"/>
          <w:b w:val="0"/>
          <w:bCs/>
          <w:sz w:val="21"/>
          <w:szCs w:val="21"/>
          <w:highlight w:val="none"/>
          <w:lang w:eastAsia="zh-CN"/>
        </w:rPr>
        <w:t>，供应商</w:t>
      </w:r>
      <w:r>
        <w:rPr>
          <w:rFonts w:hint="eastAsia" w:ascii="宋体" w:hAnsi="宋体" w:eastAsia="宋体" w:cs="宋体"/>
          <w:b w:val="0"/>
          <w:bCs/>
          <w:sz w:val="21"/>
          <w:szCs w:val="21"/>
          <w:highlight w:val="none"/>
        </w:rPr>
        <w:t>负责约束其所属员工。</w:t>
      </w:r>
    </w:p>
    <w:p w14:paraId="196D2A13">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②要求在项目建设实施过程中，对所获得的有关采购人服务的各类数据、资料负有保密义务，未经许可，不得向第三方泄露。供应商应遵循如下要求：</w:t>
      </w:r>
    </w:p>
    <w:p w14:paraId="4A672453">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a.</w:t>
      </w:r>
      <w:r>
        <w:rPr>
          <w:rFonts w:hint="eastAsia" w:ascii="宋体" w:hAnsi="宋体" w:eastAsia="宋体" w:cs="宋体"/>
          <w:b w:val="0"/>
          <w:bCs/>
          <w:sz w:val="21"/>
          <w:szCs w:val="21"/>
          <w:highlight w:val="none"/>
        </w:rPr>
        <w:t>技术支持人员保证遵守医院有关的政策、法律、法规和制度；</w:t>
      </w:r>
    </w:p>
    <w:p w14:paraId="01AC627B">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b.</w:t>
      </w:r>
      <w:r>
        <w:rPr>
          <w:rFonts w:hint="eastAsia" w:ascii="宋体" w:hAnsi="宋体" w:eastAsia="宋体" w:cs="宋体"/>
          <w:b w:val="0"/>
          <w:bCs/>
          <w:sz w:val="21"/>
          <w:szCs w:val="21"/>
          <w:highlight w:val="none"/>
        </w:rPr>
        <w:t>技术支持人员保证按照医院规范开展工作，凡接收到的重大服务请求在未经采购人同意的情况下不做任何处理；</w:t>
      </w:r>
    </w:p>
    <w:p w14:paraId="35B7D6CC">
      <w:pPr>
        <w:keepNext w:val="0"/>
        <w:keepLines w:val="0"/>
        <w:pageBreakBefore w:val="0"/>
        <w:kinsoku/>
        <w:wordWrap/>
        <w:overflowPunct/>
        <w:topLinePunct w:val="0"/>
        <w:autoSpaceDE/>
        <w:autoSpaceDN/>
        <w:bidi w:val="0"/>
        <w:adjustRightInd/>
        <w:snapToGrid/>
        <w:spacing w:line="36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c.</w:t>
      </w:r>
      <w:r>
        <w:rPr>
          <w:rFonts w:hint="eastAsia" w:ascii="宋体" w:hAnsi="宋体" w:eastAsia="宋体" w:cs="宋体"/>
          <w:b w:val="0"/>
          <w:bCs/>
          <w:sz w:val="21"/>
          <w:szCs w:val="21"/>
          <w:highlight w:val="none"/>
        </w:rPr>
        <w:t>技术支持人员保证不向外（指用户规定范围以外）泄漏任何业务和技术相关数据。</w:t>
      </w:r>
    </w:p>
    <w:p w14:paraId="541F2C4B">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lang w:val="en-US" w:eastAsia="zh-CN"/>
        </w:rPr>
        <w:t>7</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培训要求：供应商应提供不少于 2 场，对所有使用人员进行现场培训，覆盖系统管理员、分诊台护士、医生端使用人员，并提供纸质或电子版操作手册</w:t>
      </w:r>
      <w:r>
        <w:rPr>
          <w:rFonts w:hint="eastAsia" w:ascii="宋体" w:hAnsi="宋体" w:eastAsia="宋体" w:cs="宋体"/>
          <w:b w:val="0"/>
          <w:bCs/>
          <w:sz w:val="21"/>
          <w:szCs w:val="21"/>
          <w:highlight w:val="none"/>
          <w:lang w:eastAsia="zh-CN"/>
        </w:rPr>
        <w:t>；</w:t>
      </w:r>
    </w:p>
    <w:p w14:paraId="68496D1A">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lang w:val="en-US" w:eastAsia="zh-CN"/>
        </w:rPr>
        <w:t>8</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验收标准和验收方案：</w:t>
      </w:r>
    </w:p>
    <w:p w14:paraId="0B42870D">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rPr>
        <w:t>验收标准：</w:t>
      </w:r>
    </w:p>
    <w:p w14:paraId="1243ADAE">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a.</w:t>
      </w:r>
      <w:r>
        <w:rPr>
          <w:rFonts w:hint="eastAsia" w:ascii="宋体" w:hAnsi="宋体" w:eastAsia="宋体" w:cs="宋体"/>
          <w:b w:val="0"/>
          <w:bCs/>
          <w:sz w:val="21"/>
          <w:szCs w:val="21"/>
          <w:highlight w:val="none"/>
        </w:rPr>
        <w:t>功能验收：对照本</w:t>
      </w:r>
      <w:r>
        <w:rPr>
          <w:rFonts w:hint="eastAsia" w:ascii="宋体" w:hAnsi="宋体" w:eastAsia="宋体" w:cs="宋体"/>
          <w:b w:val="0"/>
          <w:bCs/>
          <w:sz w:val="21"/>
          <w:szCs w:val="21"/>
          <w:highlight w:val="none"/>
          <w:lang w:val="en-US" w:eastAsia="zh-CN"/>
        </w:rPr>
        <w:t>采购</w:t>
      </w:r>
      <w:r>
        <w:rPr>
          <w:rFonts w:hint="eastAsia" w:ascii="宋体" w:hAnsi="宋体" w:eastAsia="宋体" w:cs="宋体"/>
          <w:b w:val="0"/>
          <w:bCs/>
          <w:sz w:val="21"/>
          <w:szCs w:val="21"/>
          <w:highlight w:val="none"/>
        </w:rPr>
        <w:t>文件中列明的软件功能要求、硬件参数要求逐项核验，所有功能需满足需求描述，所有硬件参数符合约定标准，系统整体能够稳定适配</w:t>
      </w:r>
      <w:r>
        <w:rPr>
          <w:rFonts w:hint="eastAsia" w:ascii="宋体" w:hAnsi="宋体" w:eastAsia="宋体" w:cs="宋体"/>
          <w:b w:val="0"/>
          <w:bCs/>
          <w:sz w:val="21"/>
          <w:szCs w:val="21"/>
          <w:highlight w:val="none"/>
          <w:lang w:val="en-US" w:eastAsia="zh-CN"/>
        </w:rPr>
        <w:t>采购人</w:t>
      </w:r>
      <w:r>
        <w:rPr>
          <w:rFonts w:hint="eastAsia" w:ascii="宋体" w:hAnsi="宋体" w:eastAsia="宋体" w:cs="宋体"/>
          <w:b w:val="0"/>
          <w:bCs/>
          <w:sz w:val="21"/>
          <w:szCs w:val="21"/>
          <w:highlight w:val="none"/>
        </w:rPr>
        <w:t>现有业务流程正常运行；</w:t>
      </w:r>
    </w:p>
    <w:p w14:paraId="496AA947">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b.</w:t>
      </w:r>
      <w:r>
        <w:rPr>
          <w:rFonts w:hint="eastAsia" w:ascii="宋体" w:hAnsi="宋体" w:eastAsia="宋体" w:cs="宋体"/>
          <w:b w:val="0"/>
          <w:bCs/>
          <w:sz w:val="21"/>
          <w:szCs w:val="21"/>
          <w:highlight w:val="none"/>
        </w:rPr>
        <w:t>文档验收：供应商须按要求提交完整的项目文档，包括但不限于实施部署文档、操作手册、常见故障维护手册等，文档齐全、内容符合要求方可通过文档验收；</w:t>
      </w:r>
    </w:p>
    <w:p w14:paraId="1BECE40F">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c.</w:t>
      </w:r>
      <w:r>
        <w:rPr>
          <w:rFonts w:hint="eastAsia" w:ascii="宋体" w:hAnsi="宋体" w:eastAsia="宋体" w:cs="宋体"/>
          <w:b w:val="0"/>
          <w:bCs/>
          <w:sz w:val="21"/>
          <w:szCs w:val="21"/>
          <w:highlight w:val="none"/>
        </w:rPr>
        <w:t>试运行验收：项目部署完成后进入不少于7个工作日的试运行阶段，试运行期间系统运行稳定，无重大故障，满足分诊叫号业务的日常使用需求，试运行结束后由使用部门或信息科出具使用评价，评价合格后，并形成试运行报告报告后方可进入最终验收；</w:t>
      </w:r>
    </w:p>
    <w:p w14:paraId="69F5D010">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d.</w:t>
      </w:r>
      <w:r>
        <w:rPr>
          <w:rFonts w:hint="eastAsia" w:ascii="宋体" w:hAnsi="宋体" w:eastAsia="宋体" w:cs="宋体"/>
          <w:b w:val="0"/>
          <w:bCs/>
          <w:sz w:val="21"/>
          <w:szCs w:val="21"/>
          <w:highlight w:val="none"/>
        </w:rPr>
        <w:t>验收结论：所有验收项目全部合格的，视为通过验收；若验收发现不合格项，供应商须在采购人要求的期限内完成整改，整改完成后重新申请验收，整改后仍不满足要求的，采购人有权按合同约定追究供应商违约责任。</w:t>
      </w:r>
    </w:p>
    <w:p w14:paraId="163BF3FF">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验收方案：</w:t>
      </w:r>
    </w:p>
    <w:p w14:paraId="150C2C9F">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a.</w:t>
      </w:r>
      <w:r>
        <w:rPr>
          <w:rFonts w:hint="eastAsia" w:ascii="宋体" w:hAnsi="宋体" w:eastAsia="宋体" w:cs="宋体"/>
          <w:b w:val="0"/>
          <w:bCs/>
          <w:sz w:val="21"/>
          <w:szCs w:val="21"/>
          <w:highlight w:val="none"/>
        </w:rPr>
        <w:t>合同软、硬件安装完成后应在采购人和</w:t>
      </w:r>
      <w:r>
        <w:rPr>
          <w:rFonts w:hint="eastAsia" w:ascii="宋体" w:hAnsi="宋体" w:eastAsia="宋体" w:cs="宋体"/>
          <w:b w:val="0"/>
          <w:bCs/>
          <w:sz w:val="21"/>
          <w:szCs w:val="21"/>
          <w:highlight w:val="none"/>
          <w:lang w:eastAsia="zh-CN"/>
        </w:rPr>
        <w:t>供应商</w:t>
      </w:r>
      <w:r>
        <w:rPr>
          <w:rFonts w:hint="eastAsia" w:ascii="宋体" w:hAnsi="宋体" w:eastAsia="宋体" w:cs="宋体"/>
          <w:b w:val="0"/>
          <w:bCs/>
          <w:sz w:val="21"/>
          <w:szCs w:val="21"/>
          <w:highlight w:val="none"/>
        </w:rPr>
        <w:t>双方共同参加下进行验收</w:t>
      </w:r>
      <w:r>
        <w:rPr>
          <w:rFonts w:hint="eastAsia" w:ascii="宋体" w:hAnsi="宋体" w:eastAsia="宋体" w:cs="宋体"/>
          <w:b w:val="0"/>
          <w:bCs/>
          <w:sz w:val="21"/>
          <w:szCs w:val="21"/>
          <w:highlight w:val="none"/>
          <w:lang w:eastAsia="zh-CN"/>
        </w:rPr>
        <w:t>；</w:t>
      </w:r>
    </w:p>
    <w:p w14:paraId="738C7D18">
      <w:pPr>
        <w:pStyle w:val="17"/>
        <w:keepNext w:val="0"/>
        <w:keepLines w:val="0"/>
        <w:pageBreakBefore w:val="0"/>
        <w:tabs>
          <w:tab w:val="left" w:pos="630"/>
          <w:tab w:val="clear" w:pos="42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cs="宋体"/>
          <w:b/>
          <w:color w:val="0000FF"/>
          <w:kern w:val="0"/>
          <w:sz w:val="21"/>
          <w:szCs w:val="21"/>
          <w:highlight w:val="none"/>
          <w:lang w:val="en-US" w:eastAsia="zh-CN"/>
        </w:rPr>
      </w:pPr>
      <w:r>
        <w:rPr>
          <w:rFonts w:hint="eastAsia" w:ascii="宋体" w:hAnsi="宋体" w:eastAsia="宋体" w:cs="宋体"/>
          <w:b w:val="0"/>
          <w:bCs/>
          <w:sz w:val="21"/>
          <w:szCs w:val="21"/>
          <w:highlight w:val="none"/>
          <w:lang w:val="en-US" w:eastAsia="zh-CN"/>
        </w:rPr>
        <w:t>b.</w:t>
      </w:r>
      <w:r>
        <w:rPr>
          <w:rFonts w:hint="eastAsia" w:ascii="宋体" w:hAnsi="宋体" w:eastAsia="宋体" w:cs="宋体"/>
          <w:b w:val="0"/>
          <w:bCs/>
          <w:sz w:val="21"/>
          <w:szCs w:val="21"/>
          <w:highlight w:val="none"/>
        </w:rPr>
        <w:t>验收按国家有关的规定、规范进行。验收时如发现所交付的设备有短装、次品、损坏或其它不符合本合同规定之情形者，采购人作出详尽的现场记录，或由双方签署备忘录。此现场记录或备忘录可用作补充、缺失和更换损坏部件的有效证据。由此产生的有关费用由</w:t>
      </w:r>
      <w:r>
        <w:rPr>
          <w:rFonts w:hint="eastAsia" w:ascii="宋体" w:hAnsi="宋体" w:eastAsia="宋体" w:cs="宋体"/>
          <w:b w:val="0"/>
          <w:bCs/>
          <w:sz w:val="21"/>
          <w:szCs w:val="21"/>
          <w:highlight w:val="none"/>
          <w:lang w:eastAsia="zh-CN"/>
        </w:rPr>
        <w:t>供应商</w:t>
      </w:r>
      <w:r>
        <w:rPr>
          <w:rFonts w:hint="eastAsia" w:ascii="宋体" w:hAnsi="宋体" w:eastAsia="宋体" w:cs="宋体"/>
          <w:b w:val="0"/>
          <w:bCs/>
          <w:sz w:val="21"/>
          <w:szCs w:val="21"/>
          <w:highlight w:val="none"/>
        </w:rPr>
        <w:t>承担。</w:t>
      </w:r>
    </w:p>
    <w:p w14:paraId="22F75E00">
      <w:pPr>
        <w:keepNext w:val="0"/>
        <w:keepLines w:val="0"/>
        <w:pageBreakBefore w:val="0"/>
        <w:widowControl w:val="0"/>
        <w:numPr>
          <w:ilvl w:val="0"/>
          <w:numId w:val="0"/>
        </w:numPr>
        <w:kinsoku/>
        <w:wordWrap/>
        <w:overflowPunct/>
        <w:topLinePunct w:val="0"/>
        <w:autoSpaceDE/>
        <w:autoSpaceDN/>
        <w:bidi w:val="0"/>
        <w:adjustRightInd/>
        <w:snapToGrid/>
        <w:spacing w:before="0" w:beforeLines="50" w:line="360" w:lineRule="auto"/>
        <w:ind w:firstLine="422" w:firstLineChars="200"/>
        <w:jc w:val="both"/>
        <w:textAlignment w:val="auto"/>
        <w:rPr>
          <w:rFonts w:hint="eastAsia" w:ascii="宋体" w:hAnsi="宋体" w:eastAsia="宋体" w:cs="宋体"/>
          <w:b/>
          <w:color w:val="auto"/>
          <w:kern w:val="0"/>
          <w:sz w:val="21"/>
          <w:szCs w:val="21"/>
          <w:highlight w:val="none"/>
          <w:lang w:val="en-US" w:eastAsia="zh-CN"/>
        </w:rPr>
      </w:pPr>
      <w:r>
        <w:rPr>
          <w:rFonts w:hint="eastAsia" w:ascii="宋体" w:hAnsi="宋体" w:cs="宋体"/>
          <w:b/>
          <w:color w:val="auto"/>
          <w:kern w:val="0"/>
          <w:sz w:val="21"/>
          <w:szCs w:val="21"/>
          <w:highlight w:val="none"/>
          <w:lang w:val="en-US" w:eastAsia="zh-CN"/>
        </w:rPr>
        <w:t>三、</w:t>
      </w:r>
      <w:r>
        <w:rPr>
          <w:rFonts w:hint="eastAsia" w:ascii="宋体" w:hAnsi="宋体" w:eastAsia="宋体" w:cs="宋体"/>
          <w:b/>
          <w:color w:val="auto"/>
          <w:kern w:val="0"/>
          <w:sz w:val="21"/>
          <w:szCs w:val="21"/>
          <w:highlight w:val="none"/>
          <w:lang w:val="en-US" w:eastAsia="zh-CN"/>
        </w:rPr>
        <w:t>商务要求（除“▲”和“★”条款外，按序号</w:t>
      </w:r>
      <w:r>
        <w:rPr>
          <w:rFonts w:hint="eastAsia" w:ascii="宋体" w:hAnsi="宋体" w:cs="宋体"/>
          <w:b/>
          <w:color w:val="auto"/>
          <w:kern w:val="0"/>
          <w:sz w:val="21"/>
          <w:szCs w:val="21"/>
          <w:highlight w:val="none"/>
          <w:lang w:val="en-US" w:eastAsia="zh-CN"/>
        </w:rPr>
        <w:t>（一）</w:t>
      </w:r>
      <w:r>
        <w:rPr>
          <w:rFonts w:hint="eastAsia" w:ascii="宋体" w:hAnsi="宋体" w:eastAsia="宋体" w:cs="宋体"/>
          <w:b/>
          <w:color w:val="auto"/>
          <w:kern w:val="0"/>
          <w:sz w:val="21"/>
          <w:szCs w:val="21"/>
          <w:highlight w:val="none"/>
          <w:lang w:val="en-US" w:eastAsia="zh-CN"/>
        </w:rPr>
        <w:t>-</w:t>
      </w:r>
      <w:r>
        <w:rPr>
          <w:rFonts w:hint="eastAsia" w:ascii="宋体" w:hAnsi="宋体" w:cs="宋体"/>
          <w:b/>
          <w:color w:val="auto"/>
          <w:kern w:val="0"/>
          <w:sz w:val="21"/>
          <w:szCs w:val="21"/>
          <w:highlight w:val="none"/>
          <w:lang w:val="en-US" w:eastAsia="zh-CN"/>
        </w:rPr>
        <w:t>（四）</w:t>
      </w:r>
      <w:r>
        <w:rPr>
          <w:rFonts w:hint="eastAsia" w:ascii="宋体" w:hAnsi="宋体" w:eastAsia="宋体" w:cs="宋体"/>
          <w:b/>
          <w:color w:val="auto"/>
          <w:kern w:val="0"/>
          <w:sz w:val="21"/>
          <w:szCs w:val="21"/>
          <w:highlight w:val="none"/>
          <w:lang w:val="en-US" w:eastAsia="zh-CN"/>
        </w:rPr>
        <w:t>计</w:t>
      </w:r>
      <w:r>
        <w:rPr>
          <w:rFonts w:hint="eastAsia" w:ascii="宋体" w:hAnsi="宋体" w:cs="宋体"/>
          <w:b/>
          <w:color w:val="auto"/>
          <w:kern w:val="0"/>
          <w:sz w:val="21"/>
          <w:szCs w:val="21"/>
          <w:highlight w:val="none"/>
          <w:lang w:val="en-US" w:eastAsia="zh-CN"/>
        </w:rPr>
        <w:t>4</w:t>
      </w:r>
      <w:r>
        <w:rPr>
          <w:rFonts w:hint="eastAsia" w:ascii="宋体" w:hAnsi="宋体" w:eastAsia="宋体" w:cs="宋体"/>
          <w:b/>
          <w:color w:val="auto"/>
          <w:kern w:val="0"/>
          <w:sz w:val="21"/>
          <w:szCs w:val="21"/>
          <w:highlight w:val="none"/>
          <w:lang w:val="en-US" w:eastAsia="zh-CN"/>
        </w:rPr>
        <w:t>条一般性条款）</w:t>
      </w:r>
    </w:p>
    <w:p w14:paraId="6114F3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（一）</w:t>
      </w:r>
      <w:r>
        <w:rPr>
          <w:rFonts w:hint="eastAsia" w:ascii="宋体" w:hAnsi="宋体" w:eastAsia="宋体" w:cs="宋体"/>
          <w:b w:val="0"/>
          <w:bCs/>
          <w:color w:val="auto"/>
          <w:kern w:val="0"/>
          <w:sz w:val="21"/>
          <w:szCs w:val="21"/>
          <w:highlight w:val="none"/>
          <w:lang w:val="en-US" w:eastAsia="zh-CN"/>
        </w:rPr>
        <w:t>付款进度和方式</w:t>
      </w:r>
    </w:p>
    <w:p w14:paraId="7CC499A6">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1.合同签订并收到供应商开具的等额合规发票，经采购人核对无误后，5个工作日内支付合同总额的30%。</w:t>
      </w:r>
    </w:p>
    <w:p w14:paraId="7F48153F">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2.项目验收合格并收到供应商开具的等额合规发票，经采购人核对无误后，10个工作日内支付合同总额的60%。</w:t>
      </w:r>
    </w:p>
    <w:p w14:paraId="66AA7855">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3.项目验收合格1年后，采购人收到供应商开具的等额合规发票，经采购人核对无误后，10个工作日内支付合同总额的10%。</w:t>
      </w:r>
    </w:p>
    <w:p w14:paraId="407804CE">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4.供应商应于采购人支付款项之前向采购人提供等额合规发票，否则，采购人有权拒绝支付相应款项直至供应商提供合规发票为止，且采购人的拒付行为不被视为违约。</w:t>
      </w:r>
    </w:p>
    <w:p w14:paraId="58F8F936">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5.若因供应商原因，导致延迟付款的，后果由供应商承担，采购人不承担任何逾期付款的责任。</w:t>
      </w:r>
    </w:p>
    <w:p w14:paraId="582A37AD">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6.如遇节假日或不可抗拒原因，支付日期可顺延。</w:t>
      </w:r>
    </w:p>
    <w:p w14:paraId="0C9D6688">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（二）货物要求：货物为原制造商制造的非淘汰类全新产品，整机无污染，无侵权行为、表面无划损、无任何缺陷隐患，在中国境内可依常规安全合法使用。</w:t>
      </w:r>
    </w:p>
    <w:p w14:paraId="151CAAC1">
      <w:pPr>
        <w:pageBreakBefore w:val="0"/>
        <w:widowControl/>
        <w:tabs>
          <w:tab w:val="left" w:pos="360"/>
        </w:tabs>
        <w:kinsoku/>
        <w:wordWrap/>
        <w:overflowPunct/>
        <w:topLinePunct w:val="0"/>
        <w:bidi w:val="0"/>
        <w:adjustRightInd w:val="0"/>
        <w:snapToGrid w:val="0"/>
        <w:spacing w:line="360" w:lineRule="auto"/>
        <w:ind w:firstLine="420" w:firstLineChars="200"/>
        <w:jc w:val="left"/>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（三）售后服务要求</w:t>
      </w:r>
    </w:p>
    <w:p w14:paraId="450D13B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highlight w:val="none"/>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1.</w:t>
      </w:r>
      <w:r>
        <w:rPr>
          <w:rFonts w:hint="eastAsia" w:ascii="宋体" w:hAnsi="宋体" w:cs="宋体" w:eastAsiaTheme="minorEastAsia"/>
          <w:color w:val="000000" w:themeColor="text1"/>
          <w:sz w:val="21"/>
          <w:szCs w:val="21"/>
          <w:highlight w:val="none"/>
          <w14:textFill>
            <w14:solidFill>
              <w14:schemeClr w14:val="tx1"/>
            </w14:solidFill>
          </w14:textFill>
        </w:rPr>
        <w:t>系统上线稳定运行且通过验收后，提供为期不少于1年的维保期，维保期内不收取任何费用。</w:t>
      </w:r>
    </w:p>
    <w:p w14:paraId="3A7B41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ascii="宋体" w:hAnsi="宋体" w:cs="宋体" w:eastAsiaTheme="minorEastAsia"/>
          <w:color w:val="000000" w:themeColor="text1"/>
          <w:sz w:val="21"/>
          <w:szCs w:val="21"/>
          <w:highlight w:val="none"/>
          <w:lang w:val="en-US" w:eastAsia="zh-CN"/>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2.</w:t>
      </w:r>
      <w:r>
        <w:rPr>
          <w:rFonts w:hint="eastAsia" w:ascii="宋体" w:hAnsi="宋体" w:cs="宋体" w:eastAsiaTheme="minorEastAsia"/>
          <w:color w:val="000000" w:themeColor="text1"/>
          <w:sz w:val="21"/>
          <w:szCs w:val="21"/>
          <w:highlight w:val="none"/>
          <w14:textFill>
            <w14:solidFill>
              <w14:schemeClr w14:val="tx1"/>
            </w14:solidFill>
          </w14:textFill>
        </w:rPr>
        <w:t>维保内容及要求：</w:t>
      </w:r>
    </w:p>
    <w:p w14:paraId="3022F622">
      <w:pPr>
        <w:keepNext w:val="0"/>
        <w:keepLines w:val="0"/>
        <w:pageBreakBefore w:val="0"/>
        <w:widowControl w:val="0"/>
        <w:numPr>
          <w:ilvl w:val="0"/>
          <w:numId w:val="0"/>
        </w:numPr>
        <w:tabs>
          <w:tab w:val="left" w:pos="8085"/>
        </w:tabs>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highlight w:val="none"/>
          <w:lang w:val="en-US" w:eastAsia="zh-CN"/>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（1）</w:t>
      </w:r>
      <w:r>
        <w:rPr>
          <w:rFonts w:hint="eastAsia" w:ascii="宋体" w:hAnsi="宋体" w:cs="宋体" w:eastAsiaTheme="minorEastAsia"/>
          <w:color w:val="000000" w:themeColor="text1"/>
          <w:sz w:val="21"/>
          <w:szCs w:val="21"/>
          <w:highlight w:val="none"/>
          <w14:textFill>
            <w14:solidFill>
              <w14:schemeClr w14:val="tx1"/>
            </w14:solidFill>
          </w14:textFill>
        </w:rPr>
        <w:t>故障响应时间和要求：提供7</w:t>
      </w:r>
      <w:r>
        <w:rPr>
          <w:rFonts w:hint="default" w:ascii="Arial" w:hAnsi="Arial" w:cs="Arial" w:eastAsiaTheme="minorEastAsia"/>
          <w:color w:val="000000" w:themeColor="text1"/>
          <w:sz w:val="21"/>
          <w:szCs w:val="21"/>
          <w:highlight w:val="none"/>
          <w14:textFill>
            <w14:solidFill>
              <w14:schemeClr w14:val="tx1"/>
            </w14:solidFill>
          </w14:textFill>
        </w:rPr>
        <w:t>×</w:t>
      </w:r>
      <w:r>
        <w:rPr>
          <w:rFonts w:hint="eastAsia" w:ascii="宋体" w:hAnsi="宋体" w:cs="宋体" w:eastAsiaTheme="minorEastAsia"/>
          <w:color w:val="000000" w:themeColor="text1"/>
          <w:sz w:val="21"/>
          <w:szCs w:val="21"/>
          <w:highlight w:val="none"/>
          <w14:textFill>
            <w14:solidFill>
              <w14:schemeClr w14:val="tx1"/>
            </w14:solidFill>
          </w14:textFill>
        </w:rPr>
        <w:t>24小时在线运维服务，一般故障要求1小时内响应</w:t>
      </w:r>
      <w:r>
        <w:rPr>
          <w:rFonts w:hint="eastAsia" w:ascii="宋体" w:hAnsi="宋体" w:cs="宋体" w:eastAsiaTheme="minorEastAsia"/>
          <w:color w:val="000000" w:themeColor="text1"/>
          <w:sz w:val="21"/>
          <w:szCs w:val="21"/>
          <w:highlight w:val="none"/>
          <w:lang w:eastAsia="zh-CN"/>
          <w14:textFill>
            <w14:solidFill>
              <w14:schemeClr w14:val="tx1"/>
            </w14:solidFill>
          </w14:textFill>
        </w:rPr>
        <w:t>；</w:t>
      </w:r>
    </w:p>
    <w:p w14:paraId="0AA2B9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eastAsiaTheme="minorEastAsia"/>
          <w:color w:val="000000" w:themeColor="text1"/>
          <w:sz w:val="21"/>
          <w:szCs w:val="21"/>
          <w:highlight w:val="none"/>
          <w14:textFill>
            <w14:solidFill>
              <w14:schemeClr w14:val="tx1"/>
            </w14:solidFill>
          </w14:textFill>
        </w:rPr>
      </w:pPr>
      <w:r>
        <w:rPr>
          <w:rFonts w:hint="eastAsia" w:ascii="宋体" w:hAnsi="宋体" w:cs="宋体" w:eastAsiaTheme="minorEastAsia"/>
          <w:color w:val="000000" w:themeColor="text1"/>
          <w:sz w:val="21"/>
          <w:szCs w:val="21"/>
          <w:highlight w:val="none"/>
          <w:lang w:eastAsia="zh-CN"/>
          <w14:textFill>
            <w14:solidFill>
              <w14:schemeClr w14:val="tx1"/>
            </w14:solidFill>
          </w14:textFill>
        </w:rPr>
        <w:t>（</w:t>
      </w: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2</w:t>
      </w:r>
      <w:r>
        <w:rPr>
          <w:rFonts w:hint="eastAsia" w:ascii="宋体" w:hAnsi="宋体" w:cs="宋体" w:eastAsiaTheme="minorEastAsia"/>
          <w:color w:val="000000" w:themeColor="text1"/>
          <w:sz w:val="21"/>
          <w:szCs w:val="21"/>
          <w:highlight w:val="none"/>
          <w:lang w:eastAsia="zh-CN"/>
          <w14:textFill>
            <w14:solidFill>
              <w14:schemeClr w14:val="tx1"/>
            </w14:solidFill>
          </w14:textFill>
        </w:rPr>
        <w:t>）</w:t>
      </w:r>
      <w:r>
        <w:rPr>
          <w:rFonts w:hint="eastAsia" w:ascii="宋体" w:hAnsi="宋体" w:cs="宋体" w:eastAsiaTheme="minorEastAsia"/>
          <w:color w:val="000000" w:themeColor="text1"/>
          <w:sz w:val="21"/>
          <w:szCs w:val="21"/>
          <w:highlight w:val="none"/>
          <w14:textFill>
            <w14:solidFill>
              <w14:schemeClr w14:val="tx1"/>
            </w14:solidFill>
          </w14:textFill>
        </w:rPr>
        <w:t>应急响应时间和要求：重大故障要求30分钟内响应。</w:t>
      </w:r>
    </w:p>
    <w:p w14:paraId="56471C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（四）报价要求</w:t>
      </w:r>
    </w:p>
    <w:p w14:paraId="17EEF8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报价为全包价，以人民币为结算单位，包括但不限于安装费、调试费、技术服务费（含联络费、培训费、保修费）、各项税费及不可预见费等完成本采购内容所需的一切费用。</w:t>
      </w:r>
    </w:p>
    <w:bookmarkEnd w:id="45"/>
    <w:bookmarkEnd w:id="46"/>
    <w:bookmarkEnd w:id="47"/>
    <w:bookmarkEnd w:id="48"/>
    <w:p w14:paraId="25AA9FA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p>
    <w:p w14:paraId="46D1C30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p w14:paraId="5B255D0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如</w:t>
      </w:r>
      <w:r>
        <w:rPr>
          <w:rFonts w:hint="eastAsia" w:ascii="宋体" w:hAnsi="宋体" w:eastAsia="宋体" w:cs="宋体"/>
          <w:color w:val="auto"/>
          <w:sz w:val="21"/>
          <w:szCs w:val="21"/>
          <w:highlight w:val="none"/>
        </w:rPr>
        <w:t>标有“★”的条款均为必须完全满足指标，报价人须进行实质性响应，报价人若有一项带“★”的条款未响应或不满足，将</w:t>
      </w:r>
      <w:r>
        <w:rPr>
          <w:rFonts w:hint="eastAsia" w:ascii="宋体" w:hAnsi="宋体" w:eastAsia="宋体" w:cs="宋体"/>
          <w:color w:val="auto"/>
          <w:sz w:val="21"/>
          <w:szCs w:val="21"/>
          <w:highlight w:val="none"/>
          <w:lang w:val="en-US" w:eastAsia="zh-CN"/>
        </w:rPr>
        <w:t>按无效投标处理。</w:t>
      </w:r>
    </w:p>
    <w:p w14:paraId="67D10DB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2.如标有“▲”的条款均为评审的重要评分指标，报价人若有部分“▲”条款未响应或不满足，将导致其响应性评审严重扣分。</w:t>
      </w:r>
      <w:bookmarkEnd w:id="49"/>
      <w:bookmarkEnd w:id="50"/>
      <w:bookmarkEnd w:id="51"/>
      <w:bookmarkEnd w:id="52"/>
      <w:bookmarkEnd w:id="53"/>
      <w:bookmarkEnd w:id="54"/>
      <w:bookmarkEnd w:id="55"/>
      <w:bookmarkStart w:id="56" w:name="_Toc4075"/>
      <w:bookmarkStart w:id="57" w:name="_Toc3222"/>
    </w:p>
    <w:p w14:paraId="268A8FA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bookmarkStart w:id="58" w:name="_Toc11917"/>
      <w:r>
        <w:rPr>
          <w:rFonts w:hint="eastAsia" w:ascii="宋体" w:hAnsi="宋体" w:eastAsia="宋体" w:cs="宋体"/>
          <w:b/>
          <w:bCs/>
          <w:color w:val="auto"/>
          <w:sz w:val="21"/>
          <w:szCs w:val="21"/>
          <w:highlight w:val="none"/>
          <w:lang w:val="en-US" w:eastAsia="zh-CN"/>
        </w:rPr>
        <w:t>3.成交原则：</w:t>
      </w:r>
      <w:r>
        <w:rPr>
          <w:rFonts w:hint="eastAsia" w:ascii="宋体" w:hAnsi="宋体" w:eastAsia="宋体" w:cs="宋体"/>
          <w:b w:val="0"/>
          <w:bCs w:val="0"/>
          <w:color w:val="auto"/>
          <w:sz w:val="21"/>
          <w:szCs w:val="21"/>
          <w:highlight w:val="none"/>
          <w:lang w:val="en-US" w:eastAsia="zh-CN"/>
        </w:rPr>
        <w:t>根据评审标准按综合评分法进行评审，按其评审总得分由高到低顺序排列评分情况，排名第一的供应商为第一成交候选人。采购结果报医院同意后在医院官网公布。</w:t>
      </w:r>
    </w:p>
    <w:p w14:paraId="383FA91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4.报价方式：</w:t>
      </w:r>
      <w:r>
        <w:rPr>
          <w:rFonts w:hint="eastAsia" w:ascii="宋体" w:hAnsi="宋体" w:eastAsia="宋体" w:cs="宋体"/>
          <w:b w:val="0"/>
          <w:bCs w:val="0"/>
          <w:color w:val="auto"/>
          <w:sz w:val="21"/>
          <w:szCs w:val="21"/>
          <w:highlight w:val="none"/>
          <w:lang w:val="en-US" w:eastAsia="zh-CN"/>
        </w:rPr>
        <w:t>本项目需进行再次报价，各供应商现场再次填写报价表。</w:t>
      </w:r>
    </w:p>
    <w:p w14:paraId="049006DE">
      <w:pPr>
        <w:pStyle w:val="31"/>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5.异常低价审查</w:t>
      </w:r>
    </w:p>
    <w:p w14:paraId="014E4B25">
      <w:pPr>
        <w:pStyle w:val="31"/>
        <w:rPr>
          <w:rFonts w:hint="default"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4C273BC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en-US" w:eastAsia="zh-CN"/>
        </w:rPr>
        <w:t>.特别说明</w:t>
      </w:r>
    </w:p>
    <w:p w14:paraId="6506B3D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（1）供应商有下列情形之一的，将列入我院黑名单管理，在此后的三年内不得参与我院任何采买活动：</w:t>
      </w:r>
    </w:p>
    <w:p w14:paraId="75FFA163">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1）提供虚假材料谋取中标、成交的；</w:t>
      </w:r>
    </w:p>
    <w:p w14:paraId="21B70EF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2）采取不正当手段诋毁、排挤</w:t>
      </w:r>
      <w:r>
        <w:rPr>
          <w:rFonts w:hint="eastAsia" w:ascii="宋体" w:hAnsi="宋体" w:cs="宋体"/>
          <w:b w:val="0"/>
          <w:bCs w:val="0"/>
          <w:color w:val="auto"/>
          <w:sz w:val="21"/>
          <w:szCs w:val="21"/>
          <w:highlight w:val="none"/>
          <w:lang w:val="en-US" w:eastAsia="zh-CN"/>
        </w:rPr>
        <w:t>其他</w:t>
      </w:r>
      <w:r>
        <w:rPr>
          <w:rFonts w:hint="eastAsia" w:ascii="宋体" w:hAnsi="宋体" w:eastAsia="宋体" w:cs="宋体"/>
          <w:b w:val="0"/>
          <w:bCs w:val="0"/>
          <w:color w:val="auto"/>
          <w:sz w:val="21"/>
          <w:szCs w:val="21"/>
          <w:highlight w:val="none"/>
          <w:lang w:val="en-US" w:eastAsia="zh-CN"/>
        </w:rPr>
        <w:t>供应商的；</w:t>
      </w:r>
    </w:p>
    <w:p w14:paraId="7CDC88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3）与其他供应商或者采购机构恶意串通围标的；</w:t>
      </w:r>
    </w:p>
    <w:p w14:paraId="7B5B6BD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4）随意申请撤换或放弃中标/成交结果的；</w:t>
      </w:r>
    </w:p>
    <w:p w14:paraId="5CDD25E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5）中标、成交后无正当理由拒绝或迟迟不签订采购合同的；</w:t>
      </w:r>
    </w:p>
    <w:p w14:paraId="3230F8E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6）无正当理由拒绝履行合同和有关承诺，或擅自变更、中止（终止）采购合同的；</w:t>
      </w:r>
    </w:p>
    <w:p w14:paraId="327E026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7）一年内有一次以上投诉查无实据、捏造事实或者提供虚假投诉材料的；</w:t>
      </w:r>
    </w:p>
    <w:p w14:paraId="7C95AF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8）实际提供的有关产品性能指标和技术服务能力明显低于采购响应文件或磋商、询价时的承诺的或提供假冒伪劣产品的；</w:t>
      </w:r>
    </w:p>
    <w:p w14:paraId="03790BD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9）中标/成交后，擅自将采购合同转包或分包给其他供应商的；</w:t>
      </w:r>
    </w:p>
    <w:p w14:paraId="3D42991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10）向</w:t>
      </w:r>
      <w:r>
        <w:rPr>
          <w:rFonts w:hint="eastAsia" w:ascii="宋体" w:hAnsi="宋体" w:cs="宋体"/>
          <w:b w:val="0"/>
          <w:bCs w:val="0"/>
          <w:color w:val="auto"/>
          <w:sz w:val="21"/>
          <w:szCs w:val="21"/>
          <w:highlight w:val="none"/>
          <w:lang w:val="en-US" w:eastAsia="zh-CN"/>
        </w:rPr>
        <w:t>采购人</w:t>
      </w:r>
      <w:r>
        <w:rPr>
          <w:rFonts w:hint="eastAsia" w:ascii="宋体" w:hAnsi="宋体" w:eastAsia="宋体" w:cs="宋体"/>
          <w:b w:val="0"/>
          <w:bCs w:val="0"/>
          <w:color w:val="auto"/>
          <w:sz w:val="21"/>
          <w:szCs w:val="21"/>
          <w:highlight w:val="none"/>
          <w:lang w:val="en-US" w:eastAsia="zh-CN"/>
        </w:rPr>
        <w:t>、采购机构行贿或者提供</w:t>
      </w:r>
      <w:r>
        <w:rPr>
          <w:rFonts w:hint="eastAsia" w:ascii="宋体" w:hAnsi="宋体" w:cs="宋体"/>
          <w:b w:val="0"/>
          <w:bCs w:val="0"/>
          <w:color w:val="auto"/>
          <w:sz w:val="21"/>
          <w:szCs w:val="21"/>
          <w:highlight w:val="none"/>
          <w:lang w:val="en-US" w:eastAsia="zh-CN"/>
        </w:rPr>
        <w:t>其他不正当</w:t>
      </w:r>
      <w:r>
        <w:rPr>
          <w:rFonts w:hint="eastAsia" w:ascii="宋体" w:hAnsi="宋体" w:eastAsia="宋体" w:cs="宋体"/>
          <w:b w:val="0"/>
          <w:bCs w:val="0"/>
          <w:color w:val="auto"/>
          <w:sz w:val="21"/>
          <w:szCs w:val="21"/>
          <w:highlight w:val="none"/>
          <w:lang w:val="en-US" w:eastAsia="zh-CN"/>
        </w:rPr>
        <w:t>利益的；</w:t>
      </w:r>
    </w:p>
    <w:p w14:paraId="3C0CDF1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11）拒绝有关部门监督检查或者提供虚假情况的。</w:t>
      </w:r>
    </w:p>
    <w:p w14:paraId="7F1E977C">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（2）有下列情形之一的，将视为供应商互相串通报价，响应报价无效</w:t>
      </w:r>
      <w:r>
        <w:rPr>
          <w:rFonts w:hint="eastAsia" w:ascii="宋体" w:hAnsi="宋体" w:cs="宋体"/>
          <w:b w:val="0"/>
          <w:bCs w:val="0"/>
          <w:color w:val="auto"/>
          <w:sz w:val="21"/>
          <w:szCs w:val="21"/>
          <w:highlight w:val="none"/>
          <w:lang w:val="en-US" w:eastAsia="zh-CN"/>
        </w:rPr>
        <w:t>：</w:t>
      </w:r>
    </w:p>
    <w:p w14:paraId="24D51FF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1）不同供应商委托同一单位或个人办理响应报价事宜；</w:t>
      </w:r>
    </w:p>
    <w:p w14:paraId="39B8881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2）不同供应商的响应文件由同一单位或个人编制；</w:t>
      </w:r>
    </w:p>
    <w:p w14:paraId="33D8C86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3）不同供应商的响应文件异常一致或者报价呈规律性差异；</w:t>
      </w:r>
    </w:p>
    <w:p w14:paraId="348DDA7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4）不同供应商的响应文件相互混装。</w:t>
      </w:r>
    </w:p>
    <w:p w14:paraId="54C97C9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（3）有下列情形之一的，响应报价无效</w:t>
      </w:r>
      <w:r>
        <w:rPr>
          <w:rFonts w:hint="eastAsia" w:ascii="宋体" w:hAnsi="宋体" w:cs="宋体"/>
          <w:b w:val="0"/>
          <w:bCs w:val="0"/>
          <w:color w:val="auto"/>
          <w:sz w:val="21"/>
          <w:szCs w:val="21"/>
          <w:highlight w:val="none"/>
          <w:lang w:val="en-US" w:eastAsia="zh-CN"/>
        </w:rPr>
        <w:t>：</w:t>
      </w:r>
    </w:p>
    <w:p w14:paraId="0F94B7D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t>不具备采购文件中规定的资格要求的；</w:t>
      </w:r>
    </w:p>
    <w:p w14:paraId="4498E3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val="en-US" w:eastAsia="zh-CN"/>
        </w:rPr>
        <w:t>报价超过采购文件中规定的预算金额或者最高限价的（采购文件另有说明的除外）；</w:t>
      </w:r>
    </w:p>
    <w:p w14:paraId="03DF8F4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val="en-US" w:eastAsia="zh-CN"/>
        </w:rPr>
        <w:t>响应文件含有我院不能接受的附加条件的；</w:t>
      </w:r>
    </w:p>
    <w:p w14:paraId="6F2AF10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cs="宋体"/>
          <w:b w:val="0"/>
          <w:bCs w:val="0"/>
          <w:color w:val="auto"/>
          <w:sz w:val="21"/>
          <w:szCs w:val="21"/>
          <w:highlight w:val="none"/>
          <w:lang w:val="en-US" w:eastAsia="zh-CN"/>
        </w:rPr>
        <w:t>4）法律法规</w:t>
      </w:r>
      <w:r>
        <w:rPr>
          <w:rFonts w:hint="eastAsia" w:ascii="宋体" w:hAnsi="宋体" w:eastAsia="宋体" w:cs="宋体"/>
          <w:b w:val="0"/>
          <w:bCs w:val="0"/>
          <w:color w:val="auto"/>
          <w:sz w:val="21"/>
          <w:szCs w:val="21"/>
          <w:highlight w:val="none"/>
          <w:lang w:val="en-US" w:eastAsia="zh-CN"/>
        </w:rPr>
        <w:t>和采购文件规定的其他无效情形。</w:t>
      </w:r>
    </w:p>
    <w:p w14:paraId="4CACFF0F">
      <w:pPr>
        <w:numPr>
          <w:ilvl w:val="0"/>
          <w:numId w:val="0"/>
        </w:numPr>
        <w:jc w:val="both"/>
        <w:outlineLvl w:val="0"/>
        <w:rPr>
          <w:rFonts w:hint="eastAsia"/>
          <w:b/>
          <w:bCs/>
          <w:color w:val="auto"/>
          <w:kern w:val="0"/>
          <w:sz w:val="28"/>
          <w:szCs w:val="28"/>
          <w:highlight w:val="none"/>
          <w:lang w:val="en-US" w:eastAsia="zh-CN"/>
        </w:rPr>
        <w:sectPr>
          <w:footerReference r:id="rId11" w:type="default"/>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bookmarkStart w:id="59" w:name="_Toc18355"/>
      <w:bookmarkStart w:id="60" w:name="_Toc28409"/>
      <w:bookmarkStart w:id="61" w:name="_Toc11319"/>
    </w:p>
    <w:p w14:paraId="05D0032E">
      <w:pPr>
        <w:numPr>
          <w:ilvl w:val="0"/>
          <w:numId w:val="0"/>
        </w:numPr>
        <w:jc w:val="center"/>
        <w:outlineLvl w:val="0"/>
        <w:rPr>
          <w:rFonts w:hint="eastAsia"/>
          <w:b/>
          <w:bCs/>
          <w:color w:val="auto"/>
          <w:highlight w:val="none"/>
        </w:rPr>
      </w:pPr>
      <w:bookmarkStart w:id="62" w:name="_Toc27027"/>
      <w:r>
        <w:rPr>
          <w:rFonts w:hint="eastAsia"/>
          <w:b/>
          <w:bCs/>
          <w:color w:val="auto"/>
          <w:kern w:val="0"/>
          <w:sz w:val="28"/>
          <w:szCs w:val="28"/>
          <w:highlight w:val="none"/>
          <w:lang w:val="en-US" w:eastAsia="zh-CN"/>
        </w:rPr>
        <w:t>第三部分</w:t>
      </w:r>
      <w:r>
        <w:rPr>
          <w:rFonts w:hint="eastAsia"/>
          <w:b/>
          <w:bCs/>
          <w:color w:val="auto"/>
          <w:kern w:val="0"/>
          <w:sz w:val="28"/>
          <w:szCs w:val="28"/>
          <w:highlight w:val="none"/>
        </w:rPr>
        <w:t xml:space="preserve"> </w:t>
      </w:r>
      <w:bookmarkStart w:id="63" w:name="_Toc270"/>
      <w:r>
        <w:rPr>
          <w:rFonts w:hint="eastAsia"/>
          <w:b/>
          <w:bCs/>
          <w:color w:val="auto"/>
          <w:kern w:val="0"/>
          <w:sz w:val="28"/>
          <w:szCs w:val="28"/>
          <w:highlight w:val="none"/>
        </w:rPr>
        <w:t>评分标准</w:t>
      </w:r>
      <w:bookmarkEnd w:id="59"/>
      <w:bookmarkEnd w:id="60"/>
      <w:bookmarkEnd w:id="61"/>
      <w:bookmarkEnd w:id="62"/>
    </w:p>
    <w:p w14:paraId="2D80F55B">
      <w:pPr>
        <w:jc w:val="center"/>
        <w:rPr>
          <w:rFonts w:hint="eastAsia"/>
          <w:b/>
          <w:bCs/>
          <w:color w:val="auto"/>
          <w:sz w:val="28"/>
          <w:szCs w:val="28"/>
          <w:highlight w:val="none"/>
          <w:lang w:eastAsia="zh-CN"/>
        </w:rPr>
      </w:pPr>
      <w:r>
        <w:rPr>
          <w:rFonts w:hint="eastAsia" w:ascii="宋体" w:hAnsi="宋体"/>
          <w:b/>
          <w:bCs/>
          <w:color w:val="auto"/>
          <w:sz w:val="28"/>
          <w:szCs w:val="28"/>
          <w:highlight w:val="none"/>
        </w:rPr>
        <w:t>南方医科大学第五附属医院</w:t>
      </w:r>
      <w:r>
        <w:rPr>
          <w:rFonts w:hint="eastAsia" w:ascii="宋体" w:hAnsi="宋体"/>
          <w:b/>
          <w:bCs/>
          <w:color w:val="auto"/>
          <w:kern w:val="2"/>
          <w:sz w:val="28"/>
          <w:szCs w:val="28"/>
          <w:highlight w:val="none"/>
          <w:lang w:val="en-US" w:eastAsia="zh-CN"/>
        </w:rPr>
        <w:t>多媒体分诊导引系统升级项目</w:t>
      </w:r>
      <w:r>
        <w:rPr>
          <w:rFonts w:hint="eastAsia"/>
          <w:b/>
          <w:bCs/>
          <w:color w:val="auto"/>
          <w:sz w:val="28"/>
          <w:szCs w:val="28"/>
          <w:highlight w:val="none"/>
        </w:rPr>
        <w:t>评分表</w:t>
      </w:r>
    </w:p>
    <w:tbl>
      <w:tblPr>
        <w:tblStyle w:val="23"/>
        <w:tblW w:w="10320" w:type="dxa"/>
        <w:jc w:val="center"/>
        <w:tblLayout w:type="fixed"/>
        <w:tblCellMar>
          <w:top w:w="0" w:type="dxa"/>
          <w:left w:w="0" w:type="dxa"/>
          <w:bottom w:w="0" w:type="dxa"/>
          <w:right w:w="0" w:type="dxa"/>
        </w:tblCellMar>
      </w:tblPr>
      <w:tblGrid>
        <w:gridCol w:w="416"/>
        <w:gridCol w:w="930"/>
        <w:gridCol w:w="8310"/>
        <w:gridCol w:w="664"/>
      </w:tblGrid>
      <w:tr w14:paraId="49574961">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7A3D6B5">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7F038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41C57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044303">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r>
      <w:tr w14:paraId="4A16A113">
        <w:tblPrEx>
          <w:tblCellMar>
            <w:top w:w="0" w:type="dxa"/>
            <w:left w:w="0" w:type="dxa"/>
            <w:bottom w:w="0" w:type="dxa"/>
            <w:right w:w="0" w:type="dxa"/>
          </w:tblCellMar>
        </w:tblPrEx>
        <w:trPr>
          <w:trHeight w:val="215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63D006">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B541B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cs="宋体"/>
                <w:b/>
                <w:bCs/>
                <w:color w:val="auto"/>
                <w:sz w:val="20"/>
                <w:szCs w:val="20"/>
                <w:highlight w:val="none"/>
                <w:lang w:val="en-US" w:eastAsia="zh-CN"/>
              </w:rPr>
              <w:t>重要</w:t>
            </w:r>
            <w:r>
              <w:rPr>
                <w:rFonts w:hint="eastAsia" w:ascii="宋体" w:hAnsi="宋体" w:eastAsia="宋体" w:cs="宋体"/>
                <w:b/>
                <w:bCs/>
                <w:color w:val="auto"/>
                <w:sz w:val="20"/>
                <w:szCs w:val="20"/>
                <w:highlight w:val="none"/>
                <w:lang w:val="en-US" w:eastAsia="zh-CN"/>
              </w:rPr>
              <w:t>性条款（标注“▲”号条款）响应 (</w:t>
            </w:r>
            <w:r>
              <w:rPr>
                <w:rFonts w:hint="eastAsia" w:ascii="宋体" w:hAnsi="宋体" w:cs="宋体"/>
                <w:b/>
                <w:bCs/>
                <w:color w:val="auto"/>
                <w:sz w:val="20"/>
                <w:szCs w:val="20"/>
                <w:highlight w:val="none"/>
                <w:lang w:val="en-US" w:eastAsia="zh-CN"/>
              </w:rPr>
              <w:t>18</w:t>
            </w:r>
            <w:r>
              <w:rPr>
                <w:rFonts w:hint="eastAsia" w:ascii="宋体" w:hAnsi="宋体" w:eastAsia="宋体" w:cs="宋体"/>
                <w:b/>
                <w:bCs/>
                <w:color w:val="auto"/>
                <w:sz w:val="20"/>
                <w:szCs w:val="20"/>
                <w:highlight w:val="none"/>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F343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根据</w:t>
            </w: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的</w:t>
            </w:r>
            <w:r>
              <w:rPr>
                <w:rFonts w:hint="eastAsia" w:ascii="宋体" w:hAnsi="宋体" w:cs="宋体"/>
                <w:b w:val="0"/>
                <w:bCs w:val="0"/>
                <w:color w:val="auto"/>
                <w:sz w:val="20"/>
                <w:szCs w:val="20"/>
                <w:highlight w:val="none"/>
                <w:lang w:val="en-US" w:eastAsia="zh-CN"/>
              </w:rPr>
              <w:t>响应</w:t>
            </w:r>
            <w:r>
              <w:rPr>
                <w:rFonts w:hint="eastAsia" w:ascii="宋体" w:hAnsi="宋体" w:eastAsia="宋体" w:cs="宋体"/>
                <w:b w:val="0"/>
                <w:bCs w:val="0"/>
                <w:color w:val="auto"/>
                <w:sz w:val="20"/>
                <w:szCs w:val="20"/>
                <w:highlight w:val="none"/>
                <w:lang w:val="en-US" w:eastAsia="zh-CN"/>
              </w:rPr>
              <w:t>文件对“第二</w:t>
            </w:r>
            <w:r>
              <w:rPr>
                <w:rFonts w:hint="eastAsia" w:ascii="宋体" w:hAnsi="宋体" w:cs="宋体"/>
                <w:b w:val="0"/>
                <w:bCs w:val="0"/>
                <w:color w:val="auto"/>
                <w:sz w:val="20"/>
                <w:szCs w:val="20"/>
                <w:highlight w:val="none"/>
                <w:lang w:val="en-US" w:eastAsia="zh-CN"/>
              </w:rPr>
              <w:t>部分</w:t>
            </w:r>
            <w:r>
              <w:rPr>
                <w:rFonts w:hint="eastAsia" w:ascii="宋体" w:hAnsi="宋体" w:eastAsia="宋体" w:cs="宋体"/>
                <w:b w:val="0"/>
                <w:bCs w:val="0"/>
                <w:color w:val="auto"/>
                <w:sz w:val="20"/>
                <w:szCs w:val="20"/>
                <w:highlight w:val="none"/>
                <w:lang w:val="en-US" w:eastAsia="zh-CN"/>
              </w:rPr>
              <w:t xml:space="preserve"> 采购需求</w:t>
            </w:r>
            <w:r>
              <w:rPr>
                <w:rFonts w:hint="eastAsia" w:ascii="宋体" w:hAnsi="宋体" w:cs="宋体"/>
                <w:b w:val="0"/>
                <w:bCs w:val="0"/>
                <w:color w:val="auto"/>
                <w:sz w:val="20"/>
                <w:szCs w:val="20"/>
                <w:highlight w:val="none"/>
                <w:lang w:val="en-US" w:eastAsia="zh-CN"/>
              </w:rPr>
              <w:t>--</w:t>
            </w:r>
            <w:r>
              <w:rPr>
                <w:rFonts w:hint="eastAsia" w:ascii="宋体" w:hAnsi="宋体" w:eastAsia="宋体" w:cs="宋体"/>
                <w:b w:val="0"/>
                <w:bCs w:val="0"/>
                <w:color w:val="auto"/>
                <w:sz w:val="20"/>
                <w:szCs w:val="20"/>
                <w:highlight w:val="none"/>
                <w:lang w:val="en-US" w:eastAsia="zh-CN"/>
              </w:rPr>
              <w:t>二、</w:t>
            </w:r>
            <w:r>
              <w:rPr>
                <w:rFonts w:hint="eastAsia" w:ascii="宋体" w:hAnsi="宋体" w:cs="宋体"/>
                <w:b w:val="0"/>
                <w:bCs w:val="0"/>
                <w:color w:val="auto"/>
                <w:sz w:val="20"/>
                <w:szCs w:val="20"/>
                <w:highlight w:val="none"/>
                <w:lang w:val="en-US" w:eastAsia="zh-CN"/>
              </w:rPr>
              <w:t>技术</w:t>
            </w:r>
            <w:r>
              <w:rPr>
                <w:rFonts w:hint="eastAsia" w:ascii="宋体" w:hAnsi="宋体" w:eastAsia="宋体" w:cs="宋体"/>
                <w:b w:val="0"/>
                <w:bCs w:val="0"/>
                <w:color w:val="auto"/>
                <w:sz w:val="20"/>
                <w:szCs w:val="20"/>
                <w:highlight w:val="none"/>
                <w:lang w:val="en-US" w:eastAsia="zh-CN"/>
              </w:rPr>
              <w:t>要求</w:t>
            </w:r>
            <w:r>
              <w:rPr>
                <w:rFonts w:hint="eastAsia" w:ascii="宋体" w:hAnsi="宋体" w:cs="宋体"/>
                <w:b w:val="0"/>
                <w:bCs w:val="0"/>
                <w:color w:val="auto"/>
                <w:sz w:val="20"/>
                <w:szCs w:val="20"/>
                <w:highlight w:val="none"/>
                <w:lang w:val="en-US" w:eastAsia="zh-CN"/>
              </w:rPr>
              <w:t>以及三、商务要求</w:t>
            </w:r>
            <w:r>
              <w:rPr>
                <w:rFonts w:hint="eastAsia" w:ascii="宋体" w:hAnsi="宋体" w:eastAsia="宋体" w:cs="宋体"/>
                <w:b w:val="0"/>
                <w:bCs w:val="0"/>
                <w:color w:val="auto"/>
                <w:sz w:val="20"/>
                <w:szCs w:val="20"/>
                <w:highlight w:val="none"/>
                <w:lang w:val="en-US" w:eastAsia="zh-CN"/>
              </w:rPr>
              <w:t>”的重要性条款（标注“▲”号）的响应情况进行评审（共</w:t>
            </w:r>
            <w:r>
              <w:rPr>
                <w:rFonts w:hint="eastAsia" w:ascii="宋体" w:hAnsi="宋体" w:cs="宋体"/>
                <w:b w:val="0"/>
                <w:bCs w:val="0"/>
                <w:color w:val="auto"/>
                <w:sz w:val="20"/>
                <w:szCs w:val="20"/>
                <w:highlight w:val="none"/>
                <w:lang w:val="en-US" w:eastAsia="zh-CN"/>
              </w:rPr>
              <w:t>6</w:t>
            </w:r>
            <w:r>
              <w:rPr>
                <w:rFonts w:hint="eastAsia" w:ascii="宋体" w:hAnsi="宋体" w:eastAsia="宋体" w:cs="宋体"/>
                <w:b w:val="0"/>
                <w:bCs w:val="0"/>
                <w:color w:val="auto"/>
                <w:sz w:val="20"/>
                <w:szCs w:val="20"/>
                <w:highlight w:val="none"/>
                <w:lang w:val="en-US" w:eastAsia="zh-CN"/>
              </w:rPr>
              <w:t>项），每一项重要性条款的响应情况为“正偏离”或“无偏离”的，得</w:t>
            </w:r>
            <w:r>
              <w:rPr>
                <w:rFonts w:hint="eastAsia" w:ascii="宋体" w:hAnsi="宋体" w:cs="宋体"/>
                <w:b w:val="0"/>
                <w:bCs w:val="0"/>
                <w:color w:val="auto"/>
                <w:sz w:val="20"/>
                <w:szCs w:val="20"/>
                <w:highlight w:val="none"/>
                <w:lang w:val="en-US" w:eastAsia="zh-CN"/>
              </w:rPr>
              <w:t>3</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18</w:t>
            </w:r>
            <w:r>
              <w:rPr>
                <w:rFonts w:hint="eastAsia" w:ascii="宋体" w:hAnsi="宋体" w:eastAsia="宋体" w:cs="宋体"/>
                <w:b w:val="0"/>
                <w:bCs w:val="0"/>
                <w:color w:val="auto"/>
                <w:sz w:val="20"/>
                <w:szCs w:val="20"/>
                <w:highlight w:val="none"/>
                <w:lang w:val="en-US" w:eastAsia="zh-CN"/>
              </w:rPr>
              <w:t>分。</w:t>
            </w:r>
          </w:p>
          <w:p w14:paraId="6EAFC8C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cs="宋体"/>
                <w:b/>
                <w:bCs/>
                <w:color w:val="auto"/>
                <w:sz w:val="20"/>
                <w:szCs w:val="20"/>
                <w:highlight w:val="none"/>
                <w:lang w:val="en-US" w:eastAsia="zh-CN"/>
              </w:rPr>
              <w:t>注：</w:t>
            </w:r>
            <w:r>
              <w:rPr>
                <w:rFonts w:hint="eastAsia" w:ascii="宋体" w:hAnsi="宋体" w:eastAsia="宋体" w:cs="宋体"/>
                <w:b/>
                <w:bCs/>
                <w:color w:val="auto"/>
                <w:sz w:val="20"/>
                <w:szCs w:val="20"/>
                <w:highlight w:val="none"/>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highlight w:val="none"/>
                <w:lang w:val="en-US" w:eastAsia="zh-CN"/>
              </w:rPr>
              <w:t>需求条款</w:t>
            </w:r>
            <w:r>
              <w:rPr>
                <w:rFonts w:hint="eastAsia" w:ascii="宋体" w:hAnsi="宋体" w:eastAsia="宋体" w:cs="宋体"/>
                <w:b/>
                <w:bCs/>
                <w:color w:val="auto"/>
                <w:sz w:val="20"/>
                <w:szCs w:val="20"/>
                <w:highlight w:val="none"/>
                <w:lang w:val="en-US" w:eastAsia="zh-CN"/>
              </w:rPr>
              <w:t>处进行标识（如增加红色方框并写明对应的条款名称或条款序号）</w:t>
            </w:r>
            <w:r>
              <w:rPr>
                <w:rFonts w:hint="eastAsia" w:ascii="宋体" w:hAnsi="宋体" w:cs="宋体"/>
                <w:b/>
                <w:bCs/>
                <w:color w:val="auto"/>
                <w:sz w:val="20"/>
                <w:szCs w:val="20"/>
                <w:highlight w:val="none"/>
                <w:lang w:val="en-US" w:eastAsia="zh-CN"/>
              </w:rPr>
              <w:t>；若</w:t>
            </w:r>
            <w:r>
              <w:rPr>
                <w:rFonts w:hint="eastAsia" w:ascii="宋体" w:hAnsi="宋体" w:eastAsia="宋体" w:cs="宋体"/>
                <w:b/>
                <w:bCs/>
                <w:color w:val="auto"/>
                <w:sz w:val="20"/>
                <w:szCs w:val="20"/>
                <w:highlight w:val="none"/>
                <w:lang w:val="en-US" w:eastAsia="zh-CN"/>
              </w:rPr>
              <w:t>采购需求</w:t>
            </w:r>
            <w:r>
              <w:rPr>
                <w:rFonts w:hint="eastAsia" w:ascii="宋体" w:hAnsi="宋体" w:cs="宋体"/>
                <w:b/>
                <w:bCs/>
                <w:color w:val="auto"/>
                <w:sz w:val="20"/>
                <w:szCs w:val="20"/>
                <w:highlight w:val="none"/>
                <w:lang w:val="en-US" w:eastAsia="zh-CN"/>
              </w:rPr>
              <w:t>无要求提供证明材料的，则以供应商响应文件中的《</w:t>
            </w:r>
            <w:r>
              <w:rPr>
                <w:rFonts w:hint="eastAsia" w:ascii="宋体" w:hAnsi="宋体" w:eastAsia="宋体" w:cs="宋体"/>
                <w:b/>
                <w:bCs/>
                <w:color w:val="auto"/>
                <w:sz w:val="20"/>
                <w:szCs w:val="20"/>
                <w:highlight w:val="none"/>
                <w:lang w:val="en-US" w:eastAsia="zh-CN"/>
              </w:rPr>
              <w:t>采购需求偏离表</w:t>
            </w:r>
            <w:r>
              <w:rPr>
                <w:rFonts w:hint="eastAsia" w:ascii="宋体" w:hAnsi="宋体" w:cs="宋体"/>
                <w:b/>
                <w:bCs/>
                <w:color w:val="auto"/>
                <w:sz w:val="20"/>
                <w:szCs w:val="20"/>
                <w:highlight w:val="none"/>
                <w:lang w:val="en-US" w:eastAsia="zh-CN"/>
              </w:rPr>
              <w:t>》中的响应情况进行评审。</w:t>
            </w:r>
            <w:r>
              <w:rPr>
                <w:rFonts w:hint="eastAsia" w:ascii="宋体" w:hAnsi="宋体" w:eastAsia="宋体" w:cs="宋体"/>
                <w:b/>
                <w:bCs/>
                <w:color w:val="auto"/>
                <w:sz w:val="20"/>
                <w:szCs w:val="20"/>
                <w:highlight w:val="none"/>
                <w:lang w:val="en-US" w:eastAsia="zh-CN"/>
              </w:rPr>
              <w:t>②不按要求提供采购需求偏离表或提供</w:t>
            </w:r>
            <w:r>
              <w:rPr>
                <w:rFonts w:hint="eastAsia" w:ascii="宋体" w:hAnsi="宋体" w:cs="宋体"/>
                <w:b/>
                <w:bCs/>
                <w:color w:val="auto"/>
                <w:sz w:val="20"/>
                <w:szCs w:val="20"/>
                <w:highlight w:val="none"/>
                <w:lang w:val="en-US" w:eastAsia="zh-CN"/>
              </w:rPr>
              <w:t>证明资料</w:t>
            </w:r>
            <w:r>
              <w:rPr>
                <w:rFonts w:hint="eastAsia" w:ascii="宋体" w:hAnsi="宋体" w:eastAsia="宋体" w:cs="宋体"/>
                <w:b/>
                <w:bCs/>
                <w:color w:val="auto"/>
                <w:sz w:val="20"/>
                <w:szCs w:val="20"/>
                <w:highlight w:val="none"/>
                <w:lang w:val="en-US" w:eastAsia="zh-CN"/>
              </w:rPr>
              <w:t>不符的视为负偏离。</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0575FC">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18分</w:t>
            </w:r>
          </w:p>
        </w:tc>
      </w:tr>
      <w:tr w14:paraId="0BA15557">
        <w:tblPrEx>
          <w:tblCellMar>
            <w:top w:w="0" w:type="dxa"/>
            <w:left w:w="0" w:type="dxa"/>
            <w:bottom w:w="0" w:type="dxa"/>
            <w:right w:w="0" w:type="dxa"/>
          </w:tblCellMar>
        </w:tblPrEx>
        <w:trPr>
          <w:trHeight w:val="196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23759A">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CE70A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一般性条款（非“★”、“▲”号条款）响应 (</w:t>
            </w:r>
            <w:r>
              <w:rPr>
                <w:rFonts w:hint="eastAsia" w:ascii="宋体" w:hAnsi="宋体" w:cs="宋体"/>
                <w:b/>
                <w:bCs/>
                <w:color w:val="auto"/>
                <w:sz w:val="20"/>
                <w:szCs w:val="20"/>
                <w:highlight w:val="none"/>
                <w:lang w:val="en-US" w:eastAsia="zh-CN"/>
              </w:rPr>
              <w:t>24</w:t>
            </w:r>
            <w:r>
              <w:rPr>
                <w:rFonts w:hint="eastAsia" w:ascii="宋体" w:hAnsi="宋体" w:eastAsia="宋体" w:cs="宋体"/>
                <w:b/>
                <w:bCs/>
                <w:color w:val="auto"/>
                <w:sz w:val="20"/>
                <w:szCs w:val="20"/>
                <w:highlight w:val="none"/>
                <w:lang w:val="en-US" w:eastAsia="zh-CN"/>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7E3C26">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根据</w:t>
            </w: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的</w:t>
            </w:r>
            <w:r>
              <w:rPr>
                <w:rFonts w:hint="eastAsia" w:ascii="宋体" w:hAnsi="宋体" w:cs="宋体"/>
                <w:b w:val="0"/>
                <w:bCs w:val="0"/>
                <w:color w:val="auto"/>
                <w:sz w:val="20"/>
                <w:szCs w:val="20"/>
                <w:highlight w:val="none"/>
                <w:lang w:val="en-US" w:eastAsia="zh-CN"/>
              </w:rPr>
              <w:t>响应</w:t>
            </w:r>
            <w:r>
              <w:rPr>
                <w:rFonts w:hint="eastAsia" w:ascii="宋体" w:hAnsi="宋体" w:eastAsia="宋体" w:cs="宋体"/>
                <w:b w:val="0"/>
                <w:bCs w:val="0"/>
                <w:color w:val="auto"/>
                <w:sz w:val="20"/>
                <w:szCs w:val="20"/>
                <w:highlight w:val="none"/>
                <w:lang w:val="en-US" w:eastAsia="zh-CN"/>
              </w:rPr>
              <w:t>文件对“第二部分 采购需求--二、</w:t>
            </w:r>
            <w:r>
              <w:rPr>
                <w:rFonts w:hint="eastAsia" w:ascii="宋体" w:hAnsi="宋体" w:cs="宋体"/>
                <w:b w:val="0"/>
                <w:bCs w:val="0"/>
                <w:color w:val="auto"/>
                <w:sz w:val="20"/>
                <w:szCs w:val="20"/>
                <w:highlight w:val="none"/>
                <w:lang w:val="en-US" w:eastAsia="zh-CN"/>
              </w:rPr>
              <w:t>技术</w:t>
            </w:r>
            <w:r>
              <w:rPr>
                <w:rFonts w:hint="eastAsia" w:ascii="宋体" w:hAnsi="宋体" w:eastAsia="宋体" w:cs="宋体"/>
                <w:b w:val="0"/>
                <w:bCs w:val="0"/>
                <w:color w:val="auto"/>
                <w:sz w:val="20"/>
                <w:szCs w:val="20"/>
                <w:highlight w:val="none"/>
                <w:lang w:val="en-US" w:eastAsia="zh-CN"/>
              </w:rPr>
              <w:t>要求以及三、商务要求”的一般性条款（非“★”、“▲”号）的响应情况进行评审（共</w:t>
            </w:r>
            <w:r>
              <w:rPr>
                <w:rFonts w:hint="eastAsia" w:ascii="宋体" w:hAnsi="宋体" w:cs="宋体"/>
                <w:b w:val="0"/>
                <w:bCs w:val="0"/>
                <w:color w:val="auto"/>
                <w:sz w:val="20"/>
                <w:szCs w:val="20"/>
                <w:highlight w:val="none"/>
                <w:shd w:val="clear"/>
                <w:lang w:val="en-US" w:eastAsia="zh-CN"/>
              </w:rPr>
              <w:t>20</w:t>
            </w:r>
            <w:r>
              <w:rPr>
                <w:rFonts w:hint="eastAsia" w:ascii="宋体" w:hAnsi="宋体" w:eastAsia="宋体" w:cs="宋体"/>
                <w:b w:val="0"/>
                <w:bCs w:val="0"/>
                <w:color w:val="auto"/>
                <w:sz w:val="20"/>
                <w:szCs w:val="20"/>
                <w:highlight w:val="none"/>
                <w:lang w:val="en-US" w:eastAsia="zh-CN"/>
              </w:rPr>
              <w:t>项）。每一项一般性条款的响应情况为“正偏离”或“符合”或“无偏离”的，得</w:t>
            </w:r>
            <w:r>
              <w:rPr>
                <w:rFonts w:hint="eastAsia" w:ascii="宋体" w:hAnsi="宋体" w:cs="宋体"/>
                <w:b w:val="0"/>
                <w:bCs w:val="0"/>
                <w:color w:val="auto"/>
                <w:sz w:val="20"/>
                <w:szCs w:val="20"/>
                <w:highlight w:val="none"/>
                <w:lang w:val="en-US" w:eastAsia="zh-CN"/>
              </w:rPr>
              <w:t>1.2</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24</w:t>
            </w:r>
            <w:r>
              <w:rPr>
                <w:rFonts w:hint="eastAsia" w:ascii="宋体" w:hAnsi="宋体" w:eastAsia="宋体" w:cs="宋体"/>
                <w:b w:val="0"/>
                <w:bCs w:val="0"/>
                <w:color w:val="auto"/>
                <w:sz w:val="20"/>
                <w:szCs w:val="20"/>
                <w:highlight w:val="none"/>
                <w:lang w:val="en-US" w:eastAsia="zh-CN"/>
              </w:rPr>
              <w:t>分。</w:t>
            </w:r>
          </w:p>
          <w:p w14:paraId="429C803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注：①填写《</w:t>
            </w:r>
            <w:r>
              <w:rPr>
                <w:rFonts w:hint="eastAsia" w:ascii="宋体" w:hAnsi="宋体" w:cs="宋体"/>
                <w:b/>
                <w:bCs/>
                <w:color w:val="auto"/>
                <w:sz w:val="20"/>
                <w:szCs w:val="20"/>
                <w:highlight w:val="none"/>
                <w:lang w:val="en-US" w:eastAsia="zh-CN"/>
              </w:rPr>
              <w:t>采购需求偏离表</w:t>
            </w:r>
            <w:r>
              <w:rPr>
                <w:rFonts w:hint="eastAsia" w:ascii="宋体" w:hAnsi="宋体" w:eastAsia="宋体" w:cs="宋体"/>
                <w:b/>
                <w:bCs/>
                <w:color w:val="auto"/>
                <w:sz w:val="20"/>
                <w:szCs w:val="20"/>
                <w:highlight w:val="none"/>
                <w:lang w:val="en-US" w:eastAsia="zh-CN"/>
              </w:rPr>
              <w:t>》，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highlight w:val="none"/>
                <w:lang w:val="en-US" w:eastAsia="zh-CN"/>
              </w:rPr>
              <w:t>。</w:t>
            </w:r>
            <w:r>
              <w:rPr>
                <w:rFonts w:hint="eastAsia" w:ascii="宋体" w:hAnsi="宋体" w:eastAsia="宋体" w:cs="宋体"/>
                <w:b/>
                <w:bCs/>
                <w:color w:val="auto"/>
                <w:sz w:val="20"/>
                <w:szCs w:val="20"/>
                <w:highlight w:val="none"/>
                <w:lang w:val="en-US" w:eastAsia="zh-CN"/>
              </w:rPr>
              <w:t>②不按要求提供或提供不符的视为负偏离。③如采购需求书中有要求证明资料的，以采购需求书要求为准。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53C25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24分</w:t>
            </w:r>
          </w:p>
        </w:tc>
      </w:tr>
      <w:tr w14:paraId="111BF207">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52772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0D39D5">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1C6C247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2EE6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具有自2023年1月1日至今同类项目业绩的，每提供一个合同得</w:t>
            </w:r>
            <w:r>
              <w:rPr>
                <w:rFonts w:hint="eastAsia" w:ascii="宋体" w:hAnsi="宋体" w:cs="宋体"/>
                <w:b w:val="0"/>
                <w:bCs w:val="0"/>
                <w:color w:val="auto"/>
                <w:sz w:val="20"/>
                <w:szCs w:val="20"/>
                <w:highlight w:val="none"/>
                <w:lang w:val="en-US" w:eastAsia="zh-CN"/>
              </w:rPr>
              <w:t>2</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10</w:t>
            </w:r>
            <w:r>
              <w:rPr>
                <w:rFonts w:hint="eastAsia" w:ascii="宋体" w:hAnsi="宋体" w:eastAsia="宋体" w:cs="宋体"/>
                <w:b w:val="0"/>
                <w:bCs w:val="0"/>
                <w:color w:val="auto"/>
                <w:sz w:val="20"/>
                <w:szCs w:val="20"/>
                <w:highlight w:val="none"/>
                <w:lang w:val="en-US" w:eastAsia="zh-CN"/>
              </w:rPr>
              <w:t>分。</w:t>
            </w:r>
          </w:p>
          <w:p w14:paraId="75C0C2D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注：①以合同签订时间为准，与同一用户单位签订的多份同类项目业绩不累计计分</w:t>
            </w:r>
            <w:r>
              <w:rPr>
                <w:rFonts w:hint="eastAsia" w:ascii="宋体" w:hAnsi="宋体" w:cs="宋体"/>
                <w:b/>
                <w:bCs/>
                <w:color w:val="auto"/>
                <w:sz w:val="20"/>
                <w:szCs w:val="20"/>
                <w:highlight w:val="none"/>
                <w:lang w:val="en-US" w:eastAsia="zh-CN"/>
              </w:rPr>
              <w:t>。</w:t>
            </w:r>
            <w:r>
              <w:rPr>
                <w:rFonts w:hint="eastAsia" w:ascii="宋体" w:hAnsi="宋体" w:eastAsia="宋体" w:cs="宋体"/>
                <w:b/>
                <w:bCs/>
                <w:color w:val="auto"/>
                <w:sz w:val="20"/>
                <w:szCs w:val="20"/>
                <w:highlight w:val="none"/>
                <w:lang w:val="en-US" w:eastAsia="zh-CN"/>
              </w:rPr>
              <w:t>②附合同关键页</w:t>
            </w:r>
            <w:r>
              <w:rPr>
                <w:rFonts w:hint="eastAsia" w:ascii="宋体" w:hAnsi="宋体" w:cs="宋体"/>
                <w:b/>
                <w:bCs/>
                <w:color w:val="auto"/>
                <w:sz w:val="20"/>
                <w:szCs w:val="20"/>
                <w:highlight w:val="none"/>
                <w:lang w:val="en-US" w:eastAsia="zh-CN"/>
              </w:rPr>
              <w:t>复印件</w:t>
            </w:r>
            <w:r>
              <w:rPr>
                <w:rFonts w:hint="eastAsia" w:ascii="宋体" w:hAnsi="宋体" w:eastAsia="宋体" w:cs="宋体"/>
                <w:b/>
                <w:bCs/>
                <w:color w:val="auto"/>
                <w:sz w:val="20"/>
                <w:szCs w:val="20"/>
                <w:highlight w:val="none"/>
                <w:lang w:val="en-US" w:eastAsia="zh-CN"/>
              </w:rPr>
              <w:t>作为证明材料（含签订合同双方的单位名称、合同项目名称、合同内容、签订合同双方的落款盖章、签订日期等的关键页）。</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4CDDF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r>
      <w:tr w14:paraId="7DAD962C">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E5D500">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BEB32D">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认证证书 (</w:t>
            </w:r>
            <w:r>
              <w:rPr>
                <w:rFonts w:hint="eastAsia" w:ascii="宋体" w:hAnsi="宋体" w:cs="宋体"/>
                <w:b/>
                <w:bCs/>
                <w:i w:val="0"/>
                <w:iCs w:val="0"/>
                <w:color w:val="auto"/>
                <w:kern w:val="0"/>
                <w:sz w:val="20"/>
                <w:szCs w:val="20"/>
                <w:highlight w:val="none"/>
                <w:u w:val="none"/>
                <w:lang w:val="en-US" w:eastAsia="zh-CN" w:bidi="ar"/>
              </w:rPr>
              <w:t>2</w:t>
            </w:r>
            <w:r>
              <w:rPr>
                <w:rFonts w:hint="eastAsia" w:ascii="宋体" w:hAnsi="宋体" w:eastAsia="宋体" w:cs="宋体"/>
                <w:b/>
                <w:bCs/>
                <w:i w:val="0"/>
                <w:iCs w:val="0"/>
                <w:color w:val="auto"/>
                <w:kern w:val="0"/>
                <w:sz w:val="20"/>
                <w:szCs w:val="20"/>
                <w:highlight w:val="none"/>
                <w:u w:val="none"/>
                <w:lang w:val="en-US" w:eastAsia="zh-CN" w:bidi="ar"/>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E0A8BD1">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供应商需具备以下证书：</w:t>
            </w:r>
          </w:p>
          <w:p w14:paraId="0765807E">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highlight w:val="none"/>
                <w:lang w:val="en-US" w:eastAsia="zh-CN"/>
              </w:rPr>
            </w:pPr>
            <w:r>
              <w:rPr>
                <w:rFonts w:hint="eastAsia" w:ascii="宋体" w:hAnsi="宋体" w:cs="宋体"/>
                <w:b w:val="0"/>
                <w:bCs w:val="0"/>
                <w:color w:val="auto"/>
                <w:sz w:val="20"/>
                <w:szCs w:val="20"/>
                <w:highlight w:val="none"/>
                <w:lang w:val="en-US" w:eastAsia="zh-CN"/>
              </w:rPr>
              <w:t>1</w:t>
            </w:r>
            <w:r>
              <w:rPr>
                <w:rFonts w:hint="eastAsia" w:ascii="宋体" w:hAnsi="宋体" w:eastAsia="宋体" w:cs="宋体"/>
                <w:b w:val="0"/>
                <w:bCs w:val="0"/>
                <w:color w:val="auto"/>
                <w:sz w:val="20"/>
                <w:szCs w:val="20"/>
                <w:highlight w:val="none"/>
                <w:lang w:val="en-US" w:eastAsia="zh-CN"/>
              </w:rPr>
              <w:t>.具备质量管理体系ISO9001认证证书（认证范围与软件开发相关）</w:t>
            </w:r>
            <w:r>
              <w:rPr>
                <w:rFonts w:hint="eastAsia" w:ascii="宋体" w:hAnsi="宋体" w:cs="宋体"/>
                <w:b w:val="0"/>
                <w:bCs w:val="0"/>
                <w:color w:val="auto"/>
                <w:sz w:val="20"/>
                <w:szCs w:val="20"/>
                <w:highlight w:val="none"/>
                <w:lang w:val="en-US" w:eastAsia="zh-CN"/>
              </w:rPr>
              <w:t>，得2分。</w:t>
            </w:r>
          </w:p>
          <w:p w14:paraId="7F546E7A">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注：以上资质证书须在有效期内，提供证书的复印件并加盖公章，否则不得分。</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FB7775">
            <w:pPr>
              <w:keepNext w:val="0"/>
              <w:keepLines w:val="0"/>
              <w:widowControl/>
              <w:suppressLineNumbers w:val="0"/>
              <w:jc w:val="center"/>
              <w:textAlignment w:val="center"/>
              <w:rPr>
                <w:rFonts w:hint="default" w:ascii="宋体" w:hAnsi="宋体" w:eastAsia="宋体" w:cs="宋体"/>
                <w:i w:val="0"/>
                <w:iCs w:val="0"/>
                <w:color w:val="auto"/>
                <w:kern w:val="0"/>
                <w:sz w:val="20"/>
                <w:szCs w:val="20"/>
                <w:highlight w:val="none"/>
                <w:u w:val="none"/>
                <w:lang w:val="en-US" w:eastAsia="zh-CN" w:bidi="ar"/>
              </w:rPr>
            </w:pPr>
            <w:r>
              <w:rPr>
                <w:rFonts w:hint="eastAsia" w:ascii="宋体" w:hAnsi="宋体" w:cs="宋体"/>
                <w:i w:val="0"/>
                <w:iCs w:val="0"/>
                <w:color w:val="auto"/>
                <w:kern w:val="0"/>
                <w:sz w:val="20"/>
                <w:szCs w:val="20"/>
                <w:highlight w:val="none"/>
                <w:u w:val="none"/>
                <w:lang w:val="en-US" w:eastAsia="zh-CN" w:bidi="ar"/>
              </w:rPr>
              <w:t>2分</w:t>
            </w:r>
          </w:p>
        </w:tc>
      </w:tr>
      <w:tr w14:paraId="2B40A891">
        <w:tblPrEx>
          <w:tblCellMar>
            <w:top w:w="0" w:type="dxa"/>
            <w:left w:w="0" w:type="dxa"/>
            <w:bottom w:w="0" w:type="dxa"/>
            <w:right w:w="0" w:type="dxa"/>
          </w:tblCellMar>
        </w:tblPrEx>
        <w:trPr>
          <w:trHeight w:val="88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9912AD">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8757D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i w:val="0"/>
                <w:iCs w:val="0"/>
                <w:color w:val="auto"/>
                <w:kern w:val="0"/>
                <w:sz w:val="20"/>
                <w:szCs w:val="20"/>
                <w:highlight w:val="none"/>
                <w:u w:val="none"/>
                <w:lang w:val="en-US" w:eastAsia="zh-CN" w:bidi="ar"/>
              </w:rPr>
              <w:t>项目</w:t>
            </w:r>
            <w:r>
              <w:rPr>
                <w:rFonts w:hint="eastAsia" w:ascii="宋体" w:hAnsi="宋体" w:eastAsia="宋体" w:cs="宋体"/>
                <w:b/>
                <w:bCs/>
                <w:i w:val="0"/>
                <w:iCs w:val="0"/>
                <w:color w:val="auto"/>
                <w:kern w:val="0"/>
                <w:sz w:val="20"/>
                <w:szCs w:val="20"/>
                <w:highlight w:val="none"/>
                <w:u w:val="none"/>
                <w:lang w:val="en-US" w:eastAsia="zh-CN" w:bidi="ar"/>
              </w:rPr>
              <w:t>团队人员（</w:t>
            </w:r>
            <w:r>
              <w:rPr>
                <w:rFonts w:hint="eastAsia" w:ascii="宋体" w:hAnsi="宋体" w:cs="宋体"/>
                <w:b/>
                <w:bCs/>
                <w:i w:val="0"/>
                <w:iCs w:val="0"/>
                <w:color w:val="auto"/>
                <w:kern w:val="0"/>
                <w:sz w:val="20"/>
                <w:szCs w:val="20"/>
                <w:highlight w:val="none"/>
                <w:u w:val="none"/>
                <w:lang w:val="en-US" w:eastAsia="zh-CN" w:bidi="ar"/>
              </w:rPr>
              <w:t>10</w:t>
            </w:r>
            <w:r>
              <w:rPr>
                <w:rFonts w:hint="eastAsia" w:ascii="宋体" w:hAnsi="宋体" w:eastAsia="宋体" w:cs="宋体"/>
                <w:b/>
                <w:bCs/>
                <w:i w:val="0"/>
                <w:iCs w:val="0"/>
                <w:color w:val="auto"/>
                <w:kern w:val="0"/>
                <w:sz w:val="20"/>
                <w:szCs w:val="20"/>
                <w:highlight w:val="none"/>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0EE74E7">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项目团队</w:t>
            </w:r>
            <w:r>
              <w:rPr>
                <w:rFonts w:hint="eastAsia" w:ascii="宋体" w:hAnsi="宋体" w:cs="宋体"/>
                <w:b w:val="0"/>
                <w:bCs w:val="0"/>
                <w:color w:val="auto"/>
                <w:sz w:val="20"/>
                <w:szCs w:val="20"/>
                <w:highlight w:val="none"/>
                <w:lang w:val="en-US" w:eastAsia="zh-CN"/>
              </w:rPr>
              <w:t>人员</w:t>
            </w:r>
            <w:r>
              <w:rPr>
                <w:rFonts w:hint="eastAsia" w:ascii="宋体" w:hAnsi="宋体" w:eastAsia="宋体" w:cs="宋体"/>
                <w:b w:val="0"/>
                <w:bCs w:val="0"/>
                <w:color w:val="auto"/>
                <w:sz w:val="20"/>
                <w:szCs w:val="20"/>
                <w:highlight w:val="none"/>
                <w:lang w:val="en-US" w:eastAsia="zh-CN"/>
              </w:rPr>
              <w:t>（含项目经理）：</w:t>
            </w:r>
          </w:p>
          <w:p w14:paraId="13B5E13B">
            <w:pPr>
              <w:pStyle w:val="54"/>
              <w:numPr>
                <w:ilvl w:val="0"/>
                <w:numId w:val="0"/>
              </w:numPr>
              <w:ind w:left="100" w:leftChars="0" w:firstLine="0" w:firstLineChars="0"/>
              <w:jc w:val="left"/>
              <w:rPr>
                <w:rFonts w:hint="eastAsia" w:ascii="宋体" w:hAnsi="宋体" w:eastAsia="宋体" w:cs="宋体"/>
                <w:highlight w:val="none"/>
                <w:lang w:val="en-US" w:eastAsia="zh-CN"/>
              </w:rPr>
            </w:pPr>
            <w:r>
              <w:rPr>
                <w:rFonts w:hint="eastAsia" w:ascii="宋体" w:hAnsi="宋体" w:cs="宋体"/>
                <w:highlight w:val="none"/>
                <w:lang w:val="en-US" w:eastAsia="zh-CN"/>
              </w:rPr>
              <w:t>1</w:t>
            </w:r>
            <w:r>
              <w:rPr>
                <w:rFonts w:hint="eastAsia" w:ascii="宋体" w:hAnsi="宋体" w:eastAsia="宋体" w:cs="宋体"/>
                <w:highlight w:val="none"/>
                <w:lang w:val="en-US" w:eastAsia="zh-CN"/>
              </w:rPr>
              <w:t>.</w:t>
            </w:r>
            <w:r>
              <w:rPr>
                <w:rFonts w:hint="eastAsia" w:ascii="宋体" w:hAnsi="宋体" w:cs="宋体"/>
                <w:highlight w:val="none"/>
                <w:lang w:val="en-US" w:eastAsia="zh-CN"/>
              </w:rPr>
              <w:t>大专及</w:t>
            </w:r>
            <w:r>
              <w:rPr>
                <w:rFonts w:hint="eastAsia" w:ascii="宋体" w:hAnsi="宋体" w:eastAsia="宋体" w:cs="宋体"/>
                <w:highlight w:val="none"/>
                <w:lang w:val="en-US" w:eastAsia="zh-CN"/>
              </w:rPr>
              <w:t>以上学历，专业为计算机相关专业，每提供一人证书得</w:t>
            </w:r>
            <w:r>
              <w:rPr>
                <w:rFonts w:hint="eastAsia" w:ascii="宋体" w:hAnsi="宋体" w:cs="宋体"/>
                <w:highlight w:val="none"/>
                <w:lang w:val="en-US" w:eastAsia="zh-CN"/>
              </w:rPr>
              <w:t>1</w:t>
            </w:r>
            <w:r>
              <w:rPr>
                <w:rFonts w:hint="eastAsia" w:ascii="宋体" w:hAnsi="宋体" w:eastAsia="宋体" w:cs="宋体"/>
                <w:highlight w:val="none"/>
                <w:lang w:val="en-US" w:eastAsia="zh-CN"/>
              </w:rPr>
              <w:t>分，最高</w:t>
            </w:r>
            <w:r>
              <w:rPr>
                <w:rFonts w:hint="eastAsia" w:ascii="宋体" w:hAnsi="宋体" w:cs="宋体"/>
                <w:highlight w:val="none"/>
                <w:lang w:val="en-US" w:eastAsia="zh-CN"/>
              </w:rPr>
              <w:t>3</w:t>
            </w:r>
            <w:r>
              <w:rPr>
                <w:rFonts w:hint="eastAsia" w:ascii="宋体" w:hAnsi="宋体" w:eastAsia="宋体" w:cs="宋体"/>
                <w:highlight w:val="none"/>
                <w:lang w:val="en-US" w:eastAsia="zh-CN"/>
              </w:rPr>
              <w:t>分；</w:t>
            </w:r>
          </w:p>
          <w:p w14:paraId="0FD59DDF">
            <w:pPr>
              <w:pStyle w:val="54"/>
              <w:numPr>
                <w:ilvl w:val="0"/>
                <w:numId w:val="0"/>
              </w:numPr>
              <w:ind w:left="100" w:leftChars="0" w:firstLine="0" w:firstLineChars="0"/>
              <w:jc w:val="left"/>
              <w:rPr>
                <w:rFonts w:hint="eastAsia" w:ascii="宋体" w:hAnsi="宋体" w:eastAsia="宋体" w:cs="宋体"/>
                <w:highlight w:val="none"/>
              </w:rPr>
            </w:pPr>
            <w:r>
              <w:rPr>
                <w:rFonts w:hint="eastAsia" w:ascii="宋体" w:hAnsi="宋体" w:cs="宋体"/>
                <w:highlight w:val="none"/>
                <w:lang w:val="en-US" w:eastAsia="zh-CN"/>
              </w:rPr>
              <w:t>2.团队成员</w:t>
            </w:r>
            <w:r>
              <w:rPr>
                <w:rFonts w:hint="eastAsia" w:ascii="宋体" w:hAnsi="宋体" w:eastAsia="宋体" w:cs="宋体"/>
                <w:highlight w:val="none"/>
              </w:rPr>
              <w:t>具有工业和信息化部(工信部)和人力资源和社会保障部(人社部)颁发的系统集成项目管理工程师,每提供1人得</w:t>
            </w:r>
            <w:r>
              <w:rPr>
                <w:rFonts w:hint="eastAsia" w:ascii="宋体" w:hAnsi="宋体" w:eastAsia="宋体" w:cs="宋体"/>
                <w:highlight w:val="none"/>
                <w:lang w:val="en-US" w:eastAsia="zh-CN"/>
              </w:rPr>
              <w:t>2</w:t>
            </w:r>
            <w:r>
              <w:rPr>
                <w:rFonts w:hint="eastAsia" w:ascii="宋体" w:hAnsi="宋体" w:eastAsia="宋体" w:cs="宋体"/>
                <w:highlight w:val="none"/>
              </w:rPr>
              <w:t>分，最高得</w:t>
            </w:r>
            <w:r>
              <w:rPr>
                <w:rFonts w:hint="eastAsia" w:ascii="宋体" w:hAnsi="宋体" w:eastAsia="宋体" w:cs="宋体"/>
                <w:highlight w:val="none"/>
                <w:lang w:val="en-US" w:eastAsia="zh-CN"/>
              </w:rPr>
              <w:t>4</w:t>
            </w:r>
            <w:r>
              <w:rPr>
                <w:rFonts w:hint="eastAsia" w:ascii="宋体" w:hAnsi="宋体" w:eastAsia="宋体" w:cs="宋体"/>
                <w:highlight w:val="none"/>
              </w:rPr>
              <w:t>分。</w:t>
            </w:r>
          </w:p>
          <w:p w14:paraId="74922D0C">
            <w:pPr>
              <w:pStyle w:val="54"/>
              <w:numPr>
                <w:ilvl w:val="0"/>
                <w:numId w:val="0"/>
              </w:numPr>
              <w:ind w:left="100" w:leftChars="0" w:firstLine="0" w:firstLineChars="0"/>
              <w:jc w:val="left"/>
              <w:rPr>
                <w:rFonts w:hint="default" w:ascii="宋体" w:hAnsi="宋体" w:eastAsia="宋体" w:cs="宋体"/>
                <w:highlight w:val="none"/>
                <w:lang w:val="en-US" w:eastAsia="zh-CN"/>
              </w:rPr>
            </w:pPr>
            <w:r>
              <w:rPr>
                <w:rFonts w:hint="eastAsia" w:ascii="宋体" w:hAnsi="宋体" w:cs="宋体"/>
                <w:highlight w:val="none"/>
                <w:lang w:val="en-US" w:eastAsia="zh-CN"/>
              </w:rPr>
              <w:t>3.团队成员具有3年或以上的同类项目（排队叫号系统或多媒体分诊导引系统）交付经验，每提供1人履历表得1分，最高得3分。</w:t>
            </w:r>
          </w:p>
          <w:p w14:paraId="3EFC2C04">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bCs/>
                <w:color w:val="auto"/>
                <w:sz w:val="20"/>
                <w:szCs w:val="20"/>
                <w:highlight w:val="none"/>
                <w:lang w:val="en-US" w:eastAsia="zh-CN"/>
              </w:rPr>
            </w:pPr>
            <w:r>
              <w:rPr>
                <w:b/>
                <w:bCs/>
                <w:color w:val="auto"/>
                <w:sz w:val="20"/>
                <w:szCs w:val="20"/>
                <w:highlight w:val="none"/>
              </w:rPr>
              <w:t>注：①本项最高得</w:t>
            </w:r>
            <w:r>
              <w:rPr>
                <w:rFonts w:hint="eastAsia"/>
                <w:b/>
                <w:bCs/>
                <w:color w:val="auto"/>
                <w:sz w:val="20"/>
                <w:szCs w:val="20"/>
                <w:highlight w:val="none"/>
                <w:lang w:val="en-US" w:eastAsia="zh-CN"/>
              </w:rPr>
              <w:t>10</w:t>
            </w:r>
            <w:r>
              <w:rPr>
                <w:b/>
                <w:bCs/>
                <w:color w:val="auto"/>
                <w:sz w:val="20"/>
                <w:szCs w:val="20"/>
                <w:highlight w:val="none"/>
              </w:rPr>
              <w:t>分。提供有效的证书复印件，如一人同时具有多个证书的，</w:t>
            </w:r>
            <w:r>
              <w:rPr>
                <w:rFonts w:hint="eastAsia"/>
                <w:b/>
                <w:bCs/>
                <w:color w:val="auto"/>
                <w:sz w:val="20"/>
                <w:szCs w:val="20"/>
                <w:highlight w:val="none"/>
                <w:lang w:val="en-US" w:eastAsia="zh-CN"/>
              </w:rPr>
              <w:t>最多</w:t>
            </w:r>
            <w:r>
              <w:rPr>
                <w:b/>
                <w:bCs/>
                <w:color w:val="auto"/>
                <w:sz w:val="20"/>
                <w:szCs w:val="20"/>
                <w:highlight w:val="none"/>
              </w:rPr>
              <w:t>只计</w:t>
            </w:r>
            <w:r>
              <w:rPr>
                <w:rFonts w:hint="eastAsia"/>
                <w:b/>
                <w:bCs/>
                <w:color w:val="auto"/>
                <w:sz w:val="20"/>
                <w:szCs w:val="20"/>
                <w:highlight w:val="none"/>
                <w:lang w:val="en-US" w:eastAsia="zh-CN"/>
              </w:rPr>
              <w:t>2分</w:t>
            </w:r>
            <w:r>
              <w:rPr>
                <w:b/>
                <w:bCs/>
                <w:color w:val="auto"/>
                <w:sz w:val="20"/>
                <w:szCs w:val="20"/>
                <w:highlight w:val="none"/>
              </w:rPr>
              <w:t>。②须提供</w:t>
            </w:r>
            <w:r>
              <w:rPr>
                <w:rFonts w:hint="eastAsia"/>
                <w:b/>
                <w:bCs/>
                <w:color w:val="auto"/>
                <w:sz w:val="20"/>
                <w:szCs w:val="20"/>
                <w:highlight w:val="none"/>
                <w:lang w:val="en-US" w:eastAsia="zh-CN"/>
              </w:rPr>
              <w:t>供应商在评审当天前</w:t>
            </w:r>
            <w:r>
              <w:rPr>
                <w:b/>
                <w:bCs/>
                <w:color w:val="auto"/>
                <w:sz w:val="20"/>
                <w:szCs w:val="20"/>
                <w:highlight w:val="none"/>
              </w:rPr>
              <w:t>六个月内任意一个月为其购买社保的证明材料</w:t>
            </w:r>
            <w:r>
              <w:rPr>
                <w:rFonts w:hint="eastAsia"/>
                <w:b/>
                <w:bCs/>
                <w:color w:val="auto"/>
                <w:sz w:val="20"/>
                <w:szCs w:val="20"/>
                <w:highlight w:val="none"/>
                <w:lang w:eastAsia="zh-CN"/>
              </w:rPr>
              <w:t>。</w:t>
            </w:r>
            <w:r>
              <w:rPr>
                <w:b/>
                <w:bCs/>
                <w:color w:val="auto"/>
                <w:sz w:val="20"/>
                <w:szCs w:val="20"/>
                <w:highlight w:val="none"/>
              </w:rPr>
              <w:t>③如证明资料不齐全的，视为无效，不得分</w:t>
            </w:r>
            <w:r>
              <w:rPr>
                <w:rFonts w:hint="eastAsia"/>
                <w:b/>
                <w:bCs/>
                <w:color w:val="auto"/>
                <w:sz w:val="20"/>
                <w:szCs w:val="20"/>
                <w:highlight w:val="none"/>
                <w:lang w:eastAsia="zh-CN"/>
              </w:rPr>
              <w:t>。</w:t>
            </w:r>
            <w:r>
              <w:rPr>
                <w:b/>
                <w:bCs/>
                <w:color w:val="auto"/>
                <w:sz w:val="20"/>
                <w:szCs w:val="20"/>
                <w:highlight w:val="none"/>
              </w:rPr>
              <w:t>④项目经理与服务团队人员不得兼任。</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3B0A87">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r>
      <w:tr w14:paraId="78BC9CF1">
        <w:tblPrEx>
          <w:tblCellMar>
            <w:top w:w="0" w:type="dxa"/>
            <w:left w:w="0" w:type="dxa"/>
            <w:bottom w:w="0" w:type="dxa"/>
            <w:right w:w="0" w:type="dxa"/>
          </w:tblCellMar>
        </w:tblPrEx>
        <w:trPr>
          <w:trHeight w:val="9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37E840">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6</w:t>
            </w:r>
          </w:p>
        </w:tc>
        <w:tc>
          <w:tcPr>
            <w:tcW w:w="930"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F41075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项目实施</w:t>
            </w:r>
            <w:r>
              <w:rPr>
                <w:rFonts w:hint="eastAsia" w:ascii="宋体" w:hAnsi="宋体" w:eastAsia="宋体" w:cs="宋体"/>
                <w:b/>
                <w:bCs/>
                <w:i w:val="0"/>
                <w:iCs w:val="0"/>
                <w:color w:val="auto"/>
                <w:kern w:val="0"/>
                <w:sz w:val="20"/>
                <w:szCs w:val="20"/>
                <w:highlight w:val="none"/>
                <w:u w:val="none"/>
                <w:lang w:val="en-US" w:eastAsia="zh-CN" w:bidi="ar"/>
              </w:rPr>
              <w:t>方案</w:t>
            </w:r>
          </w:p>
          <w:p w14:paraId="0685C29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color w:val="auto"/>
                <w:sz w:val="20"/>
                <w:szCs w:val="20"/>
                <w:highlight w:val="none"/>
              </w:rPr>
            </w:pPr>
            <w:r>
              <w:rPr>
                <w:rFonts w:hint="eastAsia" w:ascii="宋体" w:hAnsi="宋体" w:eastAsia="宋体" w:cs="宋体"/>
                <w:b/>
                <w:bCs/>
                <w:i w:val="0"/>
                <w:iCs w:val="0"/>
                <w:color w:val="auto"/>
                <w:kern w:val="0"/>
                <w:sz w:val="20"/>
                <w:szCs w:val="20"/>
                <w:highlight w:val="none"/>
                <w:u w:val="none"/>
                <w:lang w:val="en-US" w:eastAsia="zh-CN" w:bidi="ar"/>
              </w:rPr>
              <w:t>（</w:t>
            </w:r>
            <w:r>
              <w:rPr>
                <w:rFonts w:hint="eastAsia" w:ascii="宋体" w:hAnsi="宋体" w:cs="宋体"/>
                <w:b/>
                <w:bCs/>
                <w:i w:val="0"/>
                <w:iCs w:val="0"/>
                <w:color w:val="auto"/>
                <w:kern w:val="0"/>
                <w:sz w:val="20"/>
                <w:szCs w:val="20"/>
                <w:highlight w:val="none"/>
                <w:u w:val="none"/>
                <w:lang w:val="en-US" w:eastAsia="zh-CN" w:bidi="ar"/>
              </w:rPr>
              <w:t>12</w:t>
            </w:r>
            <w:r>
              <w:rPr>
                <w:rFonts w:hint="eastAsia" w:ascii="宋体" w:hAnsi="宋体" w:eastAsia="宋体" w:cs="宋体"/>
                <w:b/>
                <w:bCs/>
                <w:i w:val="0"/>
                <w:iCs w:val="0"/>
                <w:color w:val="auto"/>
                <w:kern w:val="0"/>
                <w:sz w:val="20"/>
                <w:szCs w:val="20"/>
                <w:highlight w:val="none"/>
                <w:u w:val="none"/>
                <w:lang w:val="en-US" w:eastAsia="zh-CN" w:bidi="ar"/>
              </w:rPr>
              <w:t>分）</w:t>
            </w:r>
          </w:p>
        </w:tc>
        <w:tc>
          <w:tcPr>
            <w:tcW w:w="83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17C0F087">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根据</w:t>
            </w:r>
            <w:r>
              <w:rPr>
                <w:rFonts w:hint="eastAsia" w:ascii="新宋体" w:hAnsi="新宋体" w:eastAsia="新宋体" w:cs="Arial"/>
                <w:color w:val="auto"/>
                <w:sz w:val="20"/>
                <w:szCs w:val="20"/>
                <w:highlight w:val="none"/>
                <w:lang w:val="en-US" w:eastAsia="zh-CN"/>
              </w:rPr>
              <w:t>供应商</w:t>
            </w:r>
            <w:r>
              <w:rPr>
                <w:rFonts w:hint="eastAsia" w:ascii="新宋体" w:hAnsi="新宋体" w:eastAsia="新宋体" w:cs="Arial"/>
                <w:color w:val="auto"/>
                <w:sz w:val="20"/>
                <w:szCs w:val="20"/>
                <w:highlight w:val="none"/>
              </w:rPr>
              <w:t>结合采购需求提供的</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lang w:eastAsia="zh-CN"/>
              </w:rPr>
              <w:t>（包括</w:t>
            </w:r>
            <w:r>
              <w:rPr>
                <w:rFonts w:hint="eastAsia" w:ascii="新宋体" w:hAnsi="新宋体" w:eastAsia="新宋体" w:cs="Arial"/>
                <w:color w:val="auto"/>
                <w:sz w:val="20"/>
                <w:szCs w:val="20"/>
                <w:highlight w:val="none"/>
                <w:lang w:val="en-US" w:eastAsia="zh-CN"/>
              </w:rPr>
              <w:t>但不限于</w:t>
            </w:r>
            <w:r>
              <w:rPr>
                <w:rFonts w:hint="eastAsia" w:ascii="新宋体" w:hAnsi="新宋体" w:eastAsia="新宋体" w:cs="Arial"/>
                <w:color w:val="auto"/>
                <w:sz w:val="20"/>
                <w:szCs w:val="20"/>
                <w:highlight w:val="none"/>
                <w:lang w:eastAsia="zh-CN"/>
              </w:rPr>
              <w:t>人员组织、时间安排、阶段性文档提交、质量保证和风险规避措施等）</w:t>
            </w:r>
            <w:r>
              <w:rPr>
                <w:rFonts w:hint="eastAsia" w:ascii="新宋体" w:hAnsi="新宋体" w:eastAsia="新宋体" w:cs="Arial"/>
                <w:color w:val="auto"/>
                <w:sz w:val="20"/>
                <w:szCs w:val="20"/>
                <w:highlight w:val="none"/>
              </w:rPr>
              <w:t>进行评审：</w:t>
            </w:r>
          </w:p>
          <w:p w14:paraId="56A9276C">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1</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rPr>
              <w:t>内容非常全面，</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具体，针对性</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强，</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科学合理的，得</w:t>
            </w:r>
            <w:r>
              <w:rPr>
                <w:rFonts w:hint="eastAsia" w:ascii="新宋体" w:hAnsi="新宋体" w:eastAsia="新宋体" w:cs="Arial"/>
                <w:color w:val="auto"/>
                <w:sz w:val="20"/>
                <w:szCs w:val="20"/>
                <w:highlight w:val="none"/>
                <w:lang w:val="en-US" w:eastAsia="zh-CN"/>
              </w:rPr>
              <w:t>12</w:t>
            </w:r>
            <w:r>
              <w:rPr>
                <w:rFonts w:hint="eastAsia" w:ascii="新宋体" w:hAnsi="新宋体" w:eastAsia="新宋体" w:cs="Arial"/>
                <w:color w:val="auto"/>
                <w:sz w:val="20"/>
                <w:szCs w:val="20"/>
                <w:highlight w:val="none"/>
              </w:rPr>
              <w:t>分；</w:t>
            </w:r>
          </w:p>
          <w:p w14:paraId="4683FFC4">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2</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rPr>
              <w:t>内容</w:t>
            </w:r>
            <w:r>
              <w:rPr>
                <w:rFonts w:hint="eastAsia" w:ascii="新宋体" w:hAnsi="新宋体" w:eastAsia="新宋体" w:cs="Arial"/>
                <w:color w:val="auto"/>
                <w:sz w:val="20"/>
                <w:szCs w:val="20"/>
                <w:highlight w:val="none"/>
                <w:lang w:val="en-US" w:eastAsia="zh-CN"/>
              </w:rPr>
              <w:t>较</w:t>
            </w:r>
            <w:r>
              <w:rPr>
                <w:rFonts w:hint="eastAsia" w:ascii="新宋体" w:hAnsi="新宋体" w:eastAsia="新宋体" w:cs="Arial"/>
                <w:color w:val="auto"/>
                <w:sz w:val="20"/>
                <w:szCs w:val="20"/>
                <w:highlight w:val="none"/>
              </w:rPr>
              <w:t>全面，具体，针对性</w:t>
            </w:r>
            <w:r>
              <w:rPr>
                <w:rFonts w:hint="eastAsia" w:ascii="新宋体" w:hAnsi="新宋体" w:eastAsia="新宋体" w:cs="Arial"/>
                <w:color w:val="auto"/>
                <w:sz w:val="20"/>
                <w:szCs w:val="20"/>
                <w:highlight w:val="none"/>
                <w:lang w:val="en-US" w:eastAsia="zh-CN"/>
              </w:rPr>
              <w:t>较</w:t>
            </w:r>
            <w:r>
              <w:rPr>
                <w:rFonts w:hint="eastAsia" w:ascii="新宋体" w:hAnsi="新宋体" w:eastAsia="新宋体" w:cs="Arial"/>
                <w:color w:val="auto"/>
                <w:sz w:val="20"/>
                <w:szCs w:val="20"/>
                <w:highlight w:val="none"/>
              </w:rPr>
              <w:t>强，科学合理的，得</w:t>
            </w:r>
            <w:r>
              <w:rPr>
                <w:rFonts w:hint="eastAsia" w:ascii="新宋体" w:hAnsi="新宋体" w:eastAsia="新宋体" w:cs="Arial"/>
                <w:color w:val="auto"/>
                <w:sz w:val="20"/>
                <w:szCs w:val="20"/>
                <w:highlight w:val="none"/>
                <w:lang w:val="en-US" w:eastAsia="zh-CN"/>
              </w:rPr>
              <w:t>8</w:t>
            </w:r>
            <w:r>
              <w:rPr>
                <w:rFonts w:hint="eastAsia" w:ascii="新宋体" w:hAnsi="新宋体" w:eastAsia="新宋体" w:cs="Arial"/>
                <w:color w:val="auto"/>
                <w:sz w:val="20"/>
                <w:szCs w:val="20"/>
                <w:highlight w:val="none"/>
              </w:rPr>
              <w:t>分；</w:t>
            </w:r>
          </w:p>
          <w:p w14:paraId="1AD17A0A">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lang w:val="en-US" w:eastAsia="zh-CN"/>
              </w:rPr>
              <w:t>3.项目实施方案</w:t>
            </w:r>
            <w:r>
              <w:rPr>
                <w:rFonts w:hint="eastAsia" w:ascii="新宋体" w:hAnsi="新宋体" w:eastAsia="新宋体" w:cs="Arial"/>
                <w:color w:val="auto"/>
                <w:sz w:val="20"/>
                <w:szCs w:val="20"/>
                <w:highlight w:val="none"/>
              </w:rPr>
              <w:t>内容</w:t>
            </w:r>
            <w:r>
              <w:rPr>
                <w:rFonts w:hint="eastAsia" w:ascii="新宋体" w:hAnsi="新宋体" w:eastAsia="新宋体" w:cs="Arial"/>
                <w:color w:val="auto"/>
                <w:sz w:val="20"/>
                <w:szCs w:val="20"/>
                <w:highlight w:val="none"/>
                <w:lang w:val="en-US" w:eastAsia="zh-CN"/>
              </w:rPr>
              <w:t>一般</w:t>
            </w:r>
            <w:r>
              <w:rPr>
                <w:rFonts w:hint="eastAsia" w:ascii="新宋体" w:hAnsi="新宋体" w:eastAsia="新宋体" w:cs="Arial"/>
                <w:color w:val="auto"/>
                <w:sz w:val="20"/>
                <w:szCs w:val="20"/>
                <w:highlight w:val="none"/>
              </w:rPr>
              <w:t>，针对性</w:t>
            </w:r>
            <w:r>
              <w:rPr>
                <w:rFonts w:hint="eastAsia" w:ascii="新宋体" w:hAnsi="新宋体" w:eastAsia="新宋体" w:cs="Arial"/>
                <w:color w:val="auto"/>
                <w:sz w:val="20"/>
                <w:szCs w:val="20"/>
                <w:highlight w:val="none"/>
                <w:lang w:eastAsia="zh-CN"/>
              </w:rPr>
              <w:t>、</w:t>
            </w:r>
            <w:r>
              <w:rPr>
                <w:rFonts w:hint="eastAsia" w:ascii="新宋体" w:hAnsi="新宋体" w:eastAsia="新宋体" w:cs="Arial"/>
                <w:color w:val="auto"/>
                <w:sz w:val="20"/>
                <w:szCs w:val="20"/>
                <w:highlight w:val="none"/>
              </w:rPr>
              <w:t>科学合理</w:t>
            </w:r>
            <w:r>
              <w:rPr>
                <w:rFonts w:hint="eastAsia" w:ascii="新宋体" w:hAnsi="新宋体" w:eastAsia="新宋体" w:cs="Arial"/>
                <w:color w:val="auto"/>
                <w:sz w:val="20"/>
                <w:szCs w:val="20"/>
                <w:highlight w:val="none"/>
                <w:lang w:val="en-US" w:eastAsia="zh-CN"/>
              </w:rPr>
              <w:t>性一般</w:t>
            </w:r>
            <w:r>
              <w:rPr>
                <w:rFonts w:hint="eastAsia" w:ascii="新宋体" w:hAnsi="新宋体" w:eastAsia="新宋体" w:cs="Arial"/>
                <w:color w:val="auto"/>
                <w:sz w:val="20"/>
                <w:szCs w:val="20"/>
                <w:highlight w:val="none"/>
              </w:rPr>
              <w:t>的，得</w:t>
            </w:r>
            <w:r>
              <w:rPr>
                <w:rFonts w:hint="eastAsia" w:ascii="新宋体" w:hAnsi="新宋体" w:eastAsia="新宋体" w:cs="Arial"/>
                <w:color w:val="auto"/>
                <w:sz w:val="20"/>
                <w:szCs w:val="20"/>
                <w:highlight w:val="none"/>
                <w:lang w:val="en-US" w:eastAsia="zh-CN"/>
              </w:rPr>
              <w:t>4</w:t>
            </w:r>
            <w:r>
              <w:rPr>
                <w:rFonts w:hint="eastAsia" w:ascii="新宋体" w:hAnsi="新宋体" w:eastAsia="新宋体" w:cs="Arial"/>
                <w:color w:val="auto"/>
                <w:sz w:val="20"/>
                <w:szCs w:val="20"/>
                <w:highlight w:val="none"/>
              </w:rPr>
              <w:t>分；</w:t>
            </w:r>
          </w:p>
          <w:p w14:paraId="5BC25F5F">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宋体" w:hAnsi="宋体" w:eastAsia="宋体" w:cs="宋体"/>
                <w:color w:val="auto"/>
                <w:sz w:val="20"/>
                <w:szCs w:val="20"/>
                <w:highlight w:val="none"/>
                <w:lang w:val="en-US" w:eastAsia="zh-CN"/>
              </w:rPr>
            </w:pPr>
            <w:r>
              <w:rPr>
                <w:rFonts w:hint="eastAsia" w:ascii="新宋体" w:hAnsi="新宋体" w:eastAsia="新宋体" w:cs="Arial"/>
                <w:color w:val="auto"/>
                <w:sz w:val="20"/>
                <w:szCs w:val="20"/>
                <w:highlight w:val="none"/>
                <w:lang w:val="en-US" w:eastAsia="zh-CN"/>
              </w:rPr>
              <w:t>4.项目实施方案</w:t>
            </w:r>
            <w:r>
              <w:rPr>
                <w:rFonts w:hint="eastAsia" w:ascii="新宋体" w:hAnsi="新宋体" w:eastAsia="新宋体" w:cs="Arial"/>
                <w:color w:val="auto"/>
                <w:sz w:val="20"/>
                <w:szCs w:val="20"/>
                <w:highlight w:val="none"/>
              </w:rPr>
              <w:t>内容不全面，不具体，针对性弱，科学合理性一般的</w:t>
            </w:r>
            <w:r>
              <w:rPr>
                <w:rFonts w:hint="eastAsia" w:ascii="新宋体" w:hAnsi="新宋体" w:eastAsia="新宋体" w:cs="Arial"/>
                <w:color w:val="auto"/>
                <w:sz w:val="20"/>
                <w:szCs w:val="20"/>
                <w:highlight w:val="none"/>
                <w:lang w:val="en-US" w:eastAsia="zh-CN"/>
              </w:rPr>
              <w:t>或未提供方案的</w:t>
            </w:r>
            <w:r>
              <w:rPr>
                <w:rFonts w:hint="eastAsia" w:ascii="新宋体" w:hAnsi="新宋体" w:eastAsia="新宋体" w:cs="Arial"/>
                <w:color w:val="auto"/>
                <w:sz w:val="20"/>
                <w:szCs w:val="20"/>
                <w:highlight w:val="none"/>
              </w:rPr>
              <w:t>，不得分。</w:t>
            </w:r>
          </w:p>
        </w:tc>
        <w:tc>
          <w:tcPr>
            <w:tcW w:w="664"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B83534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color w:val="auto"/>
                <w:sz w:val="20"/>
                <w:szCs w:val="20"/>
                <w:highlight w:val="none"/>
                <w:lang w:val="en-US" w:eastAsia="zh-CN"/>
              </w:rPr>
              <w:t>12</w:t>
            </w:r>
            <w:r>
              <w:rPr>
                <w:rFonts w:hint="eastAsia" w:ascii="宋体" w:hAnsi="宋体" w:eastAsia="宋体" w:cs="宋体"/>
                <w:color w:val="auto"/>
                <w:sz w:val="20"/>
                <w:szCs w:val="20"/>
                <w:highlight w:val="none"/>
                <w:lang w:val="en-US" w:eastAsia="zh-CN"/>
              </w:rPr>
              <w:t>分</w:t>
            </w:r>
          </w:p>
        </w:tc>
      </w:tr>
      <w:tr w14:paraId="4433A815">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C5EE546">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cs="宋体"/>
                <w:b/>
                <w:bCs/>
                <w:color w:val="auto"/>
                <w:kern w:val="0"/>
                <w:sz w:val="20"/>
                <w:szCs w:val="20"/>
                <w:highlight w:val="none"/>
                <w:lang w:val="en-US" w:eastAsia="zh-CN"/>
              </w:rPr>
              <w:t>7</w:t>
            </w:r>
          </w:p>
        </w:tc>
        <w:tc>
          <w:tcPr>
            <w:tcW w:w="93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45FCAF6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lang w:val="en-US" w:eastAsia="zh-CN"/>
              </w:rPr>
            </w:pPr>
            <w:r>
              <w:rPr>
                <w:rFonts w:hint="eastAsia" w:ascii="宋体" w:hAnsi="宋体" w:cs="宋体"/>
                <w:b/>
                <w:bCs/>
                <w:i w:val="0"/>
                <w:iCs w:val="0"/>
                <w:color w:val="auto"/>
                <w:kern w:val="0"/>
                <w:sz w:val="20"/>
                <w:szCs w:val="20"/>
                <w:highlight w:val="none"/>
                <w:u w:val="none"/>
                <w:lang w:val="en-US" w:eastAsia="zh-CN" w:bidi="ar"/>
              </w:rPr>
              <w:t>应急保障</w:t>
            </w:r>
            <w:r>
              <w:rPr>
                <w:rFonts w:hint="eastAsia" w:ascii="宋体" w:hAnsi="宋体" w:eastAsia="宋体" w:cs="宋体"/>
                <w:b/>
                <w:bCs/>
                <w:i w:val="0"/>
                <w:iCs w:val="0"/>
                <w:color w:val="auto"/>
                <w:kern w:val="0"/>
                <w:sz w:val="20"/>
                <w:szCs w:val="20"/>
                <w:highlight w:val="none"/>
                <w:u w:val="none"/>
                <w:lang w:val="en-US" w:eastAsia="zh-CN" w:bidi="ar"/>
              </w:rPr>
              <w:t>方案 (</w:t>
            </w:r>
            <w:r>
              <w:rPr>
                <w:rFonts w:hint="eastAsia" w:ascii="宋体" w:hAnsi="宋体" w:cs="宋体"/>
                <w:b/>
                <w:bCs/>
                <w:i w:val="0"/>
                <w:iCs w:val="0"/>
                <w:color w:val="auto"/>
                <w:kern w:val="0"/>
                <w:sz w:val="20"/>
                <w:szCs w:val="20"/>
                <w:highlight w:val="none"/>
                <w:u w:val="none"/>
                <w:lang w:val="en-US" w:eastAsia="zh-CN" w:bidi="ar"/>
              </w:rPr>
              <w:t>9</w:t>
            </w:r>
            <w:r>
              <w:rPr>
                <w:rFonts w:hint="eastAsia" w:ascii="宋体" w:hAnsi="宋体" w:eastAsia="宋体" w:cs="宋体"/>
                <w:b/>
                <w:bCs/>
                <w:i w:val="0"/>
                <w:iCs w:val="0"/>
                <w:color w:val="auto"/>
                <w:kern w:val="0"/>
                <w:sz w:val="20"/>
                <w:szCs w:val="20"/>
                <w:highlight w:val="none"/>
                <w:u w:val="none"/>
                <w:lang w:val="en-US" w:eastAsia="zh-CN" w:bidi="ar"/>
              </w:rPr>
              <w:t>分)</w:t>
            </w:r>
          </w:p>
        </w:tc>
        <w:tc>
          <w:tcPr>
            <w:tcW w:w="8310"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top"/>
          </w:tcPr>
          <w:p w14:paraId="5BEA7FDA">
            <w:pPr>
              <w:pStyle w:val="54"/>
              <w:jc w:val="left"/>
              <w:rPr>
                <w:rFonts w:hint="eastAsia" w:ascii="宋体" w:hAnsi="宋体" w:eastAsia="宋体" w:cs="宋体"/>
                <w:color w:val="auto"/>
                <w:sz w:val="20"/>
                <w:szCs w:val="20"/>
                <w:highlight w:val="none"/>
              </w:rPr>
            </w:pPr>
            <w:r>
              <w:rPr>
                <w:rFonts w:hint="eastAsia"/>
                <w:color w:val="auto"/>
                <w:sz w:val="20"/>
                <w:szCs w:val="20"/>
                <w:highlight w:val="none"/>
                <w:lang w:val="en-US" w:eastAsia="zh-CN"/>
              </w:rPr>
              <w:t>根</w:t>
            </w:r>
            <w:r>
              <w:rPr>
                <w:rFonts w:hint="eastAsia"/>
                <w:color w:val="auto"/>
                <w:sz w:val="20"/>
                <w:szCs w:val="20"/>
                <w:highlight w:val="none"/>
              </w:rPr>
              <w:t>据</w:t>
            </w:r>
            <w:r>
              <w:rPr>
                <w:rFonts w:hint="eastAsia"/>
                <w:color w:val="auto"/>
                <w:sz w:val="20"/>
                <w:szCs w:val="20"/>
                <w:highlight w:val="none"/>
                <w:lang w:val="en-US" w:eastAsia="zh-CN"/>
              </w:rPr>
              <w:t>供应商</w:t>
            </w:r>
            <w:r>
              <w:rPr>
                <w:rFonts w:hint="eastAsia"/>
                <w:color w:val="auto"/>
                <w:sz w:val="20"/>
                <w:szCs w:val="20"/>
                <w:highlight w:val="none"/>
              </w:rPr>
              <w:t>针对本项目</w:t>
            </w:r>
            <w:r>
              <w:rPr>
                <w:rFonts w:hint="eastAsia"/>
                <w:color w:val="auto"/>
                <w:sz w:val="20"/>
                <w:szCs w:val="20"/>
                <w:highlight w:val="none"/>
                <w:lang w:val="en-US" w:eastAsia="zh-CN"/>
              </w:rPr>
              <w:t>提供</w:t>
            </w:r>
            <w:r>
              <w:rPr>
                <w:rFonts w:hint="eastAsia"/>
                <w:color w:val="auto"/>
                <w:sz w:val="20"/>
                <w:szCs w:val="20"/>
                <w:highlight w:val="none"/>
              </w:rPr>
              <w:t>的应急保障方案（包括但不限于应急管理、应急人员、应急设备等</w:t>
            </w:r>
            <w:r>
              <w:rPr>
                <w:rFonts w:hint="eastAsia" w:ascii="宋体" w:hAnsi="宋体" w:eastAsia="宋体" w:cs="宋体"/>
                <w:color w:val="auto"/>
                <w:sz w:val="20"/>
                <w:szCs w:val="20"/>
                <w:highlight w:val="none"/>
              </w:rPr>
              <w:t xml:space="preserve">应急保障）进行评审： </w:t>
            </w:r>
          </w:p>
          <w:p w14:paraId="2B6DEC84">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rPr>
              <w:t>应急保障方案非常具体</w:t>
            </w:r>
            <w:r>
              <w:rPr>
                <w:rFonts w:hint="eastAsia" w:ascii="宋体" w:hAnsi="宋体" w:eastAsia="宋体" w:cs="宋体"/>
                <w:color w:val="auto"/>
                <w:sz w:val="20"/>
                <w:szCs w:val="20"/>
                <w:highlight w:val="none"/>
                <w:lang w:val="en-US" w:eastAsia="zh-CN"/>
              </w:rPr>
              <w:t>详细</w:t>
            </w:r>
            <w:r>
              <w:rPr>
                <w:rFonts w:hint="eastAsia" w:ascii="宋体" w:hAnsi="宋体" w:eastAsia="宋体" w:cs="宋体"/>
                <w:color w:val="auto"/>
                <w:sz w:val="20"/>
                <w:szCs w:val="20"/>
                <w:highlight w:val="none"/>
              </w:rPr>
              <w:t>，有成熟的应急管理机制、人员安排计划周全，组织运作机制非常完善、科学合理，可行性非常强的，得</w:t>
            </w:r>
            <w:r>
              <w:rPr>
                <w:rFonts w:hint="eastAsia" w:ascii="宋体" w:hAnsi="宋体" w:cs="宋体"/>
                <w:color w:val="auto"/>
                <w:sz w:val="20"/>
                <w:szCs w:val="20"/>
                <w:highlight w:val="none"/>
                <w:lang w:val="en-US" w:eastAsia="zh-CN"/>
              </w:rPr>
              <w:t>9</w:t>
            </w:r>
            <w:r>
              <w:rPr>
                <w:rFonts w:hint="eastAsia" w:ascii="宋体" w:hAnsi="宋体" w:eastAsia="宋体" w:cs="宋体"/>
                <w:color w:val="auto"/>
                <w:sz w:val="20"/>
                <w:szCs w:val="20"/>
                <w:highlight w:val="none"/>
              </w:rPr>
              <w:t>分；</w:t>
            </w:r>
          </w:p>
          <w:p w14:paraId="288000CC">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rPr>
              <w:t>应急保障方案</w:t>
            </w:r>
            <w:r>
              <w:rPr>
                <w:rFonts w:hint="eastAsia" w:ascii="宋体" w:hAnsi="宋体" w:cs="宋体"/>
                <w:color w:val="auto"/>
                <w:sz w:val="20"/>
                <w:szCs w:val="20"/>
                <w:highlight w:val="none"/>
                <w:lang w:val="en-US" w:eastAsia="zh-CN"/>
              </w:rPr>
              <w:t>较</w:t>
            </w:r>
            <w:r>
              <w:rPr>
                <w:rFonts w:hint="eastAsia" w:ascii="宋体" w:hAnsi="宋体" w:eastAsia="宋体" w:cs="宋体"/>
                <w:color w:val="auto"/>
                <w:sz w:val="20"/>
                <w:szCs w:val="20"/>
                <w:highlight w:val="none"/>
              </w:rPr>
              <w:t>具体详细，有</w:t>
            </w:r>
            <w:r>
              <w:rPr>
                <w:rFonts w:hint="eastAsia" w:ascii="宋体" w:hAnsi="宋体" w:cs="宋体"/>
                <w:color w:val="auto"/>
                <w:sz w:val="20"/>
                <w:szCs w:val="20"/>
                <w:highlight w:val="none"/>
                <w:lang w:val="en-US" w:eastAsia="zh-CN"/>
              </w:rPr>
              <w:t>较</w:t>
            </w:r>
            <w:r>
              <w:rPr>
                <w:rFonts w:hint="eastAsia" w:ascii="宋体" w:hAnsi="宋体" w:eastAsia="宋体" w:cs="宋体"/>
                <w:color w:val="auto"/>
                <w:sz w:val="20"/>
                <w:szCs w:val="20"/>
                <w:highlight w:val="none"/>
              </w:rPr>
              <w:t>完善的应急管理机制、人员安排计划可行，组织运作机制完善、合理，可行性强的，得</w:t>
            </w:r>
            <w:r>
              <w:rPr>
                <w:rFonts w:hint="eastAsia" w:ascii="宋体" w:hAnsi="宋体" w:cs="宋体"/>
                <w:color w:val="auto"/>
                <w:sz w:val="20"/>
                <w:szCs w:val="20"/>
                <w:highlight w:val="none"/>
                <w:lang w:val="en-US" w:eastAsia="zh-CN"/>
              </w:rPr>
              <w:t>5</w:t>
            </w:r>
            <w:r>
              <w:rPr>
                <w:rFonts w:hint="eastAsia" w:ascii="宋体" w:hAnsi="宋体" w:eastAsia="宋体" w:cs="宋体"/>
                <w:color w:val="auto"/>
                <w:sz w:val="20"/>
                <w:szCs w:val="20"/>
                <w:highlight w:val="none"/>
              </w:rPr>
              <w:t>分；</w:t>
            </w:r>
          </w:p>
          <w:p w14:paraId="6A7D0398">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w:t>
            </w:r>
            <w:r>
              <w:rPr>
                <w:rFonts w:hint="eastAsia" w:ascii="宋体" w:hAnsi="宋体" w:eastAsia="宋体" w:cs="宋体"/>
                <w:color w:val="auto"/>
                <w:sz w:val="20"/>
                <w:szCs w:val="20"/>
                <w:highlight w:val="none"/>
              </w:rPr>
              <w:t>应急保障方案</w:t>
            </w:r>
            <w:r>
              <w:rPr>
                <w:rFonts w:hint="eastAsia" w:ascii="宋体" w:hAnsi="宋体" w:cs="宋体"/>
                <w:color w:val="auto"/>
                <w:sz w:val="20"/>
                <w:szCs w:val="20"/>
                <w:highlight w:val="none"/>
                <w:lang w:val="en-US" w:eastAsia="zh-CN"/>
              </w:rPr>
              <w:t>内容一般</w:t>
            </w:r>
            <w:r>
              <w:rPr>
                <w:rFonts w:hint="eastAsia" w:ascii="宋体" w:hAnsi="宋体" w:eastAsia="宋体" w:cs="宋体"/>
                <w:color w:val="auto"/>
                <w:sz w:val="20"/>
                <w:szCs w:val="20"/>
                <w:highlight w:val="none"/>
              </w:rPr>
              <w:t>，有</w:t>
            </w:r>
            <w:r>
              <w:rPr>
                <w:rFonts w:hint="eastAsia" w:ascii="宋体" w:hAnsi="宋体" w:eastAsia="宋体" w:cs="宋体"/>
                <w:color w:val="auto"/>
                <w:sz w:val="20"/>
                <w:szCs w:val="20"/>
                <w:highlight w:val="none"/>
                <w:lang w:val="en-US" w:eastAsia="zh-CN"/>
              </w:rPr>
              <w:t>基本</w:t>
            </w:r>
            <w:r>
              <w:rPr>
                <w:rFonts w:hint="eastAsia" w:ascii="宋体" w:hAnsi="宋体" w:eastAsia="宋体" w:cs="宋体"/>
                <w:color w:val="auto"/>
                <w:sz w:val="20"/>
                <w:szCs w:val="20"/>
                <w:highlight w:val="none"/>
              </w:rPr>
              <w:t>的应急管理机制</w:t>
            </w:r>
            <w:r>
              <w:rPr>
                <w:rFonts w:hint="eastAsia" w:ascii="宋体" w:hAnsi="宋体" w:cs="宋体"/>
                <w:color w:val="auto"/>
                <w:sz w:val="20"/>
                <w:szCs w:val="20"/>
                <w:highlight w:val="none"/>
                <w:lang w:eastAsia="zh-CN"/>
              </w:rPr>
              <w:t>，</w:t>
            </w:r>
            <w:r>
              <w:rPr>
                <w:rFonts w:hint="eastAsia" w:ascii="宋体" w:hAnsi="宋体" w:eastAsia="宋体" w:cs="宋体"/>
                <w:color w:val="auto"/>
                <w:sz w:val="20"/>
                <w:szCs w:val="20"/>
                <w:highlight w:val="none"/>
              </w:rPr>
              <w:t>人员安排计划</w:t>
            </w:r>
            <w:r>
              <w:rPr>
                <w:rFonts w:hint="eastAsia" w:ascii="宋体" w:hAnsi="宋体" w:cs="宋体"/>
                <w:color w:val="auto"/>
                <w:sz w:val="20"/>
                <w:szCs w:val="20"/>
                <w:highlight w:val="none"/>
                <w:lang w:val="en-US" w:eastAsia="zh-CN"/>
              </w:rPr>
              <w:t>一般</w:t>
            </w:r>
            <w:r>
              <w:rPr>
                <w:rFonts w:hint="eastAsia" w:ascii="宋体" w:hAnsi="宋体" w:eastAsia="宋体" w:cs="宋体"/>
                <w:color w:val="auto"/>
                <w:sz w:val="20"/>
                <w:szCs w:val="20"/>
                <w:highlight w:val="none"/>
              </w:rPr>
              <w:t>可行，组织运作机制合理</w:t>
            </w:r>
            <w:r>
              <w:rPr>
                <w:rFonts w:hint="eastAsia" w:ascii="宋体" w:hAnsi="宋体" w:cs="宋体"/>
                <w:color w:val="auto"/>
                <w:sz w:val="20"/>
                <w:szCs w:val="20"/>
                <w:highlight w:val="none"/>
                <w:lang w:val="en-US" w:eastAsia="zh-CN"/>
              </w:rPr>
              <w:t>性一般</w:t>
            </w:r>
            <w:r>
              <w:rPr>
                <w:rFonts w:hint="eastAsia" w:ascii="宋体" w:hAnsi="宋体" w:eastAsia="宋体" w:cs="宋体"/>
                <w:color w:val="auto"/>
                <w:sz w:val="20"/>
                <w:szCs w:val="20"/>
                <w:highlight w:val="none"/>
              </w:rPr>
              <w:t>，可行性</w:t>
            </w:r>
            <w:r>
              <w:rPr>
                <w:rFonts w:hint="eastAsia" w:ascii="宋体" w:hAnsi="宋体" w:cs="宋体"/>
                <w:color w:val="auto"/>
                <w:sz w:val="20"/>
                <w:szCs w:val="20"/>
                <w:highlight w:val="none"/>
                <w:lang w:val="en-US" w:eastAsia="zh-CN"/>
              </w:rPr>
              <w:t>一般</w:t>
            </w:r>
            <w:r>
              <w:rPr>
                <w:rFonts w:hint="eastAsia" w:ascii="宋体" w:hAnsi="宋体" w:eastAsia="宋体" w:cs="宋体"/>
                <w:color w:val="auto"/>
                <w:sz w:val="20"/>
                <w:szCs w:val="20"/>
                <w:highlight w:val="none"/>
              </w:rPr>
              <w:t>，得</w:t>
            </w:r>
            <w:r>
              <w:rPr>
                <w:rFonts w:hint="eastAsia" w:ascii="宋体" w:hAnsi="宋体" w:cs="宋体"/>
                <w:color w:val="auto"/>
                <w:sz w:val="20"/>
                <w:szCs w:val="20"/>
                <w:highlight w:val="none"/>
                <w:lang w:val="en-US" w:eastAsia="zh-CN"/>
              </w:rPr>
              <w:t>2</w:t>
            </w:r>
            <w:r>
              <w:rPr>
                <w:rFonts w:hint="eastAsia" w:ascii="宋体" w:hAnsi="宋体" w:eastAsia="宋体" w:cs="宋体"/>
                <w:color w:val="auto"/>
                <w:sz w:val="20"/>
                <w:szCs w:val="20"/>
                <w:highlight w:val="none"/>
              </w:rPr>
              <w:t>分；</w:t>
            </w:r>
          </w:p>
          <w:p w14:paraId="10C8F8B7">
            <w:pPr>
              <w:pStyle w:val="54"/>
              <w:jc w:val="left"/>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r>
              <w:rPr>
                <w:rFonts w:hint="eastAsia"/>
                <w:color w:val="auto"/>
                <w:sz w:val="20"/>
                <w:szCs w:val="20"/>
                <w:highlight w:val="none"/>
              </w:rPr>
              <w:t>应急保障方案</w:t>
            </w:r>
            <w:r>
              <w:rPr>
                <w:rFonts w:hint="eastAsia"/>
                <w:color w:val="auto"/>
                <w:sz w:val="20"/>
                <w:szCs w:val="20"/>
                <w:highlight w:val="none"/>
                <w:lang w:val="en-US" w:eastAsia="zh-CN"/>
              </w:rPr>
              <w:t>不</w:t>
            </w:r>
            <w:r>
              <w:rPr>
                <w:rFonts w:hint="eastAsia"/>
                <w:color w:val="auto"/>
                <w:sz w:val="20"/>
                <w:szCs w:val="20"/>
                <w:highlight w:val="none"/>
              </w:rPr>
              <w:t>具体详细，应急管理机制</w:t>
            </w:r>
            <w:r>
              <w:rPr>
                <w:rFonts w:hint="eastAsia"/>
                <w:color w:val="auto"/>
                <w:sz w:val="20"/>
                <w:szCs w:val="20"/>
                <w:highlight w:val="none"/>
                <w:lang w:val="en-US" w:eastAsia="zh-CN"/>
              </w:rPr>
              <w:t>内容欠缺</w:t>
            </w:r>
            <w:r>
              <w:rPr>
                <w:rFonts w:hint="eastAsia"/>
                <w:color w:val="auto"/>
                <w:sz w:val="20"/>
                <w:szCs w:val="20"/>
                <w:highlight w:val="none"/>
              </w:rPr>
              <w:t>、人员安排计划可行性差，组织运作机制</w:t>
            </w:r>
            <w:r>
              <w:rPr>
                <w:rFonts w:hint="eastAsia"/>
                <w:color w:val="auto"/>
                <w:sz w:val="20"/>
                <w:szCs w:val="20"/>
                <w:highlight w:val="none"/>
                <w:lang w:val="en-US" w:eastAsia="zh-CN"/>
              </w:rPr>
              <w:t>不完善、合理、可行性差的或未提供方案的，</w:t>
            </w:r>
            <w:r>
              <w:rPr>
                <w:rFonts w:hint="eastAsia"/>
                <w:color w:val="auto"/>
                <w:sz w:val="20"/>
                <w:szCs w:val="20"/>
                <w:highlight w:val="none"/>
              </w:rPr>
              <w:t>不得分。</w:t>
            </w:r>
          </w:p>
        </w:tc>
        <w:tc>
          <w:tcPr>
            <w:tcW w:w="664" w:type="dxa"/>
            <w:tcBorders>
              <w:top w:val="single" w:color="auto"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33465F1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bidi="ar-SA"/>
              </w:rPr>
            </w:pPr>
            <w:r>
              <w:rPr>
                <w:rFonts w:hint="eastAsia" w:ascii="宋体" w:hAnsi="宋体" w:cs="宋体"/>
                <w:color w:val="auto"/>
                <w:kern w:val="0"/>
                <w:sz w:val="20"/>
                <w:szCs w:val="20"/>
                <w:highlight w:val="none"/>
                <w:lang w:val="en-US" w:eastAsia="zh-CN"/>
              </w:rPr>
              <w:t>9</w:t>
            </w:r>
            <w:r>
              <w:rPr>
                <w:rFonts w:hint="eastAsia" w:ascii="宋体" w:hAnsi="宋体" w:eastAsia="宋体" w:cs="宋体"/>
                <w:color w:val="auto"/>
                <w:kern w:val="0"/>
                <w:sz w:val="20"/>
                <w:szCs w:val="20"/>
                <w:highlight w:val="none"/>
                <w:lang w:val="en-US" w:eastAsia="zh-CN"/>
              </w:rPr>
              <w:t>分</w:t>
            </w:r>
          </w:p>
        </w:tc>
      </w:tr>
      <w:tr w14:paraId="00B15057">
        <w:tblPrEx>
          <w:tblCellMar>
            <w:top w:w="0" w:type="dxa"/>
            <w:left w:w="0" w:type="dxa"/>
            <w:bottom w:w="0" w:type="dxa"/>
            <w:right w:w="0" w:type="dxa"/>
          </w:tblCellMar>
        </w:tblPrEx>
        <w:trPr>
          <w:trHeight w:val="603" w:hRule="atLeast"/>
          <w:jc w:val="center"/>
        </w:trPr>
        <w:tc>
          <w:tcPr>
            <w:tcW w:w="4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9D2C12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cs="宋体"/>
                <w:b/>
                <w:bCs/>
                <w:color w:val="auto"/>
                <w:kern w:val="0"/>
                <w:sz w:val="20"/>
                <w:szCs w:val="20"/>
                <w:highlight w:val="none"/>
                <w:lang w:val="en-US" w:eastAsia="zh-CN"/>
              </w:rPr>
              <w:t>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15684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2240512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83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7FD2B3">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本项目的价格分：通过本项目审查且报价最低的报价为评审基准价，其价格分为满分。报价得分 = （评审基准价/最终报价）×价格分值</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1EA3C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r>
      <w:tr w14:paraId="74F04C4A">
        <w:tblPrEx>
          <w:tblCellMar>
            <w:top w:w="0" w:type="dxa"/>
            <w:left w:w="0" w:type="dxa"/>
            <w:bottom w:w="0" w:type="dxa"/>
            <w:right w:w="0" w:type="dxa"/>
          </w:tblCellMar>
        </w:tblPrEx>
        <w:trPr>
          <w:trHeight w:val="398" w:hRule="atLeast"/>
          <w:jc w:val="center"/>
        </w:trPr>
        <w:tc>
          <w:tcPr>
            <w:tcW w:w="9656"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DCA743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6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806E6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r>
    </w:tbl>
    <w:p w14:paraId="5D57A915">
      <w:pPr>
        <w:jc w:val="center"/>
        <w:rPr>
          <w:rFonts w:hint="eastAsia"/>
          <w:b/>
          <w:bCs/>
          <w:color w:val="auto"/>
          <w:sz w:val="24"/>
          <w:szCs w:val="24"/>
          <w:highlight w:val="none"/>
        </w:rPr>
      </w:pPr>
    </w:p>
    <w:p w14:paraId="2156AC7E">
      <w:pPr>
        <w:jc w:val="center"/>
        <w:outlineLvl w:val="0"/>
        <w:rPr>
          <w:rFonts w:hint="eastAsia" w:ascii="宋体" w:hAnsi="宋体" w:eastAsia="宋体" w:cs="Times New Roman"/>
          <w:b/>
          <w:bCs/>
          <w:color w:val="auto"/>
          <w:kern w:val="2"/>
          <w:sz w:val="28"/>
          <w:szCs w:val="28"/>
          <w:highlight w:val="none"/>
          <w:lang w:val="en-US" w:eastAsia="zh-CN" w:bidi="ar-SA"/>
        </w:rPr>
      </w:pPr>
      <w:bookmarkStart w:id="64" w:name="_Toc12085"/>
      <w:bookmarkStart w:id="65" w:name="_Toc18949"/>
      <w:bookmarkStart w:id="66" w:name="_Toc23471"/>
      <w:bookmarkStart w:id="67" w:name="_Toc15131"/>
    </w:p>
    <w:p w14:paraId="4D06210A">
      <w:pPr>
        <w:jc w:val="center"/>
        <w:outlineLvl w:val="0"/>
        <w:rPr>
          <w:rFonts w:hint="eastAsia" w:ascii="宋体" w:hAnsi="宋体" w:eastAsia="宋体" w:cs="Times New Roman"/>
          <w:b/>
          <w:bCs/>
          <w:color w:val="auto"/>
          <w:kern w:val="2"/>
          <w:sz w:val="28"/>
          <w:szCs w:val="28"/>
          <w:highlight w:val="none"/>
          <w:lang w:val="en-US" w:eastAsia="zh-CN" w:bidi="ar-SA"/>
        </w:rPr>
      </w:pPr>
    </w:p>
    <w:p w14:paraId="5B541476">
      <w:pPr>
        <w:jc w:val="center"/>
        <w:outlineLvl w:val="0"/>
        <w:rPr>
          <w:rFonts w:hint="eastAsia" w:ascii="宋体" w:hAnsi="宋体" w:eastAsia="宋体" w:cs="Times New Roman"/>
          <w:b/>
          <w:bCs/>
          <w:color w:val="auto"/>
          <w:kern w:val="2"/>
          <w:sz w:val="28"/>
          <w:szCs w:val="28"/>
          <w:highlight w:val="none"/>
          <w:lang w:val="en-US" w:eastAsia="zh-CN" w:bidi="ar-SA"/>
        </w:rPr>
      </w:pPr>
    </w:p>
    <w:p w14:paraId="3384CAC4">
      <w:pPr>
        <w:jc w:val="center"/>
        <w:outlineLvl w:val="0"/>
        <w:rPr>
          <w:rFonts w:hint="eastAsia" w:ascii="宋体" w:hAnsi="宋体" w:eastAsia="宋体" w:cs="Times New Roman"/>
          <w:b/>
          <w:bCs/>
          <w:color w:val="auto"/>
          <w:kern w:val="2"/>
          <w:sz w:val="28"/>
          <w:szCs w:val="28"/>
          <w:highlight w:val="none"/>
          <w:lang w:val="en-US" w:eastAsia="zh-CN" w:bidi="ar-SA"/>
        </w:rPr>
      </w:pPr>
    </w:p>
    <w:p w14:paraId="26477E1B">
      <w:pPr>
        <w:jc w:val="center"/>
        <w:outlineLvl w:val="0"/>
        <w:rPr>
          <w:rFonts w:hint="eastAsia" w:ascii="宋体" w:hAnsi="宋体" w:eastAsia="宋体" w:cs="Times New Roman"/>
          <w:b/>
          <w:bCs/>
          <w:color w:val="auto"/>
          <w:kern w:val="2"/>
          <w:sz w:val="28"/>
          <w:szCs w:val="28"/>
          <w:highlight w:val="none"/>
          <w:lang w:val="en-US" w:eastAsia="zh-CN" w:bidi="ar-SA"/>
        </w:rPr>
        <w:sectPr>
          <w:pgSz w:w="12240" w:h="15840"/>
          <w:pgMar w:top="1440" w:right="1418" w:bottom="1440" w:left="1418" w:header="720" w:footer="720" w:gutter="0"/>
          <w:pgBorders>
            <w:top w:val="none" w:sz="0" w:space="0"/>
            <w:left w:val="none" w:sz="0" w:space="0"/>
            <w:bottom w:val="none" w:sz="0" w:space="0"/>
            <w:right w:val="none" w:sz="0" w:space="0"/>
          </w:pgBorders>
          <w:pgNumType w:fmt="decimal"/>
          <w:cols w:space="720" w:num="1"/>
        </w:sectPr>
      </w:pPr>
    </w:p>
    <w:p w14:paraId="6578A15A">
      <w:pPr>
        <w:jc w:val="center"/>
        <w:outlineLvl w:val="0"/>
        <w:rPr>
          <w:rFonts w:hint="eastAsia"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第四部分 合同模板</w:t>
      </w:r>
      <w:bookmarkEnd w:id="64"/>
      <w:bookmarkEnd w:id="65"/>
      <w:bookmarkEnd w:id="66"/>
      <w:bookmarkEnd w:id="67"/>
    </w:p>
    <w:p w14:paraId="26D86ACE">
      <w:pPr>
        <w:rPr>
          <w:rFonts w:hint="eastAsia" w:ascii="宋体" w:hAnsi="宋体" w:eastAsia="宋体" w:cs="Times New Roman"/>
          <w:color w:val="auto"/>
          <w:kern w:val="2"/>
          <w:sz w:val="24"/>
          <w:szCs w:val="24"/>
          <w:highlight w:val="none"/>
          <w:lang w:val="en-US" w:eastAsia="zh-CN" w:bidi="ar-SA"/>
        </w:rPr>
      </w:pPr>
    </w:p>
    <w:p w14:paraId="07857BFA">
      <w:pPr>
        <w:keepNext w:val="0"/>
        <w:keepLines w:val="0"/>
        <w:pageBreakBefore w:val="0"/>
        <w:widowControl w:val="0"/>
        <w:kinsoku/>
        <w:wordWrap/>
        <w:overflowPunct/>
        <w:topLinePunct w:val="0"/>
        <w:autoSpaceDE/>
        <w:autoSpaceDN/>
        <w:bidi w:val="0"/>
        <w:adjustRightInd/>
        <w:snapToGrid/>
        <w:spacing w:line="360" w:lineRule="exact"/>
        <w:textAlignment w:val="auto"/>
        <w:rPr>
          <w:b/>
          <w:sz w:val="48"/>
          <w:highlight w:val="none"/>
        </w:rPr>
      </w:pPr>
      <w:r>
        <w:rPr>
          <w:rFonts w:hint="eastAsia" w:ascii="宋体" w:hAnsi="宋体" w:eastAsia="宋体" w:cs="Times New Roman"/>
          <w:color w:val="auto"/>
          <w:kern w:val="2"/>
          <w:sz w:val="21"/>
          <w:szCs w:val="21"/>
          <w:highlight w:val="none"/>
          <w:lang w:val="en-US" w:eastAsia="zh-CN" w:bidi="ar-SA"/>
        </w:rPr>
        <w:t>注：本合同仅为合同的参考文本，合同签订双方可根据项目的具体要求进行修订，但不得偏离实质性条款。</w:t>
      </w:r>
    </w:p>
    <w:p w14:paraId="2D6ECB5B">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b/>
          <w:sz w:val="48"/>
          <w:highlight w:val="none"/>
        </w:rPr>
      </w:pPr>
    </w:p>
    <w:p w14:paraId="1A0FC998">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b/>
          <w:sz w:val="48"/>
          <w:highlight w:val="none"/>
        </w:rPr>
      </w:pPr>
    </w:p>
    <w:p w14:paraId="232C51FB">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b/>
          <w:sz w:val="48"/>
          <w:highlight w:val="none"/>
        </w:rPr>
      </w:pPr>
      <w:r>
        <w:rPr>
          <w:b/>
          <w:sz w:val="48"/>
          <w:highlight w:val="none"/>
        </w:rPr>
        <w:t>南方医科大学第五附属医院</w:t>
      </w:r>
    </w:p>
    <w:p w14:paraId="5470D9CC">
      <w:pPr>
        <w:pStyle w:val="54"/>
        <w:keepNext w:val="0"/>
        <w:keepLines w:val="0"/>
        <w:pageBreakBefore w:val="0"/>
        <w:widowControl/>
        <w:kinsoku/>
        <w:wordWrap/>
        <w:overflowPunct/>
        <w:topLinePunct w:val="0"/>
        <w:autoSpaceDE/>
        <w:autoSpaceDN/>
        <w:bidi w:val="0"/>
        <w:adjustRightInd/>
        <w:snapToGrid/>
        <w:spacing w:line="600" w:lineRule="auto"/>
        <w:jc w:val="center"/>
        <w:textAlignment w:val="auto"/>
        <w:rPr>
          <w:rFonts w:hint="default"/>
          <w:b/>
          <w:sz w:val="48"/>
          <w:highlight w:val="none"/>
        </w:rPr>
      </w:pPr>
    </w:p>
    <w:p w14:paraId="51215046">
      <w:pPr>
        <w:pStyle w:val="54"/>
        <w:spacing w:line="360" w:lineRule="auto"/>
        <w:jc w:val="center"/>
        <w:rPr>
          <w:rFonts w:hint="default"/>
          <w:highlight w:val="none"/>
        </w:rPr>
      </w:pPr>
      <w:r>
        <w:rPr>
          <w:rFonts w:hint="eastAsia"/>
          <w:b/>
          <w:sz w:val="48"/>
          <w:highlight w:val="none"/>
          <w:lang w:val="en-US" w:eastAsia="zh-CN"/>
        </w:rPr>
        <w:t>多媒体分诊导引系统升级</w:t>
      </w:r>
      <w:r>
        <w:rPr>
          <w:rFonts w:hint="default"/>
          <w:b/>
          <w:sz w:val="48"/>
          <w:highlight w:val="none"/>
          <w:lang w:val="en-US" w:eastAsia="zh-CN"/>
        </w:rPr>
        <w:t>采购</w:t>
      </w:r>
      <w:r>
        <w:rPr>
          <w:rFonts w:hint="default"/>
          <w:b/>
          <w:sz w:val="48"/>
          <w:highlight w:val="none"/>
        </w:rPr>
        <w:t>合同</w:t>
      </w:r>
    </w:p>
    <w:p w14:paraId="7374D7CF">
      <w:pPr>
        <w:pStyle w:val="54"/>
        <w:spacing w:line="360" w:lineRule="auto"/>
        <w:jc w:val="center"/>
        <w:rPr>
          <w:rFonts w:hint="default"/>
          <w:highlight w:val="none"/>
        </w:rPr>
      </w:pPr>
    </w:p>
    <w:p w14:paraId="1A4AFDE2">
      <w:pPr>
        <w:pStyle w:val="54"/>
        <w:spacing w:line="360" w:lineRule="auto"/>
        <w:jc w:val="center"/>
        <w:rPr>
          <w:rFonts w:hint="default"/>
          <w:highlight w:val="none"/>
        </w:rPr>
      </w:pPr>
    </w:p>
    <w:p w14:paraId="75434614">
      <w:pPr>
        <w:pStyle w:val="54"/>
        <w:spacing w:line="360" w:lineRule="auto"/>
        <w:jc w:val="center"/>
        <w:rPr>
          <w:rFonts w:hint="default"/>
          <w:highlight w:val="none"/>
        </w:rPr>
      </w:pPr>
    </w:p>
    <w:p w14:paraId="4C1D1102">
      <w:pPr>
        <w:pStyle w:val="54"/>
        <w:spacing w:line="360" w:lineRule="auto"/>
        <w:jc w:val="center"/>
        <w:rPr>
          <w:rFonts w:hint="default"/>
          <w:highlight w:val="none"/>
        </w:rPr>
      </w:pPr>
    </w:p>
    <w:p w14:paraId="397F909D">
      <w:pPr>
        <w:pStyle w:val="54"/>
        <w:spacing w:line="360" w:lineRule="auto"/>
        <w:jc w:val="center"/>
        <w:rPr>
          <w:rFonts w:hint="default"/>
          <w:highlight w:val="none"/>
        </w:rPr>
      </w:pPr>
    </w:p>
    <w:p w14:paraId="1BFDCC01">
      <w:pPr>
        <w:pStyle w:val="54"/>
        <w:spacing w:line="360" w:lineRule="auto"/>
        <w:jc w:val="center"/>
        <w:rPr>
          <w:rFonts w:hint="default"/>
          <w:highlight w:val="none"/>
        </w:rPr>
      </w:pPr>
    </w:p>
    <w:p w14:paraId="438E0874">
      <w:pPr>
        <w:pStyle w:val="54"/>
        <w:spacing w:line="360" w:lineRule="auto"/>
        <w:jc w:val="center"/>
        <w:rPr>
          <w:rFonts w:hint="default"/>
          <w:highlight w:val="none"/>
        </w:rPr>
      </w:pPr>
    </w:p>
    <w:p w14:paraId="6DEB6DFF">
      <w:pPr>
        <w:pStyle w:val="54"/>
        <w:spacing w:line="360" w:lineRule="auto"/>
        <w:rPr>
          <w:rFonts w:hint="default"/>
          <w:highlight w:val="none"/>
        </w:rPr>
      </w:pPr>
      <w:r>
        <w:rPr>
          <w:b/>
          <w:sz w:val="30"/>
          <w:highlight w:val="none"/>
        </w:rPr>
        <w:t>合同编号：</w:t>
      </w:r>
    </w:p>
    <w:p w14:paraId="1F446A3B">
      <w:pPr>
        <w:pStyle w:val="54"/>
        <w:spacing w:line="360" w:lineRule="auto"/>
        <w:rPr>
          <w:rFonts w:hint="default"/>
          <w:highlight w:val="none"/>
        </w:rPr>
      </w:pPr>
      <w:r>
        <w:rPr>
          <w:b/>
          <w:sz w:val="30"/>
          <w:highlight w:val="none"/>
        </w:rPr>
        <w:t>甲方：</w:t>
      </w:r>
    </w:p>
    <w:p w14:paraId="3535E327">
      <w:pPr>
        <w:pStyle w:val="54"/>
        <w:spacing w:line="360" w:lineRule="auto"/>
        <w:rPr>
          <w:rFonts w:hint="default"/>
          <w:highlight w:val="none"/>
        </w:rPr>
      </w:pPr>
      <w:r>
        <w:rPr>
          <w:b/>
          <w:sz w:val="30"/>
          <w:highlight w:val="none"/>
        </w:rPr>
        <w:t>乙方：</w:t>
      </w:r>
    </w:p>
    <w:p w14:paraId="1EBB76D1">
      <w:pPr>
        <w:pStyle w:val="54"/>
        <w:spacing w:line="360" w:lineRule="auto"/>
        <w:rPr>
          <w:rFonts w:hint="default"/>
          <w:highlight w:val="none"/>
          <w:lang w:eastAsia="zh-CN"/>
        </w:rPr>
      </w:pPr>
      <w:r>
        <w:rPr>
          <w:b/>
          <w:sz w:val="30"/>
          <w:highlight w:val="none"/>
        </w:rPr>
        <w:t>签署地点：</w:t>
      </w:r>
    </w:p>
    <w:p w14:paraId="1B870DCE">
      <w:pPr>
        <w:widowControl/>
        <w:spacing w:line="360" w:lineRule="auto"/>
        <w:ind w:right="-26"/>
        <w:textAlignment w:val="bottom"/>
        <w:rPr>
          <w:rFonts w:hint="eastAsia" w:hAnsi="宋体" w:cs="宋体"/>
          <w:b/>
          <w:sz w:val="24"/>
          <w:highlight w:val="none"/>
        </w:rPr>
        <w:sectPr>
          <w:pgSz w:w="11906" w:h="16838"/>
          <w:pgMar w:top="1440" w:right="1800" w:bottom="1440" w:left="1800" w:header="851" w:footer="992" w:gutter="0"/>
          <w:cols w:space="425" w:num="1"/>
          <w:docGrid w:type="lines" w:linePitch="312" w:charSpace="0"/>
        </w:sectPr>
      </w:pPr>
    </w:p>
    <w:p w14:paraId="4561016F">
      <w:pPr>
        <w:pStyle w:val="54"/>
        <w:jc w:val="center"/>
        <w:rPr>
          <w:highlight w:val="none"/>
        </w:rPr>
      </w:pPr>
      <w:r>
        <w:rPr>
          <w:b/>
          <w:sz w:val="28"/>
          <w:szCs w:val="28"/>
          <w:highlight w:val="none"/>
        </w:rPr>
        <w:t>南方医科大学第五附属医院</w:t>
      </w:r>
      <w:r>
        <w:rPr>
          <w:rFonts w:hint="eastAsia"/>
          <w:b/>
          <w:sz w:val="28"/>
          <w:szCs w:val="28"/>
          <w:highlight w:val="none"/>
          <w:lang w:eastAsia="zh-CN"/>
        </w:rPr>
        <w:t>多媒体分诊导引系统升级</w:t>
      </w:r>
      <w:r>
        <w:rPr>
          <w:b/>
          <w:sz w:val="28"/>
          <w:szCs w:val="28"/>
          <w:highlight w:val="none"/>
        </w:rPr>
        <w:t>采购合同</w:t>
      </w:r>
    </w:p>
    <w:p w14:paraId="6D26155E">
      <w:pPr>
        <w:pStyle w:val="54"/>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甲方：</w:t>
      </w:r>
    </w:p>
    <w:p w14:paraId="289CBB65">
      <w:pPr>
        <w:pStyle w:val="54"/>
        <w:keepNext w:val="0"/>
        <w:keepLines w:val="0"/>
        <w:pageBreakBefore w:val="0"/>
        <w:widowControl/>
        <w:kinsoku/>
        <w:wordWrap/>
        <w:overflowPunct/>
        <w:topLinePunct w:val="0"/>
        <w:autoSpaceDE/>
        <w:autoSpaceDN/>
        <w:bidi w:val="0"/>
        <w:adjustRightInd/>
        <w:snapToGrid/>
        <w:spacing w:line="30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乙方：</w:t>
      </w:r>
    </w:p>
    <w:p w14:paraId="4C61A35C">
      <w:pPr>
        <w:pStyle w:val="54"/>
        <w:keepNext w:val="0"/>
        <w:keepLines w:val="0"/>
        <w:pageBreakBefore w:val="0"/>
        <w:widowControl/>
        <w:kinsoku/>
        <w:wordWrap/>
        <w:overflowPunct/>
        <w:topLinePunct w:val="0"/>
        <w:autoSpaceDE/>
        <w:autoSpaceDN/>
        <w:bidi w:val="0"/>
        <w:adjustRightInd/>
        <w:snapToGrid/>
        <w:spacing w:line="300" w:lineRule="auto"/>
        <w:ind w:firstLine="48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根据南方医科大学第五附属医院</w:t>
      </w:r>
      <w:r>
        <w:rPr>
          <w:rFonts w:hint="eastAsia" w:ascii="宋体" w:hAnsi="宋体" w:eastAsia="宋体" w:cs="宋体"/>
          <w:sz w:val="21"/>
          <w:szCs w:val="21"/>
          <w:highlight w:val="none"/>
          <w:lang w:eastAsia="zh-CN"/>
        </w:rPr>
        <w:t>多媒体分诊导引系统升级</w:t>
      </w:r>
      <w:r>
        <w:rPr>
          <w:rFonts w:hint="eastAsia" w:ascii="宋体" w:hAnsi="宋体" w:eastAsia="宋体" w:cs="宋体"/>
          <w:sz w:val="21"/>
          <w:szCs w:val="21"/>
          <w:highlight w:val="none"/>
          <w:lang w:val="en-US" w:eastAsia="zh-CN"/>
        </w:rPr>
        <w:t>项目</w:t>
      </w:r>
      <w:r>
        <w:rPr>
          <w:rFonts w:hint="eastAsia" w:ascii="宋体" w:hAnsi="宋体" w:eastAsia="宋体" w:cs="宋体"/>
          <w:sz w:val="21"/>
          <w:szCs w:val="21"/>
          <w:highlight w:val="none"/>
        </w:rPr>
        <w:t>（项目编号：****）</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文件的要求、</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文件内容和采购结果，按照《中华人民共和国民法典》合同编相关规定，甲、乙双方在平等互利的基础上，经协商一致确定，为明确双方的权利和义务，特签订本合同，共同遵守。具体条款如下：</w:t>
      </w:r>
    </w:p>
    <w:p w14:paraId="376AA5F5">
      <w:pPr>
        <w:pStyle w:val="54"/>
        <w:keepNext w:val="0"/>
        <w:keepLines w:val="0"/>
        <w:pageBreakBefore w:val="0"/>
        <w:widowControl/>
        <w:kinsoku/>
        <w:wordWrap/>
        <w:overflowPunct/>
        <w:topLinePunct w:val="0"/>
        <w:autoSpaceDE/>
        <w:autoSpaceDN/>
        <w:bidi w:val="0"/>
        <w:adjustRightInd/>
        <w:snapToGrid/>
        <w:spacing w:line="300" w:lineRule="auto"/>
        <w:ind w:firstLine="480"/>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合同金额</w:t>
      </w:r>
    </w:p>
    <w:p w14:paraId="1AFAB9A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合同总价为大写人民币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元整（</w:t>
      </w:r>
      <w:r>
        <w:rPr>
          <w:rFonts w:hint="default" w:ascii="Arial" w:hAnsi="Arial" w:eastAsia="宋体" w:cs="Arial"/>
          <w:sz w:val="21"/>
          <w:szCs w:val="21"/>
          <w:highlight w:val="none"/>
        </w:rPr>
        <w:t>¥</w:t>
      </w:r>
      <w:r>
        <w:rPr>
          <w:rFonts w:hint="eastAsia" w:ascii="宋体" w:hAnsi="宋体" w:eastAsia="宋体" w:cs="宋体"/>
          <w:sz w:val="21"/>
          <w:szCs w:val="21"/>
          <w:highlight w:val="none"/>
        </w:rPr>
        <w:t xml:space="preserve">     ）。合同总价</w:t>
      </w:r>
      <w:r>
        <w:rPr>
          <w:rFonts w:hint="eastAsia" w:ascii="宋体" w:hAnsi="宋体" w:cs="宋体"/>
          <w:b w:val="0"/>
          <w:bCs/>
          <w:color w:val="auto"/>
          <w:kern w:val="0"/>
          <w:sz w:val="21"/>
          <w:szCs w:val="21"/>
          <w:highlight w:val="none"/>
          <w:lang w:val="en-US" w:eastAsia="zh-CN"/>
        </w:rPr>
        <w:t>包括但不限于安装费、调试费、技术服务费（含联络费、培训费、保修费）、各项税费及不可预见费等完成本采购内容所需的一切费用。</w:t>
      </w:r>
    </w:p>
    <w:p w14:paraId="377CFCB4">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color w:val="auto"/>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付款进度</w:t>
      </w:r>
      <w:r>
        <w:rPr>
          <w:rFonts w:hint="eastAsia" w:ascii="宋体" w:hAnsi="宋体" w:eastAsia="宋体" w:cs="宋体"/>
          <w:b/>
          <w:color w:val="auto"/>
          <w:sz w:val="21"/>
          <w:szCs w:val="21"/>
          <w:highlight w:val="none"/>
        </w:rPr>
        <w:t>与方式</w:t>
      </w:r>
    </w:p>
    <w:p w14:paraId="103211D1">
      <w:pPr>
        <w:keepNext w:val="0"/>
        <w:keepLines w:val="0"/>
        <w:pageBreakBefore w:val="0"/>
        <w:widowControl/>
        <w:tabs>
          <w:tab w:val="left" w:pos="360"/>
        </w:tabs>
        <w:kinsoku/>
        <w:wordWrap/>
        <w:overflowPunct/>
        <w:topLinePunct w:val="0"/>
        <w:autoSpaceDE/>
        <w:autoSpaceDN/>
        <w:bidi w:val="0"/>
        <w:adjustRightInd w:val="0"/>
        <w:snapToGrid w:val="0"/>
        <w:spacing w:line="300" w:lineRule="auto"/>
        <w:ind w:firstLine="420" w:firstLineChars="200"/>
        <w:jc w:val="left"/>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1.合同签订并收到乙方开具的等额合规发票，经甲方核对无误后，5个工作日内支付合同总额的30%。</w:t>
      </w:r>
    </w:p>
    <w:p w14:paraId="2F217B01">
      <w:pPr>
        <w:keepNext w:val="0"/>
        <w:keepLines w:val="0"/>
        <w:pageBreakBefore w:val="0"/>
        <w:widowControl/>
        <w:tabs>
          <w:tab w:val="left" w:pos="360"/>
        </w:tabs>
        <w:kinsoku/>
        <w:wordWrap/>
        <w:overflowPunct/>
        <w:topLinePunct w:val="0"/>
        <w:autoSpaceDE/>
        <w:autoSpaceDN/>
        <w:bidi w:val="0"/>
        <w:adjustRightInd w:val="0"/>
        <w:snapToGrid w:val="0"/>
        <w:spacing w:line="300" w:lineRule="auto"/>
        <w:ind w:firstLine="420" w:firstLineChars="200"/>
        <w:jc w:val="left"/>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2.项目验收合格并收到乙方开具的等额合规发票，经甲方核对无误后，10个工作日内支付合同总额的60%。</w:t>
      </w:r>
    </w:p>
    <w:p w14:paraId="2E03B09A">
      <w:pPr>
        <w:keepNext w:val="0"/>
        <w:keepLines w:val="0"/>
        <w:pageBreakBefore w:val="0"/>
        <w:widowControl/>
        <w:tabs>
          <w:tab w:val="left" w:pos="360"/>
        </w:tabs>
        <w:kinsoku/>
        <w:wordWrap/>
        <w:overflowPunct/>
        <w:topLinePunct w:val="0"/>
        <w:autoSpaceDE/>
        <w:autoSpaceDN/>
        <w:bidi w:val="0"/>
        <w:adjustRightInd w:val="0"/>
        <w:snapToGrid w:val="0"/>
        <w:spacing w:line="300" w:lineRule="auto"/>
        <w:ind w:firstLine="420" w:firstLineChars="200"/>
        <w:jc w:val="left"/>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3.项目验收合格1年后，甲方收到乙方开具的等额合规发票，经甲方核对无误后，10个工作日内支付合同总额的10%。</w:t>
      </w:r>
    </w:p>
    <w:p w14:paraId="69313F87">
      <w:pPr>
        <w:keepNext w:val="0"/>
        <w:keepLines w:val="0"/>
        <w:pageBreakBefore w:val="0"/>
        <w:widowControl/>
        <w:tabs>
          <w:tab w:val="left" w:pos="360"/>
        </w:tabs>
        <w:kinsoku/>
        <w:wordWrap/>
        <w:overflowPunct/>
        <w:topLinePunct w:val="0"/>
        <w:autoSpaceDE/>
        <w:autoSpaceDN/>
        <w:bidi w:val="0"/>
        <w:adjustRightInd w:val="0"/>
        <w:snapToGrid w:val="0"/>
        <w:spacing w:line="300" w:lineRule="auto"/>
        <w:ind w:firstLine="420" w:firstLineChars="200"/>
        <w:jc w:val="left"/>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4.乙方应于甲方支付款项之前向甲方提供等额合规发票，否则，甲方有权拒绝支付相应款项直至乙方提供合规发票为止，且甲方的拒付行为不被视为违约。</w:t>
      </w:r>
    </w:p>
    <w:p w14:paraId="37C83032">
      <w:pPr>
        <w:keepNext w:val="0"/>
        <w:keepLines w:val="0"/>
        <w:pageBreakBefore w:val="0"/>
        <w:widowControl/>
        <w:tabs>
          <w:tab w:val="left" w:pos="360"/>
        </w:tabs>
        <w:kinsoku/>
        <w:wordWrap/>
        <w:overflowPunct/>
        <w:topLinePunct w:val="0"/>
        <w:autoSpaceDE/>
        <w:autoSpaceDN/>
        <w:bidi w:val="0"/>
        <w:adjustRightInd w:val="0"/>
        <w:snapToGrid w:val="0"/>
        <w:spacing w:line="300" w:lineRule="auto"/>
        <w:ind w:firstLine="420" w:firstLineChars="200"/>
        <w:jc w:val="left"/>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5.若因乙方原因，导致延迟付款的，后果由乙方承担，甲方不承担任何逾期付款的责任。</w:t>
      </w:r>
    </w:p>
    <w:p w14:paraId="2A405F91">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Cs w:val="0"/>
          <w:color w:val="000000" w:themeColor="text1"/>
          <w:sz w:val="21"/>
          <w:szCs w:val="21"/>
          <w:highlight w:val="none"/>
          <w:lang w:val="en-US" w:eastAsia="zh-CN"/>
          <w14:textFill>
            <w14:solidFill>
              <w14:schemeClr w14:val="tx1"/>
            </w14:solidFill>
          </w14:textFill>
        </w:rPr>
        <w:t>6.如遇节假日或不可抗拒原因，支付日期可顺延。</w:t>
      </w:r>
    </w:p>
    <w:p w14:paraId="19468EA5">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default" w:ascii="宋体" w:hAnsi="宋体" w:eastAsia="宋体" w:cs="宋体"/>
          <w:sz w:val="21"/>
          <w:szCs w:val="21"/>
          <w:highlight w:val="none"/>
          <w:lang w:val="en-US"/>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工期和地点</w:t>
      </w:r>
    </w:p>
    <w:p w14:paraId="1A768A71">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1.工期：自合同签订之日起6个月内完成部署，并且所有功能能够正常使用。</w:t>
      </w:r>
    </w:p>
    <w:p w14:paraId="26E60662">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2.地点：甲方指定地点。</w:t>
      </w:r>
    </w:p>
    <w:p w14:paraId="500DD196">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四</w:t>
      </w:r>
      <w:r>
        <w:rPr>
          <w:rFonts w:hint="eastAsia" w:ascii="宋体" w:hAnsi="宋体" w:eastAsia="宋体" w:cs="宋体"/>
          <w:b/>
          <w:sz w:val="21"/>
          <w:szCs w:val="21"/>
          <w:highlight w:val="none"/>
        </w:rPr>
        <w:t>条 合同内容</w:t>
      </w:r>
    </w:p>
    <w:p w14:paraId="60DDC49D">
      <w:pPr>
        <w:pStyle w:val="54"/>
        <w:keepNext w:val="0"/>
        <w:keepLines w:val="0"/>
        <w:pageBreakBefore w:val="0"/>
        <w:widowControl/>
        <w:kinsoku/>
        <w:wordWrap/>
        <w:overflowPunct/>
        <w:topLinePunct w:val="0"/>
        <w:autoSpaceDE/>
        <w:autoSpaceDN/>
        <w:bidi w:val="0"/>
        <w:adjustRightInd/>
        <w:snapToGrid/>
        <w:spacing w:line="300" w:lineRule="auto"/>
        <w:ind w:left="42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采购项目需实现的功能和目标</w:t>
      </w:r>
    </w:p>
    <w:p w14:paraId="1C292343">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1.1现状：</w:t>
      </w:r>
      <w:r>
        <w:rPr>
          <w:rFonts w:hint="eastAsia" w:ascii="宋体" w:hAnsi="宋体" w:cs="宋体"/>
          <w:b w:val="0"/>
          <w:bCs w:val="0"/>
          <w:sz w:val="21"/>
          <w:szCs w:val="21"/>
          <w:highlight w:val="none"/>
          <w:lang w:val="en-US" w:eastAsia="zh-CN"/>
        </w:rPr>
        <w:t>甲方</w:t>
      </w:r>
      <w:r>
        <w:rPr>
          <w:rFonts w:hint="eastAsia" w:ascii="宋体" w:hAnsi="宋体" w:eastAsia="宋体" w:cs="宋体"/>
          <w:b w:val="0"/>
          <w:bCs w:val="0"/>
          <w:sz w:val="21"/>
          <w:szCs w:val="21"/>
          <w:highlight w:val="none"/>
          <w:lang w:val="en-US" w:eastAsia="zh-CN"/>
        </w:rPr>
        <w:t>现有分诊叫号系统建设时间较早，部分终端设备存在硬件老化、系统版本偏低、运行卡顿、叫号漏号、远程运维不便、队列调整能力不足等问题，已难以充分满足当前门诊、急诊、体检等区域的高峰就诊秩序管理和智慧门诊建设需要。</w:t>
      </w:r>
    </w:p>
    <w:p w14:paraId="19615E4E">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1.2建设目标：本项目拟在保留原有可用线路、终端和数据资源的基础上，对多媒体分诊导引系统进行信创升级、软硬件适配、接口联调和功能优化，重点提升系统稳定性、兼容性、可维护性和分诊队列管理能力，进一步规范候诊秩序、改善患者体验、支撑医院精细化管理。</w:t>
      </w:r>
    </w:p>
    <w:p w14:paraId="6C3ACF64">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1.3</w:t>
      </w:r>
      <w:r>
        <w:rPr>
          <w:rFonts w:hint="eastAsia" w:ascii="宋体" w:hAnsi="宋体" w:eastAsia="宋体" w:cs="宋体"/>
          <w:b w:val="0"/>
          <w:bCs w:val="0"/>
          <w:sz w:val="21"/>
          <w:szCs w:val="21"/>
          <w:highlight w:val="none"/>
        </w:rPr>
        <w:t>总体实现功能：</w:t>
      </w:r>
    </w:p>
    <w:p w14:paraId="005BA8AE">
      <w:pPr>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kern w:val="2"/>
          <w:sz w:val="21"/>
          <w:szCs w:val="21"/>
          <w:highlight w:val="none"/>
          <w:lang w:val="en-US" w:eastAsia="zh-CN" w:bidi="ar-SA"/>
        </w:rPr>
        <w:t>1.3.1实现与</w:t>
      </w:r>
      <w:r>
        <w:rPr>
          <w:rFonts w:hint="eastAsia" w:ascii="宋体" w:hAnsi="宋体" w:cs="宋体"/>
          <w:b w:val="0"/>
          <w:bCs w:val="0"/>
          <w:kern w:val="2"/>
          <w:sz w:val="21"/>
          <w:szCs w:val="21"/>
          <w:highlight w:val="none"/>
          <w:lang w:val="en-US" w:eastAsia="zh-CN" w:bidi="ar-SA"/>
        </w:rPr>
        <w:t>甲方</w:t>
      </w:r>
      <w:r>
        <w:rPr>
          <w:rFonts w:hint="eastAsia" w:ascii="宋体" w:hAnsi="宋体" w:eastAsia="宋体" w:cs="宋体"/>
          <w:b w:val="0"/>
          <w:bCs w:val="0"/>
          <w:kern w:val="2"/>
          <w:sz w:val="21"/>
          <w:szCs w:val="21"/>
          <w:highlight w:val="none"/>
          <w:lang w:val="en-US" w:eastAsia="zh-CN" w:bidi="ar-SA"/>
        </w:rPr>
        <w:t>HIS、预约挂号、检查检验等系统的数据互通；</w:t>
      </w:r>
    </w:p>
    <w:p w14:paraId="1FB11493">
      <w:pPr>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1.3.2支持预约、现场、复诊、特殊人群优先等多业务场景排队叫号；</w:t>
      </w:r>
    </w:p>
    <w:p w14:paraId="48CEE09B">
      <w:pPr>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1.3.3支持分诊台根据实际业务需要调整患者队列顺序；</w:t>
      </w:r>
    </w:p>
    <w:p w14:paraId="0AF7EB53">
      <w:pPr>
        <w:keepNext w:val="0"/>
        <w:keepLines w:val="0"/>
        <w:pageBreakBefore w:val="0"/>
        <w:numPr>
          <w:ilvl w:val="0"/>
          <w:numId w:val="0"/>
        </w:numPr>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1.3.4提供候诊显示、语音播报、诊室屏/综合屏展示、统计报表、权限管理、运行监控和运维管理等能力；</w:t>
      </w:r>
    </w:p>
    <w:p w14:paraId="54875838">
      <w:pPr>
        <w:pStyle w:val="54"/>
        <w:keepNext w:val="0"/>
        <w:keepLines w:val="0"/>
        <w:pageBreakBefore w:val="0"/>
        <w:widowControl/>
        <w:kinsoku/>
        <w:wordWrap/>
        <w:overflowPunct/>
        <w:topLinePunct w:val="0"/>
        <w:autoSpaceDE/>
        <w:autoSpaceDN/>
        <w:bidi w:val="0"/>
        <w:adjustRightInd/>
        <w:snapToGrid/>
        <w:spacing w:line="300" w:lineRule="auto"/>
        <w:ind w:left="42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b w:val="0"/>
          <w:bCs w:val="0"/>
          <w:sz w:val="21"/>
          <w:szCs w:val="21"/>
          <w:highlight w:val="none"/>
          <w:lang w:val="en-US" w:eastAsia="zh-CN"/>
        </w:rPr>
        <w:t>1.4满足医院信创适配、数据安全和后续扩展要求。</w:t>
      </w:r>
    </w:p>
    <w:p w14:paraId="24E62AE4">
      <w:pPr>
        <w:pStyle w:val="54"/>
        <w:keepNext w:val="0"/>
        <w:keepLines w:val="0"/>
        <w:pageBreakBefore w:val="0"/>
        <w:widowControl/>
        <w:kinsoku/>
        <w:wordWrap/>
        <w:overflowPunct/>
        <w:topLinePunct w:val="0"/>
        <w:autoSpaceDE/>
        <w:autoSpaceDN/>
        <w:bidi w:val="0"/>
        <w:adjustRightInd/>
        <w:snapToGrid/>
        <w:spacing w:line="300" w:lineRule="auto"/>
        <w:ind w:left="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2.技术参数要求</w:t>
      </w:r>
    </w:p>
    <w:p w14:paraId="2AD4D614">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w:t>
      </w:r>
      <w:r>
        <w:rPr>
          <w:rFonts w:hint="eastAsia" w:ascii="宋体" w:hAnsi="宋体" w:eastAsia="宋体" w:cs="宋体"/>
          <w:b w:val="0"/>
          <w:bCs/>
          <w:sz w:val="21"/>
          <w:szCs w:val="21"/>
          <w:highlight w:val="none"/>
        </w:rPr>
        <w:t>信息发布系统平台软件（信创版）</w:t>
      </w:r>
    </w:p>
    <w:p w14:paraId="42438F7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2.1.1</w:t>
      </w:r>
      <w:r>
        <w:rPr>
          <w:rFonts w:hint="eastAsia" w:ascii="宋体" w:hAnsi="宋体" w:eastAsia="宋体" w:cs="宋体"/>
          <w:b w:val="0"/>
          <w:bCs/>
          <w:sz w:val="21"/>
          <w:szCs w:val="21"/>
          <w:highlight w:val="none"/>
        </w:rPr>
        <w:t>为方便管理，信息发布系统需与排队叫号系统需在同一平台管理；</w:t>
      </w:r>
    </w:p>
    <w:p w14:paraId="6DBB777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2.1.2</w:t>
      </w:r>
      <w:r>
        <w:rPr>
          <w:rFonts w:hint="eastAsia" w:ascii="宋体" w:hAnsi="宋体" w:eastAsia="宋体" w:cs="宋体"/>
          <w:b w:val="0"/>
          <w:bCs/>
          <w:sz w:val="21"/>
          <w:szCs w:val="21"/>
          <w:highlight w:val="none"/>
        </w:rPr>
        <w:t>系统需支持各类素材的分类管理，格式转换灵活，可对素材进行预览；</w:t>
      </w:r>
    </w:p>
    <w:p w14:paraId="2621CC8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2.1.3</w:t>
      </w:r>
      <w:r>
        <w:rPr>
          <w:rFonts w:hint="eastAsia" w:ascii="宋体" w:hAnsi="宋体" w:eastAsia="宋体" w:cs="宋体"/>
          <w:b w:val="0"/>
          <w:bCs/>
          <w:sz w:val="21"/>
          <w:szCs w:val="21"/>
          <w:highlight w:val="none"/>
        </w:rPr>
        <w:t>系统需支持提供常规节目模板库，同时管理员可自行设计制作模板，或在模板基础上进行定制修改形成新的模板，可以保存、复用；可以导入导出节目模板；</w:t>
      </w:r>
    </w:p>
    <w:p w14:paraId="415274D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2.1.4</w:t>
      </w:r>
      <w:r>
        <w:rPr>
          <w:rFonts w:hint="eastAsia" w:ascii="宋体" w:hAnsi="宋体" w:eastAsia="宋体" w:cs="宋体"/>
          <w:b w:val="0"/>
          <w:bCs/>
          <w:sz w:val="21"/>
          <w:szCs w:val="21"/>
          <w:highlight w:val="none"/>
        </w:rPr>
        <w:t>系统需支持备份管理：系统可手动、自动对数据库进行备份，手动还原；</w:t>
      </w:r>
    </w:p>
    <w:p w14:paraId="494E8A4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2.1.5</w:t>
      </w:r>
      <w:r>
        <w:rPr>
          <w:rFonts w:hint="eastAsia" w:ascii="宋体" w:hAnsi="宋体" w:eastAsia="宋体" w:cs="宋体"/>
          <w:b w:val="0"/>
          <w:bCs/>
          <w:sz w:val="21"/>
          <w:szCs w:val="21"/>
          <w:highlight w:val="none"/>
        </w:rPr>
        <w:t>将制作好的节目发送到指定的单个播放端或某个播放组，系统须支持设定节目下载时间，实现立即传输、定时传输或周期传输，支持大文件素材的断点续传功能；脱机发布方式</w:t>
      </w:r>
      <w:r>
        <w:rPr>
          <w:rFonts w:hint="eastAsia" w:ascii="宋体" w:hAnsi="宋体" w:eastAsia="宋体" w:cs="宋体"/>
          <w:b w:val="0"/>
          <w:bCs/>
          <w:color w:val="000000" w:themeColor="text1"/>
          <w:sz w:val="21"/>
          <w:szCs w:val="21"/>
          <w:highlight w:val="none"/>
          <w14:textFill>
            <w14:solidFill>
              <w14:schemeClr w14:val="tx1"/>
            </w14:solidFill>
          </w14:textFill>
        </w:rPr>
        <w:t>；</w:t>
      </w:r>
    </w:p>
    <w:p w14:paraId="7C97ED6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2.1.6</w:t>
      </w:r>
      <w:r>
        <w:rPr>
          <w:rFonts w:hint="eastAsia" w:ascii="宋体" w:hAnsi="宋体" w:eastAsia="宋体" w:cs="宋体"/>
          <w:b w:val="0"/>
          <w:bCs/>
          <w:sz w:val="21"/>
          <w:szCs w:val="21"/>
          <w:highlight w:val="none"/>
        </w:rPr>
        <w:t>系统需支持多种播出方式：自动播出、定时播出、即时插播、多时段播出等。即时插播，将插播的内容设定完成，立即派送到指定的单个或多个客户端，系统将插播节目规划及多媒体内容下载到各个指定的客户端，并记录传送结果。客户端成功接收后立即播放插播节目，插播节目结束后恢复执行原来的节目表；</w:t>
      </w:r>
    </w:p>
    <w:p w14:paraId="1E975BE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2.1.7</w:t>
      </w:r>
      <w:r>
        <w:rPr>
          <w:rFonts w:hint="eastAsia" w:ascii="宋体" w:hAnsi="宋体" w:eastAsia="宋体" w:cs="宋体"/>
          <w:b w:val="0"/>
          <w:bCs/>
          <w:sz w:val="21"/>
          <w:szCs w:val="21"/>
          <w:highlight w:val="none"/>
        </w:rPr>
        <w:t>系统需支持唯一的操作员ID、操作密码。用户安全策略由用户认证系统统一设置，每个操作员的操作等级及权限设置应至少包括允许操作的单台设备或者设备组、允许操作的功能，用户之间可以相互屏蔽各自的资源和频道等。用户认证系统具备操作员ID号的创建、删除、分配和修改功能；</w:t>
      </w:r>
    </w:p>
    <w:p w14:paraId="157FCDF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2.1.8</w:t>
      </w:r>
      <w:r>
        <w:rPr>
          <w:rFonts w:hint="eastAsia" w:ascii="宋体" w:hAnsi="宋体" w:eastAsia="宋体" w:cs="宋体"/>
          <w:b w:val="0"/>
          <w:bCs/>
          <w:sz w:val="21"/>
          <w:szCs w:val="21"/>
          <w:highlight w:val="none"/>
        </w:rPr>
        <w:t>对系统的用户及用户组、发布点及发布组、多级管理等功能进行权限的设置，以方便系统的管理及维护；</w:t>
      </w:r>
    </w:p>
    <w:p w14:paraId="2B09FD31">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2.1.9</w:t>
      </w:r>
      <w:r>
        <w:rPr>
          <w:rFonts w:hint="eastAsia" w:ascii="宋体" w:hAnsi="宋体" w:eastAsia="宋体" w:cs="宋体"/>
          <w:b w:val="0"/>
          <w:bCs/>
          <w:sz w:val="21"/>
          <w:szCs w:val="21"/>
          <w:highlight w:val="none"/>
        </w:rPr>
        <w:t>系统需支持播出单审核功能：系统具备播出单审核与预览功能，操作员编辑后的播出单，需要通过对应的审核员进行审核，审核后的播出单才能进行发布，审核不通过的进行打回，通过站内消息通知操作员；</w:t>
      </w:r>
    </w:p>
    <w:p w14:paraId="1F27463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2.1.10</w:t>
      </w:r>
      <w:r>
        <w:rPr>
          <w:rFonts w:hint="eastAsia" w:ascii="宋体" w:hAnsi="宋体" w:eastAsia="宋体" w:cs="宋体"/>
          <w:b w:val="0"/>
          <w:bCs/>
          <w:sz w:val="21"/>
          <w:szCs w:val="21"/>
          <w:highlight w:val="none"/>
        </w:rPr>
        <w:t>系统终端需一定的存储能力，可支持本地离线的发布，保证遇紧急情况时，所有显示屏都可正常播出本地节目；</w:t>
      </w:r>
    </w:p>
    <w:p w14:paraId="536F11F6">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2.1.11系统应采用B/S架构，任意在线管理人员均可通过浏览器登录系统后台，对系统所有部署硬件及播放内容进行远程管理，包括远程查看设备运行状态（在线或离线），远程重启，远程定时开关机设定，远程截图，远程升级等；且需支持信息发布系统与叫号系统在同一平台上管控；</w:t>
      </w:r>
    </w:p>
    <w:p w14:paraId="0B58554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2.1.12</w:t>
      </w:r>
      <w:r>
        <w:rPr>
          <w:rFonts w:hint="eastAsia" w:ascii="宋体" w:hAnsi="宋体" w:eastAsia="宋体" w:cs="宋体"/>
          <w:b w:val="0"/>
          <w:bCs/>
          <w:sz w:val="21"/>
          <w:szCs w:val="21"/>
          <w:highlight w:val="none"/>
        </w:rPr>
        <w:t>设备支持统一管理、集中控制，远程推送不同素材</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支持直播流的播放，可以添加编码器的直播源，支持会议信号、电视信号、卫星信号、监控信号、网络直播源等直播素材的播放</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支持按照用户设定的规则进行播放</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同时支持接收客户端及管理端发送的文字广播内容，并自动转换为语音进行播报；功能可适配系统内所有一级分诊屏设备。设备支持来电自动进入工作状态。</w:t>
      </w:r>
    </w:p>
    <w:p w14:paraId="64F53EB8">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2排队叫号系统平台软件（信创版）</w:t>
      </w:r>
    </w:p>
    <w:p w14:paraId="0C8B988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2.2.1</w:t>
      </w:r>
      <w:r>
        <w:rPr>
          <w:rFonts w:hint="eastAsia" w:ascii="宋体" w:hAnsi="宋体" w:eastAsia="宋体" w:cs="宋体"/>
          <w:b w:val="0"/>
          <w:bCs/>
          <w:sz w:val="21"/>
          <w:szCs w:val="21"/>
          <w:highlight w:val="none"/>
        </w:rPr>
        <w:t>叫号系统软件装载在分诊及HIS接口服务器上，该服务器需有良好的数据备份及安全措施</w:t>
      </w:r>
      <w:r>
        <w:rPr>
          <w:rFonts w:hint="eastAsia" w:ascii="宋体" w:hAnsi="宋体" w:cs="宋体"/>
          <w:b w:val="0"/>
          <w:bCs/>
          <w:sz w:val="21"/>
          <w:szCs w:val="21"/>
          <w:highlight w:val="none"/>
          <w:lang w:eastAsia="zh-CN"/>
        </w:rPr>
        <w:t>；</w:t>
      </w:r>
    </w:p>
    <w:p w14:paraId="658426E8">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2.2.2</w:t>
      </w:r>
      <w:r>
        <w:rPr>
          <w:rFonts w:hint="eastAsia" w:ascii="宋体" w:hAnsi="宋体" w:eastAsia="宋体" w:cs="宋体"/>
          <w:b w:val="0"/>
          <w:bCs/>
          <w:sz w:val="21"/>
          <w:szCs w:val="21"/>
          <w:highlight w:val="none"/>
        </w:rPr>
        <w:t>系统后台应具备部门管理、用户管理、角色管理功能，终端管理，监控管理等子模块功能，方便后期维护人员对终端、播放内容进行高效管理</w:t>
      </w:r>
      <w:r>
        <w:rPr>
          <w:rFonts w:hint="eastAsia" w:ascii="宋体" w:hAnsi="宋体" w:cs="宋体"/>
          <w:b w:val="0"/>
          <w:bCs/>
          <w:sz w:val="21"/>
          <w:szCs w:val="21"/>
          <w:highlight w:val="none"/>
          <w:lang w:eastAsia="zh-CN"/>
        </w:rPr>
        <w:t>；</w:t>
      </w:r>
    </w:p>
    <w:p w14:paraId="3BCF9EC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2.2.3</w:t>
      </w:r>
      <w:r>
        <w:rPr>
          <w:rFonts w:hint="eastAsia" w:ascii="宋体" w:hAnsi="宋体" w:eastAsia="宋体" w:cs="宋体"/>
          <w:b w:val="0"/>
          <w:bCs/>
          <w:sz w:val="21"/>
          <w:szCs w:val="21"/>
          <w:highlight w:val="none"/>
        </w:rPr>
        <w:t>系统需具备与微信公众号对接能力，系统应具备扫一扫二维码查询排队进度功能，应具备患者主动查询排队信息功能；应具备叫号预备推送功能</w:t>
      </w:r>
      <w:r>
        <w:rPr>
          <w:rFonts w:hint="eastAsia" w:ascii="宋体" w:hAnsi="宋体" w:cs="宋体"/>
          <w:b w:val="0"/>
          <w:bCs/>
          <w:sz w:val="21"/>
          <w:szCs w:val="21"/>
          <w:highlight w:val="none"/>
          <w:lang w:eastAsia="zh-CN"/>
        </w:rPr>
        <w:t>；</w:t>
      </w:r>
    </w:p>
    <w:p w14:paraId="67C8EDFA">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2.2.4</w:t>
      </w:r>
      <w:r>
        <w:rPr>
          <w:rFonts w:hint="eastAsia" w:ascii="宋体" w:hAnsi="宋体" w:eastAsia="宋体" w:cs="宋体"/>
          <w:b w:val="0"/>
          <w:bCs/>
          <w:sz w:val="21"/>
          <w:szCs w:val="21"/>
          <w:highlight w:val="none"/>
        </w:rPr>
        <w:t>系统需支持接收HIS接口数据、医生诊室电脑、护士站电脑传来的信息，实时生成最新的分诊导引排队队列信息，并按显示规则推送到相对应的一级分诊屏、二级分诊屏上</w:t>
      </w:r>
      <w:r>
        <w:rPr>
          <w:rFonts w:hint="eastAsia" w:ascii="宋体" w:hAnsi="宋体" w:cs="宋体"/>
          <w:b w:val="0"/>
          <w:bCs/>
          <w:sz w:val="21"/>
          <w:szCs w:val="21"/>
          <w:highlight w:val="none"/>
          <w:lang w:eastAsia="zh-CN"/>
        </w:rPr>
        <w:t>；</w:t>
      </w:r>
    </w:p>
    <w:p w14:paraId="2024CBE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2.2.5</w:t>
      </w:r>
      <w:r>
        <w:rPr>
          <w:rFonts w:hint="eastAsia" w:ascii="宋体" w:hAnsi="宋体" w:eastAsia="宋体" w:cs="宋体"/>
          <w:b w:val="0"/>
          <w:bCs/>
          <w:sz w:val="21"/>
          <w:szCs w:val="21"/>
          <w:highlight w:val="none"/>
        </w:rPr>
        <w:t>可根据一个诊室多医生的实际情况，调整二级屏的显示模式</w:t>
      </w:r>
      <w:r>
        <w:rPr>
          <w:rFonts w:hint="eastAsia" w:ascii="宋体" w:hAnsi="宋体" w:cs="宋体"/>
          <w:b w:val="0"/>
          <w:bCs/>
          <w:sz w:val="21"/>
          <w:szCs w:val="21"/>
          <w:highlight w:val="none"/>
          <w:lang w:eastAsia="zh-CN"/>
        </w:rPr>
        <w:t>；</w:t>
      </w:r>
    </w:p>
    <w:p w14:paraId="61DFC48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2.2.6</w:t>
      </w:r>
      <w:r>
        <w:rPr>
          <w:rFonts w:hint="eastAsia" w:ascii="宋体" w:hAnsi="宋体" w:eastAsia="宋体" w:cs="宋体"/>
          <w:b w:val="0"/>
          <w:bCs/>
          <w:sz w:val="21"/>
          <w:szCs w:val="21"/>
          <w:highlight w:val="none"/>
        </w:rPr>
        <w:t>一级、二级分诊屏的显示画面可根据医院需求定制且修改方便</w:t>
      </w:r>
      <w:r>
        <w:rPr>
          <w:rFonts w:hint="eastAsia" w:ascii="宋体" w:hAnsi="宋体" w:cs="宋体"/>
          <w:b w:val="0"/>
          <w:bCs/>
          <w:sz w:val="21"/>
          <w:szCs w:val="21"/>
          <w:highlight w:val="none"/>
          <w:lang w:eastAsia="zh-CN"/>
        </w:rPr>
        <w:t>；</w:t>
      </w:r>
    </w:p>
    <w:p w14:paraId="0F2DC74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2.2.7</w:t>
      </w:r>
      <w:r>
        <w:rPr>
          <w:rFonts w:hint="eastAsia" w:ascii="宋体" w:hAnsi="宋体" w:eastAsia="宋体" w:cs="宋体"/>
          <w:b w:val="0"/>
          <w:bCs/>
          <w:sz w:val="21"/>
          <w:szCs w:val="21"/>
          <w:highlight w:val="none"/>
        </w:rPr>
        <w:t>为满足多系统之间互联互通要求，方便后期对数据接口以及软件故障排查，系统需具备日志可视化管理功能，并能通过日志生成时间、操作者来源、操作类型、操作模块、操作结果、操作时间、耗时等进行快速筛查，极大方便后期日常维护工作</w:t>
      </w:r>
      <w:r>
        <w:rPr>
          <w:rFonts w:hint="eastAsia" w:ascii="宋体" w:hAnsi="宋体" w:cs="宋体"/>
          <w:b w:val="0"/>
          <w:bCs/>
          <w:sz w:val="21"/>
          <w:szCs w:val="21"/>
          <w:highlight w:val="none"/>
          <w:lang w:eastAsia="zh-CN"/>
        </w:rPr>
        <w:t>；</w:t>
      </w:r>
    </w:p>
    <w:p w14:paraId="36A6E5E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2.2.8</w:t>
      </w:r>
      <w:r>
        <w:rPr>
          <w:rFonts w:hint="eastAsia" w:ascii="宋体" w:hAnsi="宋体" w:eastAsia="宋体" w:cs="宋体"/>
          <w:b w:val="0"/>
          <w:bCs/>
          <w:sz w:val="21"/>
          <w:szCs w:val="21"/>
          <w:highlight w:val="none"/>
        </w:rPr>
        <w:t>为保证系统数据安全，系统后台需支持对数据的可视化管理，支持自定义设置历史数据保留时长，支持对数据进行隐私保护标识符号进行设置，支持选择是否开启数据备份服务，以及备份周期进行选择</w:t>
      </w:r>
      <w:r>
        <w:rPr>
          <w:rFonts w:hint="eastAsia" w:ascii="宋体" w:hAnsi="宋体" w:cs="宋体"/>
          <w:b w:val="0"/>
          <w:bCs/>
          <w:sz w:val="21"/>
          <w:szCs w:val="21"/>
          <w:highlight w:val="none"/>
          <w:lang w:eastAsia="zh-CN"/>
        </w:rPr>
        <w:t>；</w:t>
      </w:r>
    </w:p>
    <w:p w14:paraId="73E21B4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2.2.9</w:t>
      </w:r>
      <w:r>
        <w:rPr>
          <w:rFonts w:hint="eastAsia" w:ascii="宋体" w:hAnsi="宋体" w:eastAsia="宋体" w:cs="宋体"/>
          <w:b w:val="0"/>
          <w:bCs/>
          <w:sz w:val="21"/>
          <w:szCs w:val="21"/>
          <w:highlight w:val="none"/>
        </w:rPr>
        <w:t>根据</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实际情况，针对预约患者签到规则，系统应具备可视化管理功能，支持选择是否开启预约签到功能，开启后，支持对预约患者提前签到时间、预约迟到条件、迟到患者惩罚机制，叫号策略等做相应的管理</w:t>
      </w:r>
      <w:r>
        <w:rPr>
          <w:rFonts w:hint="eastAsia" w:ascii="宋体" w:hAnsi="宋体" w:cs="宋体"/>
          <w:b w:val="0"/>
          <w:bCs/>
          <w:sz w:val="21"/>
          <w:szCs w:val="21"/>
          <w:highlight w:val="none"/>
          <w:lang w:eastAsia="zh-CN"/>
        </w:rPr>
        <w:t>；</w:t>
      </w:r>
    </w:p>
    <w:p w14:paraId="78BAFB64">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2.2.10</w:t>
      </w:r>
      <w:r>
        <w:rPr>
          <w:rFonts w:hint="eastAsia" w:ascii="宋体" w:hAnsi="宋体" w:eastAsia="宋体" w:cs="宋体"/>
          <w:b w:val="0"/>
          <w:bCs/>
          <w:sz w:val="21"/>
          <w:szCs w:val="21"/>
          <w:highlight w:val="none"/>
        </w:rPr>
        <w:t>系统需支持自动将患者平均分配到普通号出诊医生队列中，并按顺序叫号；支持自动将挂专家号的患者与专家一一对应，并按顺序叫号；对于患者要选择医生的，可支持由护士站电脑手动选择对应的医生诊室</w:t>
      </w:r>
      <w:r>
        <w:rPr>
          <w:rFonts w:hint="eastAsia" w:ascii="宋体" w:hAnsi="宋体" w:cs="宋体"/>
          <w:b w:val="0"/>
          <w:bCs/>
          <w:sz w:val="21"/>
          <w:szCs w:val="21"/>
          <w:highlight w:val="none"/>
          <w:lang w:eastAsia="zh-CN"/>
        </w:rPr>
        <w:t>；</w:t>
      </w:r>
    </w:p>
    <w:p w14:paraId="73072AA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2.2.11</w:t>
      </w:r>
      <w:r>
        <w:rPr>
          <w:rFonts w:hint="eastAsia" w:ascii="宋体" w:hAnsi="宋体" w:eastAsia="宋体" w:cs="宋体"/>
          <w:b w:val="0"/>
          <w:bCs/>
          <w:sz w:val="21"/>
          <w:szCs w:val="21"/>
          <w:highlight w:val="none"/>
        </w:rPr>
        <w:t>系统需支持全自动形成队列、人工报到形成队列（患者自助报到、护士操作报到）以及自动及人工混合报到三种模式</w:t>
      </w:r>
      <w:r>
        <w:rPr>
          <w:rFonts w:hint="eastAsia" w:ascii="宋体" w:hAnsi="宋体" w:cs="宋体"/>
          <w:b w:val="0"/>
          <w:bCs/>
          <w:sz w:val="21"/>
          <w:szCs w:val="21"/>
          <w:highlight w:val="none"/>
          <w:lang w:eastAsia="zh-CN"/>
        </w:rPr>
        <w:t>；</w:t>
      </w:r>
    </w:p>
    <w:p w14:paraId="3771213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2.2.12</w:t>
      </w:r>
      <w:r>
        <w:rPr>
          <w:rFonts w:hint="eastAsia" w:ascii="宋体" w:hAnsi="宋体" w:eastAsia="宋体" w:cs="宋体"/>
          <w:b w:val="0"/>
          <w:bCs/>
          <w:sz w:val="21"/>
          <w:szCs w:val="21"/>
          <w:highlight w:val="none"/>
        </w:rPr>
        <w:t>系统可根据各个科室的就诊流程，灵活配置叫号机制，适应各种队列排序方式、各种呼叫模式、各种显示样式、各种语音效果</w:t>
      </w:r>
      <w:r>
        <w:rPr>
          <w:rFonts w:hint="eastAsia" w:ascii="宋体" w:hAnsi="宋体" w:cs="宋体"/>
          <w:b w:val="0"/>
          <w:bCs/>
          <w:sz w:val="21"/>
          <w:szCs w:val="21"/>
          <w:highlight w:val="none"/>
          <w:lang w:eastAsia="zh-CN"/>
        </w:rPr>
        <w:t>；</w:t>
      </w:r>
    </w:p>
    <w:p w14:paraId="4E08BBA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2.2.13</w:t>
      </w:r>
      <w:r>
        <w:rPr>
          <w:rFonts w:hint="eastAsia" w:ascii="宋体" w:hAnsi="宋体" w:eastAsia="宋体" w:cs="宋体"/>
          <w:b w:val="0"/>
          <w:bCs/>
          <w:sz w:val="21"/>
          <w:szCs w:val="21"/>
          <w:highlight w:val="none"/>
        </w:rPr>
        <w:t>需满足</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对于多媒体医疗导引系统平台的定制化需求，可进行软件二次开发</w:t>
      </w:r>
      <w:r>
        <w:rPr>
          <w:rFonts w:hint="eastAsia" w:ascii="宋体" w:hAnsi="宋体" w:cs="宋体"/>
          <w:b w:val="0"/>
          <w:bCs/>
          <w:sz w:val="21"/>
          <w:szCs w:val="21"/>
          <w:highlight w:val="none"/>
          <w:lang w:eastAsia="zh-CN"/>
        </w:rPr>
        <w:t>；</w:t>
      </w:r>
    </w:p>
    <w:p w14:paraId="106303E9">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2.2.14</w:t>
      </w:r>
      <w:r>
        <w:rPr>
          <w:rFonts w:hint="eastAsia" w:ascii="宋体" w:hAnsi="宋体" w:eastAsia="宋体" w:cs="宋体"/>
          <w:b w:val="0"/>
          <w:bCs/>
          <w:sz w:val="21"/>
          <w:szCs w:val="21"/>
          <w:highlight w:val="none"/>
        </w:rPr>
        <w:t>支持门诊辅助决策功能，系统支持收集与门诊医疗服务有关的数据资料，并进行整理和分析，反映门诊医疗服务的数量和质量，为加强门诊科学管理提供依据的活动，根据院内门诊数据，通过分类和统计，以图表形式呈现，以数据内容支撑院内门诊的决策</w:t>
      </w:r>
      <w:r>
        <w:rPr>
          <w:rFonts w:hint="eastAsia" w:ascii="宋体" w:hAnsi="宋体" w:cs="宋体"/>
          <w:b w:val="0"/>
          <w:bCs/>
          <w:sz w:val="21"/>
          <w:szCs w:val="21"/>
          <w:highlight w:val="none"/>
          <w:lang w:eastAsia="zh-CN"/>
        </w:rPr>
        <w:t>；</w:t>
      </w:r>
    </w:p>
    <w:p w14:paraId="7BEF3119">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2.2.15</w:t>
      </w:r>
      <w:r>
        <w:rPr>
          <w:rFonts w:hint="eastAsia" w:ascii="宋体" w:hAnsi="宋体" w:eastAsia="宋体" w:cs="宋体"/>
          <w:b w:val="0"/>
          <w:bCs/>
          <w:sz w:val="21"/>
          <w:szCs w:val="21"/>
          <w:highlight w:val="none"/>
        </w:rPr>
        <w:t>系统设计具备多重安全访问与数据备份机制，保证系统运行的安全与稳定</w:t>
      </w:r>
      <w:r>
        <w:rPr>
          <w:rFonts w:hint="eastAsia" w:ascii="宋体" w:hAnsi="宋体" w:cs="宋体"/>
          <w:b w:val="0"/>
          <w:bCs/>
          <w:sz w:val="21"/>
          <w:szCs w:val="21"/>
          <w:highlight w:val="none"/>
          <w:lang w:eastAsia="zh-CN"/>
        </w:rPr>
        <w:t>；</w:t>
      </w:r>
    </w:p>
    <w:p w14:paraId="070501B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2.2.16</w:t>
      </w:r>
      <w:r>
        <w:rPr>
          <w:rFonts w:hint="eastAsia" w:ascii="宋体" w:hAnsi="宋体" w:eastAsia="宋体" w:cs="宋体"/>
          <w:b w:val="0"/>
          <w:bCs/>
          <w:sz w:val="21"/>
          <w:szCs w:val="21"/>
          <w:highlight w:val="none"/>
        </w:rPr>
        <w:t>信息显示隐私保护：对面向公众的候诊屏显示，支持后台一键开启/关闭患者信息显示隐私保护功能，支持自定义隐私保护显示效果，如姓氏显示法，星号隐藏法等</w:t>
      </w:r>
      <w:r>
        <w:rPr>
          <w:rFonts w:hint="eastAsia" w:ascii="宋体" w:hAnsi="宋体" w:cs="宋体"/>
          <w:b w:val="0"/>
          <w:bCs/>
          <w:sz w:val="21"/>
          <w:szCs w:val="21"/>
          <w:highlight w:val="none"/>
          <w:lang w:eastAsia="zh-CN"/>
        </w:rPr>
        <w:t>；</w:t>
      </w:r>
    </w:p>
    <w:p w14:paraId="61FFCD14">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2.2.17</w:t>
      </w:r>
      <w:r>
        <w:rPr>
          <w:rFonts w:hint="eastAsia" w:ascii="宋体" w:hAnsi="宋体" w:eastAsia="宋体" w:cs="宋体"/>
          <w:b w:val="0"/>
          <w:bCs/>
          <w:sz w:val="21"/>
          <w:szCs w:val="21"/>
          <w:highlight w:val="none"/>
        </w:rPr>
        <w:t>高可用容灾：系统提供高可用容灾服务，支持主应用服务器故障时自动转移至备应用服务器</w:t>
      </w:r>
      <w:r>
        <w:rPr>
          <w:rFonts w:hint="eastAsia" w:ascii="宋体" w:hAnsi="宋体" w:cs="宋体"/>
          <w:b w:val="0"/>
          <w:bCs/>
          <w:sz w:val="21"/>
          <w:szCs w:val="21"/>
          <w:highlight w:val="none"/>
          <w:lang w:eastAsia="zh-CN"/>
        </w:rPr>
        <w:t>；</w:t>
      </w:r>
    </w:p>
    <w:p w14:paraId="15B0B75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2.2.18</w:t>
      </w:r>
      <w:r>
        <w:rPr>
          <w:rFonts w:hint="eastAsia" w:ascii="宋体" w:hAnsi="宋体" w:eastAsia="宋体" w:cs="宋体"/>
          <w:b w:val="0"/>
          <w:bCs/>
          <w:sz w:val="21"/>
          <w:szCs w:val="21"/>
          <w:highlight w:val="none"/>
        </w:rPr>
        <w:t>为保障</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分诊导医系统的安全，</w:t>
      </w:r>
      <w:r>
        <w:rPr>
          <w:rFonts w:hint="eastAsia" w:ascii="宋体" w:hAnsi="宋体" w:cs="宋体"/>
          <w:b w:val="0"/>
          <w:bCs/>
          <w:sz w:val="21"/>
          <w:szCs w:val="21"/>
          <w:highlight w:val="none"/>
          <w:lang w:val="en-US" w:eastAsia="zh-CN"/>
        </w:rPr>
        <w:t>系统</w:t>
      </w:r>
      <w:r>
        <w:rPr>
          <w:rFonts w:hint="eastAsia" w:ascii="宋体" w:hAnsi="宋体" w:eastAsia="宋体" w:cs="宋体"/>
          <w:b w:val="0"/>
          <w:bCs/>
          <w:sz w:val="21"/>
          <w:szCs w:val="21"/>
          <w:highlight w:val="none"/>
        </w:rPr>
        <w:t>应无重大风险隐患，高风险问题应不大于10个，中风险问题应不大于35个，低风险问题不大于20个，测评结论应为基本符合或者符合</w:t>
      </w:r>
      <w:r>
        <w:rPr>
          <w:rFonts w:hint="eastAsia" w:ascii="宋体" w:hAnsi="宋体" w:cs="宋体"/>
          <w:b w:val="0"/>
          <w:bCs/>
          <w:sz w:val="21"/>
          <w:szCs w:val="21"/>
          <w:highlight w:val="none"/>
          <w:lang w:eastAsia="zh-CN"/>
        </w:rPr>
        <w:t>；</w:t>
      </w:r>
    </w:p>
    <w:p w14:paraId="3941221A">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2.2.19</w:t>
      </w:r>
      <w:r>
        <w:rPr>
          <w:rFonts w:hint="eastAsia" w:ascii="宋体" w:hAnsi="宋体" w:eastAsia="宋体" w:cs="宋体"/>
          <w:b w:val="0"/>
          <w:bCs/>
          <w:sz w:val="21"/>
          <w:szCs w:val="21"/>
          <w:highlight w:val="none"/>
        </w:rPr>
        <w:t>为达到信息化系统全面信创化的国家战略要求，软件</w:t>
      </w:r>
      <w:r>
        <w:rPr>
          <w:rFonts w:hint="eastAsia" w:ascii="宋体" w:hAnsi="宋体" w:cs="宋体"/>
          <w:b w:val="0"/>
          <w:bCs/>
          <w:sz w:val="21"/>
          <w:szCs w:val="21"/>
          <w:highlight w:val="none"/>
          <w:lang w:val="en-US" w:eastAsia="zh-CN"/>
        </w:rPr>
        <w:t>需</w:t>
      </w:r>
      <w:r>
        <w:rPr>
          <w:rFonts w:hint="eastAsia" w:ascii="宋体" w:hAnsi="宋体" w:eastAsia="宋体" w:cs="宋体"/>
          <w:b w:val="0"/>
          <w:bCs/>
          <w:sz w:val="21"/>
          <w:szCs w:val="21"/>
          <w:highlight w:val="none"/>
        </w:rPr>
        <w:t>与国产服务器、国产操作系统、国产数据库</w:t>
      </w:r>
      <w:r>
        <w:rPr>
          <w:rFonts w:hint="eastAsia" w:ascii="宋体" w:hAnsi="宋体" w:eastAsia="宋体" w:cs="宋体"/>
          <w:b w:val="0"/>
          <w:bCs/>
          <w:sz w:val="21"/>
          <w:szCs w:val="21"/>
          <w:highlight w:val="none"/>
          <w:lang w:val="en-US" w:eastAsia="zh-CN"/>
        </w:rPr>
        <w:t>适配</w:t>
      </w:r>
      <w:r>
        <w:rPr>
          <w:rFonts w:hint="eastAsia" w:ascii="宋体" w:hAnsi="宋体" w:eastAsia="宋体" w:cs="宋体"/>
          <w:b w:val="0"/>
          <w:bCs/>
          <w:sz w:val="21"/>
          <w:szCs w:val="21"/>
          <w:highlight w:val="none"/>
        </w:rPr>
        <w:t>。</w:t>
      </w:r>
    </w:p>
    <w:p w14:paraId="09EEF428">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2.3</w:t>
      </w:r>
      <w:r>
        <w:rPr>
          <w:rFonts w:hint="eastAsia" w:ascii="宋体" w:hAnsi="宋体" w:eastAsia="宋体" w:cs="宋体"/>
          <w:b w:val="0"/>
          <w:bCs/>
          <w:sz w:val="21"/>
          <w:szCs w:val="21"/>
          <w:highlight w:val="none"/>
        </w:rPr>
        <w:t>普通门诊导诊叫号系统</w:t>
      </w:r>
    </w:p>
    <w:p w14:paraId="03FA182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2.3.1</w:t>
      </w:r>
      <w:r>
        <w:rPr>
          <w:rFonts w:hint="eastAsia" w:ascii="宋体" w:hAnsi="宋体" w:eastAsia="宋体" w:cs="宋体"/>
          <w:b w:val="0"/>
          <w:bCs/>
          <w:sz w:val="21"/>
          <w:szCs w:val="21"/>
          <w:highlight w:val="none"/>
        </w:rPr>
        <w:t>为了保证平台统一性和易用性，需能在对应的系统管理平台下进行管理和数据源设置</w:t>
      </w:r>
      <w:r>
        <w:rPr>
          <w:rFonts w:hint="eastAsia" w:ascii="宋体" w:hAnsi="宋体" w:cs="宋体"/>
          <w:b w:val="0"/>
          <w:bCs/>
          <w:sz w:val="21"/>
          <w:szCs w:val="21"/>
          <w:highlight w:val="none"/>
          <w:lang w:eastAsia="zh-CN"/>
        </w:rPr>
        <w:t>；</w:t>
      </w:r>
    </w:p>
    <w:p w14:paraId="4BAA5D8C">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2.3.2</w:t>
      </w:r>
      <w:r>
        <w:rPr>
          <w:rFonts w:hint="eastAsia" w:ascii="宋体" w:hAnsi="宋体" w:eastAsia="宋体" w:cs="宋体"/>
          <w:b w:val="0"/>
          <w:bCs/>
          <w:sz w:val="21"/>
          <w:szCs w:val="21"/>
          <w:highlight w:val="none"/>
        </w:rPr>
        <w:t>模块需能实现一二级分诊功能，当前患者叫号时可设置同时呼叫等候患者前来二级分诊区域进行等候</w:t>
      </w:r>
      <w:r>
        <w:rPr>
          <w:rFonts w:hint="eastAsia" w:ascii="宋体" w:hAnsi="宋体" w:cs="宋体"/>
          <w:b w:val="0"/>
          <w:bCs/>
          <w:sz w:val="21"/>
          <w:szCs w:val="21"/>
          <w:highlight w:val="none"/>
          <w:lang w:eastAsia="zh-CN"/>
        </w:rPr>
        <w:t>；</w:t>
      </w:r>
    </w:p>
    <w:p w14:paraId="7B8F5534">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2.3.3</w:t>
      </w:r>
      <w:r>
        <w:rPr>
          <w:rFonts w:hint="eastAsia" w:ascii="宋体" w:hAnsi="宋体" w:eastAsia="宋体" w:cs="宋体"/>
          <w:b w:val="0"/>
          <w:bCs/>
          <w:sz w:val="21"/>
          <w:szCs w:val="21"/>
          <w:highlight w:val="none"/>
        </w:rPr>
        <w:t>可实现患者可以通过自助端、移动端、分诊台多方式实现签到后进入队列排队，对于复诊、过号患者可以二次报到后进入队列并有特殊标识，实现预约、复诊优先原则，预约未到可以进行惩罚机制，尽可能杜绝过号现象出现，提高看诊效率，可在系统内设置复诊、过号规则</w:t>
      </w:r>
      <w:r>
        <w:rPr>
          <w:rFonts w:hint="eastAsia" w:ascii="宋体" w:hAnsi="宋体" w:cs="宋体"/>
          <w:b w:val="0"/>
          <w:bCs/>
          <w:sz w:val="21"/>
          <w:szCs w:val="21"/>
          <w:highlight w:val="none"/>
          <w:lang w:eastAsia="zh-CN"/>
        </w:rPr>
        <w:t>；</w:t>
      </w:r>
    </w:p>
    <w:p w14:paraId="28455C5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2.3.4</w:t>
      </w:r>
      <w:r>
        <w:rPr>
          <w:rFonts w:hint="eastAsia" w:ascii="宋体" w:hAnsi="宋体" w:eastAsia="宋体" w:cs="宋体"/>
          <w:b w:val="0"/>
          <w:bCs/>
          <w:sz w:val="21"/>
          <w:szCs w:val="21"/>
          <w:highlight w:val="none"/>
        </w:rPr>
        <w:t>为了满足患者使用便利，系统可支持与智慧医院小程序或公众号对接，实现线上签到、队列提醒等功能。</w:t>
      </w:r>
    </w:p>
    <w:p w14:paraId="43E32EC8">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2.4</w:t>
      </w:r>
      <w:r>
        <w:rPr>
          <w:rFonts w:hint="eastAsia" w:ascii="宋体" w:hAnsi="宋体" w:eastAsia="宋体" w:cs="宋体"/>
          <w:b w:val="0"/>
          <w:bCs/>
          <w:sz w:val="21"/>
          <w:szCs w:val="21"/>
          <w:highlight w:val="none"/>
        </w:rPr>
        <w:t>药房导诊叫号系统</w:t>
      </w:r>
    </w:p>
    <w:p w14:paraId="0888F3F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2.4.1</w:t>
      </w:r>
      <w:r>
        <w:rPr>
          <w:rFonts w:hint="eastAsia" w:ascii="宋体" w:hAnsi="宋体" w:eastAsia="宋体" w:cs="宋体"/>
          <w:b w:val="0"/>
          <w:bCs/>
          <w:sz w:val="21"/>
          <w:szCs w:val="21"/>
          <w:highlight w:val="none"/>
        </w:rPr>
        <w:t>取药需采用报到机制，避免发药机发药后无人领取现象，患者报到方可发药，有效解决取药窗口药品堆积或药品再退库的问题</w:t>
      </w:r>
      <w:r>
        <w:rPr>
          <w:rFonts w:hint="eastAsia" w:ascii="宋体" w:hAnsi="宋体" w:cs="宋体"/>
          <w:b w:val="0"/>
          <w:bCs/>
          <w:sz w:val="21"/>
          <w:szCs w:val="21"/>
          <w:highlight w:val="none"/>
          <w:lang w:eastAsia="zh-CN"/>
        </w:rPr>
        <w:t>；</w:t>
      </w:r>
    </w:p>
    <w:p w14:paraId="36096346">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2.4.2</w:t>
      </w:r>
      <w:r>
        <w:rPr>
          <w:rFonts w:hint="eastAsia" w:ascii="宋体" w:hAnsi="宋体" w:eastAsia="宋体" w:cs="宋体"/>
          <w:b w:val="0"/>
          <w:bCs/>
          <w:sz w:val="21"/>
          <w:szCs w:val="21"/>
          <w:highlight w:val="none"/>
        </w:rPr>
        <w:t>采用条码机制，有效识别患者身份，优化发药师叫号流程，实现自动叫号，减少工作量</w:t>
      </w:r>
      <w:r>
        <w:rPr>
          <w:rFonts w:hint="eastAsia" w:ascii="宋体" w:hAnsi="宋体" w:cs="宋体"/>
          <w:b w:val="0"/>
          <w:bCs/>
          <w:sz w:val="21"/>
          <w:szCs w:val="21"/>
          <w:highlight w:val="none"/>
          <w:lang w:eastAsia="zh-CN"/>
        </w:rPr>
        <w:t>；</w:t>
      </w:r>
    </w:p>
    <w:p w14:paraId="19CA65EE">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2.4.3</w:t>
      </w:r>
      <w:r>
        <w:rPr>
          <w:rFonts w:hint="eastAsia" w:ascii="宋体" w:hAnsi="宋体" w:eastAsia="宋体" w:cs="宋体"/>
          <w:b w:val="0"/>
          <w:bCs/>
          <w:sz w:val="21"/>
          <w:szCs w:val="21"/>
          <w:highlight w:val="none"/>
        </w:rPr>
        <w:t>通过液晶一体机和吸顶喇叭的提示播报信息，有效引导患者取药</w:t>
      </w:r>
      <w:r>
        <w:rPr>
          <w:rFonts w:hint="eastAsia" w:ascii="宋体" w:hAnsi="宋体" w:cs="宋体"/>
          <w:b w:val="0"/>
          <w:bCs/>
          <w:sz w:val="21"/>
          <w:szCs w:val="21"/>
          <w:highlight w:val="none"/>
          <w:lang w:eastAsia="zh-CN"/>
        </w:rPr>
        <w:t>。</w:t>
      </w:r>
    </w:p>
    <w:p w14:paraId="1F2304B2">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2.5</w:t>
      </w:r>
      <w:r>
        <w:rPr>
          <w:rFonts w:hint="eastAsia" w:ascii="宋体" w:hAnsi="宋体" w:eastAsia="宋体" w:cs="宋体"/>
          <w:b w:val="0"/>
          <w:bCs/>
          <w:sz w:val="21"/>
          <w:szCs w:val="21"/>
          <w:highlight w:val="none"/>
        </w:rPr>
        <w:t>医技检查导诊叫号系统</w:t>
      </w:r>
    </w:p>
    <w:p w14:paraId="53E1734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2.5.1</w:t>
      </w:r>
      <w:r>
        <w:rPr>
          <w:rFonts w:hint="eastAsia" w:ascii="宋体" w:hAnsi="宋体" w:eastAsia="宋体" w:cs="宋体"/>
          <w:b w:val="0"/>
          <w:bCs/>
          <w:sz w:val="21"/>
          <w:szCs w:val="21"/>
          <w:highlight w:val="none"/>
        </w:rPr>
        <w:t>系统支持过号患者与初检患者进行间隔呼叫的设定，设定规则灵活简便</w:t>
      </w:r>
      <w:r>
        <w:rPr>
          <w:rFonts w:hint="eastAsia" w:ascii="宋体" w:hAnsi="宋体" w:cs="宋体"/>
          <w:b w:val="0"/>
          <w:bCs/>
          <w:sz w:val="21"/>
          <w:szCs w:val="21"/>
          <w:highlight w:val="none"/>
          <w:lang w:eastAsia="zh-CN"/>
        </w:rPr>
        <w:t>；</w:t>
      </w:r>
    </w:p>
    <w:p w14:paraId="5231F713">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2.5.2</w:t>
      </w:r>
      <w:r>
        <w:rPr>
          <w:rFonts w:hint="eastAsia" w:ascii="宋体" w:hAnsi="宋体" w:eastAsia="宋体" w:cs="宋体"/>
          <w:b w:val="0"/>
          <w:bCs/>
          <w:sz w:val="21"/>
          <w:szCs w:val="21"/>
          <w:highlight w:val="none"/>
        </w:rPr>
        <w:t>支持护士操作预约和患者自助预约两种模式，预约平台要求操作简便，易学易用；</w:t>
      </w:r>
    </w:p>
    <w:p w14:paraId="41219E5C">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2.5.3</w:t>
      </w:r>
      <w:r>
        <w:rPr>
          <w:rFonts w:hint="eastAsia" w:ascii="宋体" w:hAnsi="宋体" w:eastAsia="宋体" w:cs="宋体"/>
          <w:b w:val="0"/>
          <w:bCs/>
          <w:sz w:val="21"/>
          <w:szCs w:val="21"/>
          <w:highlight w:val="none"/>
        </w:rPr>
        <w:t>护士可为患者进行单次、多次预约，修改预约和取消预约等操作；</w:t>
      </w:r>
    </w:p>
    <w:p w14:paraId="76BC41D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2.5.4</w:t>
      </w:r>
      <w:r>
        <w:rPr>
          <w:rFonts w:hint="eastAsia" w:ascii="宋体" w:hAnsi="宋体" w:eastAsia="宋体" w:cs="宋体"/>
          <w:b w:val="0"/>
          <w:bCs/>
          <w:sz w:val="21"/>
          <w:szCs w:val="21"/>
          <w:highlight w:val="none"/>
        </w:rPr>
        <w:t>在患者有多个检查项的情况下，当其被一检查项呼叫到时，其他检查项状态为挂起状态，待该患者完成当前检查后，其他检查项方可呼叫</w:t>
      </w:r>
      <w:r>
        <w:rPr>
          <w:rFonts w:hint="eastAsia" w:ascii="宋体" w:hAnsi="宋体" w:cs="宋体"/>
          <w:b w:val="0"/>
          <w:bCs/>
          <w:sz w:val="21"/>
          <w:szCs w:val="21"/>
          <w:highlight w:val="none"/>
          <w:lang w:eastAsia="zh-CN"/>
        </w:rPr>
        <w:t>；</w:t>
      </w:r>
    </w:p>
    <w:p w14:paraId="1316247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2.5.5</w:t>
      </w:r>
      <w:r>
        <w:rPr>
          <w:rFonts w:hint="eastAsia" w:ascii="宋体" w:hAnsi="宋体" w:eastAsia="宋体" w:cs="宋体"/>
          <w:b w:val="0"/>
          <w:bCs/>
          <w:sz w:val="21"/>
          <w:szCs w:val="21"/>
          <w:highlight w:val="none"/>
        </w:rPr>
        <w:t>在患者不具备检查条件时，护士分诊台软件可设置为挂起状态，待具备检查条件时，方可呼叫。</w:t>
      </w:r>
    </w:p>
    <w:p w14:paraId="53929D1C">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2.6</w:t>
      </w:r>
      <w:r>
        <w:rPr>
          <w:rFonts w:hint="eastAsia" w:ascii="宋体" w:hAnsi="宋体" w:eastAsia="宋体" w:cs="宋体"/>
          <w:b w:val="0"/>
          <w:bCs/>
          <w:sz w:val="21"/>
          <w:szCs w:val="21"/>
          <w:highlight w:val="none"/>
        </w:rPr>
        <w:t>检验科室导诊叫号系统</w:t>
      </w:r>
    </w:p>
    <w:p w14:paraId="374BABD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2.6.1</w:t>
      </w:r>
      <w:r>
        <w:rPr>
          <w:rFonts w:hint="eastAsia" w:ascii="宋体" w:hAnsi="宋体" w:eastAsia="宋体" w:cs="宋体"/>
          <w:b w:val="0"/>
          <w:bCs/>
          <w:sz w:val="21"/>
          <w:szCs w:val="21"/>
          <w:highlight w:val="none"/>
        </w:rPr>
        <w:t>在患者进行报到后，自动进入采血排队队列</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采血窗口按照患者报到的顺序进行叫号，窗口屏幕语音呼叫并显示患者信息</w:t>
      </w:r>
      <w:r>
        <w:rPr>
          <w:rFonts w:hint="eastAsia" w:ascii="宋体" w:hAnsi="宋体" w:cs="宋体"/>
          <w:b w:val="0"/>
          <w:bCs/>
          <w:sz w:val="21"/>
          <w:szCs w:val="21"/>
          <w:highlight w:val="none"/>
          <w:lang w:eastAsia="zh-CN"/>
        </w:rPr>
        <w:t>；</w:t>
      </w:r>
    </w:p>
    <w:p w14:paraId="03D1612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2.6.2</w:t>
      </w:r>
      <w:r>
        <w:rPr>
          <w:rFonts w:hint="eastAsia" w:ascii="宋体" w:hAnsi="宋体" w:eastAsia="宋体" w:cs="宋体"/>
          <w:b w:val="0"/>
          <w:bCs/>
          <w:sz w:val="21"/>
          <w:szCs w:val="21"/>
          <w:highlight w:val="none"/>
        </w:rPr>
        <w:t>患者排队顺序以报到时间或者取号时间为准，支持过号患者优先机制。</w:t>
      </w:r>
    </w:p>
    <w:p w14:paraId="5F8188F6">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2.7</w:t>
      </w:r>
      <w:r>
        <w:rPr>
          <w:rFonts w:hint="eastAsia" w:ascii="宋体" w:hAnsi="宋体" w:eastAsia="宋体" w:cs="宋体"/>
          <w:b w:val="0"/>
          <w:bCs/>
          <w:sz w:val="21"/>
          <w:szCs w:val="21"/>
          <w:highlight w:val="none"/>
        </w:rPr>
        <w:t>护士分诊台管理客户端软件</w:t>
      </w:r>
    </w:p>
    <w:p w14:paraId="492B22B4">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w:t>
      </w:r>
      <w:r>
        <w:rPr>
          <w:rFonts w:hint="eastAsia" w:ascii="宋体" w:hAnsi="宋体" w:eastAsia="宋体" w:cs="宋体"/>
          <w:b w:val="0"/>
          <w:bCs/>
          <w:sz w:val="21"/>
          <w:szCs w:val="21"/>
          <w:highlight w:val="none"/>
        </w:rPr>
        <w:t>支持查看当前诊区的每个队列叫号情况（如：排队队列名称、候诊人数、已就诊人数、未到过号人数、当前队列最后一次呼叫的患者姓名、排队序号、呼叫医生或诊位、叫号时间等）</w:t>
      </w:r>
      <w:r>
        <w:rPr>
          <w:rFonts w:hint="eastAsia" w:ascii="宋体" w:hAnsi="宋体" w:cs="宋体"/>
          <w:b w:val="0"/>
          <w:bCs/>
          <w:sz w:val="21"/>
          <w:szCs w:val="21"/>
          <w:highlight w:val="none"/>
          <w:lang w:eastAsia="zh-CN"/>
        </w:rPr>
        <w:t>；</w:t>
      </w:r>
    </w:p>
    <w:p w14:paraId="484F57B3">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2.7.2</w:t>
      </w:r>
      <w:r>
        <w:rPr>
          <w:rFonts w:hint="eastAsia" w:ascii="宋体" w:hAnsi="宋体" w:eastAsia="宋体" w:cs="宋体"/>
          <w:b w:val="0"/>
          <w:bCs/>
          <w:sz w:val="21"/>
          <w:szCs w:val="21"/>
          <w:highlight w:val="none"/>
        </w:rPr>
        <w:t>需支持医生模式或者诊室模式分别显示医生或者诊室队列，同时需支持对患者进行呼叫、分诊、报到、转诊、优先、弃号、调号、身份变更、延迟就诊等相关功能，支持通过已签到、未签到、呼叫记录对队列进行快速筛选，也可支持通过患者姓名、卡号等身份介质快速搜索就诊患者，并对其进行状态变更操作</w:t>
      </w:r>
      <w:r>
        <w:rPr>
          <w:rFonts w:hint="eastAsia" w:ascii="宋体" w:hAnsi="宋体" w:cs="宋体"/>
          <w:b w:val="0"/>
          <w:bCs/>
          <w:sz w:val="21"/>
          <w:szCs w:val="21"/>
          <w:highlight w:val="none"/>
          <w:lang w:eastAsia="zh-CN"/>
        </w:rPr>
        <w:t>；</w:t>
      </w:r>
    </w:p>
    <w:p w14:paraId="25CD9B0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2.7.3</w:t>
      </w:r>
      <w:r>
        <w:rPr>
          <w:rFonts w:hint="eastAsia" w:ascii="宋体" w:hAnsi="宋体" w:eastAsia="宋体" w:cs="宋体"/>
          <w:b w:val="0"/>
          <w:bCs/>
          <w:sz w:val="21"/>
          <w:szCs w:val="21"/>
          <w:highlight w:val="none"/>
        </w:rPr>
        <w:t>需支持置顶功能，分诊台科室、医生比较集中的情况下，护士可以通过手动的方式来实现关注的科室、医生放置到首位；</w:t>
      </w:r>
    </w:p>
    <w:p w14:paraId="5468705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2.7.4</w:t>
      </w:r>
      <w:r>
        <w:rPr>
          <w:rFonts w:hint="eastAsia" w:ascii="宋体" w:hAnsi="宋体" w:eastAsia="宋体" w:cs="宋体"/>
          <w:b w:val="0"/>
          <w:bCs/>
          <w:sz w:val="21"/>
          <w:szCs w:val="21"/>
          <w:highlight w:val="none"/>
        </w:rPr>
        <w:t>需支持对叫号策略进行可视化管理，支持在同一后台界面，对初诊、优先、回诊、过号、复诊、预约、迟到、转诊等多种患者类型的叫号优先级别、间隔进行调整。针对特殊类型患者，可手动添加患者类型，如70岁以上老人、军人、军属等，同时支持对该类型患者排队优先级别进行调整</w:t>
      </w:r>
      <w:r>
        <w:rPr>
          <w:rFonts w:hint="eastAsia" w:ascii="宋体" w:hAnsi="宋体" w:cs="宋体"/>
          <w:b w:val="0"/>
          <w:bCs/>
          <w:sz w:val="21"/>
          <w:szCs w:val="21"/>
          <w:highlight w:val="none"/>
          <w:lang w:eastAsia="zh-CN"/>
        </w:rPr>
        <w:t>；</w:t>
      </w:r>
    </w:p>
    <w:p w14:paraId="691DE61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2.7.5</w:t>
      </w:r>
      <w:r>
        <w:rPr>
          <w:rFonts w:hint="eastAsia" w:ascii="宋体" w:hAnsi="宋体" w:eastAsia="宋体" w:cs="宋体"/>
          <w:b w:val="0"/>
          <w:bCs/>
          <w:sz w:val="21"/>
          <w:szCs w:val="21"/>
          <w:highlight w:val="none"/>
        </w:rPr>
        <w:t>对于初诊、过号、回诊、迟到等不同状态、不同身份的患者，排队顺序规则需支持不少于1000种不同规则，且不同队列可应用不同排队规则</w:t>
      </w:r>
      <w:r>
        <w:rPr>
          <w:rFonts w:hint="eastAsia" w:ascii="宋体" w:hAnsi="宋体" w:cs="宋体"/>
          <w:b w:val="0"/>
          <w:bCs/>
          <w:sz w:val="21"/>
          <w:szCs w:val="21"/>
          <w:highlight w:val="none"/>
          <w:lang w:eastAsia="zh-CN"/>
        </w:rPr>
        <w:t>；</w:t>
      </w:r>
    </w:p>
    <w:p w14:paraId="13E3DE3C">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2.7.6</w:t>
      </w:r>
      <w:r>
        <w:rPr>
          <w:rFonts w:hint="eastAsia" w:ascii="宋体" w:hAnsi="宋体" w:eastAsia="宋体" w:cs="宋体"/>
          <w:b w:val="0"/>
          <w:bCs/>
          <w:sz w:val="21"/>
          <w:szCs w:val="21"/>
          <w:highlight w:val="none"/>
        </w:rPr>
        <w:t>应具备预检功能，可通过卡片识别患者基本信息，并支持手工录入身高、体重、心率、体温、血压、视力、行程异常、跌倒评估等相关预检信息，当医生呼叫时候，可将在预检信息在虚拟叫号器端展现，提升医生看诊效率</w:t>
      </w:r>
      <w:r>
        <w:rPr>
          <w:rFonts w:hint="eastAsia" w:ascii="宋体" w:hAnsi="宋体" w:cs="宋体"/>
          <w:b w:val="0"/>
          <w:bCs/>
          <w:sz w:val="21"/>
          <w:szCs w:val="21"/>
          <w:highlight w:val="none"/>
          <w:lang w:eastAsia="zh-CN"/>
        </w:rPr>
        <w:t>；</w:t>
      </w:r>
    </w:p>
    <w:p w14:paraId="1A6BAD7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2.7.7</w:t>
      </w:r>
      <w:r>
        <w:rPr>
          <w:rFonts w:hint="eastAsia" w:ascii="宋体" w:hAnsi="宋体" w:eastAsia="宋体" w:cs="宋体"/>
          <w:b w:val="0"/>
          <w:bCs/>
          <w:sz w:val="21"/>
          <w:szCs w:val="21"/>
          <w:highlight w:val="none"/>
        </w:rPr>
        <w:t>应具备对诊区内设备进行日常维护管理，需支持对设备状态、位置等进行远程监控，还需支持对设备进行相关操作，包括但不限于重启、开关机设置、截屏、清屏、刷新等处理</w:t>
      </w:r>
      <w:r>
        <w:rPr>
          <w:rFonts w:hint="eastAsia" w:ascii="宋体" w:hAnsi="宋体" w:cs="宋体"/>
          <w:b w:val="0"/>
          <w:bCs/>
          <w:sz w:val="21"/>
          <w:szCs w:val="21"/>
          <w:highlight w:val="none"/>
          <w:lang w:eastAsia="zh-CN"/>
        </w:rPr>
        <w:t>；</w:t>
      </w:r>
    </w:p>
    <w:p w14:paraId="1EC40D6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2.7.8</w:t>
      </w:r>
      <w:r>
        <w:rPr>
          <w:rFonts w:hint="eastAsia" w:ascii="宋体" w:hAnsi="宋体" w:eastAsia="宋体" w:cs="宋体"/>
          <w:b w:val="0"/>
          <w:bCs/>
          <w:sz w:val="21"/>
          <w:szCs w:val="21"/>
          <w:highlight w:val="none"/>
        </w:rPr>
        <w:t>为方便护士对正在呼叫患者或已呼叫患者身份信息确认，需支持显示区域内，3-5名患者的历史呼叫记录，便于护士核实就诊患者身份</w:t>
      </w:r>
      <w:r>
        <w:rPr>
          <w:rFonts w:hint="eastAsia" w:ascii="宋体" w:hAnsi="宋体" w:cs="宋体"/>
          <w:b w:val="0"/>
          <w:bCs/>
          <w:sz w:val="21"/>
          <w:szCs w:val="21"/>
          <w:highlight w:val="none"/>
          <w:lang w:eastAsia="zh-CN"/>
        </w:rPr>
        <w:t>；</w:t>
      </w:r>
    </w:p>
    <w:p w14:paraId="06EC947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2.7.9</w:t>
      </w:r>
      <w:r>
        <w:rPr>
          <w:rFonts w:hint="eastAsia" w:ascii="宋体" w:hAnsi="宋体" w:eastAsia="宋体" w:cs="宋体"/>
          <w:b w:val="0"/>
          <w:bCs/>
          <w:sz w:val="21"/>
          <w:szCs w:val="21"/>
          <w:highlight w:val="none"/>
        </w:rPr>
        <w:t>为方便医护人员及时沟通，需支持医护通讯功能，可查看区域内在线医生情况，通过点选医生，即可查看医生发出的相关信息</w:t>
      </w:r>
      <w:r>
        <w:rPr>
          <w:rFonts w:hint="eastAsia" w:ascii="宋体" w:hAnsi="宋体" w:cs="宋体"/>
          <w:b w:val="0"/>
          <w:bCs/>
          <w:sz w:val="21"/>
          <w:szCs w:val="21"/>
          <w:highlight w:val="none"/>
          <w:lang w:eastAsia="zh-CN"/>
        </w:rPr>
        <w:t>；</w:t>
      </w:r>
    </w:p>
    <w:p w14:paraId="5F61DCC1">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2.7.10</w:t>
      </w:r>
      <w:r>
        <w:rPr>
          <w:rFonts w:hint="eastAsia" w:ascii="宋体" w:hAnsi="宋体" w:eastAsia="宋体" w:cs="宋体"/>
          <w:b w:val="0"/>
          <w:bCs/>
          <w:sz w:val="21"/>
          <w:szCs w:val="21"/>
          <w:highlight w:val="none"/>
        </w:rPr>
        <w:t>支持同步HIS系统中医生排班数据，并支持临时手动调整功能；支持编辑周期内医生排班功能，并支持对医生每天出诊情况进行手动调整</w:t>
      </w:r>
      <w:r>
        <w:rPr>
          <w:rFonts w:hint="eastAsia" w:ascii="宋体" w:hAnsi="宋体" w:cs="宋体"/>
          <w:b w:val="0"/>
          <w:bCs/>
          <w:sz w:val="21"/>
          <w:szCs w:val="21"/>
          <w:highlight w:val="none"/>
          <w:lang w:eastAsia="zh-CN"/>
        </w:rPr>
        <w:t>；</w:t>
      </w:r>
    </w:p>
    <w:p w14:paraId="260035E9">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2.7.11</w:t>
      </w:r>
      <w:r>
        <w:rPr>
          <w:rFonts w:hint="eastAsia" w:ascii="宋体" w:hAnsi="宋体" w:eastAsia="宋体" w:cs="宋体"/>
          <w:b w:val="0"/>
          <w:bCs/>
          <w:sz w:val="21"/>
          <w:szCs w:val="21"/>
          <w:highlight w:val="none"/>
        </w:rPr>
        <w:t>可以查看某检查项的排队信息，包含剩余号量、等候人数、过号人数、预约未报到人数，以及各个患者的排队检查信息</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同时可以为患者做“优先”、“暂停”、“调号”等操作</w:t>
      </w:r>
      <w:r>
        <w:rPr>
          <w:rFonts w:hint="eastAsia" w:ascii="宋体" w:hAnsi="宋体" w:cs="宋体"/>
          <w:b w:val="0"/>
          <w:bCs/>
          <w:sz w:val="21"/>
          <w:szCs w:val="21"/>
          <w:highlight w:val="none"/>
          <w:lang w:eastAsia="zh-CN"/>
        </w:rPr>
        <w:t>；</w:t>
      </w:r>
    </w:p>
    <w:p w14:paraId="72A5D9CA">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2.7.12</w:t>
      </w:r>
      <w:r>
        <w:rPr>
          <w:rFonts w:hint="eastAsia" w:ascii="宋体" w:hAnsi="宋体" w:eastAsia="宋体" w:cs="宋体"/>
          <w:b w:val="0"/>
          <w:bCs/>
          <w:sz w:val="21"/>
          <w:szCs w:val="21"/>
          <w:highlight w:val="none"/>
        </w:rPr>
        <w:t>支持刷卡、扫描条码、手工录入等多种方式进行初诊患者签到、复诊患者二次签到、过号患者再报到、患者状态查询、患者排序调号、患者预约等</w:t>
      </w:r>
      <w:r>
        <w:rPr>
          <w:rFonts w:hint="eastAsia" w:ascii="宋体" w:hAnsi="宋体" w:cs="宋体"/>
          <w:b w:val="0"/>
          <w:bCs/>
          <w:sz w:val="21"/>
          <w:szCs w:val="21"/>
          <w:highlight w:val="none"/>
          <w:lang w:eastAsia="zh-CN"/>
        </w:rPr>
        <w:t>；</w:t>
      </w:r>
    </w:p>
    <w:p w14:paraId="3200C23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2.7.13</w:t>
      </w:r>
      <w:r>
        <w:rPr>
          <w:rFonts w:hint="eastAsia" w:ascii="宋体" w:hAnsi="宋体" w:eastAsia="宋体" w:cs="宋体"/>
          <w:b w:val="0"/>
          <w:bCs/>
          <w:sz w:val="21"/>
          <w:szCs w:val="21"/>
          <w:highlight w:val="none"/>
        </w:rPr>
        <w:t>早间高峰期患者突增情况下，需支持自动报到和手动批量报到机制，避免患者拥堵分诊台签到，降低排队护士工作量</w:t>
      </w:r>
      <w:r>
        <w:rPr>
          <w:rFonts w:hint="eastAsia" w:ascii="宋体" w:hAnsi="宋体" w:cs="宋体"/>
          <w:b w:val="0"/>
          <w:bCs/>
          <w:sz w:val="21"/>
          <w:szCs w:val="21"/>
          <w:highlight w:val="none"/>
          <w:lang w:eastAsia="zh-CN"/>
        </w:rPr>
        <w:t>；</w:t>
      </w:r>
    </w:p>
    <w:p w14:paraId="709F4F3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2.7.14</w:t>
      </w:r>
      <w:r>
        <w:rPr>
          <w:rFonts w:hint="eastAsia" w:ascii="宋体" w:hAnsi="宋体" w:eastAsia="宋体" w:cs="宋体"/>
          <w:b w:val="0"/>
          <w:bCs/>
          <w:sz w:val="21"/>
          <w:szCs w:val="21"/>
          <w:highlight w:val="none"/>
        </w:rPr>
        <w:t>在普通号情况下，需支持将患者手动分配至指定医生或诊室下排队候诊</w:t>
      </w:r>
      <w:r>
        <w:rPr>
          <w:rFonts w:hint="eastAsia" w:ascii="宋体" w:hAnsi="宋体" w:cs="宋体"/>
          <w:b w:val="0"/>
          <w:bCs/>
          <w:sz w:val="21"/>
          <w:szCs w:val="21"/>
          <w:highlight w:val="none"/>
          <w:lang w:eastAsia="zh-CN"/>
        </w:rPr>
        <w:t>；</w:t>
      </w:r>
    </w:p>
    <w:p w14:paraId="0A64CEC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2.7.15</w:t>
      </w:r>
      <w:r>
        <w:rPr>
          <w:rFonts w:hint="eastAsia" w:ascii="宋体" w:hAnsi="宋体" w:eastAsia="宋体" w:cs="宋体"/>
          <w:b w:val="0"/>
          <w:bCs/>
          <w:sz w:val="21"/>
          <w:szCs w:val="21"/>
          <w:highlight w:val="none"/>
        </w:rPr>
        <w:t>需支持对“特殊”患者进行标识，并对此类患者进行优先就诊操作，例如老、幼、军人、离休等患者可优先就诊，同时叫号屏幕可显示此类患者标识，如“军”、“幼”等，并用其他颜色以示区别</w:t>
      </w:r>
      <w:r>
        <w:rPr>
          <w:rFonts w:hint="eastAsia" w:ascii="宋体" w:hAnsi="宋体" w:cs="宋体"/>
          <w:b w:val="0"/>
          <w:bCs/>
          <w:sz w:val="21"/>
          <w:szCs w:val="21"/>
          <w:highlight w:val="none"/>
          <w:lang w:eastAsia="zh-CN"/>
        </w:rPr>
        <w:t>；</w:t>
      </w:r>
    </w:p>
    <w:p w14:paraId="2BA6C78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2.7.16</w:t>
      </w:r>
      <w:r>
        <w:rPr>
          <w:rFonts w:hint="eastAsia" w:ascii="宋体" w:hAnsi="宋体" w:eastAsia="宋体" w:cs="宋体"/>
          <w:b w:val="0"/>
          <w:bCs/>
          <w:sz w:val="21"/>
          <w:szCs w:val="21"/>
          <w:highlight w:val="none"/>
        </w:rPr>
        <w:t>需支持同一诊区下转诊功能，可将患者从一个队列转到另一个队列排队</w:t>
      </w:r>
      <w:r>
        <w:rPr>
          <w:rFonts w:hint="eastAsia" w:ascii="宋体" w:hAnsi="宋体" w:cs="宋体"/>
          <w:b w:val="0"/>
          <w:bCs/>
          <w:sz w:val="21"/>
          <w:szCs w:val="21"/>
          <w:highlight w:val="none"/>
          <w:lang w:eastAsia="zh-CN"/>
        </w:rPr>
        <w:t>；</w:t>
      </w:r>
    </w:p>
    <w:p w14:paraId="7B9DF578">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2.7.17</w:t>
      </w:r>
      <w:r>
        <w:rPr>
          <w:rFonts w:hint="eastAsia" w:ascii="宋体" w:hAnsi="宋体" w:eastAsia="宋体" w:cs="宋体"/>
          <w:b w:val="0"/>
          <w:bCs/>
          <w:sz w:val="21"/>
          <w:szCs w:val="21"/>
          <w:highlight w:val="none"/>
        </w:rPr>
        <w:t>系统需支持延迟呼叫，例如在检查、检验科室，当患者暂时不满足检查、检验条件时，护士可对患者进行延迟就诊操作，延迟时长可自定义，时间截止时，自动取消患者延迟状态，也可以通过护士手动取消患者延迟状态</w:t>
      </w:r>
      <w:r>
        <w:rPr>
          <w:rFonts w:hint="eastAsia" w:ascii="宋体" w:hAnsi="宋体" w:cs="宋体"/>
          <w:b w:val="0"/>
          <w:bCs/>
          <w:sz w:val="21"/>
          <w:szCs w:val="21"/>
          <w:highlight w:val="none"/>
          <w:lang w:eastAsia="zh-CN"/>
        </w:rPr>
        <w:t>；</w:t>
      </w:r>
    </w:p>
    <w:p w14:paraId="17B7652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2.7.18</w:t>
      </w:r>
      <w:r>
        <w:rPr>
          <w:rFonts w:hint="eastAsia" w:ascii="宋体" w:hAnsi="宋体" w:eastAsia="宋体" w:cs="宋体"/>
          <w:b w:val="0"/>
          <w:bCs/>
          <w:sz w:val="21"/>
          <w:szCs w:val="21"/>
          <w:highlight w:val="none"/>
        </w:rPr>
        <w:t>需支持复诊（回诊）患者签到再次进入队列功能，同时可根据需求设置复诊插队策略，例如：优先插队、间隔插队</w:t>
      </w:r>
      <w:r>
        <w:rPr>
          <w:rFonts w:hint="eastAsia" w:ascii="宋体" w:hAnsi="宋体" w:cs="宋体"/>
          <w:b w:val="0"/>
          <w:bCs/>
          <w:sz w:val="21"/>
          <w:szCs w:val="21"/>
          <w:highlight w:val="none"/>
          <w:lang w:eastAsia="zh-CN"/>
        </w:rPr>
        <w:t>；</w:t>
      </w:r>
    </w:p>
    <w:p w14:paraId="38BA26C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2.7.19</w:t>
      </w:r>
      <w:r>
        <w:rPr>
          <w:rFonts w:hint="eastAsia" w:ascii="宋体" w:hAnsi="宋体" w:eastAsia="宋体" w:cs="宋体"/>
          <w:b w:val="0"/>
          <w:bCs/>
          <w:sz w:val="21"/>
          <w:szCs w:val="21"/>
          <w:highlight w:val="none"/>
        </w:rPr>
        <w:t>支持绿色通道（弃号）功能，可不经叫号直接就诊</w:t>
      </w:r>
      <w:r>
        <w:rPr>
          <w:rFonts w:hint="eastAsia" w:ascii="宋体" w:hAnsi="宋体" w:cs="宋体"/>
          <w:b w:val="0"/>
          <w:bCs/>
          <w:sz w:val="21"/>
          <w:szCs w:val="21"/>
          <w:highlight w:val="none"/>
          <w:lang w:eastAsia="zh-CN"/>
        </w:rPr>
        <w:t>；</w:t>
      </w:r>
    </w:p>
    <w:p w14:paraId="74434998">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2.7.20</w:t>
      </w:r>
      <w:r>
        <w:rPr>
          <w:rFonts w:hint="eastAsia" w:ascii="宋体" w:hAnsi="宋体" w:eastAsia="宋体" w:cs="宋体"/>
          <w:b w:val="0"/>
          <w:bCs/>
          <w:sz w:val="21"/>
          <w:szCs w:val="21"/>
          <w:highlight w:val="none"/>
        </w:rPr>
        <w:t>支持过号患者签到再次进入队列功能，同时可根据需求设置过号患者优先就诊，延后就诊，延后就诊可设置延后位数</w:t>
      </w:r>
      <w:r>
        <w:rPr>
          <w:rFonts w:hint="eastAsia" w:ascii="宋体" w:hAnsi="宋体" w:cs="宋体"/>
          <w:b w:val="0"/>
          <w:bCs/>
          <w:sz w:val="21"/>
          <w:szCs w:val="21"/>
          <w:highlight w:val="none"/>
          <w:lang w:eastAsia="zh-CN"/>
        </w:rPr>
        <w:t>；</w:t>
      </w:r>
    </w:p>
    <w:p w14:paraId="0699654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2.7.21</w:t>
      </w:r>
      <w:r>
        <w:rPr>
          <w:rFonts w:hint="eastAsia" w:ascii="宋体" w:hAnsi="宋体" w:eastAsia="宋体" w:cs="宋体"/>
          <w:b w:val="0"/>
          <w:bCs/>
          <w:sz w:val="21"/>
          <w:szCs w:val="21"/>
          <w:highlight w:val="none"/>
        </w:rPr>
        <w:t>需支持记录护士上一步操作功能，主界面位置显示上一步护士操作信息。</w:t>
      </w:r>
    </w:p>
    <w:p w14:paraId="1E85EBDA">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2.8</w:t>
      </w:r>
      <w:r>
        <w:rPr>
          <w:rFonts w:hint="eastAsia" w:ascii="宋体" w:hAnsi="宋体" w:eastAsia="宋体" w:cs="宋体"/>
          <w:b w:val="0"/>
          <w:bCs/>
          <w:sz w:val="21"/>
          <w:szCs w:val="21"/>
          <w:highlight w:val="none"/>
        </w:rPr>
        <w:t>医生工作站客户端软件</w:t>
      </w:r>
    </w:p>
    <w:p w14:paraId="4D7BA249">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kern w:val="2"/>
          <w:sz w:val="21"/>
          <w:szCs w:val="21"/>
          <w:highlight w:val="none"/>
          <w:lang w:val="en-US" w:eastAsia="zh-CN" w:bidi="ar-SA"/>
        </w:rPr>
        <w:t>2.8.1</w:t>
      </w:r>
      <w:r>
        <w:rPr>
          <w:rFonts w:hint="eastAsia" w:ascii="宋体" w:hAnsi="宋体" w:eastAsia="宋体" w:cs="宋体"/>
          <w:b w:val="0"/>
          <w:bCs/>
          <w:sz w:val="21"/>
          <w:szCs w:val="21"/>
          <w:highlight w:val="none"/>
        </w:rPr>
        <w:t>支持医生ID号登录；</w:t>
      </w:r>
    </w:p>
    <w:p w14:paraId="044D3801">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2.8.2</w:t>
      </w:r>
      <w:r>
        <w:rPr>
          <w:rFonts w:hint="eastAsia" w:ascii="宋体" w:hAnsi="宋体" w:eastAsia="宋体" w:cs="宋体"/>
          <w:b w:val="0"/>
          <w:bCs/>
          <w:sz w:val="21"/>
          <w:szCs w:val="21"/>
          <w:highlight w:val="none"/>
        </w:rPr>
        <w:t>支持叫号、重呼、选呼三种呼叫方式；支持过号（呼叫未到）、诊结两种结束状态；支持暂离、停诊等状态切换；</w:t>
      </w:r>
    </w:p>
    <w:p w14:paraId="6C3F91BA">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2.8.3</w:t>
      </w:r>
      <w:r>
        <w:rPr>
          <w:rFonts w:hint="eastAsia" w:ascii="宋体" w:hAnsi="宋体" w:eastAsia="宋体" w:cs="宋体"/>
          <w:b w:val="0"/>
          <w:bCs/>
          <w:sz w:val="21"/>
          <w:szCs w:val="21"/>
          <w:highlight w:val="none"/>
        </w:rPr>
        <w:t>医生同时出诊多队列时,可自行设定多队列的呼叫策略；</w:t>
      </w:r>
    </w:p>
    <w:p w14:paraId="106E815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2.8.4</w:t>
      </w:r>
      <w:r>
        <w:rPr>
          <w:rFonts w:hint="eastAsia" w:ascii="宋体" w:hAnsi="宋体" w:eastAsia="宋体" w:cs="宋体"/>
          <w:b w:val="0"/>
          <w:bCs/>
          <w:sz w:val="21"/>
          <w:szCs w:val="21"/>
          <w:highlight w:val="none"/>
        </w:rPr>
        <w:t>支持悬浮窗及自动停靠；</w:t>
      </w:r>
    </w:p>
    <w:p w14:paraId="723945F1">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2.8.5</w:t>
      </w:r>
      <w:r>
        <w:rPr>
          <w:rFonts w:hint="eastAsia" w:ascii="宋体" w:hAnsi="宋体" w:eastAsia="宋体" w:cs="宋体"/>
          <w:b w:val="0"/>
          <w:bCs/>
          <w:sz w:val="21"/>
          <w:szCs w:val="21"/>
          <w:highlight w:val="none"/>
        </w:rPr>
        <w:t>可开放叫号器功能接口，允许第三方系统调用</w:t>
      </w:r>
      <w:r>
        <w:rPr>
          <w:rFonts w:hint="eastAsia" w:ascii="宋体" w:hAnsi="宋体" w:cs="宋体"/>
          <w:b w:val="0"/>
          <w:bCs/>
          <w:sz w:val="21"/>
          <w:szCs w:val="21"/>
          <w:highlight w:val="none"/>
          <w:lang w:eastAsia="zh-CN"/>
        </w:rPr>
        <w:t>。</w:t>
      </w:r>
    </w:p>
    <w:p w14:paraId="65598E40">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2.9</w:t>
      </w:r>
      <w:r>
        <w:rPr>
          <w:rFonts w:hint="eastAsia" w:ascii="宋体" w:hAnsi="宋体" w:eastAsia="宋体" w:cs="宋体"/>
          <w:b w:val="0"/>
          <w:bCs/>
          <w:sz w:val="21"/>
          <w:szCs w:val="21"/>
          <w:highlight w:val="none"/>
        </w:rPr>
        <w:t>语音库模块</w:t>
      </w:r>
    </w:p>
    <w:p w14:paraId="529E1ADC">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2.9.1</w:t>
      </w:r>
      <w:r>
        <w:rPr>
          <w:rFonts w:hint="eastAsia" w:ascii="宋体" w:hAnsi="宋体" w:eastAsia="宋体" w:cs="宋体"/>
          <w:b w:val="0"/>
          <w:bCs/>
          <w:sz w:val="21"/>
          <w:szCs w:val="21"/>
          <w:highlight w:val="none"/>
        </w:rPr>
        <w:t>系统应具备按照病区划分的、语音效果可覆盖整个物理病区的语音播报软件或功能模块</w:t>
      </w:r>
      <w:r>
        <w:rPr>
          <w:rFonts w:hint="eastAsia" w:ascii="宋体" w:hAnsi="宋体" w:cs="宋体"/>
          <w:b w:val="0"/>
          <w:bCs/>
          <w:sz w:val="21"/>
          <w:szCs w:val="21"/>
          <w:highlight w:val="none"/>
          <w:lang w:eastAsia="zh-CN"/>
        </w:rPr>
        <w:t>；</w:t>
      </w:r>
    </w:p>
    <w:p w14:paraId="3638C562">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2.9.2</w:t>
      </w:r>
      <w:r>
        <w:rPr>
          <w:rFonts w:hint="eastAsia" w:ascii="宋体" w:hAnsi="宋体" w:eastAsia="宋体" w:cs="宋体"/>
          <w:b w:val="0"/>
          <w:bCs/>
          <w:sz w:val="21"/>
          <w:szCs w:val="21"/>
          <w:highlight w:val="none"/>
        </w:rPr>
        <w:t>语音播报软件应具备全语音库的语音呼叫功能，需支持文本内容(中文、数字)自动语音合成与播报，排队叫号信息可自动合成为语音信息播放</w:t>
      </w:r>
      <w:r>
        <w:rPr>
          <w:rFonts w:hint="eastAsia" w:ascii="宋体" w:hAnsi="宋体" w:cs="宋体"/>
          <w:b w:val="0"/>
          <w:bCs/>
          <w:sz w:val="21"/>
          <w:szCs w:val="21"/>
          <w:highlight w:val="none"/>
          <w:lang w:eastAsia="zh-CN"/>
        </w:rPr>
        <w:t>；</w:t>
      </w:r>
    </w:p>
    <w:p w14:paraId="73287460">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2.9.3</w:t>
      </w:r>
      <w:r>
        <w:rPr>
          <w:rFonts w:hint="eastAsia" w:ascii="宋体" w:hAnsi="宋体" w:eastAsia="宋体" w:cs="宋体"/>
          <w:b w:val="0"/>
          <w:bCs/>
          <w:sz w:val="21"/>
          <w:szCs w:val="21"/>
          <w:highlight w:val="none"/>
        </w:rPr>
        <w:t>需支持叫号语音音量网络远程调节</w:t>
      </w:r>
      <w:r>
        <w:rPr>
          <w:rFonts w:hint="eastAsia" w:ascii="宋体" w:hAnsi="宋体" w:cs="宋体"/>
          <w:b w:val="0"/>
          <w:bCs/>
          <w:sz w:val="21"/>
          <w:szCs w:val="21"/>
          <w:highlight w:val="none"/>
          <w:lang w:eastAsia="zh-CN"/>
        </w:rPr>
        <w:t>；</w:t>
      </w:r>
    </w:p>
    <w:p w14:paraId="1ADDF385">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2.9.4</w:t>
      </w:r>
      <w:r>
        <w:rPr>
          <w:rFonts w:hint="eastAsia" w:ascii="宋体" w:hAnsi="宋体" w:eastAsia="宋体" w:cs="宋体"/>
          <w:b w:val="0"/>
          <w:bCs/>
          <w:sz w:val="21"/>
          <w:szCs w:val="21"/>
          <w:highlight w:val="none"/>
        </w:rPr>
        <w:t>语音要求为女声，支持普通话、粤语播放，且语音清晰、流畅、无噪音、声音感受效果良好，可覆盖病区的所有角落。</w:t>
      </w:r>
    </w:p>
    <w:p w14:paraId="0E685F08">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2.10</w:t>
      </w:r>
      <w:r>
        <w:rPr>
          <w:rFonts w:hint="eastAsia" w:ascii="宋体" w:hAnsi="宋体" w:eastAsia="宋体" w:cs="宋体"/>
          <w:b w:val="0"/>
          <w:bCs/>
          <w:sz w:val="21"/>
          <w:szCs w:val="21"/>
          <w:highlight w:val="none"/>
        </w:rPr>
        <w:t>显示客户端软件</w:t>
      </w:r>
    </w:p>
    <w:p w14:paraId="18856BA7">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2.10.1</w:t>
      </w:r>
      <w:r>
        <w:rPr>
          <w:rFonts w:hint="eastAsia" w:ascii="宋体" w:hAnsi="宋体" w:eastAsia="宋体" w:cs="宋体"/>
          <w:b w:val="0"/>
          <w:bCs/>
          <w:sz w:val="21"/>
          <w:szCs w:val="21"/>
          <w:highlight w:val="none"/>
        </w:rPr>
        <w:t>需具备分屏显示功能</w:t>
      </w:r>
      <w:r>
        <w:rPr>
          <w:rFonts w:hint="eastAsia" w:ascii="宋体" w:hAnsi="宋体" w:cs="宋体"/>
          <w:b w:val="0"/>
          <w:bCs/>
          <w:sz w:val="21"/>
          <w:szCs w:val="21"/>
          <w:highlight w:val="none"/>
          <w:lang w:eastAsia="zh-CN"/>
        </w:rPr>
        <w:t>；</w:t>
      </w:r>
    </w:p>
    <w:p w14:paraId="58F26C63">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2.10.2</w:t>
      </w:r>
      <w:r>
        <w:rPr>
          <w:rFonts w:hint="eastAsia" w:ascii="宋体" w:hAnsi="宋体" w:eastAsia="宋体" w:cs="宋体"/>
          <w:b w:val="0"/>
          <w:bCs/>
          <w:sz w:val="21"/>
          <w:szCs w:val="21"/>
          <w:highlight w:val="none"/>
        </w:rPr>
        <w:t>显示内容至少应包括科室名称、病人姓名、病人排队号码以及就诊科室号等内容</w:t>
      </w:r>
      <w:r>
        <w:rPr>
          <w:rFonts w:hint="eastAsia" w:ascii="宋体" w:hAnsi="宋体" w:cs="宋体"/>
          <w:b w:val="0"/>
          <w:bCs/>
          <w:sz w:val="21"/>
          <w:szCs w:val="21"/>
          <w:highlight w:val="none"/>
          <w:lang w:eastAsia="zh-CN"/>
        </w:rPr>
        <w:t>；</w:t>
      </w:r>
    </w:p>
    <w:p w14:paraId="4C9C7C5F">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2.10.3</w:t>
      </w:r>
      <w:r>
        <w:rPr>
          <w:rFonts w:hint="eastAsia" w:ascii="宋体" w:hAnsi="宋体" w:eastAsia="宋体" w:cs="宋体"/>
          <w:b w:val="0"/>
          <w:bCs/>
          <w:sz w:val="21"/>
          <w:szCs w:val="21"/>
          <w:highlight w:val="none"/>
        </w:rPr>
        <w:t>显示界面支持根据具体需求进行不限于颜色、板式、字体的修改</w:t>
      </w:r>
      <w:r>
        <w:rPr>
          <w:rFonts w:hint="eastAsia" w:ascii="宋体" w:hAnsi="宋体" w:cs="宋体"/>
          <w:b w:val="0"/>
          <w:bCs/>
          <w:sz w:val="21"/>
          <w:szCs w:val="21"/>
          <w:highlight w:val="none"/>
          <w:lang w:eastAsia="zh-CN"/>
        </w:rPr>
        <w:t>；</w:t>
      </w:r>
    </w:p>
    <w:p w14:paraId="322CB58B">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2.10.4</w:t>
      </w:r>
      <w:r>
        <w:rPr>
          <w:rFonts w:hint="eastAsia" w:ascii="宋体" w:hAnsi="宋体" w:eastAsia="宋体" w:cs="宋体"/>
          <w:b w:val="0"/>
          <w:bCs/>
          <w:sz w:val="21"/>
          <w:szCs w:val="21"/>
          <w:highlight w:val="none"/>
        </w:rPr>
        <w:t>需具备叫号弹窗提示功能</w:t>
      </w:r>
      <w:r>
        <w:rPr>
          <w:rFonts w:hint="eastAsia" w:ascii="宋体" w:hAnsi="宋体" w:cs="宋体"/>
          <w:b w:val="0"/>
          <w:bCs/>
          <w:sz w:val="21"/>
          <w:szCs w:val="21"/>
          <w:highlight w:val="none"/>
          <w:lang w:eastAsia="zh-CN"/>
        </w:rPr>
        <w:t>；</w:t>
      </w:r>
    </w:p>
    <w:p w14:paraId="688A466D">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2.10.5</w:t>
      </w:r>
      <w:r>
        <w:rPr>
          <w:rFonts w:hint="eastAsia" w:ascii="宋体" w:hAnsi="宋体" w:eastAsia="宋体" w:cs="宋体"/>
          <w:b w:val="0"/>
          <w:bCs/>
          <w:sz w:val="21"/>
          <w:szCs w:val="21"/>
          <w:highlight w:val="none"/>
        </w:rPr>
        <w:t>需具备特殊患者如过号、复诊、优先等，页面具备特殊备注功能。</w:t>
      </w:r>
    </w:p>
    <w:p w14:paraId="283EA192">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2.11</w:t>
      </w:r>
      <w:r>
        <w:rPr>
          <w:rFonts w:hint="eastAsia" w:ascii="宋体" w:hAnsi="宋体" w:eastAsia="宋体" w:cs="宋体"/>
          <w:b w:val="0"/>
          <w:bCs/>
          <w:sz w:val="21"/>
          <w:szCs w:val="21"/>
          <w:highlight w:val="none"/>
        </w:rPr>
        <w:t>数据系统接口软件</w:t>
      </w:r>
    </w:p>
    <w:p w14:paraId="5362CE53">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cs="宋体"/>
          <w:b w:val="0"/>
          <w:bCs/>
          <w:kern w:val="2"/>
          <w:sz w:val="21"/>
          <w:szCs w:val="21"/>
          <w:highlight w:val="none"/>
          <w:lang w:val="en-US" w:eastAsia="zh-CN" w:bidi="ar-SA"/>
        </w:rPr>
        <w:t>2.11.1</w:t>
      </w:r>
      <w:r>
        <w:rPr>
          <w:rFonts w:hint="eastAsia" w:ascii="宋体" w:hAnsi="宋体" w:eastAsia="宋体" w:cs="宋体"/>
          <w:b w:val="0"/>
          <w:bCs/>
          <w:sz w:val="21"/>
          <w:szCs w:val="21"/>
          <w:highlight w:val="none"/>
        </w:rPr>
        <w:t>系统需与</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HIS、LIS、PACS等系统进行数据对接，其应遵循标准的HL7接口，支持视图方式、Webservice方式、DLL调用方式实现各系统间的数据交换</w:t>
      </w:r>
      <w:r>
        <w:rPr>
          <w:rFonts w:hint="eastAsia" w:ascii="宋体" w:hAnsi="宋体" w:cs="宋体"/>
          <w:b w:val="0"/>
          <w:bCs/>
          <w:sz w:val="21"/>
          <w:szCs w:val="21"/>
          <w:highlight w:val="none"/>
          <w:lang w:eastAsia="zh-CN"/>
        </w:rPr>
        <w:t>；</w:t>
      </w:r>
    </w:p>
    <w:p w14:paraId="50796BF4">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2.11.2</w:t>
      </w:r>
      <w:r>
        <w:rPr>
          <w:rFonts w:hint="eastAsia" w:ascii="宋体" w:hAnsi="宋体" w:eastAsia="宋体" w:cs="宋体"/>
          <w:b w:val="0"/>
          <w:bCs/>
          <w:sz w:val="21"/>
          <w:szCs w:val="21"/>
          <w:highlight w:val="none"/>
        </w:rPr>
        <w:t>含终端软件授权，医生工作站软件、含内嵌HIS叫号，微信公众号、HIS系统、LIS系统、影像系统及集成平台等第三方平台系统对接，含所有接口费。</w:t>
      </w:r>
    </w:p>
    <w:p w14:paraId="75FE7661">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 验收标准和验收方案</w:t>
      </w:r>
    </w:p>
    <w:p w14:paraId="6B5ADB2E">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w:t>
      </w:r>
      <w:r>
        <w:rPr>
          <w:rFonts w:hint="eastAsia" w:ascii="宋体" w:hAnsi="宋体" w:eastAsia="宋体" w:cs="宋体"/>
          <w:b w:val="0"/>
          <w:bCs/>
          <w:sz w:val="21"/>
          <w:szCs w:val="21"/>
          <w:highlight w:val="none"/>
        </w:rPr>
        <w:t>验收标准：</w:t>
      </w:r>
    </w:p>
    <w:p w14:paraId="23C9EB16">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1.1</w:t>
      </w:r>
      <w:r>
        <w:rPr>
          <w:rFonts w:hint="eastAsia" w:ascii="宋体" w:hAnsi="宋体" w:eastAsia="宋体" w:cs="宋体"/>
          <w:b w:val="0"/>
          <w:bCs/>
          <w:sz w:val="21"/>
          <w:szCs w:val="21"/>
          <w:highlight w:val="none"/>
        </w:rPr>
        <w:t>功能验收：对照本</w:t>
      </w:r>
      <w:r>
        <w:rPr>
          <w:rFonts w:hint="eastAsia" w:ascii="宋体" w:hAnsi="宋体" w:eastAsia="宋体" w:cs="宋体"/>
          <w:b w:val="0"/>
          <w:bCs/>
          <w:sz w:val="21"/>
          <w:szCs w:val="21"/>
          <w:highlight w:val="none"/>
          <w:lang w:val="en-US" w:eastAsia="zh-CN"/>
        </w:rPr>
        <w:t>采购</w:t>
      </w:r>
      <w:r>
        <w:rPr>
          <w:rFonts w:hint="eastAsia" w:ascii="宋体" w:hAnsi="宋体" w:eastAsia="宋体" w:cs="宋体"/>
          <w:b w:val="0"/>
          <w:bCs/>
          <w:sz w:val="21"/>
          <w:szCs w:val="21"/>
          <w:highlight w:val="none"/>
        </w:rPr>
        <w:t>文件中列明的软件功能要求、硬件参数要求逐项核验，所有功能需满足需求描述，所有硬件参数符合约定标准，系统整体能够稳定适配</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现有业务流程正常运行；</w:t>
      </w:r>
    </w:p>
    <w:p w14:paraId="123B8891">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1.2</w:t>
      </w:r>
      <w:r>
        <w:rPr>
          <w:rFonts w:hint="eastAsia" w:ascii="宋体" w:hAnsi="宋体" w:eastAsia="宋体" w:cs="宋体"/>
          <w:b w:val="0"/>
          <w:bCs/>
          <w:sz w:val="21"/>
          <w:szCs w:val="21"/>
          <w:highlight w:val="none"/>
        </w:rPr>
        <w:t>文档验收：</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须按要求提交完整的项目文档，包括但不限于实施部署文档、操作手册、常见故障维护手册等，文档齐全、内容符合要求方可通过文档验收；</w:t>
      </w:r>
    </w:p>
    <w:p w14:paraId="74FD3A9B">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1.3</w:t>
      </w:r>
      <w:r>
        <w:rPr>
          <w:rFonts w:hint="eastAsia" w:ascii="宋体" w:hAnsi="宋体" w:eastAsia="宋体" w:cs="宋体"/>
          <w:b w:val="0"/>
          <w:bCs/>
          <w:sz w:val="21"/>
          <w:szCs w:val="21"/>
          <w:highlight w:val="none"/>
        </w:rPr>
        <w:t>试运行验收：项目部署完成后进入不少于7个工作日的试运行阶段，试运行期间系统运行稳定，无重大故障，满足分诊叫号业务的日常使用需求，试运行结束后由使用部门或信息科出具使用评价，评价合格后，并形成试运行报告报告后方可进入最终验收；</w:t>
      </w:r>
    </w:p>
    <w:p w14:paraId="46C1328D">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1.4</w:t>
      </w:r>
      <w:r>
        <w:rPr>
          <w:rFonts w:hint="eastAsia" w:ascii="宋体" w:hAnsi="宋体" w:eastAsia="宋体" w:cs="宋体"/>
          <w:b w:val="0"/>
          <w:bCs/>
          <w:sz w:val="21"/>
          <w:szCs w:val="21"/>
          <w:highlight w:val="none"/>
        </w:rPr>
        <w:t>验收结论：所有验收项目全部合格的，视为通过验收；若验收发现不合格项，</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须在</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要求的期限内完成整改，整改完成后重新申请验收，整改后仍不满足要求的，</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有权按合同约定追究</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违约责任。</w:t>
      </w:r>
    </w:p>
    <w:p w14:paraId="4737EF4F">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w:t>
      </w:r>
      <w:r>
        <w:rPr>
          <w:rFonts w:hint="eastAsia" w:ascii="宋体" w:hAnsi="宋体" w:eastAsia="宋体" w:cs="宋体"/>
          <w:b w:val="0"/>
          <w:bCs/>
          <w:sz w:val="21"/>
          <w:szCs w:val="21"/>
          <w:highlight w:val="none"/>
        </w:rPr>
        <w:t>验收方案：</w:t>
      </w:r>
    </w:p>
    <w:p w14:paraId="0D3E907F">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cs="宋体"/>
          <w:b w:val="0"/>
          <w:bCs/>
          <w:sz w:val="21"/>
          <w:szCs w:val="21"/>
          <w:highlight w:val="none"/>
          <w:lang w:val="en-US" w:eastAsia="zh-CN"/>
        </w:rPr>
        <w:t>2.1</w:t>
      </w:r>
      <w:r>
        <w:rPr>
          <w:rFonts w:hint="eastAsia" w:ascii="宋体" w:hAnsi="宋体" w:eastAsia="宋体" w:cs="宋体"/>
          <w:b w:val="0"/>
          <w:bCs/>
          <w:sz w:val="21"/>
          <w:szCs w:val="21"/>
          <w:highlight w:val="none"/>
        </w:rPr>
        <w:t>合同软、硬件安装完成后应在</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和</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双方共同参加下进行验收</w:t>
      </w:r>
      <w:r>
        <w:rPr>
          <w:rFonts w:hint="eastAsia" w:ascii="宋体" w:hAnsi="宋体" w:cs="宋体"/>
          <w:b w:val="0"/>
          <w:bCs/>
          <w:sz w:val="21"/>
          <w:szCs w:val="21"/>
          <w:highlight w:val="none"/>
          <w:lang w:eastAsia="zh-CN"/>
        </w:rPr>
        <w:t>；</w:t>
      </w:r>
    </w:p>
    <w:p w14:paraId="413A1B2E">
      <w:pPr>
        <w:pStyle w:val="54"/>
        <w:keepNext w:val="0"/>
        <w:keepLines w:val="0"/>
        <w:pageBreakBefore w:val="0"/>
        <w:widowControl/>
        <w:kinsoku/>
        <w:wordWrap/>
        <w:overflowPunct/>
        <w:topLinePunct w:val="0"/>
        <w:autoSpaceDE/>
        <w:autoSpaceDN/>
        <w:bidi w:val="0"/>
        <w:adjustRightInd/>
        <w:snapToGrid/>
        <w:spacing w:line="300" w:lineRule="auto"/>
        <w:ind w:firstLine="420" w:firstLineChars="0"/>
        <w:jc w:val="both"/>
        <w:textAlignment w:val="auto"/>
        <w:rPr>
          <w:rFonts w:hint="eastAsia" w:ascii="宋体" w:hAnsi="宋体" w:eastAsia="宋体" w:cs="宋体"/>
          <w:sz w:val="21"/>
          <w:szCs w:val="21"/>
          <w:highlight w:val="none"/>
        </w:rPr>
      </w:pPr>
      <w:r>
        <w:rPr>
          <w:rFonts w:hint="eastAsia" w:ascii="宋体" w:hAnsi="宋体" w:eastAsia="宋体" w:cs="宋体"/>
          <w:b w:val="0"/>
          <w:bCs/>
          <w:sz w:val="21"/>
          <w:szCs w:val="21"/>
          <w:highlight w:val="none"/>
          <w:lang w:val="en-US" w:eastAsia="zh-CN"/>
        </w:rPr>
        <w:t>2.2</w:t>
      </w:r>
      <w:r>
        <w:rPr>
          <w:rFonts w:hint="eastAsia" w:ascii="宋体" w:hAnsi="宋体" w:eastAsia="宋体" w:cs="宋体"/>
          <w:b w:val="0"/>
          <w:bCs/>
          <w:sz w:val="21"/>
          <w:szCs w:val="21"/>
          <w:highlight w:val="none"/>
        </w:rPr>
        <w:t>验收按国家有关的规定、规范进行。验收时如发现所交付的设备有短装、次品、损坏或其它不符合本合同规定之情形者，</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作出详尽的现场记录，或由双方签署备忘录。此现场记录或备忘录可用作补充、缺失和更换损坏部件的有效证据。由此产生的有关费用由</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承担。</w:t>
      </w:r>
    </w:p>
    <w:p w14:paraId="5CAA2FD6">
      <w:pPr>
        <w:keepNext w:val="0"/>
        <w:keepLines w:val="0"/>
        <w:pageBreakBefore w:val="0"/>
        <w:kinsoku/>
        <w:wordWrap/>
        <w:overflowPunct/>
        <w:topLinePunct w:val="0"/>
        <w:autoSpaceDE/>
        <w:autoSpaceDN/>
        <w:bidi w:val="0"/>
        <w:adjustRightInd/>
        <w:snapToGrid/>
        <w:spacing w:line="300" w:lineRule="auto"/>
        <w:ind w:firstLine="420" w:firstLineChars="0"/>
        <w:textAlignment w:val="auto"/>
        <w:rPr>
          <w:rFonts w:hint="eastAsia" w:ascii="宋体" w:hAnsi="宋体" w:eastAsia="宋体" w:cs="宋体"/>
          <w:sz w:val="21"/>
          <w:szCs w:val="21"/>
          <w:highlight w:val="none"/>
          <w:u w:val="none"/>
        </w:rPr>
      </w:pPr>
      <w:r>
        <w:rPr>
          <w:rFonts w:hint="eastAsia" w:ascii="宋体" w:hAnsi="宋体" w:eastAsia="宋体" w:cs="宋体"/>
          <w:b/>
          <w:bCs/>
          <w:sz w:val="21"/>
          <w:szCs w:val="21"/>
          <w:highlight w:val="none"/>
          <w:u w:val="none"/>
          <w:lang w:val="en-US" w:eastAsia="zh-CN"/>
        </w:rPr>
        <w:t>第</w:t>
      </w:r>
      <w:r>
        <w:rPr>
          <w:rFonts w:hint="eastAsia" w:ascii="宋体" w:hAnsi="宋体" w:cs="宋体"/>
          <w:b/>
          <w:bCs/>
          <w:sz w:val="21"/>
          <w:szCs w:val="21"/>
          <w:highlight w:val="none"/>
          <w:u w:val="none"/>
          <w:lang w:val="en-US" w:eastAsia="zh-CN"/>
        </w:rPr>
        <w:t>六</w:t>
      </w:r>
      <w:r>
        <w:rPr>
          <w:rFonts w:hint="eastAsia" w:ascii="宋体" w:hAnsi="宋体" w:eastAsia="宋体" w:cs="宋体"/>
          <w:b/>
          <w:bCs/>
          <w:sz w:val="21"/>
          <w:szCs w:val="21"/>
          <w:highlight w:val="none"/>
          <w:u w:val="none"/>
          <w:lang w:val="en-US" w:eastAsia="zh-CN"/>
        </w:rPr>
        <w:t xml:space="preserve">条 </w:t>
      </w:r>
      <w:r>
        <w:rPr>
          <w:rFonts w:hint="eastAsia" w:ascii="宋体" w:hAnsi="宋体" w:eastAsia="宋体" w:cs="宋体"/>
          <w:b/>
          <w:bCs/>
          <w:sz w:val="21"/>
          <w:szCs w:val="21"/>
          <w:highlight w:val="none"/>
          <w:u w:val="none"/>
        </w:rPr>
        <w:t>培训要求</w:t>
      </w:r>
    </w:p>
    <w:p w14:paraId="2FBC2584">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default" w:ascii="宋体" w:hAnsi="宋体" w:eastAsia="宋体" w:cs="宋体"/>
          <w:sz w:val="21"/>
          <w:szCs w:val="21"/>
          <w:highlight w:val="none"/>
          <w:u w:val="none"/>
          <w:lang w:val="en-US" w:eastAsia="zh-CN"/>
        </w:rPr>
      </w:pPr>
      <w:r>
        <w:rPr>
          <w:rFonts w:hint="eastAsia" w:ascii="宋体" w:hAnsi="宋体" w:eastAsia="宋体" w:cs="宋体"/>
          <w:sz w:val="21"/>
          <w:szCs w:val="21"/>
          <w:highlight w:val="none"/>
          <w:u w:val="none"/>
          <w:lang w:val="en-US" w:eastAsia="zh-CN"/>
        </w:rPr>
        <w:t>乙方</w:t>
      </w:r>
      <w:r>
        <w:rPr>
          <w:rFonts w:hint="default" w:ascii="宋体" w:hAnsi="宋体" w:eastAsia="宋体" w:cs="宋体"/>
          <w:sz w:val="21"/>
          <w:szCs w:val="21"/>
          <w:highlight w:val="none"/>
          <w:u w:val="none"/>
          <w:lang w:val="en-US" w:eastAsia="zh-CN"/>
        </w:rPr>
        <w:t>应提供不少于 2 场，对所有使用人员进行现场培训，覆盖系统管理员、分诊台护士、医生端使用人员，并提供纸质或电子版操作手册。</w:t>
      </w:r>
    </w:p>
    <w:p w14:paraId="03060C83">
      <w:pPr>
        <w:pStyle w:val="54"/>
        <w:keepNext w:val="0"/>
        <w:keepLines w:val="0"/>
        <w:pageBreakBefore w:val="0"/>
        <w:widowControl/>
        <w:kinsoku/>
        <w:wordWrap/>
        <w:overflowPunct/>
        <w:topLinePunct w:val="0"/>
        <w:autoSpaceDE/>
        <w:autoSpaceDN/>
        <w:bidi w:val="0"/>
        <w:adjustRightInd/>
        <w:snapToGrid/>
        <w:spacing w:line="300" w:lineRule="auto"/>
        <w:ind w:firstLine="422"/>
        <w:jc w:val="both"/>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七</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售后服务要求</w:t>
      </w:r>
    </w:p>
    <w:p w14:paraId="6B2352C6">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eastAsiaTheme="minorEastAsia"/>
          <w:color w:val="000000" w:themeColor="text1"/>
          <w:sz w:val="21"/>
          <w:szCs w:val="21"/>
          <w:highlight w:val="none"/>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1.</w:t>
      </w:r>
      <w:r>
        <w:rPr>
          <w:rFonts w:hint="eastAsia" w:ascii="宋体" w:hAnsi="宋体" w:cs="宋体" w:eastAsiaTheme="minorEastAsia"/>
          <w:color w:val="000000" w:themeColor="text1"/>
          <w:sz w:val="21"/>
          <w:szCs w:val="21"/>
          <w:highlight w:val="none"/>
          <w14:textFill>
            <w14:solidFill>
              <w14:schemeClr w14:val="tx1"/>
            </w14:solidFill>
          </w14:textFill>
        </w:rPr>
        <w:t>系统上线稳定运行且通过验收后，提供为期不少于1年的维保期，维保期内不收取任何费用。</w:t>
      </w:r>
    </w:p>
    <w:p w14:paraId="53995DBB">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default" w:ascii="宋体" w:hAnsi="宋体" w:cs="宋体" w:eastAsiaTheme="minorEastAsia"/>
          <w:color w:val="000000" w:themeColor="text1"/>
          <w:sz w:val="21"/>
          <w:szCs w:val="21"/>
          <w:highlight w:val="none"/>
          <w:lang w:val="en-US" w:eastAsia="zh-CN"/>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2.</w:t>
      </w:r>
      <w:r>
        <w:rPr>
          <w:rFonts w:hint="eastAsia" w:ascii="宋体" w:hAnsi="宋体" w:cs="宋体" w:eastAsiaTheme="minorEastAsia"/>
          <w:color w:val="000000" w:themeColor="text1"/>
          <w:sz w:val="21"/>
          <w:szCs w:val="21"/>
          <w:highlight w:val="none"/>
          <w14:textFill>
            <w14:solidFill>
              <w14:schemeClr w14:val="tx1"/>
            </w14:solidFill>
          </w14:textFill>
        </w:rPr>
        <w:t>维保内容及要求：</w:t>
      </w:r>
    </w:p>
    <w:p w14:paraId="0E1C5AD2">
      <w:pPr>
        <w:keepNext w:val="0"/>
        <w:keepLines w:val="0"/>
        <w:pageBreakBefore w:val="0"/>
        <w:widowControl w:val="0"/>
        <w:numPr>
          <w:ilvl w:val="0"/>
          <w:numId w:val="0"/>
        </w:numPr>
        <w:tabs>
          <w:tab w:val="left" w:pos="8085"/>
        </w:tabs>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cs="宋体" w:eastAsiaTheme="minorEastAsia"/>
          <w:color w:val="000000" w:themeColor="text1"/>
          <w:sz w:val="21"/>
          <w:szCs w:val="21"/>
          <w:highlight w:val="none"/>
          <w:lang w:val="en-US" w:eastAsia="zh-CN"/>
          <w14:textFill>
            <w14:solidFill>
              <w14:schemeClr w14:val="tx1"/>
            </w14:solidFill>
          </w14:textFill>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2.1</w:t>
      </w:r>
      <w:r>
        <w:rPr>
          <w:rFonts w:hint="eastAsia" w:ascii="宋体" w:hAnsi="宋体" w:cs="宋体" w:eastAsiaTheme="minorEastAsia"/>
          <w:color w:val="000000" w:themeColor="text1"/>
          <w:sz w:val="21"/>
          <w:szCs w:val="21"/>
          <w:highlight w:val="none"/>
          <w14:textFill>
            <w14:solidFill>
              <w14:schemeClr w14:val="tx1"/>
            </w14:solidFill>
          </w14:textFill>
        </w:rPr>
        <w:t>故障响应时间和要求：提供7</w:t>
      </w:r>
      <w:r>
        <w:rPr>
          <w:rFonts w:hint="default" w:ascii="Arial" w:hAnsi="Arial" w:cs="Arial" w:eastAsiaTheme="minorEastAsia"/>
          <w:color w:val="000000" w:themeColor="text1"/>
          <w:sz w:val="21"/>
          <w:szCs w:val="21"/>
          <w:highlight w:val="none"/>
          <w14:textFill>
            <w14:solidFill>
              <w14:schemeClr w14:val="tx1"/>
            </w14:solidFill>
          </w14:textFill>
        </w:rPr>
        <w:t>×</w:t>
      </w:r>
      <w:r>
        <w:rPr>
          <w:rFonts w:hint="eastAsia" w:ascii="宋体" w:hAnsi="宋体" w:cs="宋体" w:eastAsiaTheme="minorEastAsia"/>
          <w:color w:val="000000" w:themeColor="text1"/>
          <w:sz w:val="21"/>
          <w:szCs w:val="21"/>
          <w:highlight w:val="none"/>
          <w14:textFill>
            <w14:solidFill>
              <w14:schemeClr w14:val="tx1"/>
            </w14:solidFill>
          </w14:textFill>
        </w:rPr>
        <w:t>24小时在线运维服务，一般故障要求1小时内响应</w:t>
      </w:r>
      <w:r>
        <w:rPr>
          <w:rFonts w:hint="eastAsia" w:ascii="宋体" w:hAnsi="宋体" w:cs="宋体" w:eastAsiaTheme="minorEastAsia"/>
          <w:color w:val="000000" w:themeColor="text1"/>
          <w:sz w:val="21"/>
          <w:szCs w:val="21"/>
          <w:highlight w:val="none"/>
          <w:lang w:eastAsia="zh-CN"/>
          <w14:textFill>
            <w14:solidFill>
              <w14:schemeClr w14:val="tx1"/>
            </w14:solidFill>
          </w14:textFill>
        </w:rPr>
        <w:t>；</w:t>
      </w:r>
    </w:p>
    <w:p w14:paraId="4D73D771">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420" w:firstLineChars="200"/>
        <w:jc w:val="both"/>
        <w:textAlignment w:val="auto"/>
        <w:rPr>
          <w:rFonts w:hint="eastAsia" w:ascii="宋体" w:hAnsi="宋体" w:eastAsia="宋体" w:cs="宋体"/>
          <w:sz w:val="21"/>
          <w:szCs w:val="21"/>
          <w:highlight w:val="none"/>
          <w:u w:val="none"/>
        </w:rPr>
      </w:pPr>
      <w:r>
        <w:rPr>
          <w:rFonts w:hint="eastAsia" w:ascii="宋体" w:hAnsi="宋体" w:cs="宋体" w:eastAsiaTheme="minorEastAsia"/>
          <w:color w:val="000000" w:themeColor="text1"/>
          <w:sz w:val="21"/>
          <w:szCs w:val="21"/>
          <w:highlight w:val="none"/>
          <w:lang w:val="en-US" w:eastAsia="zh-CN"/>
          <w14:textFill>
            <w14:solidFill>
              <w14:schemeClr w14:val="tx1"/>
            </w14:solidFill>
          </w14:textFill>
        </w:rPr>
        <w:t>2.2</w:t>
      </w:r>
      <w:r>
        <w:rPr>
          <w:rFonts w:hint="eastAsia" w:ascii="宋体" w:hAnsi="宋体" w:cs="宋体" w:eastAsiaTheme="minorEastAsia"/>
          <w:color w:val="000000" w:themeColor="text1"/>
          <w:sz w:val="21"/>
          <w:szCs w:val="21"/>
          <w:highlight w:val="none"/>
          <w14:textFill>
            <w14:solidFill>
              <w14:schemeClr w14:val="tx1"/>
            </w14:solidFill>
          </w14:textFill>
        </w:rPr>
        <w:t>应急响应时间和要求：重大故障要求30分钟内响应。</w:t>
      </w:r>
    </w:p>
    <w:p w14:paraId="04DDA418">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八</w:t>
      </w:r>
      <w:r>
        <w:rPr>
          <w:rFonts w:hint="eastAsia" w:ascii="宋体" w:hAnsi="宋体" w:eastAsia="宋体" w:cs="宋体"/>
          <w:b/>
          <w:sz w:val="21"/>
          <w:szCs w:val="21"/>
          <w:highlight w:val="none"/>
        </w:rPr>
        <w:t>条 软件产权说明</w:t>
      </w:r>
    </w:p>
    <w:p w14:paraId="21CFC75F">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对</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服务成果拥有所有权及全部、完整的知识产权（包括但不限于著作权、专利权、商标权以及知识产权申请权等）</w:t>
      </w:r>
      <w:r>
        <w:rPr>
          <w:rFonts w:hint="eastAsia" w:ascii="宋体" w:hAnsi="宋体" w:cs="宋体"/>
          <w:b w:val="0"/>
          <w:bCs/>
          <w:sz w:val="21"/>
          <w:szCs w:val="21"/>
          <w:highlight w:val="none"/>
          <w:lang w:eastAsia="zh-CN"/>
        </w:rPr>
        <w:t>；</w:t>
      </w:r>
    </w:p>
    <w:p w14:paraId="666EADEE">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本项目成交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须保证为</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所提供的成果，产品、服务中所包含任何项目的著作权（或版权）等知识产权为成交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合法拥有或经第三方同意合法使用并可被</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合法使用，不存在侵犯任何第三方的知识产权以及其他任何合法权利，因使用未被授权使用的技术、组件等知识产权问题引起的纠纷由成交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自行承担，</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不承担因此产生的任何责任</w:t>
      </w:r>
      <w:r>
        <w:rPr>
          <w:rFonts w:hint="eastAsia" w:ascii="宋体" w:hAnsi="宋体" w:cs="宋体"/>
          <w:b w:val="0"/>
          <w:bCs/>
          <w:sz w:val="21"/>
          <w:szCs w:val="21"/>
          <w:highlight w:val="none"/>
          <w:lang w:eastAsia="zh-CN"/>
        </w:rPr>
        <w:t>；</w:t>
      </w:r>
    </w:p>
    <w:p w14:paraId="25178242">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3.</w:t>
      </w:r>
      <w:r>
        <w:rPr>
          <w:rFonts w:hint="eastAsia" w:ascii="宋体" w:hAnsi="宋体" w:eastAsia="宋体" w:cs="宋体"/>
          <w:b w:val="0"/>
          <w:bCs/>
          <w:sz w:val="21"/>
          <w:szCs w:val="21"/>
          <w:highlight w:val="none"/>
        </w:rPr>
        <w:t>本项目研究成果及其技术文档等所有权由</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享有，成交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有义务将相关的全部技术文档等完整资料交付</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，未经</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许可，成交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不得将相关</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资料提供给第三方。报价应包含所有应向所有权人支付的专利权、商标权或其它知识产权的一切相关费用。如</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需要对相关知识产权办理申请、登记手续的，成交</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应当提供协助，包括但不限于提供相关数据</w:t>
      </w:r>
      <w:r>
        <w:rPr>
          <w:rFonts w:hint="eastAsia" w:ascii="宋体" w:hAnsi="宋体" w:cs="宋体"/>
          <w:b w:val="0"/>
          <w:bCs/>
          <w:sz w:val="21"/>
          <w:szCs w:val="21"/>
          <w:highlight w:val="none"/>
          <w:lang w:eastAsia="zh-CN"/>
        </w:rPr>
        <w:t>、</w:t>
      </w:r>
      <w:r>
        <w:rPr>
          <w:rFonts w:hint="eastAsia" w:ascii="宋体" w:hAnsi="宋体" w:eastAsia="宋体" w:cs="宋体"/>
          <w:b w:val="0"/>
          <w:bCs/>
          <w:sz w:val="21"/>
          <w:szCs w:val="21"/>
          <w:highlight w:val="none"/>
        </w:rPr>
        <w:t>资料和文件。</w:t>
      </w:r>
    </w:p>
    <w:p w14:paraId="545CD28F">
      <w:pPr>
        <w:pStyle w:val="17"/>
        <w:keepNext w:val="0"/>
        <w:keepLines w:val="0"/>
        <w:pageBreakBefore w:val="0"/>
        <w:tabs>
          <w:tab w:val="left" w:pos="630"/>
          <w:tab w:val="clear" w:pos="420"/>
        </w:tabs>
        <w:kinsoku/>
        <w:wordWrap/>
        <w:overflowPunct/>
        <w:topLinePunct w:val="0"/>
        <w:autoSpaceDE/>
        <w:autoSpaceDN/>
        <w:bidi w:val="0"/>
        <w:adjustRightInd/>
        <w:snapToGrid/>
        <w:spacing w:line="300" w:lineRule="auto"/>
        <w:ind w:left="0" w:leftChars="0" w:firstLine="422" w:firstLineChars="200"/>
        <w:textAlignment w:val="auto"/>
        <w:rPr>
          <w:rFonts w:hint="eastAsia" w:ascii="宋体" w:hAnsi="宋体" w:eastAsia="宋体" w:cs="宋体"/>
          <w:b/>
          <w:bCs w:val="0"/>
          <w:sz w:val="21"/>
          <w:szCs w:val="21"/>
          <w:highlight w:val="none"/>
          <w:lang w:val="en-US" w:eastAsia="zh-CN"/>
        </w:rPr>
      </w:pPr>
      <w:r>
        <w:rPr>
          <w:rFonts w:hint="eastAsia" w:ascii="宋体" w:hAnsi="宋体" w:eastAsia="宋体" w:cs="宋体"/>
          <w:b/>
          <w:bCs w:val="0"/>
          <w:sz w:val="21"/>
          <w:szCs w:val="21"/>
          <w:highlight w:val="none"/>
          <w:lang w:val="en-US" w:eastAsia="zh-CN"/>
        </w:rPr>
        <w:t>第</w:t>
      </w:r>
      <w:r>
        <w:rPr>
          <w:rFonts w:hint="eastAsia" w:ascii="宋体" w:hAnsi="宋体" w:cs="宋体"/>
          <w:b/>
          <w:bCs w:val="0"/>
          <w:sz w:val="21"/>
          <w:szCs w:val="21"/>
          <w:highlight w:val="none"/>
          <w:lang w:val="en-US" w:eastAsia="zh-CN"/>
        </w:rPr>
        <w:t>九</w:t>
      </w:r>
      <w:r>
        <w:rPr>
          <w:rFonts w:hint="eastAsia" w:ascii="宋体" w:hAnsi="宋体" w:eastAsia="宋体" w:cs="宋体"/>
          <w:b/>
          <w:bCs w:val="0"/>
          <w:sz w:val="21"/>
          <w:szCs w:val="21"/>
          <w:highlight w:val="none"/>
          <w:lang w:val="en-US" w:eastAsia="zh-CN"/>
        </w:rPr>
        <w:t>条 保密要求</w:t>
      </w:r>
    </w:p>
    <w:p w14:paraId="2FD51173">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cs="宋体"/>
          <w:b w:val="0"/>
          <w:bCs/>
          <w:sz w:val="21"/>
          <w:szCs w:val="21"/>
          <w:highlight w:val="none"/>
          <w:lang w:val="en-US" w:eastAsia="zh-CN"/>
        </w:rPr>
        <w:t>.</w:t>
      </w:r>
      <w:r>
        <w:rPr>
          <w:rFonts w:hint="eastAsia" w:ascii="宋体" w:hAnsi="宋体" w:cs="宋体"/>
          <w:b w:val="0"/>
          <w:bCs/>
          <w:sz w:val="21"/>
          <w:szCs w:val="21"/>
          <w:highlight w:val="none"/>
          <w:lang w:eastAsia="zh-CN"/>
        </w:rPr>
        <w:t>乙方</w:t>
      </w:r>
      <w:r>
        <w:rPr>
          <w:rFonts w:hint="eastAsia" w:ascii="宋体" w:hAnsi="宋体" w:eastAsia="宋体" w:cs="宋体"/>
          <w:b w:val="0"/>
          <w:bCs/>
          <w:sz w:val="21"/>
          <w:szCs w:val="21"/>
          <w:highlight w:val="none"/>
        </w:rPr>
        <w:t>在项目实施前须与</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签署保密协议书，保证不向外泄露本项目的所有程序、资料及数据用作其他用途</w:t>
      </w:r>
      <w:r>
        <w:rPr>
          <w:rFonts w:hint="eastAsia" w:ascii="宋体" w:hAnsi="宋体" w:cs="宋体"/>
          <w:b w:val="0"/>
          <w:bCs/>
          <w:sz w:val="21"/>
          <w:szCs w:val="21"/>
          <w:highlight w:val="none"/>
          <w:lang w:eastAsia="zh-CN"/>
        </w:rPr>
        <w:t>，乙方</w:t>
      </w:r>
      <w:r>
        <w:rPr>
          <w:rFonts w:hint="eastAsia" w:ascii="宋体" w:hAnsi="宋体" w:eastAsia="宋体" w:cs="宋体"/>
          <w:b w:val="0"/>
          <w:bCs/>
          <w:sz w:val="21"/>
          <w:szCs w:val="21"/>
          <w:highlight w:val="none"/>
        </w:rPr>
        <w:t>负责约束其所属员工。</w:t>
      </w:r>
    </w:p>
    <w:p w14:paraId="62A360D3">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w:t>
      </w:r>
      <w:r>
        <w:rPr>
          <w:rFonts w:hint="eastAsia" w:ascii="宋体" w:hAnsi="宋体" w:cs="宋体"/>
          <w:b w:val="0"/>
          <w:bCs/>
          <w:sz w:val="21"/>
          <w:szCs w:val="21"/>
          <w:highlight w:val="none"/>
          <w:lang w:val="en-US" w:eastAsia="zh-CN"/>
        </w:rPr>
        <w:t>.</w:t>
      </w:r>
      <w:r>
        <w:rPr>
          <w:rFonts w:hint="eastAsia" w:ascii="宋体" w:hAnsi="宋体" w:eastAsia="宋体" w:cs="宋体"/>
          <w:b w:val="0"/>
          <w:bCs/>
          <w:sz w:val="21"/>
          <w:szCs w:val="21"/>
          <w:highlight w:val="none"/>
        </w:rPr>
        <w:t>要求在项目建设实施过程中，对所获得的有关</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服务的各类数据、资料负有保密义务，未经许可，不得向第三方泄露。</w:t>
      </w:r>
      <w:r>
        <w:rPr>
          <w:rFonts w:hint="eastAsia" w:ascii="宋体" w:hAnsi="宋体" w:eastAsia="宋体" w:cs="宋体"/>
          <w:b w:val="0"/>
          <w:bCs/>
          <w:sz w:val="21"/>
          <w:szCs w:val="21"/>
          <w:highlight w:val="none"/>
          <w:lang w:eastAsia="zh-CN"/>
        </w:rPr>
        <w:t>乙方</w:t>
      </w:r>
      <w:r>
        <w:rPr>
          <w:rFonts w:hint="eastAsia" w:ascii="宋体" w:hAnsi="宋体" w:eastAsia="宋体" w:cs="宋体"/>
          <w:b w:val="0"/>
          <w:bCs/>
          <w:sz w:val="21"/>
          <w:szCs w:val="21"/>
          <w:highlight w:val="none"/>
        </w:rPr>
        <w:t>应遵循如下要求：</w:t>
      </w:r>
    </w:p>
    <w:p w14:paraId="4A5B7485">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2.1</w:t>
      </w:r>
      <w:r>
        <w:rPr>
          <w:rFonts w:hint="eastAsia" w:ascii="宋体" w:hAnsi="宋体" w:eastAsia="宋体" w:cs="宋体"/>
          <w:b w:val="0"/>
          <w:bCs/>
          <w:sz w:val="21"/>
          <w:szCs w:val="21"/>
          <w:highlight w:val="none"/>
        </w:rPr>
        <w:t>技术支持人员保证遵守医院有关的政策、法律、法规和制度；</w:t>
      </w:r>
    </w:p>
    <w:p w14:paraId="057FEF86">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2.2</w:t>
      </w:r>
      <w:r>
        <w:rPr>
          <w:rFonts w:hint="eastAsia" w:ascii="宋体" w:hAnsi="宋体" w:eastAsia="宋体" w:cs="宋体"/>
          <w:b w:val="0"/>
          <w:bCs/>
          <w:sz w:val="21"/>
          <w:szCs w:val="21"/>
          <w:highlight w:val="none"/>
        </w:rPr>
        <w:t>技术支持人员保证按照医院规范开展工作，凡接收到的重大服务请求在未经</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同意的情况下不做任何处理；</w:t>
      </w:r>
    </w:p>
    <w:p w14:paraId="5E293FE4">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2.3</w:t>
      </w:r>
      <w:r>
        <w:rPr>
          <w:rFonts w:hint="eastAsia" w:ascii="宋体" w:hAnsi="宋体" w:eastAsia="宋体" w:cs="宋体"/>
          <w:b w:val="0"/>
          <w:bCs/>
          <w:sz w:val="21"/>
          <w:szCs w:val="21"/>
          <w:highlight w:val="none"/>
        </w:rPr>
        <w:t>技术支持人员保证不向外（指用户规定范围以外）泄漏任何业务和技术相关数据。</w:t>
      </w:r>
    </w:p>
    <w:p w14:paraId="0B2BD896">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default"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第十条 其他要求</w:t>
      </w:r>
    </w:p>
    <w:p w14:paraId="0F44D113">
      <w:pPr>
        <w:keepNext w:val="0"/>
        <w:keepLines w:val="0"/>
        <w:pageBreakBefore w:val="0"/>
        <w:numPr>
          <w:ilvl w:val="0"/>
          <w:numId w:val="0"/>
        </w:numPr>
        <w:tabs>
          <w:tab w:val="left" w:pos="785"/>
        </w:tabs>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sz w:val="21"/>
          <w:szCs w:val="21"/>
          <w:highlight w:val="none"/>
          <w:lang w:eastAsia="zh-CN"/>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rPr>
        <w:t>为保障项目顺利交付，</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有权要求</w:t>
      </w:r>
      <w:r>
        <w:rPr>
          <w:rFonts w:hint="eastAsia" w:ascii="宋体" w:hAnsi="宋体" w:cs="宋体"/>
          <w:b w:val="0"/>
          <w:bCs/>
          <w:sz w:val="21"/>
          <w:szCs w:val="21"/>
          <w:highlight w:val="none"/>
          <w:lang w:val="en-US" w:eastAsia="zh-CN"/>
        </w:rPr>
        <w:t>乙方</w:t>
      </w:r>
      <w:r>
        <w:rPr>
          <w:rFonts w:hint="eastAsia" w:ascii="宋体" w:hAnsi="宋体" w:eastAsia="宋体" w:cs="宋体"/>
          <w:b w:val="0"/>
          <w:bCs/>
          <w:sz w:val="21"/>
          <w:szCs w:val="21"/>
          <w:highlight w:val="none"/>
        </w:rPr>
        <w:t>，在</w:t>
      </w:r>
      <w:r>
        <w:rPr>
          <w:rFonts w:hint="eastAsia" w:ascii="宋体" w:hAnsi="宋体" w:cs="宋体"/>
          <w:b w:val="0"/>
          <w:bCs/>
          <w:sz w:val="21"/>
          <w:szCs w:val="21"/>
          <w:highlight w:val="none"/>
          <w:lang w:val="en-US" w:eastAsia="zh-CN"/>
        </w:rPr>
        <w:t>结果</w:t>
      </w:r>
      <w:r>
        <w:rPr>
          <w:rFonts w:hint="eastAsia" w:ascii="宋体" w:hAnsi="宋体" w:eastAsia="宋体" w:cs="宋体"/>
          <w:b w:val="0"/>
          <w:bCs/>
          <w:sz w:val="21"/>
          <w:szCs w:val="21"/>
          <w:highlight w:val="none"/>
        </w:rPr>
        <w:t>公告发出后3个工作日内，到</w:t>
      </w:r>
      <w:r>
        <w:rPr>
          <w:rFonts w:hint="eastAsia" w:ascii="宋体" w:hAnsi="宋体" w:cs="宋体"/>
          <w:b w:val="0"/>
          <w:bCs/>
          <w:sz w:val="21"/>
          <w:szCs w:val="21"/>
          <w:highlight w:val="none"/>
          <w:lang w:val="en-US" w:eastAsia="zh-CN"/>
        </w:rPr>
        <w:t>甲方</w:t>
      </w:r>
      <w:r>
        <w:rPr>
          <w:rFonts w:hint="eastAsia" w:ascii="宋体" w:hAnsi="宋体" w:eastAsia="宋体" w:cs="宋体"/>
          <w:b w:val="0"/>
          <w:bCs/>
          <w:sz w:val="21"/>
          <w:szCs w:val="21"/>
          <w:highlight w:val="none"/>
        </w:rPr>
        <w:t>现场，对本次</w:t>
      </w:r>
      <w:r>
        <w:rPr>
          <w:rFonts w:hint="eastAsia" w:ascii="宋体" w:hAnsi="宋体" w:cs="宋体"/>
          <w:b w:val="0"/>
          <w:bCs/>
          <w:sz w:val="21"/>
          <w:szCs w:val="21"/>
          <w:highlight w:val="none"/>
          <w:lang w:val="en-US" w:eastAsia="zh-CN"/>
        </w:rPr>
        <w:t>采购</w:t>
      </w:r>
      <w:r>
        <w:rPr>
          <w:rFonts w:hint="eastAsia" w:ascii="宋体" w:hAnsi="宋体" w:eastAsia="宋体" w:cs="宋体"/>
          <w:b w:val="0"/>
          <w:bCs/>
          <w:sz w:val="21"/>
          <w:szCs w:val="21"/>
          <w:highlight w:val="none"/>
        </w:rPr>
        <w:t>的所有功能进行逐一演示。如果存在虚假</w:t>
      </w:r>
      <w:r>
        <w:rPr>
          <w:rFonts w:hint="eastAsia" w:ascii="宋体" w:hAnsi="宋体" w:cs="宋体"/>
          <w:b w:val="0"/>
          <w:bCs/>
          <w:sz w:val="21"/>
          <w:szCs w:val="21"/>
          <w:highlight w:val="none"/>
          <w:lang w:val="en-US" w:eastAsia="zh-CN"/>
        </w:rPr>
        <w:t>响应</w:t>
      </w:r>
      <w:r>
        <w:rPr>
          <w:rFonts w:hint="eastAsia" w:ascii="宋体" w:hAnsi="宋体" w:eastAsia="宋体" w:cs="宋体"/>
          <w:b w:val="0"/>
          <w:bCs/>
          <w:sz w:val="21"/>
          <w:szCs w:val="21"/>
          <w:highlight w:val="none"/>
        </w:rPr>
        <w:t>，</w:t>
      </w:r>
      <w:r>
        <w:rPr>
          <w:rFonts w:hint="eastAsia" w:ascii="宋体" w:hAnsi="宋体" w:eastAsia="宋体" w:cs="宋体"/>
          <w:b w:val="0"/>
          <w:bCs/>
          <w:sz w:val="21"/>
          <w:szCs w:val="21"/>
          <w:highlight w:val="none"/>
          <w:lang w:eastAsia="zh-CN"/>
        </w:rPr>
        <w:t>甲方</w:t>
      </w:r>
      <w:r>
        <w:rPr>
          <w:rFonts w:hint="eastAsia" w:ascii="宋体" w:hAnsi="宋体" w:eastAsia="宋体" w:cs="宋体"/>
          <w:b w:val="0"/>
          <w:bCs/>
          <w:sz w:val="21"/>
          <w:szCs w:val="21"/>
          <w:highlight w:val="none"/>
        </w:rPr>
        <w:t>有权取消其</w:t>
      </w:r>
      <w:r>
        <w:rPr>
          <w:rFonts w:hint="eastAsia" w:ascii="宋体" w:hAnsi="宋体" w:cs="宋体"/>
          <w:b w:val="0"/>
          <w:bCs/>
          <w:sz w:val="21"/>
          <w:szCs w:val="21"/>
          <w:highlight w:val="none"/>
          <w:lang w:val="en-US" w:eastAsia="zh-CN"/>
        </w:rPr>
        <w:t>成交</w:t>
      </w:r>
      <w:r>
        <w:rPr>
          <w:rFonts w:hint="eastAsia" w:ascii="宋体" w:hAnsi="宋体" w:eastAsia="宋体" w:cs="宋体"/>
          <w:b w:val="0"/>
          <w:bCs/>
          <w:sz w:val="21"/>
          <w:szCs w:val="21"/>
          <w:highlight w:val="none"/>
        </w:rPr>
        <w:t>资格，报相关部门处理，并保留追究其法律责任的权利</w:t>
      </w:r>
      <w:r>
        <w:rPr>
          <w:rFonts w:hint="eastAsia" w:ascii="宋体" w:hAnsi="宋体" w:cs="宋体"/>
          <w:b w:val="0"/>
          <w:bCs/>
          <w:sz w:val="21"/>
          <w:szCs w:val="21"/>
          <w:highlight w:val="none"/>
          <w:lang w:eastAsia="zh-CN"/>
        </w:rPr>
        <w:t>。</w:t>
      </w:r>
    </w:p>
    <w:p w14:paraId="3F325F03">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2.</w:t>
      </w:r>
      <w:r>
        <w:rPr>
          <w:rFonts w:hint="eastAsia" w:ascii="宋体" w:hAnsi="宋体" w:eastAsia="宋体" w:cs="宋体"/>
          <w:b w:val="0"/>
          <w:bCs/>
          <w:sz w:val="21"/>
          <w:szCs w:val="21"/>
          <w:highlight w:val="none"/>
        </w:rPr>
        <w:t>所需硬件清单及技术参数要求</w:t>
      </w:r>
    </w:p>
    <w:p w14:paraId="5F9E0851">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rPr>
        <w:t>需更换部分叫号屏，支持到可安装安卓9.0版本以上，数量为15台，具体最低配置要求如下：</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1"/>
        <w:gridCol w:w="4204"/>
        <w:gridCol w:w="1721"/>
      </w:tblGrid>
      <w:tr w14:paraId="487A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1" w:type="dxa"/>
            <w:vAlign w:val="top"/>
          </w:tcPr>
          <w:p w14:paraId="36FC1A1A">
            <w:pPr>
              <w:keepNext w:val="0"/>
              <w:keepLines w:val="0"/>
              <w:pageBreakBefore w:val="0"/>
              <w:kinsoku/>
              <w:wordWrap/>
              <w:overflowPunct/>
              <w:topLinePunct w:val="0"/>
              <w:autoSpaceDE/>
              <w:autoSpaceDN/>
              <w:bidi w:val="0"/>
              <w:adjustRightInd/>
              <w:snapToGrid/>
              <w:spacing w:line="300" w:lineRule="auto"/>
              <w:jc w:val="center"/>
              <w:textAlignment w:val="auto"/>
              <w:rPr>
                <w:rFonts w:ascii="仿宋" w:hAnsi="仿宋" w:eastAsia="仿宋" w:cs="仿宋"/>
                <w:bCs/>
                <w:sz w:val="24"/>
                <w:highlight w:val="none"/>
              </w:rPr>
            </w:pPr>
            <w:r>
              <w:rPr>
                <w:rFonts w:hint="eastAsia" w:ascii="宋体" w:hAnsi="宋体" w:eastAsia="宋体" w:cs="宋体"/>
                <w:b/>
                <w:bCs/>
                <w:color w:val="000000"/>
                <w:kern w:val="0"/>
                <w:sz w:val="24"/>
                <w:highlight w:val="none"/>
                <w:lang w:bidi="ar"/>
              </w:rPr>
              <w:t>名称</w:t>
            </w:r>
          </w:p>
        </w:tc>
        <w:tc>
          <w:tcPr>
            <w:tcW w:w="4204" w:type="dxa"/>
            <w:vAlign w:val="top"/>
          </w:tcPr>
          <w:p w14:paraId="7279DB25">
            <w:pPr>
              <w:keepNext w:val="0"/>
              <w:keepLines w:val="0"/>
              <w:pageBreakBefore w:val="0"/>
              <w:kinsoku/>
              <w:wordWrap/>
              <w:overflowPunct/>
              <w:topLinePunct w:val="0"/>
              <w:autoSpaceDE/>
              <w:autoSpaceDN/>
              <w:bidi w:val="0"/>
              <w:adjustRightInd/>
              <w:snapToGrid/>
              <w:spacing w:line="300" w:lineRule="auto"/>
              <w:jc w:val="center"/>
              <w:textAlignment w:val="auto"/>
              <w:rPr>
                <w:rFonts w:ascii="仿宋" w:hAnsi="仿宋" w:eastAsia="仿宋" w:cs="仿宋"/>
                <w:bCs/>
                <w:sz w:val="24"/>
                <w:highlight w:val="none"/>
              </w:rPr>
            </w:pPr>
            <w:r>
              <w:rPr>
                <w:rFonts w:hint="eastAsia" w:ascii="宋体" w:hAnsi="宋体" w:eastAsia="宋体" w:cs="宋体"/>
                <w:b/>
                <w:bCs/>
                <w:color w:val="000000"/>
                <w:sz w:val="24"/>
                <w:highlight w:val="none"/>
              </w:rPr>
              <w:t>规格参数</w:t>
            </w:r>
          </w:p>
        </w:tc>
        <w:tc>
          <w:tcPr>
            <w:tcW w:w="1721" w:type="dxa"/>
            <w:vAlign w:val="top"/>
          </w:tcPr>
          <w:p w14:paraId="4EACEFEA">
            <w:pPr>
              <w:keepNext w:val="0"/>
              <w:keepLines w:val="0"/>
              <w:pageBreakBefore w:val="0"/>
              <w:kinsoku/>
              <w:wordWrap/>
              <w:overflowPunct/>
              <w:topLinePunct w:val="0"/>
              <w:autoSpaceDE/>
              <w:autoSpaceDN/>
              <w:bidi w:val="0"/>
              <w:adjustRightInd/>
              <w:snapToGrid/>
              <w:spacing w:line="300" w:lineRule="auto"/>
              <w:jc w:val="center"/>
              <w:textAlignment w:val="auto"/>
              <w:rPr>
                <w:rFonts w:ascii="仿宋" w:hAnsi="仿宋" w:eastAsia="仿宋" w:cs="仿宋"/>
                <w:bCs/>
                <w:sz w:val="24"/>
                <w:highlight w:val="none"/>
              </w:rPr>
            </w:pPr>
            <w:r>
              <w:rPr>
                <w:rFonts w:hint="eastAsia" w:ascii="宋体" w:hAnsi="宋体" w:eastAsia="宋体" w:cs="宋体"/>
                <w:b/>
                <w:bCs/>
                <w:color w:val="000000"/>
                <w:sz w:val="24"/>
                <w:highlight w:val="none"/>
              </w:rPr>
              <w:t>需求数量</w:t>
            </w:r>
          </w:p>
        </w:tc>
      </w:tr>
      <w:tr w14:paraId="386E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1" w:type="dxa"/>
            <w:vAlign w:val="top"/>
          </w:tcPr>
          <w:p w14:paraId="0C768DFF">
            <w:pPr>
              <w:keepNext w:val="0"/>
              <w:keepLines w:val="0"/>
              <w:pageBreakBefore w:val="0"/>
              <w:kinsoku/>
              <w:wordWrap/>
              <w:overflowPunct/>
              <w:topLinePunct w:val="0"/>
              <w:autoSpaceDE/>
              <w:autoSpaceDN/>
              <w:bidi w:val="0"/>
              <w:adjustRightInd/>
              <w:snapToGrid/>
              <w:spacing w:line="300" w:lineRule="auto"/>
              <w:jc w:val="center"/>
              <w:textAlignment w:val="auto"/>
              <w:rPr>
                <w:rFonts w:ascii="仿宋" w:hAnsi="仿宋" w:eastAsia="仿宋" w:cs="仿宋"/>
                <w:bCs/>
                <w:sz w:val="24"/>
                <w:highlight w:val="none"/>
              </w:rPr>
            </w:pPr>
            <w:r>
              <w:rPr>
                <w:rFonts w:hint="eastAsia" w:ascii="宋体" w:hAnsi="宋体" w:eastAsia="宋体" w:cs="宋体"/>
                <w:color w:val="000000"/>
                <w:szCs w:val="21"/>
                <w:highlight w:val="none"/>
                <w:lang w:val="en-US" w:eastAsia="zh-CN"/>
              </w:rPr>
              <w:t>叫号</w:t>
            </w:r>
            <w:r>
              <w:rPr>
                <w:rFonts w:hint="eastAsia" w:ascii="宋体" w:hAnsi="宋体" w:eastAsia="宋体" w:cs="宋体"/>
                <w:color w:val="000000"/>
                <w:szCs w:val="21"/>
                <w:highlight w:val="none"/>
              </w:rPr>
              <w:t>屏</w:t>
            </w:r>
          </w:p>
        </w:tc>
        <w:tc>
          <w:tcPr>
            <w:tcW w:w="4204" w:type="dxa"/>
            <w:vAlign w:val="top"/>
          </w:tcPr>
          <w:p w14:paraId="2B5605D9">
            <w:pPr>
              <w:keepNext w:val="0"/>
              <w:keepLines w:val="0"/>
              <w:pageBreakBefore w:val="0"/>
              <w:tabs>
                <w:tab w:val="left" w:pos="3227"/>
              </w:tabs>
              <w:kinsoku/>
              <w:wordWrap/>
              <w:overflowPunct/>
              <w:topLinePunct w:val="0"/>
              <w:autoSpaceDE/>
              <w:autoSpaceDN/>
              <w:bidi w:val="0"/>
              <w:adjustRightInd/>
              <w:snapToGrid/>
              <w:spacing w:line="300" w:lineRule="auto"/>
              <w:jc w:val="left"/>
              <w:textAlignment w:val="auto"/>
              <w:rPr>
                <w:rFonts w:ascii="宋体" w:hAnsi="宋体" w:eastAsia="宋体" w:cs="宋体"/>
                <w:szCs w:val="21"/>
                <w:highlight w:val="none"/>
              </w:rPr>
            </w:pPr>
            <w:r>
              <w:rPr>
                <w:rFonts w:hint="eastAsia" w:ascii="宋体" w:hAnsi="宋体" w:eastAsia="宋体" w:cs="宋体"/>
                <w:szCs w:val="21"/>
                <w:highlight w:val="none"/>
              </w:rPr>
              <w:t>内存：1GB</w:t>
            </w:r>
          </w:p>
          <w:p w14:paraId="77DFD51D">
            <w:pPr>
              <w:keepNext w:val="0"/>
              <w:keepLines w:val="0"/>
              <w:pageBreakBefore w:val="0"/>
              <w:tabs>
                <w:tab w:val="left" w:pos="3227"/>
              </w:tabs>
              <w:kinsoku/>
              <w:wordWrap/>
              <w:overflowPunct/>
              <w:topLinePunct w:val="0"/>
              <w:autoSpaceDE/>
              <w:autoSpaceDN/>
              <w:bidi w:val="0"/>
              <w:adjustRightInd/>
              <w:snapToGrid/>
              <w:spacing w:line="300" w:lineRule="auto"/>
              <w:jc w:val="left"/>
              <w:textAlignment w:val="auto"/>
              <w:rPr>
                <w:rFonts w:ascii="宋体" w:hAnsi="宋体" w:eastAsia="宋体" w:cs="宋体"/>
                <w:szCs w:val="21"/>
                <w:highlight w:val="none"/>
              </w:rPr>
            </w:pPr>
            <w:r>
              <w:rPr>
                <w:rFonts w:hint="eastAsia" w:ascii="宋体" w:hAnsi="宋体" w:eastAsia="宋体" w:cs="宋体"/>
                <w:szCs w:val="21"/>
                <w:highlight w:val="none"/>
              </w:rPr>
              <w:t>外存储：8GB</w:t>
            </w:r>
          </w:p>
          <w:p w14:paraId="7C4C3944">
            <w:pPr>
              <w:keepNext w:val="0"/>
              <w:keepLines w:val="0"/>
              <w:pageBreakBefore w:val="0"/>
              <w:tabs>
                <w:tab w:val="left" w:pos="3227"/>
              </w:tabs>
              <w:kinsoku/>
              <w:wordWrap/>
              <w:overflowPunct/>
              <w:topLinePunct w:val="0"/>
              <w:autoSpaceDE/>
              <w:autoSpaceDN/>
              <w:bidi w:val="0"/>
              <w:adjustRightInd/>
              <w:snapToGrid/>
              <w:spacing w:line="300" w:lineRule="auto"/>
              <w:jc w:val="left"/>
              <w:textAlignment w:val="auto"/>
              <w:rPr>
                <w:rFonts w:ascii="宋体" w:hAnsi="宋体" w:eastAsia="宋体" w:cs="宋体"/>
                <w:szCs w:val="21"/>
                <w:highlight w:val="none"/>
              </w:rPr>
            </w:pPr>
            <w:r>
              <w:rPr>
                <w:rFonts w:hint="eastAsia" w:ascii="宋体" w:hAnsi="宋体" w:eastAsia="宋体" w:cs="宋体"/>
                <w:szCs w:val="21"/>
                <w:highlight w:val="none"/>
              </w:rPr>
              <w:t>系统：Android 9.0</w:t>
            </w:r>
          </w:p>
          <w:p w14:paraId="619C2C83">
            <w:pPr>
              <w:keepNext w:val="0"/>
              <w:keepLines w:val="0"/>
              <w:pageBreakBefore w:val="0"/>
              <w:tabs>
                <w:tab w:val="left" w:pos="3227"/>
              </w:tabs>
              <w:kinsoku/>
              <w:wordWrap/>
              <w:overflowPunct/>
              <w:topLinePunct w:val="0"/>
              <w:autoSpaceDE/>
              <w:autoSpaceDN/>
              <w:bidi w:val="0"/>
              <w:adjustRightInd/>
              <w:snapToGrid/>
              <w:spacing w:line="300" w:lineRule="auto"/>
              <w:jc w:val="left"/>
              <w:textAlignment w:val="auto"/>
              <w:rPr>
                <w:rFonts w:ascii="宋体" w:hAnsi="宋体" w:eastAsia="宋体" w:cs="宋体"/>
                <w:szCs w:val="21"/>
                <w:highlight w:val="none"/>
              </w:rPr>
            </w:pPr>
            <w:r>
              <w:rPr>
                <w:rFonts w:hint="eastAsia" w:ascii="宋体" w:hAnsi="宋体" w:eastAsia="宋体" w:cs="宋体"/>
                <w:szCs w:val="21"/>
                <w:highlight w:val="none"/>
              </w:rPr>
              <w:t xml:space="preserve">分辨率输出：1366 </w:t>
            </w:r>
            <w:r>
              <w:rPr>
                <w:rFonts w:hint="default" w:ascii="Arial" w:hAnsi="Arial" w:eastAsia="宋体" w:cs="Arial"/>
                <w:szCs w:val="21"/>
                <w:highlight w:val="none"/>
              </w:rPr>
              <w:t>×</w:t>
            </w:r>
            <w:r>
              <w:rPr>
                <w:rFonts w:hint="eastAsia" w:ascii="宋体" w:hAnsi="宋体" w:eastAsia="宋体" w:cs="宋体"/>
                <w:szCs w:val="21"/>
                <w:highlight w:val="none"/>
              </w:rPr>
              <w:t xml:space="preserve"> 768</w:t>
            </w:r>
          </w:p>
        </w:tc>
        <w:tc>
          <w:tcPr>
            <w:tcW w:w="1721" w:type="dxa"/>
            <w:vAlign w:val="top"/>
          </w:tcPr>
          <w:p w14:paraId="46E6A274">
            <w:pPr>
              <w:keepNext w:val="0"/>
              <w:keepLines w:val="0"/>
              <w:pageBreakBefore w:val="0"/>
              <w:kinsoku/>
              <w:wordWrap/>
              <w:overflowPunct/>
              <w:topLinePunct w:val="0"/>
              <w:autoSpaceDE/>
              <w:autoSpaceDN/>
              <w:bidi w:val="0"/>
              <w:adjustRightInd/>
              <w:snapToGrid/>
              <w:spacing w:line="300" w:lineRule="auto"/>
              <w:jc w:val="center"/>
              <w:textAlignment w:val="auto"/>
              <w:rPr>
                <w:rFonts w:ascii="仿宋" w:hAnsi="仿宋" w:eastAsia="仿宋" w:cs="仿宋"/>
                <w:bCs/>
                <w:sz w:val="24"/>
                <w:highlight w:val="none"/>
              </w:rPr>
            </w:pPr>
            <w:r>
              <w:rPr>
                <w:rFonts w:hint="eastAsia" w:ascii="宋体" w:hAnsi="宋体" w:eastAsia="宋体" w:cs="宋体"/>
                <w:color w:val="000000"/>
                <w:szCs w:val="21"/>
                <w:highlight w:val="none"/>
              </w:rPr>
              <w:t>15</w:t>
            </w:r>
          </w:p>
        </w:tc>
      </w:tr>
    </w:tbl>
    <w:p w14:paraId="020519C9">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3.</w:t>
      </w:r>
      <w:r>
        <w:rPr>
          <w:rFonts w:hint="eastAsia" w:ascii="宋体" w:hAnsi="宋体" w:eastAsia="宋体" w:cs="宋体"/>
          <w:b w:val="0"/>
          <w:bCs/>
          <w:sz w:val="21"/>
          <w:szCs w:val="21"/>
          <w:highlight w:val="none"/>
        </w:rPr>
        <w:t>项目实施规范要求</w:t>
      </w:r>
    </w:p>
    <w:p w14:paraId="0A787D3F">
      <w:pPr>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eastAsia="zh-CN" w:bidi="ar"/>
        </w:rPr>
      </w:pPr>
      <w:r>
        <w:rPr>
          <w:rFonts w:hint="eastAsia" w:ascii="宋体" w:hAnsi="宋体" w:cs="宋体"/>
          <w:b w:val="0"/>
          <w:bCs/>
          <w:color w:val="000000"/>
          <w:kern w:val="0"/>
          <w:sz w:val="21"/>
          <w:szCs w:val="21"/>
          <w:highlight w:val="none"/>
          <w:lang w:val="en-US" w:eastAsia="zh-CN" w:bidi="ar"/>
        </w:rPr>
        <w:t>3.1</w:t>
      </w:r>
      <w:r>
        <w:rPr>
          <w:rFonts w:hint="eastAsia" w:ascii="宋体" w:hAnsi="宋体" w:eastAsia="宋体" w:cs="宋体"/>
          <w:b w:val="0"/>
          <w:bCs/>
          <w:color w:val="000000"/>
          <w:kern w:val="0"/>
          <w:sz w:val="21"/>
          <w:szCs w:val="21"/>
          <w:highlight w:val="none"/>
          <w:lang w:bidi="ar"/>
        </w:rPr>
        <w:t>系统应兼容</w:t>
      </w:r>
      <w:r>
        <w:rPr>
          <w:rFonts w:hint="eastAsia" w:ascii="宋体" w:hAnsi="宋体" w:cs="宋体"/>
          <w:b w:val="0"/>
          <w:bCs/>
          <w:color w:val="000000"/>
          <w:kern w:val="0"/>
          <w:sz w:val="21"/>
          <w:szCs w:val="21"/>
          <w:highlight w:val="none"/>
          <w:lang w:val="en-US" w:eastAsia="zh-CN" w:bidi="ar"/>
        </w:rPr>
        <w:t>甲方</w:t>
      </w:r>
      <w:r>
        <w:rPr>
          <w:rFonts w:hint="eastAsia" w:ascii="宋体" w:hAnsi="宋体" w:eastAsia="宋体" w:cs="宋体"/>
          <w:b w:val="0"/>
          <w:bCs/>
          <w:color w:val="000000"/>
          <w:kern w:val="0"/>
          <w:sz w:val="21"/>
          <w:szCs w:val="21"/>
          <w:highlight w:val="none"/>
          <w:lang w:bidi="ar"/>
        </w:rPr>
        <w:t>现有业务流程和可用设备，支持后续新增诊区、科室、终端屏幕、接口和业务规则扩展</w:t>
      </w:r>
      <w:r>
        <w:rPr>
          <w:rFonts w:hint="eastAsia" w:ascii="宋体" w:hAnsi="宋体" w:cs="宋体"/>
          <w:b w:val="0"/>
          <w:bCs/>
          <w:color w:val="000000"/>
          <w:kern w:val="0"/>
          <w:sz w:val="21"/>
          <w:szCs w:val="21"/>
          <w:highlight w:val="none"/>
          <w:lang w:eastAsia="zh-CN" w:bidi="ar"/>
        </w:rPr>
        <w:t>；</w:t>
      </w:r>
    </w:p>
    <w:p w14:paraId="48003267">
      <w:pPr>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eastAsia="zh-CN" w:bidi="ar"/>
        </w:rPr>
      </w:pPr>
      <w:r>
        <w:rPr>
          <w:rFonts w:hint="eastAsia" w:ascii="宋体" w:hAnsi="宋体" w:cs="宋体"/>
          <w:b w:val="0"/>
          <w:bCs/>
          <w:color w:val="000000"/>
          <w:kern w:val="0"/>
          <w:sz w:val="21"/>
          <w:szCs w:val="21"/>
          <w:highlight w:val="none"/>
          <w:lang w:val="en-US" w:eastAsia="zh-CN" w:bidi="ar"/>
        </w:rPr>
        <w:t>3.2</w:t>
      </w:r>
      <w:r>
        <w:rPr>
          <w:rFonts w:hint="eastAsia" w:ascii="宋体" w:hAnsi="宋体" w:eastAsia="宋体" w:cs="宋体"/>
          <w:b w:val="0"/>
          <w:bCs/>
          <w:color w:val="000000"/>
          <w:kern w:val="0"/>
          <w:sz w:val="21"/>
          <w:szCs w:val="21"/>
          <w:highlight w:val="none"/>
          <w:lang w:bidi="ar"/>
        </w:rPr>
        <w:t>升级改造应尽量复用</w:t>
      </w:r>
      <w:r>
        <w:rPr>
          <w:rFonts w:hint="eastAsia" w:ascii="宋体" w:hAnsi="宋体" w:cs="宋体"/>
          <w:b w:val="0"/>
          <w:bCs/>
          <w:color w:val="000000"/>
          <w:kern w:val="0"/>
          <w:sz w:val="21"/>
          <w:szCs w:val="21"/>
          <w:highlight w:val="none"/>
          <w:lang w:val="en-US" w:eastAsia="zh-CN" w:bidi="ar"/>
        </w:rPr>
        <w:t>甲方</w:t>
      </w:r>
      <w:r>
        <w:rPr>
          <w:rFonts w:hint="eastAsia" w:ascii="宋体" w:hAnsi="宋体" w:eastAsia="宋体" w:cs="宋体"/>
          <w:b w:val="0"/>
          <w:bCs/>
          <w:color w:val="000000"/>
          <w:kern w:val="0"/>
          <w:sz w:val="21"/>
          <w:szCs w:val="21"/>
          <w:highlight w:val="none"/>
          <w:lang w:bidi="ar"/>
        </w:rPr>
        <w:t>现有线路、网络环境、终端显示设备和历史数据资源，减少重复建设和对门急诊正常业务的影响</w:t>
      </w:r>
      <w:r>
        <w:rPr>
          <w:rFonts w:hint="eastAsia" w:ascii="宋体" w:hAnsi="宋体" w:cs="宋体"/>
          <w:b w:val="0"/>
          <w:bCs/>
          <w:color w:val="000000"/>
          <w:kern w:val="0"/>
          <w:sz w:val="21"/>
          <w:szCs w:val="21"/>
          <w:highlight w:val="none"/>
          <w:lang w:eastAsia="zh-CN" w:bidi="ar"/>
        </w:rPr>
        <w:t>；</w:t>
      </w:r>
    </w:p>
    <w:p w14:paraId="37ED13D6">
      <w:pPr>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eastAsia="zh-CN" w:bidi="ar"/>
        </w:rPr>
      </w:pPr>
      <w:r>
        <w:rPr>
          <w:rFonts w:hint="eastAsia" w:ascii="宋体" w:hAnsi="宋体" w:cs="宋体"/>
          <w:b w:val="0"/>
          <w:bCs/>
          <w:color w:val="000000"/>
          <w:kern w:val="0"/>
          <w:sz w:val="21"/>
          <w:szCs w:val="21"/>
          <w:highlight w:val="none"/>
          <w:lang w:val="en-US" w:eastAsia="zh-CN" w:bidi="ar"/>
        </w:rPr>
        <w:t>3.3</w:t>
      </w:r>
      <w:r>
        <w:rPr>
          <w:rFonts w:hint="eastAsia" w:ascii="宋体" w:hAnsi="宋体" w:eastAsia="宋体" w:cs="宋体"/>
          <w:b w:val="0"/>
          <w:bCs/>
          <w:color w:val="000000"/>
          <w:kern w:val="0"/>
          <w:sz w:val="21"/>
          <w:szCs w:val="21"/>
          <w:highlight w:val="none"/>
          <w:lang w:bidi="ar"/>
        </w:rPr>
        <w:t>系统应支持 7</w:t>
      </w:r>
      <w:r>
        <w:rPr>
          <w:rFonts w:hint="default" w:ascii="Arial" w:hAnsi="Arial" w:eastAsia="宋体" w:cs="Arial"/>
          <w:b w:val="0"/>
          <w:bCs/>
          <w:color w:val="000000"/>
          <w:kern w:val="0"/>
          <w:sz w:val="21"/>
          <w:szCs w:val="21"/>
          <w:highlight w:val="none"/>
          <w:lang w:bidi="ar"/>
        </w:rPr>
        <w:t>×</w:t>
      </w:r>
      <w:r>
        <w:rPr>
          <w:rFonts w:hint="eastAsia" w:ascii="宋体" w:hAnsi="宋体" w:eastAsia="宋体" w:cs="宋体"/>
          <w:b w:val="0"/>
          <w:bCs/>
          <w:color w:val="000000"/>
          <w:kern w:val="0"/>
          <w:sz w:val="21"/>
          <w:szCs w:val="21"/>
          <w:highlight w:val="none"/>
          <w:lang w:bidi="ar"/>
        </w:rPr>
        <w:t>24 小时稳定运行，具备异常恢复、日志追踪、数据备份、权限控制和故障告警能力；上线前应完成测试环境验证、接口联调、模拟叫号测试和业务流程测试</w:t>
      </w:r>
      <w:r>
        <w:rPr>
          <w:rFonts w:hint="eastAsia" w:ascii="宋体" w:hAnsi="宋体" w:cs="宋体"/>
          <w:b w:val="0"/>
          <w:bCs/>
          <w:color w:val="000000"/>
          <w:kern w:val="0"/>
          <w:sz w:val="21"/>
          <w:szCs w:val="21"/>
          <w:highlight w:val="none"/>
          <w:lang w:eastAsia="zh-CN" w:bidi="ar"/>
        </w:rPr>
        <w:t>；</w:t>
      </w:r>
    </w:p>
    <w:p w14:paraId="2ADBF5BD">
      <w:pPr>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3.4</w:t>
      </w:r>
      <w:r>
        <w:rPr>
          <w:rFonts w:hint="eastAsia" w:ascii="宋体" w:hAnsi="宋体" w:eastAsia="宋体" w:cs="宋体"/>
          <w:b w:val="0"/>
          <w:bCs/>
          <w:color w:val="000000"/>
          <w:kern w:val="0"/>
          <w:sz w:val="21"/>
          <w:szCs w:val="21"/>
          <w:highlight w:val="none"/>
          <w:lang w:bidi="ar"/>
        </w:rPr>
        <w:t>系统切换应采用分区域、分阶段方式实施，优先选择夜间、周末或非诊疗高峰时段施工</w:t>
      </w:r>
      <w:r>
        <w:rPr>
          <w:rFonts w:hint="eastAsia" w:ascii="宋体" w:hAnsi="宋体" w:cs="宋体"/>
          <w:b w:val="0"/>
          <w:bCs/>
          <w:color w:val="000000"/>
          <w:kern w:val="0"/>
          <w:sz w:val="21"/>
          <w:szCs w:val="21"/>
          <w:highlight w:val="none"/>
          <w:lang w:eastAsia="zh-CN" w:bidi="ar"/>
        </w:rPr>
        <w:t>，</w:t>
      </w:r>
      <w:r>
        <w:rPr>
          <w:rFonts w:hint="eastAsia" w:ascii="宋体" w:hAnsi="宋体" w:eastAsia="宋体" w:cs="宋体"/>
          <w:b w:val="0"/>
          <w:bCs/>
          <w:color w:val="000000"/>
          <w:kern w:val="0"/>
          <w:sz w:val="21"/>
          <w:szCs w:val="21"/>
          <w:highlight w:val="none"/>
          <w:lang w:bidi="ar"/>
        </w:rPr>
        <w:t>上线期间应保留原系统或人工叫号应急方案，确保出现异常时可快速回退</w:t>
      </w:r>
      <w:r>
        <w:rPr>
          <w:rFonts w:hint="eastAsia" w:ascii="宋体" w:hAnsi="宋体" w:cs="宋体"/>
          <w:b w:val="0"/>
          <w:bCs/>
          <w:color w:val="000000"/>
          <w:kern w:val="0"/>
          <w:sz w:val="21"/>
          <w:szCs w:val="21"/>
          <w:highlight w:val="none"/>
          <w:lang w:eastAsia="zh-CN" w:bidi="ar"/>
        </w:rPr>
        <w:t>；</w:t>
      </w:r>
    </w:p>
    <w:p w14:paraId="5B6B26C2">
      <w:pPr>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20" w:firstLineChars="200"/>
        <w:jc w:val="left"/>
        <w:textAlignment w:val="auto"/>
        <w:rPr>
          <w:rFonts w:hint="eastAsia" w:ascii="宋体" w:hAnsi="宋体" w:eastAsia="宋体" w:cs="宋体"/>
          <w:b w:val="0"/>
          <w:bCs/>
          <w:color w:val="000000"/>
          <w:kern w:val="0"/>
          <w:sz w:val="21"/>
          <w:szCs w:val="21"/>
          <w:highlight w:val="none"/>
          <w:lang w:bidi="ar"/>
        </w:rPr>
      </w:pPr>
      <w:r>
        <w:rPr>
          <w:rFonts w:hint="eastAsia" w:ascii="宋体" w:hAnsi="宋体" w:cs="宋体"/>
          <w:b w:val="0"/>
          <w:bCs/>
          <w:color w:val="000000"/>
          <w:kern w:val="0"/>
          <w:sz w:val="21"/>
          <w:szCs w:val="21"/>
          <w:highlight w:val="none"/>
          <w:lang w:val="en-US" w:eastAsia="zh-CN" w:bidi="ar"/>
        </w:rPr>
        <w:t>3.5</w:t>
      </w:r>
      <w:r>
        <w:rPr>
          <w:rFonts w:hint="eastAsia" w:ascii="宋体" w:hAnsi="宋体" w:eastAsia="宋体" w:cs="宋体"/>
          <w:b w:val="0"/>
          <w:bCs/>
          <w:color w:val="000000"/>
          <w:kern w:val="0"/>
          <w:sz w:val="21"/>
          <w:szCs w:val="21"/>
          <w:highlight w:val="none"/>
          <w:lang w:eastAsia="zh-CN" w:bidi="ar"/>
        </w:rPr>
        <w:t>乙方</w:t>
      </w:r>
      <w:r>
        <w:rPr>
          <w:rFonts w:hint="eastAsia" w:ascii="宋体" w:hAnsi="宋体" w:eastAsia="宋体" w:cs="宋体"/>
          <w:b w:val="0"/>
          <w:bCs/>
          <w:color w:val="000000"/>
          <w:kern w:val="0"/>
          <w:sz w:val="21"/>
          <w:szCs w:val="21"/>
          <w:highlight w:val="none"/>
          <w:lang w:bidi="ar"/>
        </w:rPr>
        <w:t>应保证所投产品及服务不存在知识产权纠纷，涉及第三方软硬件授权、接口开发、安装调试、培训、运维等费用均应包含在</w:t>
      </w:r>
      <w:r>
        <w:rPr>
          <w:rFonts w:hint="eastAsia" w:ascii="宋体" w:hAnsi="宋体" w:cs="宋体"/>
          <w:b w:val="0"/>
          <w:bCs/>
          <w:color w:val="000000"/>
          <w:kern w:val="0"/>
          <w:sz w:val="21"/>
          <w:szCs w:val="21"/>
          <w:highlight w:val="none"/>
          <w:lang w:val="en-US" w:eastAsia="zh-CN" w:bidi="ar"/>
        </w:rPr>
        <w:t>合同总价</w:t>
      </w:r>
      <w:r>
        <w:rPr>
          <w:rFonts w:hint="eastAsia" w:ascii="宋体" w:hAnsi="宋体" w:eastAsia="宋体" w:cs="宋体"/>
          <w:b w:val="0"/>
          <w:bCs/>
          <w:color w:val="000000"/>
          <w:kern w:val="0"/>
          <w:sz w:val="21"/>
          <w:szCs w:val="21"/>
          <w:highlight w:val="none"/>
          <w:lang w:bidi="ar"/>
        </w:rPr>
        <w:t>内。</w:t>
      </w:r>
    </w:p>
    <w:p w14:paraId="1D99ADF6">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4</w:t>
      </w:r>
      <w:r>
        <w:rPr>
          <w:rFonts w:hint="eastAsia" w:ascii="宋体" w:hAnsi="宋体" w:eastAsia="宋体" w:cs="宋体"/>
          <w:b w:val="0"/>
          <w:bCs/>
          <w:sz w:val="21"/>
          <w:szCs w:val="21"/>
          <w:highlight w:val="none"/>
        </w:rPr>
        <w:t>项目团队人员要求：</w:t>
      </w:r>
    </w:p>
    <w:p w14:paraId="2E01F752">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4.1</w:t>
      </w:r>
      <w:r>
        <w:rPr>
          <w:rFonts w:hint="eastAsia" w:ascii="宋体" w:hAnsi="宋体" w:eastAsia="宋体" w:cs="宋体"/>
          <w:b w:val="0"/>
          <w:bCs/>
          <w:sz w:val="21"/>
          <w:szCs w:val="21"/>
          <w:highlight w:val="none"/>
        </w:rPr>
        <w:t>项目经理 1 名，本科及以上；</w:t>
      </w:r>
    </w:p>
    <w:p w14:paraId="0A6DD7E8">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4.2</w:t>
      </w:r>
      <w:r>
        <w:rPr>
          <w:rFonts w:hint="eastAsia" w:ascii="宋体" w:hAnsi="宋体" w:eastAsia="宋体" w:cs="宋体"/>
          <w:b w:val="0"/>
          <w:bCs/>
          <w:sz w:val="21"/>
          <w:szCs w:val="21"/>
          <w:highlight w:val="none"/>
        </w:rPr>
        <w:t>技术人员至少 2 名，大专及以上；</w:t>
      </w:r>
    </w:p>
    <w:p w14:paraId="70282E65">
      <w:pPr>
        <w:keepNext w:val="0"/>
        <w:keepLines w:val="0"/>
        <w:pageBreakBefore w:val="0"/>
        <w:kinsoku/>
        <w:wordWrap/>
        <w:overflowPunct/>
        <w:topLinePunct w:val="0"/>
        <w:autoSpaceDE/>
        <w:autoSpaceDN/>
        <w:bidi w:val="0"/>
        <w:adjustRightInd/>
        <w:snapToGrid/>
        <w:spacing w:line="300" w:lineRule="auto"/>
        <w:ind w:left="0" w:firstLine="420" w:firstLineChars="200"/>
        <w:textAlignment w:val="auto"/>
        <w:rPr>
          <w:rFonts w:hint="eastAsia" w:ascii="宋体" w:hAnsi="宋体" w:eastAsia="宋体" w:cs="宋体"/>
          <w:b w:val="0"/>
          <w:bCs/>
          <w:sz w:val="21"/>
          <w:szCs w:val="21"/>
          <w:highlight w:val="none"/>
        </w:rPr>
      </w:pPr>
      <w:r>
        <w:rPr>
          <w:rFonts w:hint="eastAsia" w:ascii="宋体" w:hAnsi="宋体" w:cs="宋体"/>
          <w:b w:val="0"/>
          <w:bCs/>
          <w:sz w:val="21"/>
          <w:szCs w:val="21"/>
          <w:highlight w:val="none"/>
          <w:lang w:val="en-US" w:eastAsia="zh-CN"/>
        </w:rPr>
        <w:t>4.3</w:t>
      </w:r>
      <w:r>
        <w:rPr>
          <w:rFonts w:hint="eastAsia" w:ascii="宋体" w:hAnsi="宋体" w:eastAsia="宋体" w:cs="宋体"/>
          <w:b w:val="0"/>
          <w:bCs/>
          <w:sz w:val="21"/>
          <w:szCs w:val="21"/>
          <w:highlight w:val="none"/>
        </w:rPr>
        <w:t>团队成员至少有一人具有工业和信息化部(工信部)和人力资源和社会保障部(人社部)颁发的系统集成项目管理工程师及有</w:t>
      </w:r>
      <w:r>
        <w:rPr>
          <w:rFonts w:hint="eastAsia" w:ascii="宋体" w:hAnsi="宋体" w:eastAsia="宋体" w:cs="宋体"/>
          <w:b w:val="0"/>
          <w:bCs/>
          <w:sz w:val="21"/>
          <w:szCs w:val="21"/>
          <w:highlight w:val="none"/>
          <w:lang w:val="en-US" w:eastAsia="zh-CN"/>
        </w:rPr>
        <w:t>3</w:t>
      </w:r>
      <w:r>
        <w:rPr>
          <w:rFonts w:hint="eastAsia" w:ascii="宋体" w:hAnsi="宋体" w:eastAsia="宋体" w:cs="宋体"/>
          <w:b w:val="0"/>
          <w:bCs/>
          <w:sz w:val="21"/>
          <w:szCs w:val="21"/>
          <w:highlight w:val="none"/>
        </w:rPr>
        <w:t>年以上的同类项目交付经验。</w:t>
      </w:r>
    </w:p>
    <w:p w14:paraId="51BE939C">
      <w:pPr>
        <w:pStyle w:val="31"/>
        <w:rPr>
          <w:rFonts w:hint="default" w:eastAsia="宋体"/>
          <w:highlight w:val="none"/>
          <w:lang w:val="en-US" w:eastAsia="zh-CN"/>
        </w:rPr>
      </w:pPr>
      <w:r>
        <w:rPr>
          <w:rFonts w:hint="eastAsia" w:ascii="宋体" w:hAnsi="宋体" w:eastAsia="宋体" w:cs="宋体"/>
          <w:b w:val="0"/>
          <w:bCs/>
          <w:sz w:val="21"/>
          <w:szCs w:val="21"/>
          <w:highlight w:val="none"/>
          <w:lang w:val="en-US" w:eastAsia="zh-CN"/>
        </w:rPr>
        <w:t>5.货物要求：货物为原制造商制造的非淘汰类全新产品，整机无污染，无侵权行为、表面无划损、无任何缺陷隐患，在中国境内可依常规安全合法使用。</w:t>
      </w:r>
    </w:p>
    <w:p w14:paraId="23F4D9DE">
      <w:pPr>
        <w:pStyle w:val="54"/>
        <w:keepNext w:val="0"/>
        <w:keepLines w:val="0"/>
        <w:pageBreakBefore w:val="0"/>
        <w:widowControl/>
        <w:kinsoku/>
        <w:wordWrap/>
        <w:overflowPunct/>
        <w:topLinePunct w:val="0"/>
        <w:autoSpaceDE/>
        <w:autoSpaceDN/>
        <w:bidi w:val="0"/>
        <w:adjustRightInd/>
        <w:snapToGrid/>
        <w:spacing w:line="300" w:lineRule="auto"/>
        <w:ind w:firstLine="422"/>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w:t>
      </w:r>
      <w:r>
        <w:rPr>
          <w:rFonts w:hint="eastAsia" w:ascii="宋体" w:hAnsi="宋体" w:eastAsia="宋体" w:cs="宋体"/>
          <w:b/>
          <w:sz w:val="21"/>
          <w:szCs w:val="21"/>
          <w:highlight w:val="none"/>
          <w:lang w:val="en-US" w:eastAsia="zh-CN"/>
        </w:rPr>
        <w:t>十一</w:t>
      </w:r>
      <w:r>
        <w:rPr>
          <w:rFonts w:hint="eastAsia" w:ascii="宋体" w:hAnsi="宋体" w:eastAsia="宋体" w:cs="宋体"/>
          <w:b/>
          <w:sz w:val="21"/>
          <w:szCs w:val="21"/>
          <w:highlight w:val="none"/>
        </w:rPr>
        <w:t>条 双方权利义务</w:t>
      </w:r>
    </w:p>
    <w:p w14:paraId="54B43E70">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rPr>
        <w:t>甲方权利和义务</w:t>
      </w:r>
    </w:p>
    <w:p w14:paraId="59708C2E">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甲方应按合同约定的时间及金额付款。</w:t>
      </w:r>
    </w:p>
    <w:p w14:paraId="1E20E8A8">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2甲方负责项目建设中的需求管理工作，甲方应积极配合乙方的工作，提供必要的支持和资料。</w:t>
      </w:r>
    </w:p>
    <w:p w14:paraId="3944D5D5">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w:t>
      </w:r>
      <w:r>
        <w:rPr>
          <w:rFonts w:hint="eastAsia" w:ascii="宋体" w:hAnsi="宋体" w:eastAsia="宋体" w:cs="宋体"/>
          <w:sz w:val="21"/>
          <w:szCs w:val="21"/>
          <w:highlight w:val="none"/>
        </w:rPr>
        <w:t>甲方有权督导乙方提供系统技术服务的过程。由甲方牵头进行与系统需求开发和技术服务相关的业务和技术资料交流，若乙方向第三方提供技术资料需先经甲方确认。</w:t>
      </w:r>
    </w:p>
    <w:p w14:paraId="78FB870D">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乙方权利和义务</w:t>
      </w:r>
    </w:p>
    <w:p w14:paraId="4A569D77">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1乙方应按照项目计划和进度要求，完成项目的设计、开发、实施等工作。</w:t>
      </w:r>
    </w:p>
    <w:p w14:paraId="311E54A7">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2.2乙方应按本合同的约定向甲方相关人员提供培训和技术支持，而且应保证使受训人员理解并掌握操作和维护本合同提供的软件系统模块。</w:t>
      </w:r>
    </w:p>
    <w:p w14:paraId="109CE901">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2.3乙方需定期向甲方汇报项目进展情况，确保项目按时完成。</w:t>
      </w:r>
    </w:p>
    <w:p w14:paraId="1C36663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2.4乙方所提供的一切资料应通过合法途径获得，任何第三方不得对该资料主张权利，否则，乙方应承担相应的责任，并承担由此给甲方造成的损失。</w:t>
      </w:r>
    </w:p>
    <w:p w14:paraId="3ED4B913">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2.5乙方不得设置任何技术壁垒、恶意程序等手段影响干扰甲方正常使用该项目软硬件。否则视为乙方违约，应按本合同约定承担违约责任并赔偿甲方实际损失。</w:t>
      </w:r>
    </w:p>
    <w:p w14:paraId="1211DF8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2.6</w:t>
      </w:r>
      <w:r>
        <w:rPr>
          <w:rFonts w:hint="eastAsia" w:ascii="宋体" w:hAnsi="宋体" w:eastAsia="宋体" w:cs="宋体"/>
          <w:sz w:val="21"/>
          <w:szCs w:val="21"/>
          <w:highlight w:val="none"/>
        </w:rPr>
        <w:t>乙方应协助甲方完成相关项目验收工作，包括收集、整理验收所需文档资料，检查验收所需文档资料是否齐全、内容是否完备。</w:t>
      </w:r>
    </w:p>
    <w:p w14:paraId="1F03BD5B">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2.7</w:t>
      </w:r>
      <w:r>
        <w:rPr>
          <w:rFonts w:hint="eastAsia" w:ascii="宋体" w:hAnsi="宋体" w:eastAsia="宋体" w:cs="宋体"/>
          <w:sz w:val="21"/>
          <w:szCs w:val="21"/>
          <w:highlight w:val="none"/>
        </w:rPr>
        <w:t>乙方履行本合同的指定联系人及授权代表为xx，职务：xx；身份证件号码：xx；联系电话：xx。在履行合同过程中，该指定联系人及授权代表的行为、意思表示及对甲方所作的任何承诺、通知等，都对乙方直接具有约束力；甲方通知送达该联系人及授权代表时，即视为通知送达乙方。</w:t>
      </w:r>
    </w:p>
    <w:p w14:paraId="4B61BBA3">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2.8</w:t>
      </w:r>
      <w:r>
        <w:rPr>
          <w:rFonts w:hint="eastAsia" w:ascii="宋体" w:hAnsi="宋体" w:eastAsia="宋体" w:cs="宋体"/>
          <w:sz w:val="21"/>
          <w:szCs w:val="21"/>
          <w:highlight w:val="none"/>
        </w:rPr>
        <w:t>乙方须接受甲方的履约评价。</w:t>
      </w:r>
    </w:p>
    <w:p w14:paraId="51303EDA">
      <w:pPr>
        <w:pStyle w:val="54"/>
        <w:keepNext w:val="0"/>
        <w:keepLines w:val="0"/>
        <w:pageBreakBefore w:val="0"/>
        <w:widowControl/>
        <w:kinsoku/>
        <w:wordWrap/>
        <w:overflowPunct/>
        <w:topLinePunct w:val="0"/>
        <w:autoSpaceDE/>
        <w:autoSpaceDN/>
        <w:bidi w:val="0"/>
        <w:adjustRightInd/>
        <w:snapToGrid/>
        <w:spacing w:line="300" w:lineRule="auto"/>
        <w:ind w:firstLine="422"/>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违约责任</w:t>
      </w:r>
    </w:p>
    <w:p w14:paraId="1AB3A049">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乙方违约责任与赔偿损失</w:t>
      </w:r>
    </w:p>
    <w:p w14:paraId="4EC4EFBD">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1除依本合同约定外，乙</w:t>
      </w:r>
      <w:r>
        <w:rPr>
          <w:rFonts w:hint="eastAsia" w:ascii="宋体" w:hAnsi="宋体" w:eastAsia="宋体" w:cs="宋体"/>
          <w:color w:val="auto"/>
          <w:sz w:val="21"/>
          <w:szCs w:val="21"/>
          <w:highlight w:val="none"/>
        </w:rPr>
        <w:t>方单方面解除合同，应向甲方支付合同总价20%的违约金。</w:t>
      </w:r>
    </w:p>
    <w:p w14:paraId="4C769CE4">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因</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自身技术、人员、方案、资源不足等原因，未能按本合同规定的</w:t>
      </w:r>
      <w:r>
        <w:rPr>
          <w:rFonts w:hint="eastAsia" w:ascii="宋体" w:hAnsi="宋体" w:eastAsia="宋体" w:cs="宋体"/>
          <w:color w:val="auto"/>
          <w:sz w:val="21"/>
          <w:szCs w:val="21"/>
          <w:highlight w:val="none"/>
          <w:lang w:val="en-US" w:eastAsia="zh-CN"/>
        </w:rPr>
        <w:t>工期</w:t>
      </w:r>
      <w:r>
        <w:rPr>
          <w:rFonts w:hint="eastAsia" w:ascii="宋体" w:hAnsi="宋体" w:eastAsia="宋体" w:cs="宋体"/>
          <w:color w:val="auto"/>
          <w:sz w:val="21"/>
          <w:szCs w:val="21"/>
          <w:highlight w:val="none"/>
        </w:rPr>
        <w:t>完成系统部署</w:t>
      </w:r>
      <w:r>
        <w:rPr>
          <w:rFonts w:hint="eastAsia" w:ascii="宋体" w:hAnsi="宋体" w:eastAsia="宋体" w:cs="宋体"/>
          <w:color w:val="auto"/>
          <w:sz w:val="21"/>
          <w:szCs w:val="21"/>
          <w:highlight w:val="none"/>
          <w:lang w:eastAsia="zh-CN"/>
        </w:rPr>
        <w:t>，并且所有功能能够正常使用</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每逾期一日，</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按合同总金额3‰向</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支付违约金，逾期违约金累计上限为合同总价10%；逾期超过</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日的，</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有权单方解除合同，</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须退还</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已支付全部款项，并赔偿</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由此产生的全部经济损失（含医院运营损失、另行采购差价损失等）。</w:t>
      </w:r>
    </w:p>
    <w:p w14:paraId="1FA25DF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rPr>
        <w:t>未经</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书面同意擅自更换</w:t>
      </w:r>
      <w:r>
        <w:rPr>
          <w:rFonts w:hint="eastAsia" w:ascii="宋体" w:hAnsi="宋体" w:eastAsia="宋体" w:cs="宋体"/>
          <w:color w:val="auto"/>
          <w:sz w:val="21"/>
          <w:szCs w:val="21"/>
          <w:highlight w:val="none"/>
          <w:lang w:val="en-US" w:eastAsia="zh-CN"/>
        </w:rPr>
        <w:t>项目团队</w:t>
      </w:r>
      <w:r>
        <w:rPr>
          <w:rFonts w:hint="eastAsia" w:ascii="宋体" w:hAnsi="宋体" w:eastAsia="宋体" w:cs="宋体"/>
          <w:color w:val="auto"/>
          <w:sz w:val="21"/>
          <w:szCs w:val="21"/>
          <w:highlight w:val="none"/>
        </w:rPr>
        <w:t>人员，或更换人员资质低于原人员标准的，每次支付违约金 1 万元；</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有权要求 7 日内换回符合资质人员，拒不整改的，</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可暂缓支付项目款项。</w:t>
      </w:r>
    </w:p>
    <w:p w14:paraId="5C7E4C46">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1.4验收</w:t>
      </w:r>
      <w:r>
        <w:rPr>
          <w:rFonts w:hint="eastAsia" w:ascii="宋体" w:hAnsi="宋体" w:eastAsia="宋体" w:cs="宋体"/>
          <w:color w:val="auto"/>
          <w:sz w:val="21"/>
          <w:szCs w:val="21"/>
          <w:highlight w:val="none"/>
        </w:rPr>
        <w:t>整改一次仍未通过验收的，扣除合同总价 0.5%；两次整改仍无法满足验收标准</w:t>
      </w:r>
      <w:r>
        <w:rPr>
          <w:rFonts w:hint="eastAsia" w:ascii="宋体" w:hAnsi="宋体" w:eastAsia="宋体" w:cs="宋体"/>
          <w:color w:val="auto"/>
          <w:sz w:val="21"/>
          <w:szCs w:val="21"/>
          <w:highlight w:val="none"/>
          <w:lang w:val="en-US" w:eastAsia="zh-CN"/>
        </w:rPr>
        <w:t>和验收方案</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有权解除合同，</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退还全部已支付款项，并按合同总价 10% 支付违约金，</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有权另行采购，差价损失由违约</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补足。</w:t>
      </w:r>
    </w:p>
    <w:p w14:paraId="5EE6688C">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1.5维保</w:t>
      </w:r>
      <w:r>
        <w:rPr>
          <w:rFonts w:hint="eastAsia" w:ascii="宋体" w:hAnsi="宋体" w:eastAsia="宋体" w:cs="宋体"/>
          <w:color w:val="auto"/>
          <w:sz w:val="21"/>
          <w:szCs w:val="21"/>
          <w:highlight w:val="none"/>
        </w:rPr>
        <w:t>期内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系统</w:t>
      </w:r>
      <w:r>
        <w:rPr>
          <w:rFonts w:hint="eastAsia" w:ascii="宋体" w:hAnsi="宋体" w:eastAsia="宋体" w:cs="宋体"/>
          <w:color w:val="auto"/>
          <w:sz w:val="21"/>
          <w:szCs w:val="21"/>
          <w:highlight w:val="none"/>
          <w:lang w:val="en-US" w:eastAsia="zh-CN"/>
        </w:rPr>
        <w:t>发生故障，乙方</w:t>
      </w:r>
      <w:r>
        <w:rPr>
          <w:rFonts w:hint="eastAsia" w:ascii="宋体" w:hAnsi="宋体" w:eastAsia="宋体" w:cs="宋体"/>
          <w:color w:val="auto"/>
          <w:sz w:val="21"/>
          <w:szCs w:val="21"/>
          <w:highlight w:val="none"/>
        </w:rPr>
        <w:t>未按要求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一般故障：1小时内、重大故障：30分钟内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响应的</w:t>
      </w:r>
      <w:r>
        <w:rPr>
          <w:rFonts w:hint="eastAsia" w:ascii="宋体" w:hAnsi="宋体" w:eastAsia="宋体" w:cs="宋体"/>
          <w:color w:val="auto"/>
          <w:sz w:val="21"/>
          <w:szCs w:val="21"/>
          <w:highlight w:val="none"/>
        </w:rPr>
        <w:t>，每超时一次支付违约金 5000 元</w:t>
      </w:r>
      <w:r>
        <w:rPr>
          <w:rFonts w:hint="eastAsia" w:ascii="宋体" w:hAnsi="宋体" w:eastAsia="宋体" w:cs="宋体"/>
          <w:color w:val="auto"/>
          <w:sz w:val="21"/>
          <w:szCs w:val="21"/>
          <w:highlight w:val="none"/>
          <w:lang w:eastAsia="zh-CN"/>
        </w:rPr>
        <w:t>。</w:t>
      </w:r>
    </w:p>
    <w:p w14:paraId="07F94FA2">
      <w:pPr>
        <w:pStyle w:val="54"/>
        <w:keepNext w:val="0"/>
        <w:keepLines w:val="0"/>
        <w:pageBreakBefore w:val="0"/>
        <w:widowControl/>
        <w:kinsoku/>
        <w:wordWrap/>
        <w:overflowPunct/>
        <w:topLinePunct w:val="0"/>
        <w:autoSpaceDE/>
        <w:autoSpaceDN/>
        <w:bidi w:val="0"/>
        <w:adjustRightInd/>
        <w:snapToGrid/>
        <w:spacing w:line="300" w:lineRule="auto"/>
        <w:ind w:firstLine="42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1.6乙方</w:t>
      </w:r>
      <w:r>
        <w:rPr>
          <w:rFonts w:hint="eastAsia" w:ascii="宋体" w:hAnsi="宋体" w:eastAsia="宋体" w:cs="宋体"/>
          <w:color w:val="auto"/>
          <w:sz w:val="21"/>
          <w:szCs w:val="21"/>
          <w:highlight w:val="none"/>
        </w:rPr>
        <w:t>未签订保密协议，或违规</w:t>
      </w:r>
      <w:r>
        <w:rPr>
          <w:rFonts w:hint="eastAsia" w:ascii="宋体" w:hAnsi="宋体" w:eastAsia="宋体" w:cs="宋体"/>
          <w:b w:val="0"/>
          <w:bCs/>
          <w:sz w:val="21"/>
          <w:szCs w:val="21"/>
          <w:highlight w:val="none"/>
        </w:rPr>
        <w:t>本项目的所有程序、资料及数据用作其他用途</w:t>
      </w:r>
      <w:r>
        <w:rPr>
          <w:rFonts w:hint="eastAsia" w:ascii="宋体" w:hAnsi="宋体" w:eastAsia="宋体" w:cs="宋体"/>
          <w:color w:val="auto"/>
          <w:sz w:val="21"/>
          <w:szCs w:val="21"/>
          <w:highlight w:val="none"/>
        </w:rPr>
        <w:t>，乙方应向甲方支付合同总价款</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的违约金。</w:t>
      </w:r>
    </w:p>
    <w:p w14:paraId="0A650B5D">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安装、调试过程中损坏</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硬件设备、机房设施、诊疗配套设备的，须 3 日内按全新标准修复或全额赔偿。</w:t>
      </w:r>
    </w:p>
    <w:p w14:paraId="6D10F043">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1.8乙方不得以任何方式转包、分包本项目，否则甲方有权解除合同，乙方需支付合同总价30%的违约金，并赔偿甲方重新寻找合作方的额外费用（如紧急采购溢价）。</w:t>
      </w:r>
    </w:p>
    <w:p w14:paraId="2E936CB9">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rPr>
        <w:t>本合同项下所有违约金、赔偿金，</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有权从</w:t>
      </w:r>
      <w:r>
        <w:rPr>
          <w:rFonts w:hint="eastAsia" w:ascii="宋体" w:hAnsi="宋体" w:eastAsia="宋体" w:cs="宋体"/>
          <w:color w:val="auto"/>
          <w:sz w:val="21"/>
          <w:szCs w:val="21"/>
          <w:highlight w:val="none"/>
          <w:lang w:val="en-US" w:eastAsia="zh-CN"/>
        </w:rPr>
        <w:t>项目款项</w:t>
      </w:r>
      <w:r>
        <w:rPr>
          <w:rFonts w:hint="eastAsia" w:ascii="宋体" w:hAnsi="宋体" w:eastAsia="宋体" w:cs="宋体"/>
          <w:color w:val="auto"/>
          <w:sz w:val="21"/>
          <w:szCs w:val="21"/>
          <w:highlight w:val="none"/>
        </w:rPr>
        <w:t>中直接抵扣，不足部分</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保留追偿权利。</w:t>
      </w:r>
    </w:p>
    <w:p w14:paraId="7ED6EC7A">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1.10</w:t>
      </w:r>
      <w:r>
        <w:rPr>
          <w:rFonts w:hint="eastAsia" w:ascii="宋体" w:hAnsi="宋体" w:eastAsia="宋体" w:cs="宋体"/>
          <w:color w:val="auto"/>
          <w:sz w:val="21"/>
          <w:szCs w:val="21"/>
          <w:highlight w:val="none"/>
        </w:rPr>
        <w:t>违约金不足以弥补</w:t>
      </w:r>
      <w:r>
        <w:rPr>
          <w:rFonts w:hint="eastAsia" w:ascii="宋体" w:hAnsi="宋体" w:eastAsia="宋体" w:cs="宋体"/>
          <w:color w:val="auto"/>
          <w:sz w:val="21"/>
          <w:szCs w:val="21"/>
          <w:highlight w:val="none"/>
          <w:lang w:eastAsia="zh-CN"/>
        </w:rPr>
        <w:t>甲方</w:t>
      </w:r>
      <w:r>
        <w:rPr>
          <w:rFonts w:hint="eastAsia" w:ascii="宋体" w:hAnsi="宋体" w:eastAsia="宋体" w:cs="宋体"/>
          <w:color w:val="auto"/>
          <w:sz w:val="21"/>
          <w:szCs w:val="21"/>
          <w:highlight w:val="none"/>
        </w:rPr>
        <w:t>实际经济损失（含运营损失、第三方服务费、诉讼费、律师费、商誉损失等）的，</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rPr>
        <w:t>应当就差额部分另行补足赔偿。</w:t>
      </w:r>
    </w:p>
    <w:p w14:paraId="2F556119">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甲方违约责任与赔偿损失</w:t>
      </w:r>
    </w:p>
    <w:p w14:paraId="6A2412E8">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1除依本合同约定外，甲方单方面解除合同，应向乙方支付合同总金额20%的违约金。</w:t>
      </w:r>
    </w:p>
    <w:p w14:paraId="4EFF69FB">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2本合同生效后，如任何一方违约，守约方为维护权益，向违约方追偿的一切费用，包括但不限于律师费、诉讼费、财产保全费、保全担保费、鉴定费、差旅费由违约方承担。</w:t>
      </w:r>
    </w:p>
    <w:p w14:paraId="7BA1C22C">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3其它违约责任按照《中华人民共和国民法典》合同编相关规定处理。</w:t>
      </w:r>
    </w:p>
    <w:p w14:paraId="07BCB8FD">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4合同双方中的任何一方不能履行其它义务，经守约方书面催告后仍不能在合理期限内作符合约定的改正或补救的，守约方有权要求违约方按本合同总价的20%支付违约金，并赔偿自身由此遭受的损失，且守约方有权单方书面通知违</w:t>
      </w:r>
      <w:r>
        <w:rPr>
          <w:rFonts w:hint="eastAsia" w:ascii="宋体" w:hAnsi="宋体" w:eastAsia="宋体" w:cs="宋体"/>
          <w:sz w:val="21"/>
          <w:szCs w:val="21"/>
          <w:highlight w:val="none"/>
        </w:rPr>
        <w:t>约方解除本合同。</w:t>
      </w:r>
    </w:p>
    <w:p w14:paraId="4DACE583">
      <w:pPr>
        <w:pStyle w:val="54"/>
        <w:keepNext w:val="0"/>
        <w:keepLines w:val="0"/>
        <w:pageBreakBefore w:val="0"/>
        <w:widowControl/>
        <w:kinsoku/>
        <w:wordWrap/>
        <w:overflowPunct/>
        <w:topLinePunct w:val="0"/>
        <w:autoSpaceDE/>
        <w:autoSpaceDN/>
        <w:bidi w:val="0"/>
        <w:adjustRightInd/>
        <w:snapToGrid/>
        <w:spacing w:line="300" w:lineRule="auto"/>
        <w:ind w:firstLine="482"/>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三</w:t>
      </w:r>
      <w:r>
        <w:rPr>
          <w:rFonts w:hint="eastAsia" w:ascii="宋体" w:hAnsi="宋体" w:eastAsia="宋体" w:cs="宋体"/>
          <w:b/>
          <w:sz w:val="21"/>
          <w:szCs w:val="21"/>
          <w:highlight w:val="none"/>
        </w:rPr>
        <w:t>条 不可抗力</w:t>
      </w:r>
    </w:p>
    <w:p w14:paraId="6998397B">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由于不可预见、不可避免、不可克服等不可抗力的原因，一方不能履行合同义务的，应当在不可抗力发生之日起</w:t>
      </w:r>
      <w:r>
        <w:rPr>
          <w:rFonts w:hint="eastAsia" w:ascii="宋体" w:hAnsi="宋体" w:eastAsia="宋体" w:cs="宋体"/>
          <w:sz w:val="21"/>
          <w:szCs w:val="21"/>
          <w:highlight w:val="none"/>
          <w:u w:val="none"/>
        </w:rPr>
        <w:t>10</w:t>
      </w:r>
      <w:r>
        <w:rPr>
          <w:rFonts w:hint="eastAsia" w:ascii="宋体" w:hAnsi="宋体" w:eastAsia="宋体" w:cs="宋体"/>
          <w:sz w:val="21"/>
          <w:szCs w:val="21"/>
          <w:highlight w:val="none"/>
        </w:rPr>
        <w:t>天内以书面形式通知对方，证明不可抗力事件的存在。</w:t>
      </w:r>
    </w:p>
    <w:p w14:paraId="5DC721F0">
      <w:pPr>
        <w:pStyle w:val="54"/>
        <w:keepNext w:val="0"/>
        <w:keepLines w:val="0"/>
        <w:pageBreakBefore w:val="0"/>
        <w:widowControl/>
        <w:kinsoku/>
        <w:wordWrap/>
        <w:overflowPunct/>
        <w:topLinePunct w:val="0"/>
        <w:autoSpaceDE/>
        <w:autoSpaceDN/>
        <w:bidi w:val="0"/>
        <w:adjustRightInd/>
        <w:snapToGrid/>
        <w:spacing w:line="300" w:lineRule="auto"/>
        <w:ind w:firstLine="422"/>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不可抗力事件发生后，甲方和乙方应当积极寻求以合理的方式履行本合同。如不可抗力无法消除，致使合同目的无法实现的，双方均有权解除合同，且均不互相索赔。</w:t>
      </w:r>
    </w:p>
    <w:p w14:paraId="28B5E732">
      <w:pPr>
        <w:pStyle w:val="54"/>
        <w:keepNext w:val="0"/>
        <w:keepLines w:val="0"/>
        <w:pageBreakBefore w:val="0"/>
        <w:widowControl/>
        <w:kinsoku/>
        <w:wordWrap/>
        <w:overflowPunct/>
        <w:topLinePunct w:val="0"/>
        <w:autoSpaceDE/>
        <w:autoSpaceDN/>
        <w:bidi w:val="0"/>
        <w:adjustRightInd/>
        <w:snapToGrid/>
        <w:spacing w:line="300" w:lineRule="auto"/>
        <w:ind w:firstLine="42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四</w:t>
      </w:r>
      <w:r>
        <w:rPr>
          <w:rFonts w:hint="eastAsia" w:ascii="宋体" w:hAnsi="宋体" w:eastAsia="宋体" w:cs="宋体"/>
          <w:b/>
          <w:sz w:val="21"/>
          <w:szCs w:val="21"/>
          <w:highlight w:val="none"/>
        </w:rPr>
        <w:t>条 争议及解决办法</w:t>
      </w:r>
    </w:p>
    <w:p w14:paraId="2677CBE0">
      <w:pPr>
        <w:pStyle w:val="54"/>
        <w:keepNext w:val="0"/>
        <w:keepLines w:val="0"/>
        <w:pageBreakBefore w:val="0"/>
        <w:widowControl/>
        <w:kinsoku/>
        <w:wordWrap/>
        <w:overflowPunct/>
        <w:topLinePunct w:val="0"/>
        <w:autoSpaceDE/>
        <w:autoSpaceDN/>
        <w:bidi w:val="0"/>
        <w:adjustRightInd/>
        <w:snapToGrid/>
        <w:spacing w:line="300" w:lineRule="auto"/>
        <w:ind w:firstLine="420"/>
        <w:jc w:val="left"/>
        <w:textAlignment w:val="auto"/>
        <w:rPr>
          <w:rFonts w:hint="eastAsia" w:ascii="宋体" w:hAnsi="宋体" w:eastAsia="宋体" w:cs="宋体"/>
          <w:sz w:val="21"/>
          <w:szCs w:val="21"/>
          <w:highlight w:val="none"/>
        </w:rPr>
      </w:pPr>
      <w:r>
        <w:rPr>
          <w:rFonts w:ascii="宋体" w:hAnsi="宋体" w:eastAsia="宋体" w:cs="宋体"/>
          <w:sz w:val="21"/>
          <w:szCs w:val="21"/>
          <w:highlight w:val="none"/>
        </w:rPr>
        <w:t>签约双方在履约中发生争执和分歧，双方应通过友好协商解决，若经协商不能达成协议时，</w:t>
      </w:r>
      <w:r>
        <w:rPr>
          <w:rFonts w:hint="eastAsia" w:ascii="宋体" w:hAnsi="宋体" w:eastAsia="宋体" w:cs="宋体"/>
          <w:sz w:val="21"/>
          <w:szCs w:val="21"/>
          <w:highlight w:val="none"/>
        </w:rPr>
        <w:t>应向甲方所在地有管辖权的法院提起诉讼</w:t>
      </w:r>
      <w:r>
        <w:rPr>
          <w:rFonts w:ascii="宋体" w:hAnsi="宋体" w:eastAsia="宋体" w:cs="宋体"/>
          <w:sz w:val="21"/>
          <w:szCs w:val="21"/>
          <w:highlight w:val="none"/>
        </w:rPr>
        <w:t>。受理期间，双方应继续执行合同其余部分。</w:t>
      </w:r>
    </w:p>
    <w:p w14:paraId="60AE59E0">
      <w:pPr>
        <w:pStyle w:val="54"/>
        <w:keepNext w:val="0"/>
        <w:keepLines w:val="0"/>
        <w:pageBreakBefore w:val="0"/>
        <w:widowControl/>
        <w:kinsoku/>
        <w:wordWrap/>
        <w:overflowPunct/>
        <w:topLinePunct w:val="0"/>
        <w:autoSpaceDE/>
        <w:autoSpaceDN/>
        <w:bidi w:val="0"/>
        <w:adjustRightInd/>
        <w:snapToGrid/>
        <w:spacing w:line="300" w:lineRule="auto"/>
        <w:ind w:firstLine="422"/>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五</w:t>
      </w:r>
      <w:r>
        <w:rPr>
          <w:rFonts w:hint="eastAsia" w:ascii="宋体" w:hAnsi="宋体" w:eastAsia="宋体" w:cs="宋体"/>
          <w:b/>
          <w:sz w:val="21"/>
          <w:szCs w:val="21"/>
          <w:highlight w:val="none"/>
        </w:rPr>
        <w:t>条</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合同组成</w:t>
      </w:r>
    </w:p>
    <w:p w14:paraId="5C0BA7D3">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本合同所有附件、</w:t>
      </w:r>
      <w:r>
        <w:rPr>
          <w:rFonts w:hint="eastAsia" w:ascii="宋体" w:hAnsi="宋体" w:eastAsia="宋体" w:cs="宋体"/>
          <w:sz w:val="21"/>
          <w:szCs w:val="21"/>
          <w:highlight w:val="none"/>
          <w:lang w:val="en-US" w:eastAsia="zh-CN"/>
        </w:rPr>
        <w:t>采购</w:t>
      </w:r>
      <w:r>
        <w:rPr>
          <w:rFonts w:hint="eastAsia" w:ascii="宋体" w:hAnsi="宋体" w:eastAsia="宋体" w:cs="宋体"/>
          <w:sz w:val="21"/>
          <w:szCs w:val="21"/>
          <w:highlight w:val="none"/>
        </w:rPr>
        <w:t>文件、</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文件、会议纪要等均为本合同的有效组成部分，与本合同具有同等法律效力。</w:t>
      </w:r>
    </w:p>
    <w:p w14:paraId="1E0406CD">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在协商和执行本合同的过程中，所有经双方签署确认的文件（包括会议纪要、补充协议、往来信函）也可成为本合同的有效组成部分。</w:t>
      </w:r>
    </w:p>
    <w:p w14:paraId="7F663AF3">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如果不同文件的条款之间有冲突，适用有利于甲方的条款。</w:t>
      </w:r>
    </w:p>
    <w:p w14:paraId="2B12D9B1">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六</w:t>
      </w:r>
      <w:r>
        <w:rPr>
          <w:rFonts w:hint="eastAsia" w:ascii="宋体" w:hAnsi="宋体" w:eastAsia="宋体" w:cs="宋体"/>
          <w:b/>
          <w:sz w:val="21"/>
          <w:szCs w:val="21"/>
          <w:highlight w:val="none"/>
        </w:rPr>
        <w:t>条 其它</w:t>
      </w:r>
    </w:p>
    <w:p w14:paraId="542F5065">
      <w:pPr>
        <w:pStyle w:val="54"/>
        <w:keepNext w:val="0"/>
        <w:keepLines w:val="0"/>
        <w:pageBreakBefore w:val="0"/>
        <w:widowControl/>
        <w:kinsoku/>
        <w:wordWrap/>
        <w:overflowPunct/>
        <w:topLinePunct w:val="0"/>
        <w:autoSpaceDE/>
        <w:autoSpaceDN/>
        <w:bidi w:val="0"/>
        <w:adjustRightInd/>
        <w:snapToGrid/>
        <w:spacing w:line="300" w:lineRule="auto"/>
        <w:ind w:right="-15"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如一方地址、电话有变更，应在变更当日内书面通知对方，否则，应承担相应责任。</w:t>
      </w:r>
    </w:p>
    <w:p w14:paraId="6D2E2257">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本合同未尽事宜，由双方协商处理，另行签订《补充协议》。</w:t>
      </w:r>
    </w:p>
    <w:p w14:paraId="62C8959B">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第十</w:t>
      </w:r>
      <w:r>
        <w:rPr>
          <w:rFonts w:hint="eastAsia" w:ascii="宋体" w:hAnsi="宋体" w:eastAsia="宋体" w:cs="宋体"/>
          <w:b/>
          <w:sz w:val="21"/>
          <w:szCs w:val="21"/>
          <w:highlight w:val="none"/>
          <w:lang w:val="en-US" w:eastAsia="zh-CN"/>
        </w:rPr>
        <w:t>七</w:t>
      </w:r>
      <w:r>
        <w:rPr>
          <w:rFonts w:hint="eastAsia" w:ascii="宋体" w:hAnsi="宋体" w:eastAsia="宋体" w:cs="宋体"/>
          <w:b/>
          <w:sz w:val="21"/>
          <w:szCs w:val="21"/>
          <w:highlight w:val="none"/>
        </w:rPr>
        <w:t>条 合同生效</w:t>
      </w:r>
    </w:p>
    <w:p w14:paraId="68D6DF05">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本合同在甲乙双方法定代表人或其授权代表签字并加盖公章后生效。</w:t>
      </w:r>
    </w:p>
    <w:p w14:paraId="2C8528C9">
      <w:pPr>
        <w:pStyle w:val="54"/>
        <w:keepNext w:val="0"/>
        <w:keepLines w:val="0"/>
        <w:pageBreakBefore w:val="0"/>
        <w:widowControl/>
        <w:kinsoku/>
        <w:wordWrap/>
        <w:overflowPunct/>
        <w:topLinePunct w:val="0"/>
        <w:autoSpaceDE/>
        <w:autoSpaceDN/>
        <w:bidi w:val="0"/>
        <w:adjustRightInd/>
        <w:snapToGrid/>
        <w:spacing w:line="300" w:lineRule="auto"/>
        <w:ind w:firstLine="420"/>
        <w:jc w:val="both"/>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本合同一式</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份，甲方执</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份，乙方执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份。各份合同具有同等法律效力。</w:t>
      </w:r>
    </w:p>
    <w:p w14:paraId="437D1C64">
      <w:pPr>
        <w:pStyle w:val="54"/>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(以下无正文）</w:t>
      </w:r>
    </w:p>
    <w:p w14:paraId="744B366F">
      <w:pPr>
        <w:pStyle w:val="54"/>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宋体" w:hAnsi="宋体" w:eastAsia="宋体" w:cs="宋体"/>
          <w:sz w:val="21"/>
          <w:szCs w:val="21"/>
          <w:highlight w:val="none"/>
        </w:rPr>
      </w:pPr>
    </w:p>
    <w:p w14:paraId="7E2A6CF5">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71818521">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1F67A71F">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7556B400">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5E5D61E0">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46650331">
      <w:pPr>
        <w:pStyle w:val="54"/>
        <w:keepNext w:val="0"/>
        <w:keepLines w:val="0"/>
        <w:pageBreakBefore w:val="0"/>
        <w:widowControl/>
        <w:bidi w:val="0"/>
        <w:spacing w:line="440" w:lineRule="exact"/>
        <w:jc w:val="center"/>
        <w:rPr>
          <w:rFonts w:hint="eastAsia" w:ascii="宋体" w:hAnsi="宋体" w:eastAsia="宋体" w:cs="宋体"/>
          <w:b/>
          <w:sz w:val="21"/>
          <w:szCs w:val="21"/>
          <w:highlight w:val="none"/>
        </w:rPr>
      </w:pPr>
    </w:p>
    <w:p w14:paraId="171B9F93">
      <w:pPr>
        <w:pStyle w:val="54"/>
        <w:keepNext w:val="0"/>
        <w:keepLines w:val="0"/>
        <w:pageBreakBefore w:val="0"/>
        <w:widowControl/>
        <w:bidi w:val="0"/>
        <w:spacing w:line="440" w:lineRule="exact"/>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签署页</w:t>
      </w:r>
    </w:p>
    <w:p w14:paraId="47892C50">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21832492">
      <w:pPr>
        <w:pStyle w:val="54"/>
        <w:keepNext w:val="0"/>
        <w:keepLines w:val="0"/>
        <w:pageBreakBefore w:val="0"/>
        <w:widowControl/>
        <w:bidi w:val="0"/>
        <w:spacing w:line="440" w:lineRule="exact"/>
        <w:jc w:val="left"/>
        <w:rPr>
          <w:rFonts w:hint="eastAsia" w:ascii="宋体" w:hAnsi="宋体" w:eastAsia="宋体" w:cs="宋体"/>
          <w:sz w:val="21"/>
          <w:szCs w:val="21"/>
          <w:highlight w:val="none"/>
        </w:rPr>
      </w:pPr>
      <w:r>
        <w:rPr>
          <w:rFonts w:hint="eastAsia" w:ascii="宋体" w:hAnsi="宋体" w:eastAsia="宋体" w:cs="宋体"/>
          <w:b/>
          <w:sz w:val="21"/>
          <w:szCs w:val="21"/>
          <w:highlight w:val="none"/>
        </w:rPr>
        <w:t>甲方：</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 xml:space="preserve">       乙方：</w:t>
      </w:r>
    </w:p>
    <w:p w14:paraId="7DC750B4">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1B8071F7">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4FBC4FFC">
      <w:pPr>
        <w:pStyle w:val="54"/>
        <w:keepNext w:val="0"/>
        <w:keepLines w:val="0"/>
        <w:pageBreakBefore w:val="0"/>
        <w:widowControl/>
        <w:bidi w:val="0"/>
        <w:spacing w:line="440" w:lineRule="exact"/>
        <w:jc w:val="left"/>
        <w:rPr>
          <w:rFonts w:hint="eastAsia" w:ascii="宋体" w:hAnsi="宋体" w:eastAsia="宋体" w:cs="宋体"/>
          <w:sz w:val="21"/>
          <w:szCs w:val="21"/>
          <w:highlight w:val="none"/>
        </w:rPr>
      </w:pPr>
      <w:r>
        <w:rPr>
          <w:rFonts w:hint="eastAsia" w:ascii="宋体" w:hAnsi="宋体" w:eastAsia="宋体" w:cs="宋体"/>
          <w:b/>
          <w:sz w:val="21"/>
          <w:szCs w:val="21"/>
          <w:highlight w:val="none"/>
        </w:rPr>
        <w:t xml:space="preserve">法定代表人或授权代表：                 </w:t>
      </w:r>
      <w:r>
        <w:rPr>
          <w:rFonts w:hint="eastAsia" w:ascii="宋体" w:hAnsi="宋体" w:eastAsia="宋体" w:cs="宋体"/>
          <w:b/>
          <w:sz w:val="21"/>
          <w:szCs w:val="21"/>
          <w:highlight w:val="none"/>
          <w:lang w:val="en-US" w:eastAsia="zh-CN"/>
        </w:rPr>
        <w:t xml:space="preserve"> </w:t>
      </w:r>
      <w:r>
        <w:rPr>
          <w:rFonts w:hint="eastAsia" w:ascii="宋体" w:hAnsi="宋体" w:eastAsia="宋体" w:cs="宋体"/>
          <w:b/>
          <w:sz w:val="21"/>
          <w:szCs w:val="21"/>
          <w:highlight w:val="none"/>
        </w:rPr>
        <w:t xml:space="preserve">法定代表人或授权代表：            </w:t>
      </w:r>
    </w:p>
    <w:p w14:paraId="4FFE6F62">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00B10769">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pPr>
    </w:p>
    <w:p w14:paraId="6D174C82">
      <w:pPr>
        <w:pStyle w:val="54"/>
        <w:keepNext w:val="0"/>
        <w:keepLines w:val="0"/>
        <w:pageBreakBefore w:val="0"/>
        <w:widowControl/>
        <w:bidi w:val="0"/>
        <w:spacing w:line="440" w:lineRule="exact"/>
        <w:jc w:val="left"/>
        <w:rPr>
          <w:rFonts w:hint="eastAsia" w:ascii="宋体" w:hAnsi="宋体" w:eastAsia="宋体" w:cs="宋体"/>
          <w:b/>
          <w:sz w:val="21"/>
          <w:szCs w:val="21"/>
          <w:highlight w:val="none"/>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sz w:val="21"/>
          <w:szCs w:val="21"/>
          <w:highlight w:val="none"/>
        </w:rPr>
        <w:t>日期：    年    月    日                日期：    年    月    日</w:t>
      </w:r>
    </w:p>
    <w:p w14:paraId="0EA4079C">
      <w:pPr>
        <w:jc w:val="center"/>
        <w:outlineLvl w:val="0"/>
        <w:rPr>
          <w:rFonts w:hint="default" w:ascii="宋体" w:hAnsi="宋体" w:eastAsia="宋体" w:cs="Times New Roman"/>
          <w:b/>
          <w:bCs/>
          <w:color w:val="auto"/>
          <w:kern w:val="2"/>
          <w:sz w:val="28"/>
          <w:szCs w:val="28"/>
          <w:highlight w:val="none"/>
          <w:lang w:val="en-US" w:eastAsia="zh-CN" w:bidi="ar-SA"/>
        </w:rPr>
      </w:pPr>
      <w:bookmarkStart w:id="68" w:name="_Toc26597"/>
      <w:bookmarkStart w:id="69" w:name="_Toc8593"/>
      <w:bookmarkStart w:id="70" w:name="_Toc28173"/>
      <w:bookmarkStart w:id="71" w:name="_Toc23421"/>
      <w:r>
        <w:rPr>
          <w:rFonts w:hint="eastAsia" w:ascii="宋体" w:hAnsi="宋体" w:eastAsia="宋体" w:cs="Times New Roman"/>
          <w:b/>
          <w:bCs/>
          <w:color w:val="auto"/>
          <w:kern w:val="2"/>
          <w:sz w:val="28"/>
          <w:szCs w:val="28"/>
          <w:highlight w:val="none"/>
          <w:lang w:val="en-US" w:eastAsia="zh-CN" w:bidi="ar-SA"/>
        </w:rPr>
        <w:t xml:space="preserve">第五部分 </w:t>
      </w:r>
      <w:bookmarkEnd w:id="68"/>
      <w:bookmarkEnd w:id="69"/>
      <w:bookmarkEnd w:id="70"/>
      <w:r>
        <w:rPr>
          <w:rFonts w:hint="eastAsia" w:ascii="宋体" w:hAnsi="宋体" w:cs="Times New Roman"/>
          <w:b/>
          <w:bCs/>
          <w:color w:val="auto"/>
          <w:kern w:val="2"/>
          <w:sz w:val="28"/>
          <w:szCs w:val="28"/>
          <w:highlight w:val="none"/>
          <w:lang w:val="en-US" w:eastAsia="zh-CN" w:bidi="ar-SA"/>
        </w:rPr>
        <w:t>供应商须知</w:t>
      </w:r>
      <w:bookmarkEnd w:id="71"/>
    </w:p>
    <w:bookmarkEnd w:id="56"/>
    <w:bookmarkEnd w:id="57"/>
    <w:bookmarkEnd w:id="58"/>
    <w:bookmarkEnd w:id="63"/>
    <w:p w14:paraId="25A52B15">
      <w:pPr>
        <w:numPr>
          <w:ilvl w:val="0"/>
          <w:numId w:val="0"/>
        </w:numPr>
        <w:jc w:val="both"/>
        <w:outlineLvl w:val="9"/>
        <w:rPr>
          <w:rFonts w:hint="eastAsia" w:ascii="宋体" w:hAnsi="宋体" w:eastAsia="宋体" w:cs="Times New Roman"/>
          <w:color w:val="auto"/>
          <w:kern w:val="2"/>
          <w:sz w:val="24"/>
          <w:szCs w:val="24"/>
          <w:highlight w:val="none"/>
          <w:lang w:val="en-US" w:eastAsia="zh-CN" w:bidi="ar-SA"/>
        </w:rPr>
      </w:pPr>
    </w:p>
    <w:p w14:paraId="777340E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2" w:name="_Toc10962"/>
      <w:bookmarkStart w:id="73" w:name="_Toc2093311"/>
      <w:bookmarkStart w:id="74" w:name="_Toc2094450"/>
      <w:r>
        <w:rPr>
          <w:rFonts w:hint="eastAsia" w:ascii="宋体" w:hAnsi="宋体" w:eastAsia="宋体" w:cs="Times New Roman"/>
          <w:color w:val="auto"/>
          <w:sz w:val="21"/>
          <w:szCs w:val="21"/>
          <w:highlight w:val="none"/>
        </w:rPr>
        <w:t>1.</w:t>
      </w:r>
      <w:bookmarkStart w:id="75" w:name="_Toc2094422"/>
      <w:bookmarkStart w:id="76" w:name="_Toc3184"/>
      <w:bookmarkStart w:id="77" w:name="_Toc2093283"/>
      <w:r>
        <w:rPr>
          <w:rFonts w:hint="eastAsia" w:ascii="宋体" w:hAnsi="宋体" w:eastAsia="宋体" w:cs="Times New Roman"/>
          <w:color w:val="auto"/>
          <w:sz w:val="21"/>
          <w:szCs w:val="21"/>
          <w:highlight w:val="none"/>
        </w:rPr>
        <w:t>供应商不得相互串通报价，不得妨碍其他供应商的公平竞争，不得损害</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或其他供应商的合法权益，供应商不得以向</w:t>
      </w:r>
      <w:r>
        <w:rPr>
          <w:rFonts w:hint="eastAsia" w:cs="Times New Roman"/>
          <w:color w:val="auto"/>
          <w:sz w:val="21"/>
          <w:szCs w:val="21"/>
          <w:highlight w:val="none"/>
          <w:lang w:eastAsia="zh-CN"/>
        </w:rPr>
        <w:t>甲方</w:t>
      </w:r>
      <w:r>
        <w:rPr>
          <w:rFonts w:hint="eastAsia" w:ascii="宋体" w:hAnsi="宋体" w:eastAsia="宋体" w:cs="Times New Roman"/>
          <w:color w:val="auto"/>
          <w:sz w:val="21"/>
          <w:szCs w:val="21"/>
          <w:highlight w:val="none"/>
        </w:rPr>
        <w:t>、磋商小组成员行贿或者采取其他不正当手段谋取成交。</w:t>
      </w:r>
      <w:bookmarkEnd w:id="75"/>
      <w:bookmarkEnd w:id="76"/>
      <w:bookmarkEnd w:id="77"/>
    </w:p>
    <w:p w14:paraId="4A5E84C4">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78" w:name="_Toc2093299"/>
      <w:bookmarkStart w:id="79" w:name="_Toc19652"/>
      <w:bookmarkStart w:id="80" w:name="_Toc2094438"/>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供应商报名</w:t>
      </w:r>
      <w:r>
        <w:rPr>
          <w:rFonts w:hint="eastAsia" w:ascii="宋体" w:hAnsi="宋体" w:eastAsia="宋体" w:cs="Times New Roman"/>
          <w:color w:val="auto"/>
          <w:sz w:val="21"/>
          <w:szCs w:val="21"/>
          <w:highlight w:val="none"/>
          <w:lang w:eastAsia="zh-CN"/>
        </w:rPr>
        <w:t>成功后</w:t>
      </w:r>
      <w:r>
        <w:rPr>
          <w:rFonts w:hint="eastAsia" w:ascii="宋体" w:hAnsi="宋体" w:eastAsia="宋体" w:cs="Times New Roman"/>
          <w:color w:val="auto"/>
          <w:sz w:val="21"/>
          <w:szCs w:val="21"/>
          <w:highlight w:val="none"/>
        </w:rPr>
        <w:t>应按</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文件的规定及相关格式要求的内容和格式完整地填写和提供资料。供应商必须对响应文件所提供的全部资料的真实性承担法律责任，并无条件接受</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和</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监督管理部门对其中任何资料进行核查（核对原件）的要求。</w:t>
      </w:r>
      <w:bookmarkEnd w:id="78"/>
      <w:bookmarkEnd w:id="79"/>
      <w:bookmarkEnd w:id="80"/>
    </w:p>
    <w:p w14:paraId="239F5425">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供应商提交的支持性文件和印制的文件可以用另一种语言，但相应内容应翻译成中文，在解释响应文件时以中文文本为准。</w:t>
      </w:r>
    </w:p>
    <w:p w14:paraId="38E9845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采购</w:t>
      </w:r>
      <w:r>
        <w:rPr>
          <w:rFonts w:hint="eastAsia" w:ascii="宋体" w:hAnsi="宋体" w:eastAsia="宋体" w:cs="Times New Roman"/>
          <w:color w:val="auto"/>
          <w:sz w:val="21"/>
          <w:szCs w:val="21"/>
          <w:highlight w:val="none"/>
        </w:rPr>
        <w:t>文件中，凡标有“★”的地方均为须实质响应条款，供应商若有一项带“★”的条款未响应或不满足，将按无效响应处理。</w:t>
      </w:r>
    </w:p>
    <w:p w14:paraId="42F7CA9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5.</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应承担所有与编写和提交文件有关的费用，不论投标的结果如何，</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在任何情况下均无义务和责任承担这些费用。</w:t>
      </w:r>
    </w:p>
    <w:p w14:paraId="64F7E88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知识产权</w:t>
      </w:r>
    </w:p>
    <w:p w14:paraId="15F6A7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GB"/>
        </w:rPr>
      </w:pPr>
      <w:r>
        <w:rPr>
          <w:rFonts w:hint="eastAsia" w:ascii="宋体" w:hAnsi="宋体" w:eastAsia="宋体" w:cs="Times New Roman"/>
          <w:color w:val="auto"/>
          <w:sz w:val="21"/>
          <w:szCs w:val="21"/>
          <w:highlight w:val="none"/>
          <w:lang w:val="en-US" w:eastAsia="zh-CN"/>
        </w:rPr>
        <w:t>6</w:t>
      </w:r>
      <w:r>
        <w:rPr>
          <w:rFonts w:hint="eastAsia" w:ascii="宋体" w:hAnsi="宋体" w:eastAsia="宋体" w:cs="Times New Roman"/>
          <w:color w:val="auto"/>
          <w:sz w:val="21"/>
          <w:szCs w:val="21"/>
          <w:highlight w:val="none"/>
        </w:rPr>
        <w:t>.1</w:t>
      </w:r>
      <w:r>
        <w:rPr>
          <w:rFonts w:hint="eastAsia" w:ascii="宋体" w:hAnsi="宋体" w:eastAsia="宋体" w:cs="Times New Roman"/>
          <w:color w:val="auto"/>
          <w:sz w:val="21"/>
          <w:szCs w:val="21"/>
          <w:highlight w:val="none"/>
        </w:rPr>
        <w:tab/>
      </w:r>
      <w:bookmarkStart w:id="81" w:name="_Toc2094419"/>
      <w:bookmarkStart w:id="82" w:name="_Toc11399"/>
      <w:bookmarkStart w:id="83" w:name="_Toc2093280"/>
      <w:r>
        <w:rPr>
          <w:rFonts w:hint="eastAsia" w:ascii="宋体" w:hAnsi="宋体" w:eastAsia="宋体" w:cs="Times New Roman"/>
          <w:color w:val="auto"/>
          <w:sz w:val="21"/>
          <w:szCs w:val="21"/>
          <w:highlight w:val="none"/>
        </w:rPr>
        <w:t>供应商必须保证，</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在中华人民共和国境内使用报价货物、资料、技术、服务或其任何一部分时，享有不受限制的无偿使用权，如有第三方向</w:t>
      </w:r>
      <w:r>
        <w:rPr>
          <w:rFonts w:hint="eastAsia" w:cs="Times New Roman"/>
          <w:color w:val="auto"/>
          <w:sz w:val="21"/>
          <w:szCs w:val="21"/>
          <w:highlight w:val="none"/>
          <w:lang w:eastAsia="zh-CN"/>
        </w:rPr>
        <w:t>采购人</w:t>
      </w:r>
      <w:r>
        <w:rPr>
          <w:rFonts w:hint="eastAsia" w:ascii="宋体" w:hAnsi="宋体" w:eastAsia="宋体" w:cs="Times New Roman"/>
          <w:color w:val="auto"/>
          <w:sz w:val="21"/>
          <w:szCs w:val="21"/>
          <w:highlight w:val="none"/>
        </w:rPr>
        <w:t>提出侵犯其专利权、商标权或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知识产权的主张，该责任应由供应商承担。</w:t>
      </w:r>
      <w:bookmarkEnd w:id="81"/>
      <w:bookmarkEnd w:id="82"/>
      <w:bookmarkEnd w:id="83"/>
    </w:p>
    <w:p w14:paraId="7D1B7397">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bookmarkStart w:id="84" w:name="_Toc2094420"/>
      <w:bookmarkStart w:id="85" w:name="_Toc2093281"/>
      <w:bookmarkStart w:id="86" w:name="_Toc9126"/>
      <w:r>
        <w:rPr>
          <w:rFonts w:hint="eastAsia" w:ascii="宋体" w:hAnsi="宋体" w:eastAsia="宋体" w:cs="Times New Roman"/>
          <w:color w:val="auto"/>
          <w:sz w:val="21"/>
          <w:szCs w:val="21"/>
          <w:highlight w:val="none"/>
          <w:lang w:val="en-US" w:eastAsia="zh-CN"/>
        </w:rPr>
        <w:t xml:space="preserve">6.2 </w:t>
      </w:r>
      <w:r>
        <w:rPr>
          <w:rFonts w:hint="eastAsia" w:ascii="宋体" w:hAnsi="宋体" w:eastAsia="宋体" w:cs="Times New Roman"/>
          <w:color w:val="auto"/>
          <w:sz w:val="21"/>
          <w:szCs w:val="21"/>
          <w:highlight w:val="none"/>
        </w:rPr>
        <w:t>报价应包含所有应向所有权人支付的专利权、商标权或</w:t>
      </w:r>
      <w:r>
        <w:rPr>
          <w:rFonts w:hint="eastAsia" w:cs="Times New Roman"/>
          <w:color w:val="auto"/>
          <w:sz w:val="21"/>
          <w:szCs w:val="21"/>
          <w:highlight w:val="none"/>
          <w:lang w:eastAsia="zh-CN"/>
        </w:rPr>
        <w:t>其他</w:t>
      </w:r>
      <w:r>
        <w:rPr>
          <w:rFonts w:hint="eastAsia" w:ascii="宋体" w:hAnsi="宋体" w:eastAsia="宋体" w:cs="Times New Roman"/>
          <w:color w:val="auto"/>
          <w:sz w:val="21"/>
          <w:szCs w:val="21"/>
          <w:highlight w:val="none"/>
        </w:rPr>
        <w:t>知识产权的一切相关费用。</w:t>
      </w:r>
      <w:bookmarkEnd w:id="84"/>
      <w:bookmarkEnd w:id="85"/>
      <w:bookmarkEnd w:id="86"/>
    </w:p>
    <w:p w14:paraId="643E8E4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7.报价的要求</w:t>
      </w:r>
    </w:p>
    <w:p w14:paraId="353BC926">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7.1供应商必须按采购文件指定的格式填写各种报价，各报价应计算正确。</w:t>
      </w:r>
    </w:p>
    <w:p w14:paraId="652D7243">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7.2 响应文件报价包含货物或服务的（含相关配件、附件、安装、材料）价款、税费、运输费、装卸费、配送、加工、保险费用及其技术和售后服务费</w:t>
      </w:r>
      <w:r>
        <w:rPr>
          <w:rFonts w:hint="eastAsia" w:cs="Times New Roman"/>
          <w:color w:val="auto"/>
          <w:sz w:val="21"/>
          <w:szCs w:val="21"/>
          <w:highlight w:val="none"/>
          <w:lang w:val="en-US" w:eastAsia="zh-CN"/>
        </w:rPr>
        <w:t>等</w:t>
      </w:r>
      <w:r>
        <w:rPr>
          <w:rFonts w:hint="eastAsia" w:ascii="宋体" w:hAnsi="宋体" w:eastAsia="宋体" w:cs="Times New Roman"/>
          <w:color w:val="auto"/>
          <w:sz w:val="21"/>
          <w:szCs w:val="21"/>
          <w:highlight w:val="none"/>
          <w:lang w:val="en-US" w:eastAsia="zh-CN"/>
        </w:rPr>
        <w:t>一切有关费用，如涉及软件许可使用或技术指导、人员培训的，还应包括软件许可费以及一切技术服务费、人员培训费，供应商不得再向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7FB5BDC0">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7.3供应商漏报的单价或每单价报价中漏报、少报的费用，视为此项费用已隐含在报价中，成交后不得再向</w:t>
      </w:r>
      <w:r>
        <w:rPr>
          <w:rFonts w:hint="eastAsia" w:cs="Times New Roman"/>
          <w:color w:val="auto"/>
          <w:sz w:val="21"/>
          <w:szCs w:val="21"/>
          <w:highlight w:val="none"/>
          <w:lang w:val="en-US" w:eastAsia="zh-CN"/>
        </w:rPr>
        <w:t>采购人</w:t>
      </w:r>
      <w:r>
        <w:rPr>
          <w:rFonts w:hint="eastAsia" w:ascii="宋体" w:hAnsi="宋体" w:eastAsia="宋体" w:cs="Times New Roman"/>
          <w:color w:val="auto"/>
          <w:sz w:val="21"/>
          <w:szCs w:val="21"/>
          <w:highlight w:val="none"/>
          <w:lang w:val="en-US" w:eastAsia="zh-CN"/>
        </w:rPr>
        <w:t>收取任何费用。</w:t>
      </w:r>
    </w:p>
    <w:p w14:paraId="4D9559BE">
      <w:pPr>
        <w:pStyle w:val="20"/>
        <w:shd w:val="clear" w:color="auto" w:fill="FFFFFF"/>
        <w:spacing w:before="0" w:beforeAutospacing="0" w:after="0" w:afterAutospacing="0" w:line="360" w:lineRule="auto"/>
        <w:ind w:firstLine="420" w:firstLineChars="200"/>
        <w:rPr>
          <w:rFonts w:hint="default" w:ascii="宋体" w:hAnsi="宋体" w:eastAsia="宋体" w:cs="Times New Roman"/>
          <w:color w:val="auto"/>
          <w:sz w:val="21"/>
          <w:szCs w:val="21"/>
          <w:highlight w:val="none"/>
          <w:lang w:val="en-US" w:eastAsia="zh-CN"/>
        </w:rPr>
      </w:pPr>
      <w:r>
        <w:rPr>
          <w:rFonts w:hint="eastAsia" w:ascii="宋体" w:hAnsi="宋体" w:eastAsia="宋体" w:cs="Times New Roman"/>
          <w:color w:val="auto"/>
          <w:sz w:val="21"/>
          <w:szCs w:val="21"/>
          <w:highlight w:val="none"/>
          <w:lang w:val="en-US" w:eastAsia="zh-CN"/>
        </w:rPr>
        <w:t>7.4响应文件的大写金额和小写金额不一致的，以大写金额为准；总价金额与按单价汇总金额不一致的，以单价金额计算结果为准；单价金额小数点有明显错位的，应以总价为准，并修改单价。</w:t>
      </w:r>
    </w:p>
    <w:p w14:paraId="5C20317F">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8.</w:t>
      </w:r>
      <w:r>
        <w:rPr>
          <w:rFonts w:hint="eastAsia" w:ascii="宋体" w:hAnsi="宋体" w:eastAsia="宋体" w:cs="Times New Roman"/>
          <w:color w:val="auto"/>
          <w:sz w:val="21"/>
          <w:szCs w:val="21"/>
          <w:highlight w:val="none"/>
        </w:rPr>
        <w:t>响应文件正本必须打印，并按要求签字或盖章，副本可以是响应文件正本复印</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正本与副本不符，以正本为准。</w:t>
      </w:r>
    </w:p>
    <w:p w14:paraId="13CD21CB">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9.</w:t>
      </w:r>
      <w:r>
        <w:rPr>
          <w:rFonts w:hint="eastAsia" w:ascii="宋体" w:hAnsi="宋体" w:eastAsia="宋体" w:cs="Times New Roman"/>
          <w:color w:val="auto"/>
          <w:sz w:val="21"/>
          <w:szCs w:val="21"/>
          <w:highlight w:val="none"/>
        </w:rPr>
        <w:t>响应文件一般不得涂改和增删，如有涂改和增删之处，必须加盖公章或由</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法定代表人签字或授权代表签字。</w:t>
      </w:r>
    </w:p>
    <w:p w14:paraId="55B76A6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10.</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文件需要一正</w:t>
      </w:r>
      <w:r>
        <w:rPr>
          <w:rFonts w:hint="eastAsia" w:cs="Times New Roman"/>
          <w:color w:val="auto"/>
          <w:sz w:val="21"/>
          <w:szCs w:val="21"/>
          <w:highlight w:val="none"/>
          <w:lang w:val="en-US" w:eastAsia="zh-CN"/>
        </w:rPr>
        <w:t>肆</w:t>
      </w:r>
      <w:r>
        <w:rPr>
          <w:rFonts w:hint="eastAsia" w:ascii="宋体" w:hAnsi="宋体" w:eastAsia="宋体" w:cs="Times New Roman"/>
          <w:color w:val="auto"/>
          <w:sz w:val="21"/>
          <w:szCs w:val="21"/>
          <w:highlight w:val="none"/>
        </w:rPr>
        <w:t>副共</w:t>
      </w:r>
      <w:r>
        <w:rPr>
          <w:rFonts w:hint="eastAsia" w:cs="Times New Roman"/>
          <w:color w:val="auto"/>
          <w:sz w:val="21"/>
          <w:szCs w:val="21"/>
          <w:highlight w:val="none"/>
          <w:lang w:val="en-US" w:eastAsia="zh-CN"/>
        </w:rPr>
        <w:t>伍</w:t>
      </w:r>
      <w:r>
        <w:rPr>
          <w:rFonts w:hint="eastAsia" w:ascii="宋体" w:hAnsi="宋体" w:eastAsia="宋体" w:cs="Times New Roman"/>
          <w:color w:val="auto"/>
          <w:sz w:val="21"/>
          <w:szCs w:val="21"/>
          <w:highlight w:val="none"/>
        </w:rPr>
        <w:t>份，封面应注明“正本</w:t>
      </w:r>
      <w:r>
        <w:rPr>
          <w:rFonts w:hint="eastAsia" w:cs="Times New Roman"/>
          <w:color w:val="auto"/>
          <w:sz w:val="21"/>
          <w:szCs w:val="21"/>
          <w:highlight w:val="none"/>
          <w:lang w:eastAsia="zh-CN"/>
        </w:rPr>
        <w:t>”“</w:t>
      </w:r>
      <w:r>
        <w:rPr>
          <w:rFonts w:hint="eastAsia" w:ascii="宋体" w:hAnsi="宋体" w:eastAsia="宋体" w:cs="Times New Roman"/>
          <w:color w:val="auto"/>
          <w:sz w:val="21"/>
          <w:szCs w:val="21"/>
          <w:highlight w:val="none"/>
        </w:rPr>
        <w:t>副本”字样并须由</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加盖公章、装订成册</w:t>
      </w: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rPr>
        <w:t>如因装订不牢固导致的任何损失由供应商承担。报名时提供的资料与</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文件不一致时以</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文件为准</w:t>
      </w:r>
      <w:r>
        <w:rPr>
          <w:rFonts w:hint="eastAsia" w:ascii="宋体" w:hAnsi="宋体" w:eastAsia="宋体" w:cs="Times New Roman"/>
          <w:color w:val="auto"/>
          <w:sz w:val="21"/>
          <w:szCs w:val="21"/>
          <w:highlight w:val="none"/>
          <w:lang w:eastAsia="zh-CN"/>
        </w:rPr>
        <w:t>。</w:t>
      </w:r>
    </w:p>
    <w:p w14:paraId="20749D64">
      <w:pPr>
        <w:pStyle w:val="20"/>
        <w:shd w:val="clear" w:color="auto" w:fill="FFFFFF"/>
        <w:spacing w:before="0" w:beforeAutospacing="0" w:after="0" w:afterAutospacing="0" w:line="360" w:lineRule="auto"/>
        <w:ind w:firstLine="420" w:firstLineChars="200"/>
        <w:rPr>
          <w:rFonts w:hint="eastAsia" w:ascii="宋体" w:hAnsi="宋体" w:cs="宋体"/>
          <w:b/>
          <w:bCs/>
          <w:color w:val="auto"/>
          <w:sz w:val="21"/>
          <w:szCs w:val="21"/>
          <w:highlight w:val="none"/>
        </w:rPr>
      </w:pPr>
      <w:r>
        <w:rPr>
          <w:rFonts w:hint="eastAsia" w:ascii="宋体" w:hAnsi="宋体" w:eastAsia="宋体" w:cs="Times New Roman"/>
          <w:color w:val="auto"/>
          <w:sz w:val="21"/>
          <w:szCs w:val="21"/>
          <w:highlight w:val="none"/>
          <w:lang w:val="en-US" w:eastAsia="zh-CN"/>
        </w:rPr>
        <w:t>11.</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文件除封面外，其他材料须双面打印，各报名供应商应确保所提供</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文件资料一定要真实、完整、清晰可辨，</w:t>
      </w:r>
      <w:r>
        <w:rPr>
          <w:rFonts w:hint="eastAsia"/>
          <w:color w:val="auto"/>
          <w:sz w:val="21"/>
          <w:szCs w:val="21"/>
          <w:highlight w:val="none"/>
          <w:lang w:eastAsia="zh-CN"/>
        </w:rPr>
        <w:t>响应</w:t>
      </w:r>
      <w:r>
        <w:rPr>
          <w:rFonts w:hint="eastAsia" w:ascii="宋体" w:hAnsi="宋体" w:cs="宋体"/>
          <w:b/>
          <w:bCs/>
          <w:color w:val="auto"/>
          <w:sz w:val="21"/>
          <w:szCs w:val="21"/>
          <w:highlight w:val="none"/>
        </w:rPr>
        <w:t>文件模糊不清、难以辨认，视为未提供处理，由此造成不能进入</w:t>
      </w:r>
      <w:r>
        <w:rPr>
          <w:rFonts w:hint="eastAsia" w:ascii="宋体" w:hAnsi="宋体" w:cs="宋体"/>
          <w:color w:val="auto"/>
          <w:sz w:val="21"/>
          <w:szCs w:val="21"/>
          <w:highlight w:val="none"/>
        </w:rPr>
        <w:t>磋商</w:t>
      </w:r>
      <w:r>
        <w:rPr>
          <w:rFonts w:hint="eastAsia" w:ascii="宋体" w:hAnsi="宋体" w:cs="宋体"/>
          <w:color w:val="auto"/>
          <w:sz w:val="21"/>
          <w:szCs w:val="21"/>
          <w:highlight w:val="none"/>
          <w:lang w:eastAsia="zh-CN"/>
        </w:rPr>
        <w:t>（谈判）</w:t>
      </w:r>
      <w:r>
        <w:rPr>
          <w:rFonts w:hint="eastAsia" w:ascii="宋体" w:hAnsi="宋体" w:cs="宋体"/>
          <w:b/>
          <w:bCs/>
          <w:color w:val="auto"/>
          <w:sz w:val="21"/>
          <w:szCs w:val="21"/>
          <w:highlight w:val="none"/>
        </w:rPr>
        <w:t>环节等严重后果由供应商自行负责。</w:t>
      </w:r>
    </w:p>
    <w:p w14:paraId="41ACBA0D">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12.</w:t>
      </w:r>
      <w:r>
        <w:rPr>
          <w:rFonts w:hint="eastAsia" w:ascii="宋体" w:hAnsi="宋体" w:eastAsia="宋体" w:cs="Times New Roman"/>
          <w:color w:val="auto"/>
          <w:sz w:val="21"/>
          <w:szCs w:val="21"/>
          <w:highlight w:val="none"/>
          <w:lang w:eastAsia="zh-CN"/>
        </w:rPr>
        <w:t>供应商</w:t>
      </w:r>
      <w:r>
        <w:rPr>
          <w:rFonts w:hint="eastAsia" w:ascii="宋体" w:hAnsi="宋体" w:eastAsia="宋体" w:cs="Times New Roman"/>
          <w:color w:val="auto"/>
          <w:sz w:val="21"/>
          <w:szCs w:val="21"/>
          <w:highlight w:val="none"/>
        </w:rPr>
        <w:t>须为其</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文件的正本及所有副本制作目录并标明页码</w:t>
      </w:r>
      <w:r>
        <w:rPr>
          <w:rFonts w:hint="eastAsia" w:ascii="宋体" w:hAnsi="宋体" w:eastAsia="宋体" w:cs="Times New Roman"/>
          <w:color w:val="auto"/>
          <w:sz w:val="21"/>
          <w:szCs w:val="21"/>
          <w:highlight w:val="none"/>
          <w:lang w:eastAsia="zh-CN"/>
        </w:rPr>
        <w:t>，响应文件应按相关规定和要求签署、</w:t>
      </w:r>
      <w:r>
        <w:rPr>
          <w:rFonts w:hint="eastAsia" w:ascii="宋体" w:hAnsi="宋体" w:eastAsia="宋体" w:cs="Times New Roman"/>
          <w:color w:val="auto"/>
          <w:sz w:val="21"/>
          <w:szCs w:val="21"/>
          <w:highlight w:val="none"/>
        </w:rPr>
        <w:t>加盖</w:t>
      </w:r>
      <w:r>
        <w:rPr>
          <w:rFonts w:hint="eastAsia" w:ascii="宋体" w:hAnsi="宋体" w:eastAsia="宋体" w:cs="Times New Roman"/>
          <w:color w:val="auto"/>
          <w:sz w:val="21"/>
          <w:szCs w:val="21"/>
          <w:highlight w:val="none"/>
          <w:lang w:eastAsia="zh-CN"/>
        </w:rPr>
        <w:t>公章</w:t>
      </w:r>
      <w:r>
        <w:rPr>
          <w:rFonts w:hint="eastAsia" w:ascii="宋体" w:hAnsi="宋体" w:eastAsia="宋体" w:cs="Times New Roman"/>
          <w:color w:val="auto"/>
          <w:sz w:val="21"/>
          <w:szCs w:val="21"/>
          <w:highlight w:val="none"/>
        </w:rPr>
        <w:t>。</w:t>
      </w:r>
    </w:p>
    <w:p w14:paraId="7460818E">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13</w:t>
      </w:r>
      <w:r>
        <w:rPr>
          <w:rFonts w:hint="eastAsia" w:ascii="宋体" w:hAnsi="宋体" w:eastAsia="宋体" w:cs="Times New Roman"/>
          <w:color w:val="auto"/>
          <w:sz w:val="21"/>
          <w:szCs w:val="21"/>
          <w:highlight w:val="none"/>
        </w:rPr>
        <w:t>.所有响应文件须密封在一个不透明的外层封装中；并在封口位置处加盖公章，如因</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文件未密封导致不能进入磋商</w:t>
      </w:r>
      <w:r>
        <w:rPr>
          <w:rFonts w:hint="eastAsia" w:ascii="宋体" w:hAnsi="宋体" w:eastAsia="宋体" w:cs="Times New Roman"/>
          <w:color w:val="auto"/>
          <w:sz w:val="21"/>
          <w:szCs w:val="21"/>
          <w:highlight w:val="none"/>
          <w:lang w:eastAsia="zh-CN"/>
        </w:rPr>
        <w:t>（谈判）</w:t>
      </w:r>
      <w:r>
        <w:rPr>
          <w:rFonts w:hint="eastAsia" w:ascii="宋体" w:hAnsi="宋体" w:eastAsia="宋体" w:cs="Times New Roman"/>
          <w:color w:val="auto"/>
          <w:sz w:val="21"/>
          <w:szCs w:val="21"/>
          <w:highlight w:val="none"/>
        </w:rPr>
        <w:t>环节者，一切后果由供应商自负。</w:t>
      </w:r>
    </w:p>
    <w:p w14:paraId="03847E11">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14</w:t>
      </w:r>
      <w:r>
        <w:rPr>
          <w:rFonts w:hint="eastAsia" w:ascii="宋体" w:hAnsi="宋体" w:eastAsia="宋体" w:cs="Times New Roman"/>
          <w:color w:val="auto"/>
          <w:sz w:val="21"/>
          <w:szCs w:val="21"/>
          <w:highlight w:val="none"/>
        </w:rPr>
        <w:t>.供应商携带密封的</w:t>
      </w:r>
      <w:r>
        <w:rPr>
          <w:rFonts w:hint="eastAsia" w:ascii="宋体" w:hAnsi="宋体" w:eastAsia="宋体" w:cs="Times New Roman"/>
          <w:color w:val="auto"/>
          <w:sz w:val="21"/>
          <w:szCs w:val="21"/>
          <w:highlight w:val="none"/>
          <w:lang w:eastAsia="zh-CN"/>
        </w:rPr>
        <w:t>响应</w:t>
      </w:r>
      <w:r>
        <w:rPr>
          <w:rFonts w:hint="eastAsia" w:ascii="宋体" w:hAnsi="宋体" w:eastAsia="宋体" w:cs="Times New Roman"/>
          <w:color w:val="auto"/>
          <w:sz w:val="21"/>
          <w:szCs w:val="21"/>
          <w:highlight w:val="none"/>
        </w:rPr>
        <w:t>文件</w:t>
      </w:r>
      <w:r>
        <w:rPr>
          <w:rFonts w:hint="eastAsia" w:ascii="宋体" w:hAnsi="宋体" w:eastAsia="宋体" w:cs="Times New Roman"/>
          <w:color w:val="auto"/>
          <w:sz w:val="21"/>
          <w:szCs w:val="21"/>
          <w:highlight w:val="none"/>
          <w:lang w:eastAsia="zh-CN"/>
        </w:rPr>
        <w:t>现场</w:t>
      </w:r>
      <w:r>
        <w:rPr>
          <w:rFonts w:hint="eastAsia" w:ascii="宋体" w:hAnsi="宋体" w:eastAsia="宋体" w:cs="Times New Roman"/>
          <w:color w:val="auto"/>
          <w:sz w:val="21"/>
          <w:szCs w:val="21"/>
          <w:highlight w:val="none"/>
        </w:rPr>
        <w:t>参加院内采购会议。</w:t>
      </w:r>
    </w:p>
    <w:p w14:paraId="711E2DAC">
      <w:pPr>
        <w:pStyle w:val="20"/>
        <w:shd w:val="clear" w:color="auto" w:fill="FFFFFF"/>
        <w:spacing w:before="0" w:beforeAutospacing="0" w:after="0" w:afterAutospacing="0" w:line="360" w:lineRule="auto"/>
        <w:ind w:firstLine="420" w:firstLineChars="200"/>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15</w:t>
      </w:r>
      <w:r>
        <w:rPr>
          <w:rFonts w:hint="eastAsia" w:ascii="宋体" w:hAnsi="宋体" w:eastAsia="宋体" w:cs="Times New Roman"/>
          <w:color w:val="auto"/>
          <w:sz w:val="21"/>
          <w:szCs w:val="21"/>
          <w:highlight w:val="none"/>
        </w:rPr>
        <w:t>.</w:t>
      </w:r>
      <w:r>
        <w:rPr>
          <w:rFonts w:hint="eastAsia" w:ascii="宋体" w:hAnsi="宋体" w:eastAsia="宋体" w:cs="Times New Roman"/>
          <w:color w:val="auto"/>
          <w:sz w:val="21"/>
          <w:szCs w:val="21"/>
          <w:highlight w:val="none"/>
          <w:lang w:eastAsia="zh-CN"/>
        </w:rPr>
        <w:t>投标人</w:t>
      </w:r>
      <w:r>
        <w:rPr>
          <w:rFonts w:hint="eastAsia" w:ascii="宋体" w:hAnsi="宋体" w:eastAsia="宋体" w:cs="Times New Roman"/>
          <w:color w:val="auto"/>
          <w:sz w:val="21"/>
          <w:szCs w:val="21"/>
          <w:highlight w:val="none"/>
        </w:rPr>
        <w:t>法定代表人或法定代表人授权委托人（如有授权）到场参加采购会议</w:t>
      </w:r>
      <w:r>
        <w:rPr>
          <w:rFonts w:hint="eastAsia" w:ascii="宋体" w:hAnsi="宋体" w:eastAsia="宋体" w:cs="Times New Roman"/>
          <w:color w:val="auto"/>
          <w:sz w:val="21"/>
          <w:szCs w:val="21"/>
          <w:highlight w:val="none"/>
          <w:lang w:eastAsia="zh-CN"/>
        </w:rPr>
        <w:t>，现场</w:t>
      </w:r>
      <w:r>
        <w:rPr>
          <w:rFonts w:hint="eastAsia" w:cs="Times New Roman"/>
          <w:color w:val="auto"/>
          <w:sz w:val="21"/>
          <w:szCs w:val="21"/>
          <w:highlight w:val="none"/>
          <w:lang w:eastAsia="zh-CN"/>
        </w:rPr>
        <w:t>需</w:t>
      </w:r>
      <w:r>
        <w:rPr>
          <w:rFonts w:hint="eastAsia" w:ascii="宋体" w:hAnsi="宋体" w:eastAsia="宋体" w:cs="Times New Roman"/>
          <w:color w:val="auto"/>
          <w:sz w:val="21"/>
          <w:szCs w:val="21"/>
          <w:highlight w:val="none"/>
        </w:rPr>
        <w:t>出示身份证</w:t>
      </w:r>
      <w:r>
        <w:rPr>
          <w:rFonts w:hint="eastAsia" w:ascii="宋体" w:hAnsi="宋体" w:eastAsia="宋体" w:cs="Times New Roman"/>
          <w:color w:val="auto"/>
          <w:sz w:val="21"/>
          <w:szCs w:val="21"/>
          <w:highlight w:val="none"/>
          <w:lang w:eastAsia="zh-CN"/>
        </w:rPr>
        <w:t>明文件</w:t>
      </w:r>
      <w:r>
        <w:rPr>
          <w:rFonts w:hint="eastAsia" w:ascii="宋体" w:hAnsi="宋体" w:eastAsia="宋体" w:cs="Times New Roman"/>
          <w:color w:val="auto"/>
          <w:sz w:val="21"/>
          <w:szCs w:val="21"/>
          <w:highlight w:val="none"/>
        </w:rPr>
        <w:t>审核</w:t>
      </w:r>
      <w:r>
        <w:rPr>
          <w:rFonts w:hint="eastAsia" w:ascii="宋体" w:hAnsi="宋体" w:eastAsia="宋体" w:cs="Times New Roman"/>
          <w:color w:val="auto"/>
          <w:sz w:val="21"/>
          <w:szCs w:val="21"/>
          <w:highlight w:val="none"/>
          <w:lang w:eastAsia="zh-CN"/>
        </w:rPr>
        <w:t>。</w:t>
      </w:r>
    </w:p>
    <w:p w14:paraId="017B007B">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 w:val="21"/>
          <w:szCs w:val="21"/>
          <w:highlight w:val="none"/>
          <w:lang w:val="en-US" w:eastAsia="zh-CN"/>
        </w:rPr>
        <w:t>16</w:t>
      </w:r>
      <w:r>
        <w:rPr>
          <w:rFonts w:hint="eastAsia" w:ascii="宋体" w:hAnsi="宋体" w:cs="宋体"/>
          <w:b/>
          <w:bCs/>
          <w:color w:val="auto"/>
          <w:sz w:val="21"/>
          <w:szCs w:val="21"/>
          <w:highlight w:val="none"/>
        </w:rPr>
        <w:t>.供应商</w:t>
      </w:r>
      <w:r>
        <w:rPr>
          <w:rFonts w:hint="eastAsia" w:ascii="宋体" w:hAnsi="宋体" w:cs="宋体"/>
          <w:b/>
          <w:bCs/>
          <w:color w:val="auto"/>
          <w:sz w:val="21"/>
          <w:szCs w:val="21"/>
          <w:highlight w:val="none"/>
          <w:lang w:eastAsia="zh-CN"/>
        </w:rPr>
        <w:t>须</w:t>
      </w:r>
      <w:r>
        <w:rPr>
          <w:rFonts w:hint="eastAsia" w:ascii="宋体" w:hAnsi="宋体" w:cs="宋体"/>
          <w:b/>
          <w:bCs/>
          <w:color w:val="auto"/>
          <w:sz w:val="21"/>
          <w:szCs w:val="21"/>
          <w:highlight w:val="none"/>
        </w:rPr>
        <w:t>认真阅读</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文件中所有的事项、格式、条款和</w:t>
      </w:r>
      <w:r>
        <w:rPr>
          <w:rFonts w:hint="eastAsia" w:ascii="宋体" w:hAnsi="宋体" w:cs="宋体"/>
          <w:b/>
          <w:bCs/>
          <w:color w:val="auto"/>
          <w:sz w:val="21"/>
          <w:szCs w:val="21"/>
          <w:highlight w:val="none"/>
          <w:lang w:eastAsia="zh-CN"/>
        </w:rPr>
        <w:t>采购人</w:t>
      </w:r>
      <w:r>
        <w:rPr>
          <w:rFonts w:hint="eastAsia" w:ascii="宋体" w:hAnsi="宋体" w:cs="宋体"/>
          <w:b/>
          <w:bCs/>
          <w:color w:val="auto"/>
          <w:sz w:val="21"/>
          <w:szCs w:val="21"/>
          <w:highlight w:val="none"/>
        </w:rPr>
        <w:t>需求等。</w:t>
      </w:r>
    </w:p>
    <w:p w14:paraId="014AEF3C">
      <w:pPr>
        <w:pStyle w:val="10"/>
        <w:numPr>
          <w:ilvl w:val="0"/>
          <w:numId w:val="0"/>
        </w:numPr>
        <w:ind w:left="420" w:leftChars="0"/>
        <w:rPr>
          <w:color w:val="auto"/>
          <w:highlight w:val="none"/>
        </w:rPr>
      </w:pPr>
    </w:p>
    <w:p w14:paraId="6953B301">
      <w:pPr>
        <w:spacing w:line="360" w:lineRule="auto"/>
        <w:ind w:left="535" w:leftChars="99" w:hanging="327" w:hangingChars="156"/>
        <w:rPr>
          <w:rFonts w:hint="eastAsia"/>
          <w:color w:val="auto"/>
          <w:highlight w:val="none"/>
        </w:rPr>
      </w:pPr>
    </w:p>
    <w:bookmarkEnd w:id="72"/>
    <w:bookmarkEnd w:id="73"/>
    <w:bookmarkEnd w:id="74"/>
    <w:p w14:paraId="4583167C">
      <w:pPr>
        <w:spacing w:line="480" w:lineRule="auto"/>
        <w:rPr>
          <w:rFonts w:ascii="宋体" w:hAnsi="宋体"/>
          <w:color w:val="auto"/>
          <w:sz w:val="24"/>
          <w:highlight w:val="none"/>
        </w:rPr>
      </w:pPr>
    </w:p>
    <w:p w14:paraId="48FEE252">
      <w:pPr>
        <w:rPr>
          <w:color w:val="auto"/>
          <w:highlight w:val="none"/>
        </w:rPr>
      </w:pPr>
      <w:bookmarkStart w:id="87" w:name="_Toc40776107"/>
      <w:bookmarkStart w:id="88" w:name="_Toc40346212"/>
    </w:p>
    <w:bookmarkEnd w:id="87"/>
    <w:bookmarkEnd w:id="88"/>
    <w:p w14:paraId="2B901FB4">
      <w:pPr>
        <w:rPr>
          <w:rFonts w:hint="eastAsia" w:ascii="宋体" w:hAnsi="宋体" w:eastAsia="宋体"/>
          <w:color w:val="auto"/>
          <w:sz w:val="40"/>
          <w:highlight w:val="none"/>
        </w:rPr>
      </w:pPr>
      <w:bookmarkStart w:id="89" w:name="_Toc32228"/>
      <w:bookmarkStart w:id="90" w:name="_Toc2347"/>
      <w:bookmarkStart w:id="91" w:name="_Toc2647"/>
      <w:bookmarkStart w:id="92" w:name="_Toc9461"/>
      <w:bookmarkStart w:id="93" w:name="_Toc40346213"/>
      <w:bookmarkStart w:id="94" w:name="_Toc13814"/>
      <w:bookmarkStart w:id="95" w:name="_Toc30326"/>
      <w:bookmarkStart w:id="96" w:name="_Toc5829"/>
      <w:bookmarkStart w:id="97" w:name="_Toc40776108"/>
      <w:bookmarkStart w:id="98" w:name="_Toc32164"/>
      <w:bookmarkStart w:id="99" w:name="_Toc7581"/>
      <w:bookmarkStart w:id="100" w:name="_Toc30230"/>
      <w:bookmarkStart w:id="101" w:name="_Toc19354"/>
    </w:p>
    <w:p w14:paraId="6392FB7E">
      <w:pPr>
        <w:pStyle w:val="33"/>
        <w:rPr>
          <w:rFonts w:hint="eastAsia"/>
          <w:color w:val="auto"/>
          <w:highlight w:val="none"/>
        </w:rPr>
      </w:pPr>
    </w:p>
    <w:p w14:paraId="3BCE44BF">
      <w:pPr>
        <w:pStyle w:val="33"/>
        <w:rPr>
          <w:rFonts w:hint="eastAsia"/>
          <w:color w:val="auto"/>
          <w:highlight w:val="none"/>
        </w:rPr>
      </w:pPr>
    </w:p>
    <w:p w14:paraId="5B10D786">
      <w:pPr>
        <w:pStyle w:val="33"/>
        <w:rPr>
          <w:rFonts w:hint="eastAsia"/>
          <w:color w:val="auto"/>
          <w:highlight w:val="none"/>
        </w:rPr>
      </w:pPr>
    </w:p>
    <w:p w14:paraId="68CE10C7">
      <w:pPr>
        <w:pStyle w:val="33"/>
        <w:rPr>
          <w:rFonts w:hint="eastAsia"/>
          <w:color w:val="auto"/>
          <w:highlight w:val="none"/>
        </w:rPr>
      </w:pPr>
    </w:p>
    <w:p w14:paraId="2D791416">
      <w:pPr>
        <w:pStyle w:val="33"/>
        <w:rPr>
          <w:rFonts w:hint="eastAsia"/>
          <w:color w:val="auto"/>
          <w:highlight w:val="none"/>
        </w:rPr>
      </w:pPr>
    </w:p>
    <w:p w14:paraId="508C9B3A">
      <w:pPr>
        <w:pStyle w:val="33"/>
        <w:rPr>
          <w:rFonts w:hint="eastAsia"/>
          <w:color w:val="auto"/>
          <w:highlight w:val="none"/>
        </w:rPr>
      </w:pPr>
    </w:p>
    <w:p w14:paraId="2C31D5DD">
      <w:pPr>
        <w:pStyle w:val="33"/>
        <w:rPr>
          <w:rFonts w:hint="eastAsia"/>
          <w:color w:val="auto"/>
          <w:highlight w:val="none"/>
        </w:rPr>
      </w:pPr>
    </w:p>
    <w:p w14:paraId="55713781">
      <w:pPr>
        <w:pStyle w:val="33"/>
        <w:rPr>
          <w:rFonts w:hint="eastAsia"/>
          <w:color w:val="auto"/>
          <w:highlight w:val="none"/>
        </w:rPr>
      </w:pPr>
    </w:p>
    <w:p w14:paraId="535EFCF6">
      <w:pPr>
        <w:pStyle w:val="33"/>
        <w:rPr>
          <w:rFonts w:hint="eastAsia"/>
          <w:color w:val="auto"/>
          <w:highlight w:val="none"/>
        </w:rPr>
      </w:pPr>
    </w:p>
    <w:p w14:paraId="7472BCCE">
      <w:pPr>
        <w:pStyle w:val="33"/>
        <w:rPr>
          <w:rFonts w:hint="eastAsia"/>
          <w:color w:val="auto"/>
          <w:highlight w:val="none"/>
        </w:rPr>
      </w:pPr>
    </w:p>
    <w:p w14:paraId="57F5CAA3">
      <w:pPr>
        <w:pStyle w:val="33"/>
        <w:rPr>
          <w:rFonts w:hint="eastAsia"/>
          <w:color w:val="auto"/>
          <w:highlight w:val="none"/>
        </w:rPr>
      </w:pPr>
    </w:p>
    <w:p w14:paraId="23C5216D">
      <w:pPr>
        <w:pStyle w:val="33"/>
        <w:rPr>
          <w:rFonts w:hint="eastAsia"/>
          <w:color w:val="auto"/>
          <w:highlight w:val="none"/>
        </w:rPr>
      </w:pPr>
    </w:p>
    <w:p w14:paraId="4D16C1FC">
      <w:pPr>
        <w:pStyle w:val="33"/>
        <w:rPr>
          <w:rFonts w:hint="eastAsia"/>
          <w:color w:val="auto"/>
          <w:highlight w:val="none"/>
        </w:rPr>
      </w:pPr>
    </w:p>
    <w:p w14:paraId="498A27DF">
      <w:pPr>
        <w:pStyle w:val="33"/>
        <w:rPr>
          <w:rFonts w:hint="eastAsia"/>
          <w:color w:val="auto"/>
          <w:highlight w:val="none"/>
        </w:rPr>
      </w:pPr>
    </w:p>
    <w:p w14:paraId="6E807E07">
      <w:pPr>
        <w:pStyle w:val="33"/>
        <w:rPr>
          <w:rFonts w:hint="eastAsia"/>
          <w:color w:val="auto"/>
          <w:highlight w:val="none"/>
        </w:rPr>
      </w:pPr>
    </w:p>
    <w:p w14:paraId="42F9868F">
      <w:pPr>
        <w:pStyle w:val="33"/>
        <w:rPr>
          <w:rFonts w:hint="eastAsia"/>
          <w:color w:val="auto"/>
          <w:highlight w:val="none"/>
        </w:rPr>
      </w:pPr>
    </w:p>
    <w:p w14:paraId="56854CA2">
      <w:pPr>
        <w:pStyle w:val="33"/>
        <w:rPr>
          <w:rFonts w:hint="eastAsia"/>
          <w:color w:val="auto"/>
          <w:highlight w:val="none"/>
        </w:rPr>
      </w:pPr>
    </w:p>
    <w:p w14:paraId="4CA54043">
      <w:pPr>
        <w:pStyle w:val="33"/>
        <w:rPr>
          <w:rFonts w:hint="eastAsia"/>
          <w:color w:val="auto"/>
          <w:highlight w:val="none"/>
        </w:rPr>
      </w:pPr>
    </w:p>
    <w:p w14:paraId="66644D82">
      <w:pPr>
        <w:pStyle w:val="33"/>
        <w:rPr>
          <w:rFonts w:hint="eastAsia"/>
          <w:color w:val="auto"/>
          <w:highlight w:val="none"/>
        </w:rPr>
      </w:pPr>
    </w:p>
    <w:p w14:paraId="5940A111">
      <w:pPr>
        <w:pStyle w:val="2"/>
        <w:outlineLvl w:val="9"/>
        <w:rPr>
          <w:rFonts w:hint="eastAsia" w:ascii="宋体" w:hAnsi="宋体" w:eastAsia="宋体"/>
          <w:color w:val="auto"/>
          <w:sz w:val="40"/>
          <w:highlight w:val="none"/>
        </w:rPr>
      </w:pPr>
    </w:p>
    <w:p w14:paraId="6008A47E">
      <w:pPr>
        <w:rPr>
          <w:rFonts w:hint="eastAsia" w:ascii="宋体" w:hAnsi="宋体" w:eastAsia="宋体"/>
          <w:color w:val="auto"/>
          <w:sz w:val="40"/>
          <w:highlight w:val="none"/>
        </w:rPr>
      </w:pPr>
    </w:p>
    <w:p w14:paraId="799ABCA3">
      <w:pPr>
        <w:pStyle w:val="2"/>
        <w:outlineLvl w:val="9"/>
        <w:rPr>
          <w:rFonts w:hint="eastAsia" w:ascii="宋体" w:hAnsi="宋体" w:eastAsia="宋体"/>
          <w:color w:val="auto"/>
          <w:sz w:val="40"/>
          <w:highlight w:val="none"/>
        </w:rPr>
      </w:pPr>
    </w:p>
    <w:p w14:paraId="5DE90A48">
      <w:pPr>
        <w:rPr>
          <w:rFonts w:hint="eastAsia"/>
          <w:color w:val="auto"/>
          <w:highlight w:val="none"/>
        </w:rPr>
      </w:pPr>
    </w:p>
    <w:p w14:paraId="7D72E6F2">
      <w:pPr>
        <w:rPr>
          <w:rFonts w:hint="eastAsia"/>
          <w:color w:val="auto"/>
          <w:highlight w:val="none"/>
        </w:rPr>
      </w:pPr>
    </w:p>
    <w:p w14:paraId="775041B4">
      <w:pPr>
        <w:jc w:val="left"/>
        <w:outlineLvl w:val="0"/>
        <w:rPr>
          <w:rFonts w:hint="eastAsia" w:ascii="宋体" w:hAnsi="宋体" w:eastAsia="宋体" w:cs="Times New Roman"/>
          <w:b/>
          <w:bCs/>
          <w:color w:val="auto"/>
          <w:kern w:val="2"/>
          <w:sz w:val="28"/>
          <w:szCs w:val="28"/>
          <w:highlight w:val="none"/>
          <w:lang w:val="en-US" w:eastAsia="zh-CN" w:bidi="ar-SA"/>
        </w:rPr>
      </w:pPr>
      <w:bookmarkStart w:id="102" w:name="_Toc4558"/>
      <w:bookmarkStart w:id="103" w:name="_Toc3228"/>
      <w:bookmarkStart w:id="104" w:name="_Toc2059"/>
      <w:bookmarkStart w:id="105" w:name="_Toc10184"/>
      <w:r>
        <w:rPr>
          <w:rFonts w:hint="eastAsia" w:ascii="宋体" w:hAnsi="宋体" w:eastAsia="宋体" w:cs="Times New Roman"/>
          <w:b/>
          <w:bCs/>
          <w:color w:val="auto"/>
          <w:kern w:val="2"/>
          <w:sz w:val="28"/>
          <w:szCs w:val="28"/>
          <w:highlight w:val="none"/>
          <w:lang w:val="en-US" w:eastAsia="zh-CN" w:bidi="ar-SA"/>
        </w:rPr>
        <w:t>第六部分  相关格式文件</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0F77E37">
      <w:pPr>
        <w:rPr>
          <w:rFonts w:hint="default" w:ascii="宋体" w:hAnsi="宋体" w:eastAsia="宋体" w:cs="Times New Roman"/>
          <w:b/>
          <w:bCs/>
          <w:color w:val="auto"/>
          <w:kern w:val="2"/>
          <w:sz w:val="28"/>
          <w:szCs w:val="28"/>
          <w:highlight w:val="none"/>
          <w:lang w:val="en-US" w:eastAsia="zh-CN" w:bidi="ar-SA"/>
        </w:rPr>
      </w:pPr>
      <w:r>
        <w:rPr>
          <w:rFonts w:hint="eastAsia" w:ascii="宋体" w:hAnsi="宋体" w:eastAsia="宋体" w:cs="Times New Roman"/>
          <w:b/>
          <w:bCs/>
          <w:color w:val="auto"/>
          <w:kern w:val="2"/>
          <w:sz w:val="28"/>
          <w:szCs w:val="28"/>
          <w:highlight w:val="none"/>
          <w:lang w:val="en-US" w:eastAsia="zh-CN" w:bidi="ar-SA"/>
        </w:rPr>
        <w:t>1.封面</w:t>
      </w:r>
    </w:p>
    <w:p w14:paraId="1FE268D8">
      <w:pPr>
        <w:pStyle w:val="11"/>
        <w:adjustRightInd w:val="0"/>
        <w:snapToGrid w:val="0"/>
        <w:ind w:left="1" w:firstLine="359"/>
        <w:rPr>
          <w:rFonts w:hAnsi="宋体" w:cs="Times New Roman"/>
          <w:b/>
          <w:color w:val="auto"/>
          <w:highlight w:val="none"/>
        </w:rPr>
      </w:pPr>
    </w:p>
    <w:p w14:paraId="6A06EA42">
      <w:pPr>
        <w:spacing w:line="240" w:lineRule="auto"/>
        <w:jc w:val="center"/>
        <w:rPr>
          <w:rFonts w:hint="eastAsia" w:ascii="宋体" w:hAnsi="宋体" w:eastAsia="宋体" w:cs="宋体"/>
          <w:b/>
          <w:bCs w:val="0"/>
          <w:color w:val="auto"/>
          <w:kern w:val="0"/>
          <w:sz w:val="52"/>
          <w:szCs w:val="52"/>
          <w:highlight w:val="none"/>
          <w:lang w:val="en-US" w:eastAsia="zh-CN"/>
        </w:rPr>
      </w:pPr>
      <w:bookmarkStart w:id="106" w:name="_Toc40346381"/>
      <w:bookmarkStart w:id="107" w:name="_Toc18837"/>
      <w:bookmarkStart w:id="108" w:name="_Toc23156"/>
      <w:bookmarkStart w:id="109" w:name="_Toc4407"/>
      <w:bookmarkStart w:id="110" w:name="_Toc40346222"/>
      <w:bookmarkStart w:id="111" w:name="_Toc22864"/>
      <w:bookmarkStart w:id="112" w:name="_Toc9134"/>
      <w:bookmarkStart w:id="113" w:name="_Toc25470"/>
      <w:bookmarkStart w:id="114" w:name="_Toc10213"/>
      <w:bookmarkStart w:id="115" w:name="_Toc12431"/>
      <w:bookmarkStart w:id="116" w:name="_Toc28217"/>
      <w:bookmarkStart w:id="117" w:name="_Toc22145"/>
      <w:bookmarkStart w:id="118" w:name="_Toc40776117"/>
      <w:bookmarkStart w:id="119" w:name="_Toc3784"/>
    </w:p>
    <w:p w14:paraId="3344A668">
      <w:pPr>
        <w:spacing w:line="240" w:lineRule="auto"/>
        <w:jc w:val="center"/>
        <w:rPr>
          <w:rFonts w:hint="eastAsia" w:ascii="宋体" w:hAnsi="宋体" w:eastAsia="宋体" w:cs="宋体"/>
          <w:b/>
          <w:bCs w:val="0"/>
          <w:color w:val="auto"/>
          <w:kern w:val="0"/>
          <w:sz w:val="52"/>
          <w:szCs w:val="52"/>
          <w:highlight w:val="none"/>
          <w:lang w:val="en-US" w:eastAsia="zh-CN"/>
        </w:rPr>
      </w:pPr>
    </w:p>
    <w:p w14:paraId="5C2103B9">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eastAsia="宋体" w:cs="宋体"/>
          <w:b/>
          <w:bCs w:val="0"/>
          <w:color w:val="auto"/>
          <w:kern w:val="0"/>
          <w:sz w:val="52"/>
          <w:szCs w:val="52"/>
          <w:highlight w:val="none"/>
          <w:lang w:val="en-US" w:eastAsia="zh-CN"/>
        </w:rPr>
        <w:t>南方医科大学第五附属医院</w:t>
      </w:r>
    </w:p>
    <w:p w14:paraId="4FD23669">
      <w:pPr>
        <w:spacing w:line="240" w:lineRule="auto"/>
        <w:jc w:val="center"/>
        <w:rPr>
          <w:rFonts w:hint="eastAsia" w:ascii="宋体" w:hAnsi="宋体" w:eastAsia="宋体" w:cs="宋体"/>
          <w:b/>
          <w:bCs w:val="0"/>
          <w:color w:val="auto"/>
          <w:kern w:val="0"/>
          <w:sz w:val="28"/>
          <w:szCs w:val="28"/>
          <w:highlight w:val="none"/>
          <w:lang w:val="en-US" w:eastAsia="zh-CN"/>
        </w:rPr>
      </w:pPr>
    </w:p>
    <w:p w14:paraId="3BF2650A">
      <w:pPr>
        <w:spacing w:line="240" w:lineRule="auto"/>
        <w:jc w:val="center"/>
        <w:rPr>
          <w:rFonts w:hint="eastAsia" w:ascii="宋体" w:hAnsi="宋体" w:eastAsia="宋体" w:cs="宋体"/>
          <w:b/>
          <w:bCs w:val="0"/>
          <w:color w:val="auto"/>
          <w:kern w:val="0"/>
          <w:sz w:val="52"/>
          <w:szCs w:val="52"/>
          <w:highlight w:val="none"/>
          <w:lang w:val="en-US" w:eastAsia="zh-CN"/>
        </w:rPr>
      </w:pPr>
      <w:r>
        <w:rPr>
          <w:rFonts w:hint="eastAsia" w:ascii="宋体" w:hAnsi="宋体" w:cs="宋体"/>
          <w:b/>
          <w:bCs w:val="0"/>
          <w:color w:val="auto"/>
          <w:kern w:val="0"/>
          <w:sz w:val="52"/>
          <w:szCs w:val="52"/>
          <w:highlight w:val="none"/>
          <w:lang w:val="en-US" w:eastAsia="zh-CN"/>
        </w:rPr>
        <w:t>多媒体分诊导引系统升级项目</w:t>
      </w:r>
    </w:p>
    <w:p w14:paraId="7372B009">
      <w:pPr>
        <w:spacing w:line="480" w:lineRule="auto"/>
        <w:jc w:val="center"/>
        <w:rPr>
          <w:rFonts w:hint="eastAsia" w:ascii="宋体" w:hAnsi="宋体"/>
          <w:b/>
          <w:bCs/>
          <w:color w:val="auto"/>
          <w:sz w:val="28"/>
          <w:szCs w:val="28"/>
          <w:highlight w:val="none"/>
        </w:rPr>
      </w:pPr>
    </w:p>
    <w:p w14:paraId="4A741BEF">
      <w:pPr>
        <w:spacing w:line="480" w:lineRule="auto"/>
        <w:jc w:val="center"/>
        <w:rPr>
          <w:rFonts w:hint="eastAsia" w:ascii="宋体" w:hAnsi="宋体"/>
          <w:b/>
          <w:bCs/>
          <w:color w:val="auto"/>
          <w:sz w:val="72"/>
          <w:szCs w:val="72"/>
          <w:highlight w:val="none"/>
        </w:rPr>
      </w:pPr>
    </w:p>
    <w:p w14:paraId="07EBE0F5">
      <w:pPr>
        <w:spacing w:line="480" w:lineRule="auto"/>
        <w:jc w:val="center"/>
        <w:rPr>
          <w:rFonts w:ascii="宋体" w:hAnsi="宋体"/>
          <w:b/>
          <w:bCs/>
          <w:color w:val="auto"/>
          <w:sz w:val="72"/>
          <w:szCs w:val="72"/>
          <w:highlight w:val="none"/>
        </w:rPr>
      </w:pPr>
      <w:r>
        <w:rPr>
          <w:rFonts w:hint="eastAsia" w:ascii="宋体" w:hAnsi="宋体"/>
          <w:b/>
          <w:bCs/>
          <w:color w:val="auto"/>
          <w:sz w:val="72"/>
          <w:szCs w:val="72"/>
          <w:highlight w:val="none"/>
          <w:lang w:eastAsia="zh-CN"/>
        </w:rPr>
        <w:t>响应</w:t>
      </w:r>
      <w:r>
        <w:rPr>
          <w:rFonts w:hint="eastAsia" w:ascii="宋体" w:hAnsi="宋体"/>
          <w:b/>
          <w:bCs/>
          <w:color w:val="auto"/>
          <w:sz w:val="72"/>
          <w:szCs w:val="72"/>
          <w:highlight w:val="none"/>
        </w:rPr>
        <w:t>文件</w:t>
      </w:r>
    </w:p>
    <w:p w14:paraId="7516BCEA">
      <w:pPr>
        <w:widowControl/>
        <w:spacing w:line="360" w:lineRule="auto"/>
        <w:ind w:firstLine="600"/>
        <w:outlineLvl w:val="9"/>
        <w:rPr>
          <w:rFonts w:ascii="宋体" w:hAnsi="宋体" w:cs="宋体"/>
          <w:color w:val="auto"/>
          <w:kern w:val="0"/>
          <w:sz w:val="30"/>
          <w:szCs w:val="30"/>
          <w:highlight w:val="none"/>
        </w:rPr>
      </w:pPr>
      <w:bookmarkStart w:id="120" w:name="_Toc15870"/>
      <w:bookmarkStart w:id="121" w:name="_Toc8364"/>
      <w:bookmarkStart w:id="122" w:name="_Toc11075"/>
      <w:bookmarkStart w:id="123" w:name="_Toc40346375"/>
      <w:bookmarkStart w:id="124" w:name="_Toc28703"/>
      <w:bookmarkStart w:id="125" w:name="_Toc12520"/>
      <w:bookmarkStart w:id="126" w:name="_Toc435"/>
      <w:bookmarkStart w:id="127" w:name="_Toc40346216"/>
      <w:bookmarkStart w:id="128" w:name="_Toc29113"/>
      <w:bookmarkStart w:id="129" w:name="_Toc1994"/>
      <w:bookmarkStart w:id="130" w:name="_Toc11305"/>
      <w:bookmarkStart w:id="131" w:name="_Toc7291"/>
      <w:bookmarkStart w:id="132" w:name="_Toc6547"/>
      <w:bookmarkStart w:id="133" w:name="_Toc3471"/>
      <w:bookmarkStart w:id="134" w:name="_Toc40776111"/>
      <w:bookmarkStart w:id="135" w:name="_Toc21249"/>
      <w:bookmarkStart w:id="136" w:name="_Toc26267"/>
    </w:p>
    <w:p w14:paraId="601FC3C1">
      <w:pPr>
        <w:widowControl/>
        <w:spacing w:line="360" w:lineRule="auto"/>
        <w:ind w:firstLine="600"/>
        <w:outlineLvl w:val="0"/>
        <w:rPr>
          <w:color w:val="auto"/>
          <w:highlight w:val="none"/>
        </w:rPr>
      </w:pPr>
      <w:bookmarkStart w:id="137" w:name="_Toc335"/>
      <w:bookmarkStart w:id="138" w:name="_Toc25934"/>
      <w:bookmarkStart w:id="139" w:name="_Toc4116"/>
      <w:bookmarkStart w:id="140" w:name="_Toc13141"/>
      <w:bookmarkStart w:id="141" w:name="_Toc937"/>
      <w:bookmarkStart w:id="142" w:name="_Toc27329"/>
      <w:bookmarkStart w:id="143" w:name="_Toc11245"/>
      <w:bookmarkStart w:id="144" w:name="_Toc22456"/>
      <w:bookmarkStart w:id="145" w:name="_Toc13633"/>
      <w:r>
        <w:rPr>
          <w:rFonts w:ascii="宋体" w:hAnsi="宋体" w:cs="宋体"/>
          <w:color w:val="auto"/>
          <w:kern w:val="0"/>
          <w:sz w:val="30"/>
          <w:szCs w:val="30"/>
          <w:highlight w:val="none"/>
        </w:rPr>
        <w:t>项目编号：</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Start w:id="146" w:name="_Toc2916"/>
      <w:bookmarkStart w:id="147" w:name="_Toc40346376"/>
      <w:bookmarkStart w:id="148" w:name="_Toc40346217"/>
      <w:bookmarkStart w:id="149" w:name="_Toc40776112"/>
      <w:bookmarkStart w:id="150" w:name="_Toc1743"/>
      <w:bookmarkStart w:id="151" w:name="_Toc27997"/>
      <w:bookmarkStart w:id="152" w:name="_Toc20884"/>
      <w:bookmarkStart w:id="153" w:name="_Toc17709"/>
    </w:p>
    <w:p w14:paraId="1A311817">
      <w:pPr>
        <w:widowControl/>
        <w:spacing w:line="360" w:lineRule="auto"/>
        <w:ind w:firstLine="600"/>
        <w:outlineLvl w:val="0"/>
        <w:rPr>
          <w:rFonts w:cs="宋体"/>
          <w:color w:val="auto"/>
          <w:kern w:val="0"/>
          <w:sz w:val="30"/>
          <w:szCs w:val="30"/>
          <w:highlight w:val="none"/>
        </w:rPr>
      </w:pPr>
      <w:bookmarkStart w:id="154" w:name="_Toc3677"/>
      <w:bookmarkStart w:id="155" w:name="_Toc11485"/>
      <w:bookmarkStart w:id="156" w:name="_Toc3075"/>
      <w:bookmarkStart w:id="157" w:name="_Toc20386"/>
      <w:bookmarkStart w:id="158" w:name="_Toc2029"/>
      <w:bookmarkStart w:id="159" w:name="_Toc31538"/>
      <w:bookmarkStart w:id="160" w:name="_Toc23097"/>
      <w:bookmarkStart w:id="161" w:name="_Toc29102"/>
      <w:bookmarkStart w:id="162" w:name="_Toc2012"/>
      <w:bookmarkStart w:id="163" w:name="_Toc30220"/>
      <w:bookmarkStart w:id="164" w:name="_Toc23155"/>
      <w:bookmarkStart w:id="165" w:name="_Toc5238"/>
      <w:bookmarkStart w:id="166" w:name="_Toc11603"/>
      <w:bookmarkStart w:id="167" w:name="_Toc30979"/>
      <w:bookmarkStart w:id="168" w:name="_Toc26785"/>
      <w:bookmarkStart w:id="169" w:name="_Toc22817"/>
      <w:bookmarkStart w:id="170" w:name="_Toc2786"/>
      <w:bookmarkStart w:id="171" w:name="_Toc19699"/>
      <w:r>
        <w:rPr>
          <w:rFonts w:ascii="宋体" w:hAnsi="宋体" w:cs="宋体"/>
          <w:color w:val="auto"/>
          <w:kern w:val="0"/>
          <w:sz w:val="30"/>
          <w:szCs w:val="30"/>
          <w:highlight w:val="none"/>
        </w:rPr>
        <w:t>公司名称：</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6559834">
      <w:pPr>
        <w:widowControl/>
        <w:spacing w:line="360" w:lineRule="auto"/>
        <w:ind w:firstLine="600"/>
        <w:outlineLvl w:val="0"/>
        <w:rPr>
          <w:rFonts w:cs="宋体"/>
          <w:color w:val="auto"/>
          <w:kern w:val="0"/>
          <w:sz w:val="30"/>
          <w:szCs w:val="30"/>
          <w:highlight w:val="none"/>
        </w:rPr>
      </w:pPr>
      <w:bookmarkStart w:id="172" w:name="_Toc13522"/>
      <w:bookmarkStart w:id="173" w:name="_Toc18843"/>
      <w:bookmarkStart w:id="174" w:name="_Toc14824"/>
      <w:bookmarkStart w:id="175" w:name="_Toc11141"/>
      <w:bookmarkStart w:id="176" w:name="_Toc11288"/>
      <w:bookmarkStart w:id="177" w:name="_Toc26700"/>
      <w:bookmarkStart w:id="178" w:name="_Toc32315"/>
      <w:bookmarkStart w:id="179" w:name="_Toc17930"/>
      <w:bookmarkStart w:id="180" w:name="_Toc24763"/>
      <w:bookmarkStart w:id="181" w:name="_Toc16794"/>
      <w:bookmarkStart w:id="182" w:name="_Toc7052"/>
      <w:bookmarkStart w:id="183" w:name="_Toc40346218"/>
      <w:bookmarkStart w:id="184" w:name="_Toc14474"/>
      <w:bookmarkStart w:id="185" w:name="_Toc20623"/>
      <w:bookmarkStart w:id="186" w:name="_Toc28064"/>
      <w:bookmarkStart w:id="187" w:name="_Toc13212"/>
      <w:bookmarkStart w:id="188" w:name="_Toc31993"/>
      <w:bookmarkStart w:id="189" w:name="_Toc15278"/>
      <w:bookmarkStart w:id="190" w:name="_Toc21483"/>
      <w:bookmarkStart w:id="191" w:name="_Toc29767"/>
      <w:bookmarkStart w:id="192" w:name="_Toc11558"/>
      <w:bookmarkStart w:id="193" w:name="_Toc40346377"/>
      <w:bookmarkStart w:id="194" w:name="_Toc12645"/>
      <w:bookmarkStart w:id="195" w:name="_Toc4013"/>
      <w:bookmarkStart w:id="196" w:name="_Toc40776113"/>
      <w:bookmarkStart w:id="197" w:name="_Toc27867"/>
      <w:r>
        <w:rPr>
          <w:rFonts w:ascii="宋体" w:hAnsi="宋体" w:cs="宋体"/>
          <w:color w:val="auto"/>
          <w:kern w:val="0"/>
          <w:sz w:val="30"/>
          <w:szCs w:val="30"/>
          <w:highlight w:val="none"/>
        </w:rPr>
        <w:t>业务代表：</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0F8D26E9">
      <w:pPr>
        <w:widowControl/>
        <w:spacing w:line="360" w:lineRule="auto"/>
        <w:ind w:firstLine="600"/>
        <w:outlineLvl w:val="0"/>
        <w:rPr>
          <w:rFonts w:cs="宋体"/>
          <w:color w:val="auto"/>
          <w:kern w:val="0"/>
          <w:sz w:val="30"/>
          <w:szCs w:val="30"/>
          <w:highlight w:val="none"/>
        </w:rPr>
      </w:pPr>
      <w:bookmarkStart w:id="198" w:name="_Toc19831"/>
      <w:bookmarkStart w:id="199" w:name="_Toc14973"/>
      <w:bookmarkStart w:id="200" w:name="_Toc40346219"/>
      <w:bookmarkStart w:id="201" w:name="_Toc4563"/>
      <w:bookmarkStart w:id="202" w:name="_Toc40776114"/>
      <w:bookmarkStart w:id="203" w:name="_Toc10942"/>
      <w:bookmarkStart w:id="204" w:name="_Toc14287"/>
      <w:bookmarkStart w:id="205" w:name="_Toc6438"/>
      <w:bookmarkStart w:id="206" w:name="_Toc32709"/>
      <w:bookmarkStart w:id="207" w:name="_Toc13060"/>
      <w:bookmarkStart w:id="208" w:name="_Toc24651"/>
      <w:bookmarkStart w:id="209" w:name="_Toc27771"/>
      <w:bookmarkStart w:id="210" w:name="_Toc16813"/>
      <w:bookmarkStart w:id="211" w:name="_Toc26029"/>
      <w:bookmarkStart w:id="212" w:name="_Toc182"/>
      <w:bookmarkStart w:id="213" w:name="_Toc40346378"/>
      <w:bookmarkStart w:id="214" w:name="_Toc1070"/>
      <w:bookmarkStart w:id="215" w:name="_Toc18920"/>
      <w:bookmarkStart w:id="216" w:name="_Toc9504"/>
      <w:bookmarkStart w:id="217" w:name="_Toc27594"/>
      <w:bookmarkStart w:id="218" w:name="_Toc17537"/>
      <w:bookmarkStart w:id="219" w:name="_Toc9883"/>
      <w:bookmarkStart w:id="220" w:name="_Toc8017"/>
      <w:bookmarkStart w:id="221" w:name="_Toc11334"/>
      <w:bookmarkStart w:id="222" w:name="_Toc1324"/>
      <w:bookmarkStart w:id="223" w:name="_Toc31197"/>
      <w:r>
        <w:rPr>
          <w:rFonts w:ascii="宋体" w:hAnsi="宋体" w:cs="宋体"/>
          <w:color w:val="auto"/>
          <w:kern w:val="0"/>
          <w:sz w:val="30"/>
          <w:szCs w:val="30"/>
          <w:highlight w:val="none"/>
        </w:rPr>
        <w:t>联系电话：</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3BEACC29">
      <w:pPr>
        <w:widowControl/>
        <w:spacing w:line="360" w:lineRule="auto"/>
        <w:ind w:firstLine="600"/>
        <w:outlineLvl w:val="0"/>
        <w:rPr>
          <w:rFonts w:cs="宋体"/>
          <w:color w:val="auto"/>
          <w:kern w:val="0"/>
          <w:sz w:val="30"/>
          <w:szCs w:val="30"/>
          <w:highlight w:val="none"/>
        </w:rPr>
      </w:pPr>
      <w:bookmarkStart w:id="224" w:name="_Toc28261"/>
      <w:bookmarkStart w:id="225" w:name="_Toc20994"/>
      <w:bookmarkStart w:id="226" w:name="_Toc17483"/>
      <w:bookmarkStart w:id="227" w:name="_Toc21940"/>
      <w:bookmarkStart w:id="228" w:name="_Toc40346379"/>
      <w:bookmarkStart w:id="229" w:name="_Toc40776115"/>
      <w:bookmarkStart w:id="230" w:name="_Toc15130"/>
      <w:bookmarkStart w:id="231" w:name="_Toc19045"/>
      <w:bookmarkStart w:id="232" w:name="_Toc30285"/>
      <w:bookmarkStart w:id="233" w:name="_Toc8912"/>
      <w:bookmarkStart w:id="234" w:name="_Toc40346220"/>
      <w:bookmarkStart w:id="235" w:name="_Toc3895"/>
      <w:bookmarkStart w:id="236" w:name="_Toc9963"/>
      <w:bookmarkStart w:id="237" w:name="_Toc13222"/>
      <w:bookmarkStart w:id="238" w:name="_Toc5189"/>
      <w:bookmarkStart w:id="239" w:name="_Toc18353"/>
      <w:bookmarkStart w:id="240" w:name="_Toc27206"/>
      <w:bookmarkStart w:id="241" w:name="_Toc15554"/>
      <w:bookmarkStart w:id="242" w:name="_Toc13284"/>
      <w:bookmarkStart w:id="243" w:name="_Toc5634"/>
      <w:bookmarkStart w:id="244" w:name="_Toc12650"/>
      <w:bookmarkStart w:id="245" w:name="_Toc30336"/>
      <w:bookmarkStart w:id="246" w:name="_Toc22178"/>
      <w:bookmarkStart w:id="247" w:name="_Toc21686"/>
      <w:bookmarkStart w:id="248" w:name="_Toc27868"/>
      <w:bookmarkStart w:id="249" w:name="_Toc14586"/>
      <w:r>
        <w:rPr>
          <w:rFonts w:ascii="宋体" w:hAnsi="宋体" w:cs="宋体"/>
          <w:color w:val="auto"/>
          <w:kern w:val="0"/>
          <w:sz w:val="30"/>
          <w:szCs w:val="30"/>
          <w:highlight w:val="none"/>
        </w:rPr>
        <w:t>联系邮箱：</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7C16F88">
      <w:pPr>
        <w:widowControl/>
        <w:spacing w:line="360" w:lineRule="auto"/>
        <w:ind w:firstLine="600"/>
        <w:outlineLvl w:val="0"/>
        <w:rPr>
          <w:rFonts w:cs="宋体"/>
          <w:color w:val="auto"/>
          <w:kern w:val="0"/>
          <w:sz w:val="30"/>
          <w:szCs w:val="30"/>
          <w:highlight w:val="none"/>
        </w:rPr>
      </w:pPr>
      <w:bookmarkStart w:id="250" w:name="_Toc32371"/>
      <w:bookmarkStart w:id="251" w:name="_Toc30856"/>
      <w:bookmarkStart w:id="252" w:name="_Toc9282"/>
      <w:bookmarkStart w:id="253" w:name="_Toc40776116"/>
      <w:bookmarkStart w:id="254" w:name="_Toc30904"/>
      <w:bookmarkStart w:id="255" w:name="_Toc3498"/>
      <w:bookmarkStart w:id="256" w:name="_Toc5688"/>
      <w:bookmarkStart w:id="257" w:name="_Toc5220"/>
      <w:bookmarkStart w:id="258" w:name="_Toc10454"/>
      <w:bookmarkStart w:id="259" w:name="_Toc21449"/>
      <w:bookmarkStart w:id="260" w:name="_Toc27009"/>
      <w:bookmarkStart w:id="261" w:name="_Toc27646"/>
      <w:bookmarkStart w:id="262" w:name="_Toc12649"/>
      <w:bookmarkStart w:id="263" w:name="_Toc7054"/>
      <w:bookmarkStart w:id="264" w:name="_Toc21960"/>
      <w:bookmarkStart w:id="265" w:name="_Toc40346221"/>
      <w:bookmarkStart w:id="266" w:name="_Toc8526"/>
      <w:bookmarkStart w:id="267" w:name="_Toc11243"/>
      <w:bookmarkStart w:id="268" w:name="_Toc12453"/>
      <w:bookmarkStart w:id="269" w:name="_Toc11547"/>
      <w:bookmarkStart w:id="270" w:name="_Toc27186"/>
      <w:bookmarkStart w:id="271" w:name="_Toc30616"/>
      <w:bookmarkStart w:id="272" w:name="_Toc14462"/>
      <w:bookmarkStart w:id="273" w:name="_Toc40346380"/>
      <w:bookmarkStart w:id="274" w:name="_Toc8003"/>
      <w:bookmarkStart w:id="275" w:name="_Toc12127"/>
      <w:r>
        <w:rPr>
          <w:rFonts w:ascii="宋体" w:hAnsi="宋体" w:cs="宋体"/>
          <w:color w:val="auto"/>
          <w:kern w:val="0"/>
          <w:sz w:val="30"/>
          <w:szCs w:val="30"/>
          <w:highlight w:val="none"/>
        </w:rPr>
        <w:t>日    期：</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14:paraId="73C5CCB7">
      <w:pPr>
        <w:widowControl/>
        <w:spacing w:line="360" w:lineRule="auto"/>
        <w:jc w:val="center"/>
        <w:rPr>
          <w:rFonts w:ascii="黑体" w:hAnsi="黑体" w:eastAsia="黑体" w:cs="宋体"/>
          <w:color w:val="auto"/>
          <w:kern w:val="0"/>
          <w:sz w:val="30"/>
          <w:szCs w:val="30"/>
          <w:highlight w:val="none"/>
        </w:rPr>
      </w:pPr>
    </w:p>
    <w:p w14:paraId="53AC4F1A">
      <w:pPr>
        <w:widowControl/>
        <w:spacing w:line="360" w:lineRule="auto"/>
        <w:jc w:val="center"/>
        <w:rPr>
          <w:rFonts w:ascii="黑体" w:hAnsi="黑体" w:eastAsia="黑体" w:cs="宋体"/>
          <w:color w:val="auto"/>
          <w:kern w:val="0"/>
          <w:sz w:val="30"/>
          <w:szCs w:val="30"/>
          <w:highlight w:val="none"/>
        </w:rPr>
      </w:pPr>
    </w:p>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14:paraId="5A18A00F">
      <w:pPr>
        <w:rPr>
          <w:rFonts w:hint="eastAsia" w:ascii="宋体" w:hAnsi="宋体" w:eastAsia="宋体" w:cs="Times New Roman"/>
          <w:b/>
          <w:bCs/>
          <w:color w:val="auto"/>
          <w:kern w:val="2"/>
          <w:sz w:val="28"/>
          <w:szCs w:val="28"/>
          <w:highlight w:val="none"/>
          <w:lang w:val="en-US" w:eastAsia="zh-CN" w:bidi="ar-SA"/>
        </w:rPr>
      </w:pPr>
      <w:bookmarkStart w:id="276" w:name="_Toc26575"/>
      <w:bookmarkStart w:id="277" w:name="_Toc14353"/>
    </w:p>
    <w:p w14:paraId="69819D5C">
      <w:pPr>
        <w:rPr>
          <w:rFonts w:hint="eastAsia"/>
          <w:b/>
          <w:bCs/>
          <w:color w:val="auto"/>
          <w:kern w:val="0"/>
          <w:sz w:val="32"/>
          <w:szCs w:val="36"/>
          <w:highlight w:val="none"/>
        </w:rPr>
      </w:pPr>
      <w:r>
        <w:rPr>
          <w:rFonts w:hint="eastAsia" w:ascii="宋体" w:hAnsi="宋体" w:eastAsia="宋体" w:cs="Times New Roman"/>
          <w:b/>
          <w:bCs/>
          <w:color w:val="auto"/>
          <w:kern w:val="2"/>
          <w:sz w:val="28"/>
          <w:szCs w:val="28"/>
          <w:highlight w:val="none"/>
          <w:lang w:val="en-US" w:eastAsia="zh-CN" w:bidi="ar-SA"/>
        </w:rPr>
        <w:t>2.目录</w:t>
      </w:r>
    </w:p>
    <w:bookmarkEnd w:id="276"/>
    <w:bookmarkEnd w:id="277"/>
    <w:p w14:paraId="70BE719B">
      <w:pPr>
        <w:pStyle w:val="10"/>
        <w:numPr>
          <w:ilvl w:val="0"/>
          <w:numId w:val="0"/>
        </w:numPr>
        <w:rPr>
          <w:color w:val="auto"/>
          <w:highlight w:val="none"/>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F239DFE">
        <w:tblPrEx>
          <w:tblCellMar>
            <w:top w:w="0" w:type="dxa"/>
            <w:left w:w="108" w:type="dxa"/>
            <w:bottom w:w="0" w:type="dxa"/>
            <w:right w:w="108" w:type="dxa"/>
          </w:tblCellMar>
        </w:tblPrEx>
        <w:trPr>
          <w:trHeight w:val="570"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692CAF9B">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1EDC8867">
            <w:pPr>
              <w:widowControl/>
              <w:jc w:val="center"/>
              <w:rPr>
                <w:rFonts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1F8057C0">
            <w:pPr>
              <w:widowControl/>
              <w:jc w:val="center"/>
              <w:rPr>
                <w:rFonts w:hint="eastAsia" w:ascii="宋体" w:hAnsi="宋体" w:eastAsia="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证明文件索引</w:t>
            </w:r>
          </w:p>
        </w:tc>
      </w:tr>
      <w:tr w14:paraId="2B26CEED">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037D8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7094" w:type="dxa"/>
            <w:tcBorders>
              <w:top w:val="nil"/>
              <w:left w:val="nil"/>
              <w:bottom w:val="single" w:color="auto" w:sz="4" w:space="0"/>
              <w:right w:val="single" w:color="auto" w:sz="4" w:space="0"/>
            </w:tcBorders>
            <w:shd w:val="clear" w:color="auto" w:fill="auto"/>
            <w:vAlign w:val="center"/>
          </w:tcPr>
          <w:p w14:paraId="6D86FC44">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封面</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7B0EE30">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9AB57C9">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E75C3EA">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7094" w:type="dxa"/>
            <w:tcBorders>
              <w:top w:val="nil"/>
              <w:left w:val="nil"/>
              <w:bottom w:val="single" w:color="auto" w:sz="4" w:space="0"/>
              <w:right w:val="single" w:color="auto" w:sz="4" w:space="0"/>
            </w:tcBorders>
            <w:shd w:val="clear" w:color="auto" w:fill="auto"/>
            <w:vAlign w:val="center"/>
          </w:tcPr>
          <w:p w14:paraId="51725D81">
            <w:pPr>
              <w:pStyle w:val="35"/>
              <w:widowControl/>
              <w:spacing w:line="400" w:lineRule="exact"/>
              <w:ind w:firstLine="0" w:firstLineChars="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目录</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D1AA774">
            <w:pPr>
              <w:widowControl/>
              <w:spacing w:line="40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6CC40C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033CDC">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w:t>
            </w:r>
          </w:p>
        </w:tc>
        <w:tc>
          <w:tcPr>
            <w:tcW w:w="7094" w:type="dxa"/>
            <w:tcBorders>
              <w:top w:val="nil"/>
              <w:left w:val="nil"/>
              <w:bottom w:val="single" w:color="auto" w:sz="4" w:space="0"/>
              <w:right w:val="single" w:color="auto" w:sz="4" w:space="0"/>
            </w:tcBorders>
            <w:shd w:val="clear" w:color="auto" w:fill="auto"/>
            <w:vAlign w:val="center"/>
          </w:tcPr>
          <w:p w14:paraId="6AB0163C">
            <w:pPr>
              <w:pStyle w:val="35"/>
              <w:widowControl/>
              <w:spacing w:line="400" w:lineRule="exact"/>
              <w:ind w:firstLine="0" w:firstLineChars="0"/>
              <w:rPr>
                <w:rFonts w:hint="eastAsia" w:ascii="宋体" w:hAnsi="宋体" w:eastAsia="宋体" w:cs="宋体"/>
                <w:color w:val="auto"/>
                <w:szCs w:val="21"/>
                <w:highlight w:val="none"/>
                <w:lang w:val="en-US" w:eastAsia="zh-CN"/>
              </w:rPr>
            </w:pPr>
            <w:r>
              <w:rPr>
                <w:rFonts w:hint="eastAsia" w:ascii="宋体" w:hAnsi="宋体" w:eastAsia="宋体" w:cs="宋体"/>
                <w:b w:val="0"/>
                <w:bCs w:val="0"/>
                <w:color w:val="auto"/>
                <w:szCs w:val="21"/>
                <w:highlight w:val="none"/>
                <w:lang w:val="en-US" w:eastAsia="zh-CN"/>
              </w:rPr>
              <w:t>响应文件自查</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8C176A9">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3B82CE1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084FF27">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4</w:t>
            </w:r>
          </w:p>
        </w:tc>
        <w:tc>
          <w:tcPr>
            <w:tcW w:w="7094" w:type="dxa"/>
            <w:tcBorders>
              <w:top w:val="nil"/>
              <w:left w:val="nil"/>
              <w:bottom w:val="single" w:color="auto" w:sz="4" w:space="0"/>
              <w:right w:val="single" w:color="auto" w:sz="4" w:space="0"/>
            </w:tcBorders>
            <w:shd w:val="clear" w:color="auto" w:fill="auto"/>
            <w:vAlign w:val="center"/>
          </w:tcPr>
          <w:p w14:paraId="2A76D47C">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b w:val="0"/>
                <w:bCs w:val="0"/>
                <w:color w:val="auto"/>
                <w:szCs w:val="21"/>
                <w:highlight w:val="none"/>
                <w:lang w:eastAsia="zh-CN"/>
              </w:rPr>
              <w:t>报价</w:t>
            </w:r>
            <w:r>
              <w:rPr>
                <w:rFonts w:hint="eastAsia" w:ascii="宋体" w:hAnsi="宋体" w:eastAsia="宋体" w:cs="宋体"/>
                <w:b w:val="0"/>
                <w:bCs w:val="0"/>
                <w:color w:val="auto"/>
                <w:szCs w:val="21"/>
                <w:highlight w:val="none"/>
                <w:lang w:val="en-US" w:eastAsia="zh-CN"/>
              </w:rPr>
              <w:t>/</w:t>
            </w:r>
            <w:r>
              <w:rPr>
                <w:rFonts w:hint="eastAsia" w:ascii="宋体" w:hAnsi="宋体" w:eastAsia="宋体" w:cs="宋体"/>
                <w:b w:val="0"/>
                <w:bCs w:val="0"/>
                <w:color w:val="auto"/>
                <w:szCs w:val="21"/>
                <w:highlight w:val="none"/>
                <w:lang w:eastAsia="zh-CN"/>
              </w:rPr>
              <w:t>承诺</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66B8C016">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6D0355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BE3E515">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w:t>
            </w:r>
          </w:p>
        </w:tc>
        <w:tc>
          <w:tcPr>
            <w:tcW w:w="7094" w:type="dxa"/>
            <w:tcBorders>
              <w:top w:val="nil"/>
              <w:left w:val="nil"/>
              <w:bottom w:val="single" w:color="auto" w:sz="4" w:space="0"/>
              <w:right w:val="single" w:color="auto" w:sz="4" w:space="0"/>
            </w:tcBorders>
            <w:shd w:val="clear" w:color="auto" w:fill="auto"/>
            <w:vAlign w:val="center"/>
          </w:tcPr>
          <w:p w14:paraId="0DB2C32F">
            <w:pPr>
              <w:pStyle w:val="35"/>
              <w:widowControl/>
              <w:spacing w:line="400" w:lineRule="exact"/>
              <w:ind w:firstLine="0" w:firstLineChars="0"/>
              <w:rPr>
                <w:rFonts w:hint="eastAsia" w:ascii="宋体" w:hAnsi="宋体" w:eastAsia="宋体" w:cs="宋体"/>
                <w:b/>
                <w:bCs/>
                <w:color w:val="auto"/>
                <w:szCs w:val="21"/>
                <w:highlight w:val="none"/>
                <w:lang w:eastAsia="zh-CN"/>
              </w:rPr>
            </w:pPr>
            <w:r>
              <w:rPr>
                <w:rFonts w:hint="eastAsia" w:ascii="宋体" w:hAnsi="宋体" w:eastAsia="宋体" w:cs="宋体"/>
                <w:color w:val="auto"/>
                <w:szCs w:val="21"/>
                <w:highlight w:val="none"/>
                <w:lang w:eastAsia="zh-CN"/>
              </w:rPr>
              <w:t>采购</w:t>
            </w:r>
            <w:r>
              <w:rPr>
                <w:rFonts w:hint="eastAsia" w:ascii="宋体" w:hAnsi="宋体" w:eastAsia="宋体" w:cs="宋体"/>
                <w:color w:val="auto"/>
                <w:szCs w:val="21"/>
                <w:highlight w:val="none"/>
              </w:rPr>
              <w:t>需求偏离表</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5693222">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717DDA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A6F71F4">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w:t>
            </w:r>
          </w:p>
        </w:tc>
        <w:tc>
          <w:tcPr>
            <w:tcW w:w="7094" w:type="dxa"/>
            <w:tcBorders>
              <w:top w:val="nil"/>
              <w:left w:val="nil"/>
              <w:bottom w:val="single" w:color="auto" w:sz="4" w:space="0"/>
              <w:right w:val="single" w:color="auto" w:sz="4" w:space="0"/>
            </w:tcBorders>
            <w:shd w:val="clear" w:color="auto" w:fill="auto"/>
            <w:vAlign w:val="center"/>
          </w:tcPr>
          <w:p w14:paraId="498D7E4B">
            <w:pPr>
              <w:pStyle w:val="35"/>
              <w:widowControl/>
              <w:spacing w:line="400" w:lineRule="exact"/>
              <w:ind w:firstLine="0" w:firstLineChars="0"/>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strike w:val="0"/>
                <w:dstrike w:val="0"/>
                <w:color w:val="auto"/>
                <w:szCs w:val="21"/>
                <w:highlight w:val="none"/>
              </w:rPr>
              <w:t>评分自查表</w:t>
            </w:r>
            <w:r>
              <w:rPr>
                <w:rFonts w:hint="eastAsia" w:ascii="宋体" w:hAnsi="宋体" w:eastAsia="宋体" w:cs="宋体"/>
                <w:b/>
                <w:bCs/>
                <w:strike w:val="0"/>
                <w:dstrike w:val="0"/>
                <w:color w:val="auto"/>
                <w:szCs w:val="21"/>
                <w:highlight w:val="none"/>
                <w:lang w:eastAsia="zh-CN"/>
              </w:rPr>
              <w:t>（资格</w:t>
            </w:r>
            <w:r>
              <w:rPr>
                <w:rFonts w:hint="eastAsia" w:ascii="宋体" w:hAnsi="宋体" w:eastAsia="宋体" w:cs="宋体"/>
                <w:b/>
                <w:bCs/>
                <w:strike w:val="0"/>
                <w:dstrike w:val="0"/>
                <w:color w:val="auto"/>
                <w:szCs w:val="21"/>
                <w:highlight w:val="none"/>
                <w:lang w:val="en-US" w:eastAsia="zh-CN"/>
              </w:rPr>
              <w:t>+评分）</w:t>
            </w:r>
          </w:p>
        </w:tc>
        <w:tc>
          <w:tcPr>
            <w:tcW w:w="1919" w:type="dxa"/>
            <w:tcBorders>
              <w:top w:val="nil"/>
              <w:left w:val="nil"/>
              <w:bottom w:val="single" w:color="auto" w:sz="4" w:space="0"/>
              <w:right w:val="single" w:color="auto" w:sz="4" w:space="0"/>
            </w:tcBorders>
            <w:shd w:val="clear" w:color="auto" w:fill="auto"/>
            <w:vAlign w:val="center"/>
          </w:tcPr>
          <w:p w14:paraId="0B2BB1D6">
            <w:pPr>
              <w:widowControl/>
              <w:spacing w:line="400" w:lineRule="exact"/>
              <w:jc w:val="center"/>
              <w:rPr>
                <w:rFonts w:hint="eastAsia"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4DD1560">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15FDE5">
            <w:pPr>
              <w:widowControl/>
              <w:spacing w:line="40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7094" w:type="dxa"/>
            <w:tcBorders>
              <w:top w:val="nil"/>
              <w:left w:val="nil"/>
              <w:bottom w:val="single" w:color="auto" w:sz="4" w:space="0"/>
              <w:right w:val="single" w:color="auto" w:sz="4" w:space="0"/>
            </w:tcBorders>
            <w:shd w:val="clear" w:color="auto" w:fill="auto"/>
            <w:vAlign w:val="center"/>
          </w:tcPr>
          <w:p w14:paraId="327B2696">
            <w:pPr>
              <w:pStyle w:val="35"/>
              <w:widowControl/>
              <w:spacing w:line="400" w:lineRule="exact"/>
              <w:ind w:firstLine="0" w:firstLineChars="0"/>
              <w:rPr>
                <w:rFonts w:hint="default" w:ascii="宋体" w:hAnsi="宋体" w:eastAsia="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公司简介</w:t>
            </w:r>
          </w:p>
        </w:tc>
        <w:tc>
          <w:tcPr>
            <w:tcW w:w="1919" w:type="dxa"/>
            <w:tcBorders>
              <w:top w:val="nil"/>
              <w:left w:val="nil"/>
              <w:bottom w:val="single" w:color="auto" w:sz="4" w:space="0"/>
              <w:right w:val="single" w:color="auto" w:sz="4" w:space="0"/>
            </w:tcBorders>
            <w:shd w:val="clear" w:color="auto" w:fill="auto"/>
            <w:vAlign w:val="center"/>
          </w:tcPr>
          <w:p w14:paraId="344A8FE1">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519E47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3E80E07">
            <w:pPr>
              <w:widowControl/>
              <w:spacing w:line="40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4DCCC46D">
            <w:pPr>
              <w:pStyle w:val="35"/>
              <w:widowControl/>
              <w:spacing w:line="400" w:lineRule="exact"/>
              <w:ind w:firstLine="0" w:firstLineChars="0"/>
              <w:rPr>
                <w:rFonts w:hint="default" w:ascii="宋体" w:hAnsi="宋体" w:cs="宋体"/>
                <w:strike w:val="0"/>
                <w:dstrike w:val="0"/>
                <w:color w:val="auto"/>
                <w:szCs w:val="21"/>
                <w:highlight w:val="none"/>
                <w:lang w:val="en-US" w:eastAsia="zh-CN"/>
              </w:rPr>
            </w:pPr>
            <w:r>
              <w:rPr>
                <w:rFonts w:hint="eastAsia" w:ascii="宋体" w:hAnsi="宋体" w:cs="宋体"/>
                <w:strike w:val="0"/>
                <w:dstrike w:val="0"/>
                <w:color w:val="auto"/>
                <w:szCs w:val="21"/>
                <w:highlight w:val="none"/>
                <w:lang w:val="en-US" w:eastAsia="zh-CN"/>
              </w:rPr>
              <w:t>服务方案</w:t>
            </w:r>
          </w:p>
        </w:tc>
        <w:tc>
          <w:tcPr>
            <w:tcW w:w="1919" w:type="dxa"/>
            <w:tcBorders>
              <w:top w:val="nil"/>
              <w:left w:val="nil"/>
              <w:bottom w:val="single" w:color="auto" w:sz="4" w:space="0"/>
              <w:right w:val="single" w:color="auto" w:sz="4" w:space="0"/>
            </w:tcBorders>
            <w:shd w:val="clear" w:color="auto" w:fill="auto"/>
            <w:vAlign w:val="center"/>
          </w:tcPr>
          <w:p w14:paraId="444B3053">
            <w:pPr>
              <w:widowControl/>
              <w:spacing w:line="40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511ABE85">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915D88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69803A35">
            <w:pPr>
              <w:pStyle w:val="35"/>
              <w:widowControl/>
              <w:spacing w:line="400" w:lineRule="exact"/>
              <w:ind w:firstLine="0" w:firstLineChars="0"/>
              <w:rPr>
                <w:rFonts w:hint="eastAsia" w:ascii="宋体" w:hAnsi="宋体" w:eastAsia="宋体" w:cs="宋体"/>
                <w:strike w:val="0"/>
                <w:dstrike w:val="0"/>
                <w:color w:val="auto"/>
                <w:szCs w:val="21"/>
                <w:highlight w:val="none"/>
                <w:lang w:val="en-US" w:eastAsia="zh-CN"/>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1月1日</w:t>
            </w:r>
            <w:r>
              <w:rPr>
                <w:rFonts w:hint="eastAsia" w:ascii="宋体" w:hAnsi="宋体" w:cs="宋体"/>
                <w:color w:val="auto"/>
                <w:szCs w:val="21"/>
                <w:highlight w:val="none"/>
              </w:rPr>
              <w:t>至今同类项目的业绩用户名单</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按评分标准要求提供</w:t>
            </w:r>
            <w:r>
              <w:rPr>
                <w:rFonts w:hint="eastAsia" w:ascii="宋体" w:hAnsi="宋体" w:cs="宋体"/>
                <w:b/>
                <w:bCs/>
                <w:color w:val="auto"/>
                <w:szCs w:val="21"/>
                <w:highlight w:val="none"/>
              </w:rPr>
              <w:t>）</w:t>
            </w:r>
          </w:p>
        </w:tc>
        <w:tc>
          <w:tcPr>
            <w:tcW w:w="1919" w:type="dxa"/>
            <w:tcBorders>
              <w:top w:val="nil"/>
              <w:left w:val="nil"/>
              <w:bottom w:val="single" w:color="auto" w:sz="4" w:space="0"/>
              <w:right w:val="single" w:color="auto" w:sz="4" w:space="0"/>
            </w:tcBorders>
            <w:shd w:val="clear" w:color="auto" w:fill="auto"/>
            <w:vAlign w:val="center"/>
          </w:tcPr>
          <w:p w14:paraId="360EE926">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0740E20A">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959224D">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24523456">
            <w:pPr>
              <w:pStyle w:val="35"/>
              <w:widowControl/>
              <w:spacing w:line="400" w:lineRule="exact"/>
              <w:ind w:firstLine="0" w:firstLineChars="0"/>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Cs/>
                <w:color w:val="auto"/>
                <w:szCs w:val="21"/>
                <w:highlight w:val="none"/>
              </w:rPr>
              <w:t>公平竞争承诺书</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A2CD4F7">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6E303236">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A6EACB0">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11</w:t>
            </w:r>
          </w:p>
        </w:tc>
        <w:tc>
          <w:tcPr>
            <w:tcW w:w="7094" w:type="dxa"/>
            <w:tcBorders>
              <w:top w:val="nil"/>
              <w:left w:val="nil"/>
              <w:bottom w:val="single" w:color="auto" w:sz="4" w:space="0"/>
              <w:right w:val="single" w:color="auto" w:sz="4" w:space="0"/>
            </w:tcBorders>
            <w:shd w:val="clear" w:color="auto" w:fill="auto"/>
            <w:vAlign w:val="top"/>
          </w:tcPr>
          <w:p w14:paraId="69DAE48E">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color w:val="auto"/>
                <w:szCs w:val="21"/>
                <w:highlight w:val="none"/>
              </w:rPr>
              <w:t>关于资格和响应文件的声明函</w:t>
            </w:r>
            <w:r>
              <w:rPr>
                <w:rFonts w:hint="eastAsia" w:ascii="宋体" w:hAnsi="宋体" w:eastAsia="宋体" w:cs="宋体"/>
                <w:b/>
                <w:bCs/>
                <w:color w:val="auto"/>
                <w:szCs w:val="21"/>
                <w:highlight w:val="none"/>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5440C44">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252FB9D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6C2E813A">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12</w:t>
            </w:r>
          </w:p>
        </w:tc>
        <w:tc>
          <w:tcPr>
            <w:tcW w:w="7094" w:type="dxa"/>
            <w:tcBorders>
              <w:top w:val="nil"/>
              <w:left w:val="nil"/>
              <w:bottom w:val="single" w:color="auto" w:sz="4" w:space="0"/>
              <w:right w:val="single" w:color="auto" w:sz="4" w:space="0"/>
            </w:tcBorders>
            <w:shd w:val="clear" w:color="auto" w:fill="auto"/>
            <w:vAlign w:val="top"/>
          </w:tcPr>
          <w:p w14:paraId="3BE215B6">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cs="宋体"/>
                <w:b/>
                <w:bCs/>
                <w:color w:val="auto"/>
                <w:kern w:val="0"/>
                <w:szCs w:val="21"/>
                <w:highlight w:val="none"/>
                <w:lang w:val="en-US" w:eastAsia="zh-CN"/>
              </w:rPr>
              <w:t>其他重要</w:t>
            </w:r>
            <w:r>
              <w:rPr>
                <w:rFonts w:hint="eastAsia" w:ascii="宋体" w:hAnsi="宋体" w:eastAsia="宋体" w:cs="宋体"/>
                <w:b/>
                <w:bCs/>
                <w:color w:val="auto"/>
                <w:kern w:val="0"/>
                <w:szCs w:val="21"/>
                <w:highlight w:val="none"/>
                <w:lang w:val="en-US" w:eastAsia="zh-CN"/>
              </w:rPr>
              <w:t>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6E3E3D2E">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437DB4F1">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1775A0E">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w:t>
            </w:r>
          </w:p>
        </w:tc>
        <w:tc>
          <w:tcPr>
            <w:tcW w:w="7094" w:type="dxa"/>
            <w:tcBorders>
              <w:top w:val="nil"/>
              <w:left w:val="nil"/>
              <w:bottom w:val="single" w:color="auto" w:sz="4" w:space="0"/>
              <w:right w:val="single" w:color="auto" w:sz="4" w:space="0"/>
            </w:tcBorders>
            <w:shd w:val="clear" w:color="auto" w:fill="auto"/>
            <w:vAlign w:val="top"/>
          </w:tcPr>
          <w:p w14:paraId="2A86D56D">
            <w:pPr>
              <w:widowControl/>
              <w:spacing w:line="400" w:lineRule="exac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kern w:val="0"/>
                <w:szCs w:val="21"/>
                <w:highlight w:val="none"/>
                <w:lang w:val="en-US" w:eastAsia="zh-CN"/>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12FB914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r w14:paraId="18EEEA74">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59F9714">
            <w:pPr>
              <w:widowControl/>
              <w:spacing w:line="400" w:lineRule="exact"/>
              <w:jc w:val="center"/>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14</w:t>
            </w:r>
          </w:p>
        </w:tc>
        <w:tc>
          <w:tcPr>
            <w:tcW w:w="7094" w:type="dxa"/>
            <w:tcBorders>
              <w:top w:val="nil"/>
              <w:left w:val="nil"/>
              <w:bottom w:val="single" w:color="auto" w:sz="4" w:space="0"/>
              <w:right w:val="single" w:color="auto" w:sz="4" w:space="0"/>
            </w:tcBorders>
            <w:shd w:val="clear" w:color="auto" w:fill="auto"/>
            <w:vAlign w:val="top"/>
          </w:tcPr>
          <w:p w14:paraId="6A218B79">
            <w:pPr>
              <w:widowControl/>
              <w:spacing w:line="400" w:lineRule="exact"/>
              <w:jc w:val="left"/>
              <w:rPr>
                <w:rFonts w:hint="eastAsia" w:ascii="宋体" w:hAnsi="宋体" w:eastAsia="宋体" w:cs="宋体"/>
                <w:bCs/>
                <w:strike/>
                <w:dstrike w:val="0"/>
                <w:color w:val="auto"/>
                <w:kern w:val="2"/>
                <w:sz w:val="21"/>
                <w:szCs w:val="21"/>
                <w:highlight w:val="none"/>
                <w:lang w:val="en-US" w:eastAsia="zh-CN" w:bidi="ar-SA"/>
              </w:rPr>
            </w:pPr>
            <w:r>
              <w:rPr>
                <w:rFonts w:hint="eastAsia" w:ascii="宋体" w:hAnsi="宋体" w:eastAsia="宋体" w:cs="宋体"/>
                <w:b/>
                <w:bCs/>
                <w:color w:val="auto"/>
                <w:szCs w:val="21"/>
                <w:highlight w:val="none"/>
                <w:lang w:eastAsia="zh-CN"/>
              </w:rPr>
              <w:t>根据评分标准需提供的</w:t>
            </w:r>
            <w:r>
              <w:rPr>
                <w:rFonts w:hint="eastAsia" w:ascii="宋体" w:hAnsi="宋体" w:eastAsia="宋体" w:cs="宋体"/>
                <w:b/>
                <w:bCs/>
                <w:color w:val="auto"/>
                <w:szCs w:val="21"/>
                <w:highlight w:val="none"/>
                <w:lang w:val="en-US" w:eastAsia="zh-CN"/>
              </w:rPr>
              <w:t>佐证</w:t>
            </w:r>
            <w:r>
              <w:rPr>
                <w:rFonts w:hint="eastAsia" w:ascii="宋体" w:hAnsi="宋体" w:eastAsia="宋体" w:cs="宋体"/>
                <w:b/>
                <w:bCs/>
                <w:color w:val="auto"/>
                <w:szCs w:val="21"/>
                <w:highlight w:val="none"/>
                <w:lang w:eastAsia="zh-CN"/>
              </w:rPr>
              <w:t>资料</w:t>
            </w:r>
          </w:p>
        </w:tc>
        <w:tc>
          <w:tcPr>
            <w:tcW w:w="1919" w:type="dxa"/>
            <w:tcBorders>
              <w:top w:val="nil"/>
              <w:left w:val="nil"/>
              <w:bottom w:val="single" w:color="auto" w:sz="4" w:space="0"/>
              <w:right w:val="single" w:color="auto" w:sz="4" w:space="0"/>
            </w:tcBorders>
            <w:shd w:val="clear" w:color="auto" w:fill="auto"/>
            <w:vAlign w:val="center"/>
          </w:tcPr>
          <w:p w14:paraId="1B4932E0">
            <w:pPr>
              <w:widowControl/>
              <w:spacing w:line="400" w:lineRule="exact"/>
              <w:jc w:val="center"/>
              <w:rPr>
                <w:rFonts w:ascii="宋体" w:hAnsi="宋体" w:eastAsia="宋体" w:cs="宋体"/>
                <w:color w:val="auto"/>
                <w:kern w:val="0"/>
                <w:sz w:val="21"/>
                <w:szCs w:val="21"/>
                <w:highlight w:val="none"/>
                <w:lang w:val="en-US" w:eastAsia="zh-CN" w:bidi="ar-SA"/>
              </w:rPr>
            </w:pPr>
            <w:r>
              <w:rPr>
                <w:rFonts w:hint="eastAsia" w:ascii="宋体" w:hAnsi="宋体" w:cs="宋体"/>
                <w:color w:val="auto"/>
                <w:kern w:val="0"/>
                <w:szCs w:val="21"/>
                <w:highlight w:val="none"/>
              </w:rPr>
              <w:t>第</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 xml:space="preserve">   ～   </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页</w:t>
            </w:r>
          </w:p>
        </w:tc>
      </w:tr>
    </w:tbl>
    <w:p w14:paraId="23760988">
      <w:pPr>
        <w:rPr>
          <w:rFonts w:ascii="仿宋" w:hAnsi="仿宋" w:eastAsia="仿宋" w:cs="宋体"/>
          <w:b/>
          <w:color w:val="auto"/>
          <w:kern w:val="0"/>
          <w:sz w:val="24"/>
          <w:szCs w:val="32"/>
          <w:highlight w:val="none"/>
        </w:rPr>
      </w:pPr>
    </w:p>
    <w:p w14:paraId="3C55DC56">
      <w:pPr>
        <w:tabs>
          <w:tab w:val="left" w:pos="3656"/>
        </w:tabs>
        <w:jc w:val="left"/>
        <w:outlineLvl w:val="0"/>
        <w:rPr>
          <w:rFonts w:hint="eastAsia" w:ascii="Times New Roman" w:hAnsi="Times New Roman" w:eastAsia="宋体" w:cs="Times New Roman"/>
          <w:b/>
          <w:color w:val="auto"/>
          <w:sz w:val="24"/>
          <w:highlight w:val="none"/>
          <w:lang w:val="en-US" w:eastAsia="zh-CN"/>
        </w:rPr>
      </w:pPr>
      <w:bookmarkStart w:id="278" w:name="_Toc3724"/>
      <w:bookmarkStart w:id="279" w:name="_Toc11635"/>
      <w:bookmarkStart w:id="280" w:name="_Toc29844"/>
      <w:bookmarkStart w:id="281" w:name="_Toc22627"/>
      <w:bookmarkStart w:id="282" w:name="_Toc889"/>
      <w:bookmarkStart w:id="283" w:name="_Toc32435"/>
      <w:bookmarkStart w:id="284" w:name="_Toc15777"/>
      <w:bookmarkStart w:id="285" w:name="_Toc9431"/>
      <w:bookmarkStart w:id="286" w:name="_Toc27925"/>
      <w:bookmarkStart w:id="287" w:name="_Toc4088"/>
      <w:r>
        <w:rPr>
          <w:rFonts w:hint="eastAsia" w:cs="Times New Roman"/>
          <w:b/>
          <w:color w:val="auto"/>
          <w:sz w:val="24"/>
          <w:highlight w:val="none"/>
          <w:lang w:val="en-US" w:eastAsia="zh-CN"/>
        </w:rPr>
        <w:t>2</w:t>
      </w:r>
      <w:r>
        <w:rPr>
          <w:rFonts w:hint="eastAsia" w:ascii="Times New Roman" w:hAnsi="Times New Roman" w:cs="Times New Roman"/>
          <w:b/>
          <w:color w:val="auto"/>
          <w:sz w:val="24"/>
          <w:highlight w:val="none"/>
          <w:lang w:val="en-US" w:eastAsia="zh-CN"/>
        </w:rPr>
        <w:t>.</w:t>
      </w:r>
      <w:r>
        <w:rPr>
          <w:rFonts w:hint="eastAsia" w:cs="Times New Roman"/>
          <w:b/>
          <w:color w:val="auto"/>
          <w:sz w:val="24"/>
          <w:highlight w:val="none"/>
          <w:lang w:val="en-US" w:eastAsia="zh-CN"/>
        </w:rPr>
        <w:t>1</w:t>
      </w:r>
      <w:r>
        <w:rPr>
          <w:rFonts w:hint="eastAsia" w:ascii="Times New Roman" w:hAnsi="Times New Roman" w:cs="Times New Roman"/>
          <w:b/>
          <w:color w:val="auto"/>
          <w:sz w:val="24"/>
          <w:highlight w:val="none"/>
          <w:lang w:val="en-US" w:eastAsia="zh-CN"/>
        </w:rPr>
        <w:t>响应文件自查表</w:t>
      </w:r>
      <w:bookmarkEnd w:id="278"/>
      <w:bookmarkEnd w:id="279"/>
      <w:bookmarkEnd w:id="280"/>
      <w:bookmarkEnd w:id="281"/>
      <w:bookmarkEnd w:id="282"/>
      <w:bookmarkEnd w:id="283"/>
      <w:bookmarkEnd w:id="284"/>
      <w:bookmarkEnd w:id="285"/>
      <w:bookmarkEnd w:id="286"/>
    </w:p>
    <w:p w14:paraId="19DE209A">
      <w:pPr>
        <w:tabs>
          <w:tab w:val="left" w:pos="3656"/>
        </w:tabs>
        <w:jc w:val="center"/>
        <w:outlineLvl w:val="0"/>
        <w:rPr>
          <w:rFonts w:hint="eastAsia" w:ascii="Times New Roman" w:hAnsi="Times New Roman" w:eastAsia="宋体" w:cs="Times New Roman"/>
          <w:b/>
          <w:color w:val="auto"/>
          <w:sz w:val="24"/>
          <w:highlight w:val="none"/>
          <w:lang w:val="en-US" w:eastAsia="zh-CN"/>
        </w:rPr>
      </w:pPr>
      <w:bookmarkStart w:id="288" w:name="_Toc26331"/>
      <w:bookmarkStart w:id="289" w:name="_Toc22079"/>
      <w:bookmarkStart w:id="290" w:name="_Toc18164"/>
      <w:bookmarkStart w:id="291" w:name="_Toc5440"/>
      <w:bookmarkStart w:id="292" w:name="_Toc26151"/>
      <w:bookmarkStart w:id="293" w:name="_Toc17107"/>
      <w:bookmarkStart w:id="294" w:name="_Toc12435"/>
      <w:bookmarkStart w:id="295" w:name="_Toc14126"/>
      <w:bookmarkStart w:id="296" w:name="_Toc7824"/>
      <w:r>
        <w:rPr>
          <w:rFonts w:hint="eastAsia" w:ascii="Times New Roman" w:hAnsi="Times New Roman" w:cs="Times New Roman"/>
          <w:b/>
          <w:color w:val="auto"/>
          <w:sz w:val="24"/>
          <w:highlight w:val="none"/>
          <w:lang w:val="en-US" w:eastAsia="zh-CN"/>
        </w:rPr>
        <w:t>响应</w:t>
      </w:r>
      <w:r>
        <w:rPr>
          <w:rFonts w:hint="eastAsia" w:cs="Times New Roman"/>
          <w:b/>
          <w:color w:val="auto"/>
          <w:sz w:val="24"/>
          <w:highlight w:val="none"/>
          <w:lang w:val="en-US" w:eastAsia="zh-CN"/>
        </w:rPr>
        <w:t>文</w:t>
      </w:r>
      <w:r>
        <w:rPr>
          <w:rFonts w:hint="eastAsia" w:ascii="Times New Roman" w:hAnsi="Times New Roman" w:cs="Times New Roman"/>
          <w:b/>
          <w:color w:val="auto"/>
          <w:sz w:val="24"/>
          <w:highlight w:val="none"/>
          <w:lang w:val="en-US" w:eastAsia="zh-CN"/>
        </w:rPr>
        <w:t>件自查表</w:t>
      </w:r>
      <w:bookmarkEnd w:id="288"/>
      <w:bookmarkEnd w:id="289"/>
      <w:bookmarkEnd w:id="290"/>
      <w:bookmarkEnd w:id="291"/>
      <w:bookmarkEnd w:id="292"/>
      <w:bookmarkEnd w:id="293"/>
      <w:bookmarkEnd w:id="294"/>
      <w:bookmarkEnd w:id="295"/>
      <w:bookmarkEnd w:id="296"/>
    </w:p>
    <w:p w14:paraId="75F6B0BD">
      <w:pPr>
        <w:tabs>
          <w:tab w:val="left" w:pos="3656"/>
        </w:tabs>
        <w:jc w:val="center"/>
        <w:outlineLvl w:val="9"/>
        <w:rPr>
          <w:rFonts w:hint="eastAsia" w:ascii="Times New Roman" w:hAnsi="Times New Roman" w:cs="Times New Roman"/>
          <w:b/>
          <w:color w:val="auto"/>
          <w:sz w:val="24"/>
          <w:highlight w:val="none"/>
        </w:rPr>
      </w:pPr>
    </w:p>
    <w:p w14:paraId="287FE0ED">
      <w:pPr>
        <w:tabs>
          <w:tab w:val="left" w:pos="3656"/>
        </w:tabs>
        <w:jc w:val="both"/>
        <w:outlineLvl w:val="0"/>
        <w:rPr>
          <w:rFonts w:hint="eastAsia" w:ascii="Times New Roman" w:hAnsi="Times New Roman" w:cs="Times New Roman"/>
          <w:b/>
          <w:color w:val="auto"/>
          <w:sz w:val="24"/>
          <w:highlight w:val="none"/>
        </w:rPr>
      </w:pPr>
      <w:bookmarkStart w:id="297" w:name="_Toc19842"/>
      <w:bookmarkStart w:id="298" w:name="_Toc10238"/>
      <w:bookmarkStart w:id="299" w:name="_Toc10710"/>
      <w:bookmarkStart w:id="300" w:name="_Toc20261"/>
      <w:bookmarkStart w:id="301" w:name="_Toc2350"/>
      <w:bookmarkStart w:id="302" w:name="_Toc20489"/>
      <w:bookmarkStart w:id="303" w:name="_Toc16277"/>
      <w:bookmarkStart w:id="304" w:name="_Toc4912"/>
      <w:bookmarkStart w:id="305" w:name="_Toc32471"/>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w:t>
      </w:r>
      <w:r>
        <w:rPr>
          <w:rFonts w:hint="eastAsia" w:ascii="Times New Roman" w:hAnsi="Times New Roman" w:cs="Times New Roman"/>
          <w:b/>
          <w:bCs/>
          <w:color w:val="auto"/>
          <w:highlight w:val="none"/>
          <w:lang w:eastAsia="zh-CN"/>
        </w:rPr>
        <w:t>资格符合性审查内容</w:t>
      </w:r>
      <w:bookmarkEnd w:id="297"/>
      <w:bookmarkEnd w:id="298"/>
      <w:bookmarkEnd w:id="299"/>
      <w:bookmarkEnd w:id="300"/>
      <w:bookmarkEnd w:id="301"/>
      <w:bookmarkEnd w:id="302"/>
      <w:bookmarkEnd w:id="303"/>
      <w:bookmarkEnd w:id="304"/>
      <w:bookmarkEnd w:id="305"/>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D07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CEBFB3F">
            <w:pPr>
              <w:spacing w:line="360" w:lineRule="auto"/>
              <w:jc w:val="center"/>
              <w:rPr>
                <w:rFonts w:hint="eastAsia" w:ascii="Times New Roman" w:hAnsi="Times New Roman" w:eastAsia="宋体" w:cs="Times New Roman"/>
                <w:b/>
                <w:bCs/>
                <w:color w:val="auto"/>
                <w:highlight w:val="none"/>
                <w:lang w:val="en-US" w:eastAsia="zh-CN"/>
              </w:rPr>
            </w:pPr>
            <w:r>
              <w:rPr>
                <w:rFonts w:hint="eastAsia" w:cs="Times New Roman"/>
                <w:b/>
                <w:bCs/>
                <w:color w:val="auto"/>
                <w:highlight w:val="none"/>
                <w:lang w:val="en-US" w:eastAsia="zh-CN"/>
              </w:rPr>
              <w:t>序号</w:t>
            </w:r>
          </w:p>
        </w:tc>
        <w:tc>
          <w:tcPr>
            <w:tcW w:w="6489" w:type="dxa"/>
            <w:vAlign w:val="center"/>
          </w:tcPr>
          <w:p w14:paraId="5F0A4089">
            <w:pPr>
              <w:spacing w:line="36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w:t>
            </w:r>
            <w:r>
              <w:rPr>
                <w:rFonts w:ascii="Times New Roman" w:hAnsi="Times New Roman" w:cs="Times New Roman"/>
                <w:b/>
                <w:bCs/>
                <w:color w:val="auto"/>
                <w:highlight w:val="none"/>
              </w:rPr>
              <w:t>查内容</w:t>
            </w:r>
          </w:p>
        </w:tc>
        <w:tc>
          <w:tcPr>
            <w:tcW w:w="1665" w:type="dxa"/>
            <w:vAlign w:val="center"/>
          </w:tcPr>
          <w:p w14:paraId="7CF06E5A">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自查结果</w:t>
            </w:r>
          </w:p>
          <w:p w14:paraId="478711A1">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（确认则打√）</w:t>
            </w:r>
          </w:p>
        </w:tc>
        <w:tc>
          <w:tcPr>
            <w:tcW w:w="1230" w:type="dxa"/>
            <w:vAlign w:val="center"/>
          </w:tcPr>
          <w:p w14:paraId="7A35E5A5">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证明文件</w:t>
            </w:r>
          </w:p>
          <w:p w14:paraId="3DC8EEC4">
            <w:pPr>
              <w:spacing w:line="240" w:lineRule="auto"/>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（如有）</w:t>
            </w:r>
          </w:p>
        </w:tc>
      </w:tr>
      <w:tr w14:paraId="7617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090AF170">
            <w:pPr>
              <w:keepNext w:val="0"/>
              <w:keepLines w:val="0"/>
              <w:pageBreakBefore w:val="0"/>
              <w:widowControl/>
              <w:kinsoku/>
              <w:wordWrap/>
              <w:overflowPunct/>
              <w:topLinePunct w:val="0"/>
              <w:bidi w:val="0"/>
              <w:spacing w:line="360" w:lineRule="exact"/>
              <w:jc w:val="center"/>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w:t>
            </w:r>
          </w:p>
        </w:tc>
        <w:tc>
          <w:tcPr>
            <w:tcW w:w="6489" w:type="dxa"/>
            <w:vAlign w:val="center"/>
          </w:tcPr>
          <w:p w14:paraId="04AC09B9">
            <w:pPr>
              <w:keepNext w:val="0"/>
              <w:keepLines w:val="0"/>
              <w:pageBreakBefore w:val="0"/>
              <w:widowControl/>
              <w:kinsoku/>
              <w:wordWrap/>
              <w:overflowPunct/>
              <w:topLinePunct w:val="0"/>
              <w:bidi w:val="0"/>
              <w:spacing w:line="240" w:lineRule="auto"/>
              <w:ind w:firstLine="0" w:firstLineChars="0"/>
              <w:jc w:val="left"/>
              <w:textAlignment w:val="auto"/>
              <w:rPr>
                <w:rFonts w:hint="eastAsia" w:ascii="Times New Roman" w:hAnsi="Times New Roman" w:eastAsia="宋体" w:cs="Times New Roman"/>
                <w:color w:val="auto"/>
                <w:sz w:val="21"/>
                <w:szCs w:val="21"/>
                <w:highlight w:val="none"/>
              </w:rPr>
            </w:pPr>
            <w:r>
              <w:rPr>
                <w:rFonts w:hint="eastAsia" w:ascii="宋体" w:hAnsi="宋体" w:eastAsia="宋体" w:cs="宋体"/>
                <w:b w:val="0"/>
                <w:bCs/>
                <w:color w:val="auto"/>
                <w:kern w:val="0"/>
                <w:sz w:val="21"/>
                <w:szCs w:val="21"/>
                <w:highlight w:val="none"/>
                <w:lang w:val="en-US" w:eastAsia="zh-CN"/>
              </w:rPr>
              <w:t>具有独立承担民事责任的能力：</w:t>
            </w:r>
            <w:r>
              <w:rPr>
                <w:rFonts w:hint="eastAsia" w:ascii="宋体" w:hAnsi="宋体" w:eastAsia="宋体" w:cs="宋体"/>
                <w:b/>
                <w:bCs w:val="0"/>
                <w:color w:val="auto"/>
                <w:kern w:val="0"/>
                <w:sz w:val="21"/>
                <w:szCs w:val="21"/>
                <w:highlight w:val="none"/>
                <w:lang w:val="en-US" w:eastAsia="zh-CN"/>
              </w:rPr>
              <w:t>在中华人民共和国境内注册的法人或其他组织，</w:t>
            </w:r>
            <w:r>
              <w:rPr>
                <w:rFonts w:hint="eastAsia" w:ascii="宋体" w:hAnsi="宋体" w:cs="宋体"/>
                <w:b/>
                <w:bCs w:val="0"/>
                <w:color w:val="auto"/>
                <w:kern w:val="0"/>
                <w:sz w:val="21"/>
                <w:szCs w:val="21"/>
                <w:highlight w:val="none"/>
                <w:lang w:val="en-US" w:eastAsia="zh-CN"/>
              </w:rPr>
              <w:t>提交有效的</w:t>
            </w:r>
            <w:r>
              <w:rPr>
                <w:rFonts w:hint="eastAsia" w:ascii="宋体" w:hAnsi="宋体" w:eastAsia="宋体" w:cs="宋体"/>
                <w:b/>
                <w:bCs w:val="0"/>
                <w:color w:val="auto"/>
                <w:kern w:val="0"/>
                <w:sz w:val="21"/>
                <w:szCs w:val="21"/>
                <w:highlight w:val="none"/>
                <w:lang w:val="en-US" w:eastAsia="zh-CN"/>
              </w:rPr>
              <w:t>营业执照（或事业法人登记证或身份证等相关证明）副本复印件，</w:t>
            </w:r>
            <w:r>
              <w:rPr>
                <w:rFonts w:hint="eastAsia" w:ascii="宋体" w:hAnsi="宋体" w:cs="宋体"/>
                <w:b/>
                <w:bCs w:val="0"/>
                <w:color w:val="auto"/>
                <w:kern w:val="0"/>
                <w:sz w:val="21"/>
                <w:szCs w:val="21"/>
                <w:highlight w:val="none"/>
                <w:lang w:val="en-US" w:eastAsia="zh-CN"/>
              </w:rPr>
              <w:t>并加盖公章。</w:t>
            </w:r>
          </w:p>
        </w:tc>
        <w:tc>
          <w:tcPr>
            <w:tcW w:w="1665" w:type="dxa"/>
            <w:vAlign w:val="center"/>
          </w:tcPr>
          <w:p w14:paraId="40FFE974">
            <w:pPr>
              <w:spacing w:line="360" w:lineRule="auto"/>
              <w:jc w:val="center"/>
              <w:rPr>
                <w:rFonts w:ascii="Times New Roman" w:hAnsi="Times New Roman" w:cs="Times New Roman"/>
                <w:color w:val="auto"/>
                <w:highlight w:val="none"/>
              </w:rPr>
            </w:pPr>
          </w:p>
        </w:tc>
        <w:tc>
          <w:tcPr>
            <w:tcW w:w="1230" w:type="dxa"/>
            <w:vAlign w:val="center"/>
          </w:tcPr>
          <w:p w14:paraId="03FB3B41">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F6AF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61AC99D8">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2</w:t>
            </w:r>
          </w:p>
        </w:tc>
        <w:tc>
          <w:tcPr>
            <w:tcW w:w="6489" w:type="dxa"/>
            <w:shd w:val="clear" w:color="auto" w:fill="auto"/>
            <w:vAlign w:val="center"/>
          </w:tcPr>
          <w:p w14:paraId="229C0B7F">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有依法缴纳税收和社会保障资金的良好记录。</w:t>
            </w:r>
            <w:r>
              <w:rPr>
                <w:rFonts w:hint="eastAsia" w:ascii="宋体" w:hAnsi="宋体" w:eastAsia="宋体" w:cs="宋体"/>
                <w:b/>
                <w:bCs w:val="0"/>
                <w:color w:val="auto"/>
                <w:kern w:val="0"/>
                <w:sz w:val="21"/>
                <w:szCs w:val="21"/>
                <w:highlight w:val="none"/>
                <w:lang w:val="en-US" w:eastAsia="zh-CN" w:bidi="ar-SA"/>
              </w:rPr>
              <w:t>提供书面声明函或承诺函，并加盖公章。</w:t>
            </w:r>
          </w:p>
        </w:tc>
        <w:tc>
          <w:tcPr>
            <w:tcW w:w="1665" w:type="dxa"/>
            <w:vAlign w:val="center"/>
          </w:tcPr>
          <w:p w14:paraId="3972F529">
            <w:pPr>
              <w:spacing w:line="360" w:lineRule="auto"/>
              <w:jc w:val="center"/>
              <w:rPr>
                <w:rFonts w:ascii="Times New Roman" w:hAnsi="Times New Roman" w:cs="Times New Roman"/>
                <w:color w:val="auto"/>
                <w:highlight w:val="none"/>
              </w:rPr>
            </w:pPr>
          </w:p>
        </w:tc>
        <w:tc>
          <w:tcPr>
            <w:tcW w:w="1230" w:type="dxa"/>
            <w:vAlign w:val="center"/>
          </w:tcPr>
          <w:p w14:paraId="63442957">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1362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36BF1326">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3</w:t>
            </w:r>
          </w:p>
        </w:tc>
        <w:tc>
          <w:tcPr>
            <w:tcW w:w="6489" w:type="dxa"/>
            <w:vAlign w:val="center"/>
          </w:tcPr>
          <w:p w14:paraId="015C6E70">
            <w:pPr>
              <w:keepNext w:val="0"/>
              <w:keepLines w:val="0"/>
              <w:pageBreakBefore w:val="0"/>
              <w:widowControl/>
              <w:kinsoku/>
              <w:wordWrap/>
              <w:overflowPunct/>
              <w:topLinePunct w:val="0"/>
              <w:bidi w:val="0"/>
              <w:spacing w:line="240" w:lineRule="auto"/>
              <w:jc w:val="left"/>
              <w:textAlignment w:val="auto"/>
              <w:rPr>
                <w:rFonts w:hint="eastAsia" w:ascii="宋体" w:hAnsi="宋体" w:cs="Times New Roman"/>
                <w:color w:val="auto"/>
                <w:kern w:val="0"/>
                <w:sz w:val="21"/>
                <w:szCs w:val="21"/>
                <w:highlight w:val="none"/>
              </w:rPr>
            </w:pPr>
            <w:r>
              <w:rPr>
                <w:rFonts w:hint="eastAsia" w:ascii="宋体" w:hAnsi="宋体" w:cs="Times New Roman"/>
                <w:color w:val="auto"/>
                <w:kern w:val="0"/>
                <w:sz w:val="21"/>
                <w:szCs w:val="21"/>
                <w:highlight w:val="none"/>
              </w:rPr>
              <w:t>具有良好的商业信誉和健全的财务会计制度。</w:t>
            </w:r>
            <w:r>
              <w:rPr>
                <w:rFonts w:hint="eastAsia" w:ascii="宋体" w:hAnsi="宋体" w:cs="Times New Roman"/>
                <w:b/>
                <w:bCs/>
                <w:color w:val="auto"/>
                <w:kern w:val="0"/>
                <w:sz w:val="21"/>
                <w:szCs w:val="21"/>
                <w:highlight w:val="none"/>
              </w:rPr>
              <w:t>提供书面声明函或承诺函，并加盖公章。</w:t>
            </w:r>
          </w:p>
        </w:tc>
        <w:tc>
          <w:tcPr>
            <w:tcW w:w="1665" w:type="dxa"/>
            <w:vAlign w:val="center"/>
          </w:tcPr>
          <w:p w14:paraId="517D2152">
            <w:pPr>
              <w:spacing w:line="360" w:lineRule="auto"/>
              <w:jc w:val="center"/>
              <w:rPr>
                <w:rFonts w:ascii="Times New Roman" w:hAnsi="Times New Roman" w:cs="Times New Roman"/>
                <w:color w:val="auto"/>
                <w:highlight w:val="none"/>
              </w:rPr>
            </w:pPr>
          </w:p>
        </w:tc>
        <w:tc>
          <w:tcPr>
            <w:tcW w:w="1230" w:type="dxa"/>
            <w:vAlign w:val="center"/>
          </w:tcPr>
          <w:p w14:paraId="40D801C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ADB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557D7D33">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4</w:t>
            </w:r>
          </w:p>
        </w:tc>
        <w:tc>
          <w:tcPr>
            <w:tcW w:w="6489" w:type="dxa"/>
            <w:vAlign w:val="center"/>
          </w:tcPr>
          <w:p w14:paraId="28BF89CE">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eastAsia" w:ascii="宋体" w:hAnsi="宋体" w:cs="Times New Roman"/>
                <w:color w:val="auto"/>
                <w:kern w:val="0"/>
                <w:sz w:val="21"/>
                <w:szCs w:val="21"/>
                <w:highlight w:val="none"/>
                <w:lang w:val="en-US" w:eastAsia="zh-CN"/>
              </w:rPr>
              <w:t>具有</w:t>
            </w:r>
            <w:r>
              <w:rPr>
                <w:rFonts w:hint="default" w:ascii="宋体" w:hAnsi="宋体" w:eastAsia="宋体" w:cs="Times New Roman"/>
                <w:color w:val="auto"/>
                <w:kern w:val="0"/>
                <w:sz w:val="21"/>
                <w:szCs w:val="21"/>
                <w:highlight w:val="none"/>
                <w:lang w:val="en-US" w:eastAsia="zh-CN"/>
              </w:rPr>
              <w:t>履行合同所必需的设备和专业技术能力。</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626C7576">
            <w:pPr>
              <w:spacing w:line="360" w:lineRule="auto"/>
              <w:jc w:val="center"/>
              <w:rPr>
                <w:rFonts w:ascii="Times New Roman" w:hAnsi="Times New Roman" w:cs="Times New Roman"/>
                <w:color w:val="auto"/>
                <w:highlight w:val="none"/>
              </w:rPr>
            </w:pPr>
          </w:p>
        </w:tc>
        <w:tc>
          <w:tcPr>
            <w:tcW w:w="1230" w:type="dxa"/>
            <w:vAlign w:val="center"/>
          </w:tcPr>
          <w:p w14:paraId="23A3A743">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0174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8D2515F">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5</w:t>
            </w:r>
          </w:p>
        </w:tc>
        <w:tc>
          <w:tcPr>
            <w:tcW w:w="6489" w:type="dxa"/>
            <w:vAlign w:val="center"/>
          </w:tcPr>
          <w:p w14:paraId="6923AFB2">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参加采购活动前3年内，在经营活动中没有重大违法记录。</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44DA2220">
            <w:pPr>
              <w:spacing w:line="360" w:lineRule="auto"/>
              <w:jc w:val="center"/>
              <w:rPr>
                <w:rFonts w:ascii="Times New Roman" w:hAnsi="Times New Roman" w:cs="Times New Roman"/>
                <w:color w:val="auto"/>
                <w:highlight w:val="none"/>
              </w:rPr>
            </w:pPr>
          </w:p>
        </w:tc>
        <w:tc>
          <w:tcPr>
            <w:tcW w:w="1230" w:type="dxa"/>
            <w:vAlign w:val="center"/>
          </w:tcPr>
          <w:p w14:paraId="24D90B42">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E11F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3D17FAB">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6</w:t>
            </w:r>
          </w:p>
        </w:tc>
        <w:tc>
          <w:tcPr>
            <w:tcW w:w="6489" w:type="dxa"/>
            <w:vAlign w:val="center"/>
          </w:tcPr>
          <w:p w14:paraId="709BB7DB">
            <w:pPr>
              <w:keepNext w:val="0"/>
              <w:keepLines w:val="0"/>
              <w:pageBreakBefore w:val="0"/>
              <w:widowControl/>
              <w:kinsoku/>
              <w:wordWrap/>
              <w:overflowPunct/>
              <w:topLinePunct w:val="0"/>
              <w:bidi w:val="0"/>
              <w:spacing w:line="240" w:lineRule="auto"/>
              <w:jc w:val="left"/>
              <w:textAlignment w:val="auto"/>
              <w:rPr>
                <w:rFonts w:hint="default" w:ascii="宋体" w:hAnsi="宋体" w:eastAsia="宋体" w:cs="Times New Roman"/>
                <w:color w:val="auto"/>
                <w:kern w:val="0"/>
                <w:sz w:val="21"/>
                <w:szCs w:val="21"/>
                <w:highlight w:val="none"/>
                <w:lang w:val="en-US" w:eastAsia="zh-CN"/>
              </w:rPr>
            </w:pPr>
            <w:r>
              <w:rPr>
                <w:rFonts w:hint="default" w:ascii="宋体" w:hAnsi="宋体" w:eastAsia="宋体" w:cs="Times New Roman"/>
                <w:color w:val="auto"/>
                <w:kern w:val="0"/>
                <w:sz w:val="21"/>
                <w:szCs w:val="21"/>
                <w:highlight w:val="none"/>
                <w:lang w:val="en-US" w:eastAsia="zh-CN"/>
              </w:rPr>
              <w:t>本项目不接受联合体响应。</w:t>
            </w:r>
            <w:r>
              <w:rPr>
                <w:rFonts w:hint="default" w:ascii="宋体" w:hAnsi="宋体" w:eastAsia="宋体" w:cs="Times New Roman"/>
                <w:b/>
                <w:bCs/>
                <w:color w:val="auto"/>
                <w:kern w:val="0"/>
                <w:sz w:val="21"/>
                <w:szCs w:val="21"/>
                <w:highlight w:val="none"/>
                <w:lang w:val="en-US" w:eastAsia="zh-CN"/>
              </w:rPr>
              <w:t>提供书面声明函或承诺函，并加盖公章。</w:t>
            </w:r>
          </w:p>
        </w:tc>
        <w:tc>
          <w:tcPr>
            <w:tcW w:w="1665" w:type="dxa"/>
            <w:vAlign w:val="center"/>
          </w:tcPr>
          <w:p w14:paraId="2B898321">
            <w:pPr>
              <w:spacing w:line="360" w:lineRule="auto"/>
              <w:jc w:val="center"/>
              <w:rPr>
                <w:rFonts w:ascii="Times New Roman" w:hAnsi="Times New Roman" w:cs="Times New Roman"/>
                <w:color w:val="auto"/>
                <w:highlight w:val="none"/>
              </w:rPr>
            </w:pPr>
          </w:p>
        </w:tc>
        <w:tc>
          <w:tcPr>
            <w:tcW w:w="1230" w:type="dxa"/>
            <w:vAlign w:val="center"/>
          </w:tcPr>
          <w:p w14:paraId="4193EF00">
            <w:pPr>
              <w:spacing w:line="360" w:lineRule="auto"/>
              <w:jc w:val="center"/>
              <w:rPr>
                <w:rFonts w:hint="eastAsia"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5F68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7C96C56D">
            <w:pPr>
              <w:keepNext w:val="0"/>
              <w:keepLines w:val="0"/>
              <w:pageBreakBefore w:val="0"/>
              <w:widowControl/>
              <w:kinsoku/>
              <w:wordWrap/>
              <w:overflowPunct/>
              <w:topLinePunct w:val="0"/>
              <w:bidi w:val="0"/>
              <w:spacing w:line="360" w:lineRule="exact"/>
              <w:jc w:val="center"/>
              <w:textAlignment w:val="auto"/>
              <w:rPr>
                <w:rFonts w:hint="default" w:ascii="宋体" w:hAnsi="宋体" w:cs="宋体"/>
                <w:b w:val="0"/>
                <w:bCs/>
                <w:color w:val="auto"/>
                <w:kern w:val="0"/>
                <w:sz w:val="21"/>
                <w:szCs w:val="21"/>
                <w:highlight w:val="none"/>
                <w:lang w:val="en-US" w:eastAsia="zh-CN"/>
              </w:rPr>
            </w:pPr>
            <w:r>
              <w:rPr>
                <w:rFonts w:hint="eastAsia" w:ascii="宋体" w:hAnsi="宋体" w:cs="宋体"/>
                <w:b w:val="0"/>
                <w:bCs/>
                <w:color w:val="auto"/>
                <w:kern w:val="0"/>
                <w:sz w:val="21"/>
                <w:szCs w:val="21"/>
                <w:highlight w:val="none"/>
                <w:lang w:val="en-US" w:eastAsia="zh-CN"/>
              </w:rPr>
              <w:t>7</w:t>
            </w:r>
          </w:p>
        </w:tc>
        <w:tc>
          <w:tcPr>
            <w:tcW w:w="6489" w:type="dxa"/>
            <w:vAlign w:val="center"/>
          </w:tcPr>
          <w:p w14:paraId="0D3AB406">
            <w:pPr>
              <w:keepNext w:val="0"/>
              <w:keepLines w:val="0"/>
              <w:pageBreakBefore w:val="0"/>
              <w:widowControl/>
              <w:kinsoku/>
              <w:wordWrap/>
              <w:overflowPunct/>
              <w:topLinePunct w:val="0"/>
              <w:bidi w:val="0"/>
              <w:spacing w:line="240" w:lineRule="auto"/>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Times New Roman"/>
                <w:color w:val="auto"/>
                <w:kern w:val="0"/>
                <w:sz w:val="21"/>
                <w:szCs w:val="21"/>
                <w:highlight w:val="none"/>
              </w:rPr>
              <w:t>提供</w:t>
            </w:r>
            <w:r>
              <w:rPr>
                <w:rFonts w:hint="eastAsia" w:ascii="宋体" w:hAnsi="宋体" w:cs="Times New Roman"/>
                <w:color w:val="auto"/>
                <w:sz w:val="21"/>
                <w:szCs w:val="21"/>
                <w:highlight w:val="none"/>
              </w:rPr>
              <w:t>法定代表人资格证明书及法定代表人授权委托书</w:t>
            </w:r>
            <w:r>
              <w:rPr>
                <w:rFonts w:hint="eastAsia" w:ascii="宋体" w:hAnsi="宋体" w:cs="宋体"/>
                <w:b/>
                <w:bCs w:val="0"/>
                <w:color w:val="auto"/>
                <w:kern w:val="0"/>
                <w:sz w:val="21"/>
                <w:szCs w:val="21"/>
                <w:highlight w:val="none"/>
                <w:lang w:eastAsia="zh-CN"/>
              </w:rPr>
              <w:t>（</w:t>
            </w:r>
            <w:r>
              <w:rPr>
                <w:rFonts w:hint="eastAsia" w:ascii="宋体" w:hAnsi="宋体" w:cs="宋体"/>
                <w:b/>
                <w:bCs w:val="0"/>
                <w:color w:val="auto"/>
                <w:kern w:val="0"/>
                <w:sz w:val="21"/>
                <w:szCs w:val="21"/>
                <w:highlight w:val="none"/>
                <w:lang w:val="en-US" w:eastAsia="zh-CN"/>
              </w:rPr>
              <w:t>响应</w:t>
            </w:r>
            <w:r>
              <w:rPr>
                <w:rFonts w:hint="eastAsia" w:ascii="宋体" w:hAnsi="宋体" w:cs="宋体"/>
                <w:b/>
                <w:bCs w:val="0"/>
                <w:color w:val="auto"/>
                <w:kern w:val="0"/>
                <w:sz w:val="21"/>
                <w:szCs w:val="21"/>
                <w:highlight w:val="none"/>
                <w:lang w:eastAsia="zh-CN"/>
              </w:rPr>
              <w:t>文件按照</w:t>
            </w:r>
            <w:r>
              <w:rPr>
                <w:rFonts w:hint="eastAsia" w:ascii="宋体" w:hAnsi="宋体" w:cs="宋体"/>
                <w:b/>
                <w:bCs w:val="0"/>
                <w:color w:val="auto"/>
                <w:kern w:val="0"/>
                <w:sz w:val="21"/>
                <w:szCs w:val="21"/>
                <w:highlight w:val="none"/>
                <w:lang w:val="en-US" w:eastAsia="zh-CN"/>
              </w:rPr>
              <w:t>采购</w:t>
            </w:r>
            <w:r>
              <w:rPr>
                <w:rFonts w:hint="eastAsia" w:ascii="宋体" w:hAnsi="宋体" w:cs="宋体"/>
                <w:b/>
                <w:bCs w:val="0"/>
                <w:color w:val="auto"/>
                <w:kern w:val="0"/>
                <w:sz w:val="21"/>
                <w:szCs w:val="21"/>
                <w:highlight w:val="none"/>
                <w:lang w:eastAsia="zh-CN"/>
              </w:rPr>
              <w:t>文件规定要求签署、盖章</w:t>
            </w:r>
            <w:r>
              <w:rPr>
                <w:rFonts w:hint="eastAsia" w:ascii="宋体" w:hAnsi="宋体" w:cs="宋体"/>
                <w:b/>
                <w:bCs w:val="0"/>
                <w:color w:val="auto"/>
                <w:kern w:val="0"/>
                <w:sz w:val="21"/>
                <w:szCs w:val="21"/>
                <w:highlight w:val="none"/>
                <w:lang w:val="en-US" w:eastAsia="zh-CN"/>
              </w:rPr>
              <w:t>）</w:t>
            </w:r>
          </w:p>
        </w:tc>
        <w:tc>
          <w:tcPr>
            <w:tcW w:w="1665" w:type="dxa"/>
            <w:vAlign w:val="center"/>
          </w:tcPr>
          <w:p w14:paraId="40566ED2">
            <w:pPr>
              <w:spacing w:line="360" w:lineRule="auto"/>
              <w:jc w:val="center"/>
              <w:rPr>
                <w:rFonts w:ascii="Times New Roman" w:hAnsi="Times New Roman" w:cs="Times New Roman"/>
                <w:color w:val="auto"/>
                <w:highlight w:val="none"/>
              </w:rPr>
            </w:pPr>
          </w:p>
        </w:tc>
        <w:tc>
          <w:tcPr>
            <w:tcW w:w="1230" w:type="dxa"/>
            <w:vAlign w:val="center"/>
          </w:tcPr>
          <w:p w14:paraId="49641CCF">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第   页</w:t>
            </w:r>
          </w:p>
        </w:tc>
      </w:tr>
      <w:tr w14:paraId="6ABD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right"/>
        </w:trPr>
        <w:tc>
          <w:tcPr>
            <w:tcW w:w="952" w:type="dxa"/>
            <w:vAlign w:val="center"/>
          </w:tcPr>
          <w:p w14:paraId="17712FCA">
            <w:pPr>
              <w:jc w:val="center"/>
              <w:rPr>
                <w:rFonts w:hint="default" w:ascii="Times New Roman" w:hAnsi="Times New Roman" w:eastAsia="宋体" w:cs="Times New Roman"/>
                <w:color w:val="auto"/>
                <w:highlight w:val="none"/>
                <w:lang w:val="en-US" w:eastAsia="zh-CN"/>
              </w:rPr>
            </w:pPr>
            <w:r>
              <w:rPr>
                <w:rFonts w:hint="eastAsia" w:ascii="宋体" w:hAnsi="宋体" w:cs="宋体"/>
                <w:color w:val="auto"/>
                <w:highlight w:val="none"/>
                <w:lang w:val="en-US" w:eastAsia="zh-CN"/>
              </w:rPr>
              <w:t>8</w:t>
            </w:r>
          </w:p>
        </w:tc>
        <w:tc>
          <w:tcPr>
            <w:tcW w:w="6489" w:type="dxa"/>
            <w:vAlign w:val="center"/>
          </w:tcPr>
          <w:p w14:paraId="26B16E99">
            <w:pPr>
              <w:rPr>
                <w:rFonts w:ascii="Times New Roman" w:hAnsi="Times New Roman" w:cs="Times New Roman"/>
                <w:color w:val="auto"/>
                <w:highlight w:val="none"/>
              </w:rPr>
            </w:pPr>
            <w:r>
              <w:rPr>
                <w:rFonts w:hint="eastAsia" w:ascii="Times New Roman" w:hAnsi="Times New Roman" w:cs="Times New Roman"/>
                <w:color w:val="auto"/>
                <w:highlight w:val="none"/>
              </w:rPr>
              <w:t>①对所投包号的全部内容进行投标报价；</w:t>
            </w:r>
          </w:p>
          <w:p w14:paraId="67DC64C5">
            <w:pPr>
              <w:rPr>
                <w:rFonts w:ascii="Times New Roman" w:hAnsi="Times New Roman" w:cs="Times New Roman"/>
                <w:color w:val="auto"/>
                <w:highlight w:val="none"/>
              </w:rPr>
            </w:pPr>
            <w:r>
              <w:rPr>
                <w:rFonts w:hint="eastAsia" w:ascii="Times New Roman" w:hAnsi="Times New Roman" w:cs="Times New Roman"/>
                <w:color w:val="auto"/>
                <w:highlight w:val="none"/>
              </w:rPr>
              <w:t>②投标报价不低于成本价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rPr>
              <w:t>且是确定的；</w:t>
            </w:r>
          </w:p>
          <w:p w14:paraId="4D4CF739">
            <w:pPr>
              <w:rPr>
                <w:rFonts w:ascii="Times New Roman" w:hAnsi="Times New Roman" w:cs="Times New Roman"/>
                <w:color w:val="auto"/>
                <w:highlight w:val="none"/>
              </w:rPr>
            </w:pPr>
            <w:r>
              <w:rPr>
                <w:rFonts w:hint="eastAsia" w:ascii="Times New Roman" w:hAnsi="Times New Roman" w:cs="Times New Roman"/>
                <w:color w:val="auto"/>
                <w:highlight w:val="none"/>
              </w:rPr>
              <w:t>③投标报价未超过投标限价。</w:t>
            </w:r>
          </w:p>
        </w:tc>
        <w:tc>
          <w:tcPr>
            <w:tcW w:w="1665" w:type="dxa"/>
            <w:vAlign w:val="center"/>
          </w:tcPr>
          <w:p w14:paraId="6B7B9747">
            <w:pPr>
              <w:jc w:val="center"/>
              <w:rPr>
                <w:rFonts w:ascii="Times New Roman" w:hAnsi="Times New Roman" w:cs="Times New Roman"/>
                <w:color w:val="auto"/>
                <w:highlight w:val="none"/>
              </w:rPr>
            </w:pPr>
          </w:p>
        </w:tc>
        <w:tc>
          <w:tcPr>
            <w:tcW w:w="1230" w:type="dxa"/>
            <w:vAlign w:val="center"/>
          </w:tcPr>
          <w:p w14:paraId="2B9B0119">
            <w:pPr>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7667A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02682F26">
            <w:pPr>
              <w:spacing w:line="28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9</w:t>
            </w:r>
          </w:p>
        </w:tc>
        <w:tc>
          <w:tcPr>
            <w:tcW w:w="6489" w:type="dxa"/>
            <w:vAlign w:val="center"/>
          </w:tcPr>
          <w:p w14:paraId="672DAA35">
            <w:pPr>
              <w:spacing w:line="280" w:lineRule="exact"/>
              <w:rPr>
                <w:rFonts w:ascii="宋体" w:hAnsi="宋体" w:cs="Times New Roman"/>
                <w:color w:val="auto"/>
                <w:kern w:val="0"/>
                <w:szCs w:val="21"/>
                <w:highlight w:val="none"/>
              </w:rPr>
            </w:pPr>
            <w:r>
              <w:rPr>
                <w:rFonts w:hint="eastAsia" w:ascii="宋体" w:hAnsi="宋体" w:cs="Times New Roman"/>
                <w:color w:val="auto"/>
                <w:szCs w:val="21"/>
                <w:highlight w:val="none"/>
              </w:rPr>
              <w:t>按照</w:t>
            </w:r>
            <w:r>
              <w:rPr>
                <w:rFonts w:hint="eastAsia" w:ascii="宋体" w:hAnsi="宋体" w:cs="Times New Roman"/>
                <w:color w:val="auto"/>
                <w:szCs w:val="21"/>
                <w:highlight w:val="none"/>
                <w:lang w:eastAsia="zh-CN"/>
              </w:rPr>
              <w:t>采购</w:t>
            </w:r>
            <w:r>
              <w:rPr>
                <w:rFonts w:hint="eastAsia" w:ascii="宋体" w:hAnsi="宋体" w:cs="Times New Roman"/>
                <w:color w:val="auto"/>
                <w:szCs w:val="21"/>
                <w:highlight w:val="none"/>
              </w:rPr>
              <w:t>文件规定要求签署、盖章</w:t>
            </w:r>
          </w:p>
        </w:tc>
        <w:tc>
          <w:tcPr>
            <w:tcW w:w="1665" w:type="dxa"/>
            <w:vAlign w:val="center"/>
          </w:tcPr>
          <w:p w14:paraId="53EEC075">
            <w:pPr>
              <w:spacing w:line="360" w:lineRule="auto"/>
              <w:jc w:val="center"/>
              <w:rPr>
                <w:rFonts w:ascii="Times New Roman" w:hAnsi="Times New Roman" w:cs="Times New Roman"/>
                <w:color w:val="auto"/>
                <w:highlight w:val="none"/>
              </w:rPr>
            </w:pPr>
          </w:p>
        </w:tc>
        <w:tc>
          <w:tcPr>
            <w:tcW w:w="1230" w:type="dxa"/>
            <w:vAlign w:val="center"/>
          </w:tcPr>
          <w:p w14:paraId="54F77597">
            <w:pPr>
              <w:spacing w:line="360" w:lineRule="auto"/>
              <w:jc w:val="center"/>
              <w:rPr>
                <w:rFonts w:ascii="Times New Roman" w:hAnsi="Times New Roman" w:cs="Times New Roman"/>
                <w:color w:val="auto"/>
                <w:highlight w:val="none"/>
              </w:rPr>
            </w:pPr>
            <w:r>
              <w:rPr>
                <w:rFonts w:hint="eastAsia" w:ascii="Times New Roman" w:hAnsi="Times New Roman" w:cs="Times New Roman"/>
                <w:color w:val="auto"/>
                <w:highlight w:val="none"/>
              </w:rPr>
              <w:t>自查</w:t>
            </w:r>
          </w:p>
        </w:tc>
      </w:tr>
      <w:tr w14:paraId="6390E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83E4D6D">
            <w:pPr>
              <w:spacing w:line="280" w:lineRule="exact"/>
              <w:jc w:val="center"/>
              <w:rPr>
                <w:rFonts w:hint="default" w:ascii="宋体" w:hAnsi="宋体" w:cs="Times New Roman"/>
                <w:bCs/>
                <w:color w:val="auto"/>
                <w:szCs w:val="21"/>
                <w:highlight w:val="none"/>
                <w:lang w:val="en-US" w:eastAsia="zh-CN"/>
              </w:rPr>
            </w:pPr>
            <w:r>
              <w:rPr>
                <w:rFonts w:hint="eastAsia" w:ascii="宋体" w:hAnsi="宋体" w:cs="Times New Roman"/>
                <w:bCs/>
                <w:color w:val="auto"/>
                <w:szCs w:val="21"/>
                <w:highlight w:val="none"/>
                <w:lang w:val="en-US" w:eastAsia="zh-CN"/>
              </w:rPr>
              <w:t>10</w:t>
            </w:r>
          </w:p>
        </w:tc>
        <w:tc>
          <w:tcPr>
            <w:tcW w:w="6489" w:type="dxa"/>
            <w:vAlign w:val="center"/>
          </w:tcPr>
          <w:p w14:paraId="31C100B4">
            <w:pPr>
              <w:spacing w:line="280" w:lineRule="exact"/>
              <w:rPr>
                <w:rFonts w:ascii="宋体" w:hAnsi="宋体" w:cs="Times New Roman"/>
                <w:bCs/>
                <w:color w:val="auto"/>
                <w:szCs w:val="21"/>
                <w:highlight w:val="none"/>
              </w:rPr>
            </w:pP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文件对</w:t>
            </w:r>
            <w:r>
              <w:rPr>
                <w:rFonts w:hint="eastAsia" w:ascii="宋体" w:hAnsi="宋体" w:cs="Times New Roman"/>
                <w:bCs/>
                <w:color w:val="auto"/>
                <w:szCs w:val="21"/>
                <w:highlight w:val="none"/>
                <w:lang w:eastAsia="zh-CN"/>
              </w:rPr>
              <w:t>采购</w:t>
            </w:r>
            <w:r>
              <w:rPr>
                <w:rFonts w:hint="eastAsia" w:ascii="宋体" w:hAnsi="宋体" w:cs="Times New Roman"/>
                <w:bCs/>
                <w:color w:val="auto"/>
                <w:szCs w:val="21"/>
                <w:highlight w:val="none"/>
              </w:rPr>
              <w:t>文件的实质性技术与商务的（即标注★号条款）条款不产生偏离（</w:t>
            </w:r>
            <w:r>
              <w:rPr>
                <w:rFonts w:hint="eastAsia" w:ascii="宋体" w:hAnsi="宋体" w:cs="Times New Roman"/>
                <w:bCs/>
                <w:color w:val="auto"/>
                <w:szCs w:val="21"/>
                <w:highlight w:val="none"/>
                <w:lang w:eastAsia="zh-CN"/>
              </w:rPr>
              <w:t>响应</w:t>
            </w:r>
            <w:r>
              <w:rPr>
                <w:rFonts w:hint="eastAsia" w:ascii="宋体" w:hAnsi="宋体" w:cs="Times New Roman"/>
                <w:bCs/>
                <w:color w:val="auto"/>
                <w:szCs w:val="21"/>
                <w:highlight w:val="none"/>
              </w:rPr>
              <w:t>文件中技术参数、功能或其他内容优于采购要求部分不视作偏离）</w:t>
            </w:r>
          </w:p>
        </w:tc>
        <w:tc>
          <w:tcPr>
            <w:tcW w:w="1665" w:type="dxa"/>
            <w:vAlign w:val="center"/>
          </w:tcPr>
          <w:p w14:paraId="68D0863F">
            <w:pPr>
              <w:spacing w:line="360" w:lineRule="auto"/>
              <w:jc w:val="center"/>
              <w:rPr>
                <w:rFonts w:ascii="Times New Roman" w:hAnsi="Times New Roman" w:cs="Times New Roman"/>
                <w:color w:val="auto"/>
                <w:highlight w:val="none"/>
              </w:rPr>
            </w:pPr>
          </w:p>
        </w:tc>
        <w:tc>
          <w:tcPr>
            <w:tcW w:w="1230" w:type="dxa"/>
            <w:vAlign w:val="center"/>
          </w:tcPr>
          <w:p w14:paraId="19269D0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3A8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1FE92655">
            <w:pPr>
              <w:spacing w:line="280" w:lineRule="exact"/>
              <w:jc w:val="center"/>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11</w:t>
            </w:r>
          </w:p>
        </w:tc>
        <w:tc>
          <w:tcPr>
            <w:tcW w:w="6489" w:type="dxa"/>
            <w:vAlign w:val="center"/>
          </w:tcPr>
          <w:p w14:paraId="2BA5D517">
            <w:pPr>
              <w:spacing w:line="280" w:lineRule="exact"/>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rPr>
              <w:t>符合</w:t>
            </w:r>
            <w:r>
              <w:rPr>
                <w:rFonts w:hint="eastAsia" w:ascii="Times New Roman" w:hAnsi="Times New Roman" w:cs="Times New Roman"/>
                <w:color w:val="auto"/>
                <w:highlight w:val="none"/>
                <w:lang w:eastAsia="zh-CN"/>
              </w:rPr>
              <w:t>采购</w:t>
            </w:r>
            <w:r>
              <w:rPr>
                <w:rFonts w:hint="eastAsia" w:ascii="Times New Roman" w:hAnsi="Times New Roman" w:cs="Times New Roman"/>
                <w:color w:val="auto"/>
                <w:highlight w:val="none"/>
              </w:rPr>
              <w:t>文件中规定的其他实质性要求</w:t>
            </w:r>
            <w:r>
              <w:rPr>
                <w:rFonts w:hint="eastAsia" w:cs="Times New Roman"/>
                <w:color w:val="auto"/>
                <w:highlight w:val="none"/>
                <w:lang w:eastAsia="zh-CN"/>
              </w:rPr>
              <w:t>。</w:t>
            </w:r>
          </w:p>
        </w:tc>
        <w:tc>
          <w:tcPr>
            <w:tcW w:w="1665" w:type="dxa"/>
            <w:vAlign w:val="center"/>
          </w:tcPr>
          <w:p w14:paraId="40CB632F">
            <w:pPr>
              <w:spacing w:line="360" w:lineRule="auto"/>
              <w:jc w:val="center"/>
              <w:rPr>
                <w:rFonts w:ascii="Times New Roman" w:hAnsi="Times New Roman" w:cs="Times New Roman"/>
                <w:color w:val="auto"/>
                <w:highlight w:val="none"/>
              </w:rPr>
            </w:pPr>
          </w:p>
        </w:tc>
        <w:tc>
          <w:tcPr>
            <w:tcW w:w="1230" w:type="dxa"/>
            <w:vAlign w:val="center"/>
          </w:tcPr>
          <w:p w14:paraId="1EC94536">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r w14:paraId="524F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right"/>
        </w:trPr>
        <w:tc>
          <w:tcPr>
            <w:tcW w:w="952" w:type="dxa"/>
            <w:vAlign w:val="center"/>
          </w:tcPr>
          <w:p w14:paraId="1B3CF0BD">
            <w:pPr>
              <w:spacing w:line="2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cs="宋体"/>
                <w:color w:val="auto"/>
                <w:highlight w:val="none"/>
                <w:lang w:val="en-US" w:eastAsia="zh-CN"/>
              </w:rPr>
              <w:t>2</w:t>
            </w:r>
          </w:p>
        </w:tc>
        <w:tc>
          <w:tcPr>
            <w:tcW w:w="6489" w:type="dxa"/>
            <w:vAlign w:val="center"/>
          </w:tcPr>
          <w:p w14:paraId="06BDBD12">
            <w:pPr>
              <w:spacing w:line="280" w:lineRule="exact"/>
              <w:rPr>
                <w:rFonts w:ascii="宋体" w:hAnsi="宋体" w:cs="Times New Roman"/>
                <w:bCs/>
                <w:color w:val="auto"/>
                <w:szCs w:val="21"/>
                <w:highlight w:val="none"/>
              </w:rPr>
            </w:pPr>
            <w:r>
              <w:rPr>
                <w:rFonts w:hint="eastAsia" w:ascii="Times New Roman" w:hAnsi="Times New Roman" w:cs="Times New Roman"/>
                <w:color w:val="auto"/>
                <w:highlight w:val="none"/>
              </w:rPr>
              <w:t>符合</w:t>
            </w:r>
            <w:r>
              <w:rPr>
                <w:rFonts w:hint="eastAsia" w:cs="Times New Roman"/>
                <w:color w:val="auto"/>
                <w:highlight w:val="none"/>
                <w:lang w:eastAsia="zh-CN"/>
              </w:rPr>
              <w:t>法律法规</w:t>
            </w:r>
            <w:r>
              <w:rPr>
                <w:rFonts w:hint="eastAsia" w:ascii="Times New Roman" w:hAnsi="Times New Roman" w:cs="Times New Roman"/>
                <w:color w:val="auto"/>
                <w:highlight w:val="none"/>
              </w:rPr>
              <w:t>规定的其他实质性要求。</w:t>
            </w:r>
          </w:p>
        </w:tc>
        <w:tc>
          <w:tcPr>
            <w:tcW w:w="1665" w:type="dxa"/>
            <w:vAlign w:val="center"/>
          </w:tcPr>
          <w:p w14:paraId="58C0C654">
            <w:pPr>
              <w:spacing w:line="360" w:lineRule="auto"/>
              <w:jc w:val="center"/>
              <w:rPr>
                <w:rFonts w:ascii="Times New Roman" w:hAnsi="Times New Roman" w:cs="Times New Roman"/>
                <w:color w:val="auto"/>
                <w:highlight w:val="none"/>
              </w:rPr>
            </w:pPr>
          </w:p>
        </w:tc>
        <w:tc>
          <w:tcPr>
            <w:tcW w:w="1230" w:type="dxa"/>
            <w:vAlign w:val="center"/>
          </w:tcPr>
          <w:p w14:paraId="0E9F11BE">
            <w:pPr>
              <w:spacing w:line="280" w:lineRule="exact"/>
              <w:jc w:val="center"/>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自查</w:t>
            </w:r>
          </w:p>
        </w:tc>
      </w:tr>
    </w:tbl>
    <w:p w14:paraId="2A78C22F">
      <w:pPr>
        <w:tabs>
          <w:tab w:val="left" w:pos="3656"/>
        </w:tabs>
        <w:jc w:val="both"/>
        <w:outlineLvl w:val="9"/>
        <w:rPr>
          <w:rFonts w:hint="eastAsia" w:cs="Times New Roman"/>
          <w:b/>
          <w:color w:val="auto"/>
          <w:sz w:val="24"/>
          <w:highlight w:val="none"/>
          <w:lang w:val="en-US" w:eastAsia="zh-CN"/>
        </w:rPr>
      </w:pPr>
    </w:p>
    <w:p w14:paraId="3415A7F1">
      <w:pPr>
        <w:numPr>
          <w:ilvl w:val="0"/>
          <w:numId w:val="4"/>
        </w:numPr>
        <w:tabs>
          <w:tab w:val="left" w:pos="3656"/>
        </w:tabs>
        <w:ind w:left="420" w:leftChars="0" w:firstLineChars="0"/>
        <w:jc w:val="both"/>
        <w:outlineLvl w:val="0"/>
        <w:rPr>
          <w:rFonts w:hint="eastAsia" w:ascii="Times New Roman" w:hAnsi="Times New Roman" w:eastAsia="宋体" w:cs="Times New Roman"/>
          <w:b/>
          <w:bCs/>
          <w:color w:val="auto"/>
          <w:highlight w:val="none"/>
          <w:lang w:eastAsia="zh-CN"/>
        </w:rPr>
      </w:pPr>
      <w:bookmarkStart w:id="306" w:name="_Toc16128"/>
      <w:bookmarkStart w:id="307" w:name="_Toc29754"/>
      <w:bookmarkStart w:id="308" w:name="_Toc24066"/>
      <w:bookmarkStart w:id="309" w:name="_Toc3741"/>
      <w:bookmarkStart w:id="310" w:name="_Toc19923"/>
      <w:bookmarkStart w:id="311" w:name="_Toc16921"/>
      <w:bookmarkStart w:id="312" w:name="_Toc7316"/>
      <w:bookmarkStart w:id="313" w:name="_Toc4011"/>
      <w:bookmarkStart w:id="314" w:name="_Toc19939"/>
      <w:r>
        <w:rPr>
          <w:rFonts w:hint="eastAsia" w:ascii="Times New Roman" w:hAnsi="Times New Roman" w:eastAsia="宋体" w:cs="Times New Roman"/>
          <w:b/>
          <w:bCs/>
          <w:color w:val="auto"/>
          <w:highlight w:val="none"/>
          <w:lang w:eastAsia="zh-CN"/>
        </w:rPr>
        <w:t>评分部分自查</w:t>
      </w:r>
      <w:bookmarkEnd w:id="287"/>
      <w:bookmarkEnd w:id="306"/>
      <w:bookmarkEnd w:id="307"/>
      <w:bookmarkEnd w:id="308"/>
      <w:bookmarkEnd w:id="309"/>
      <w:bookmarkEnd w:id="310"/>
      <w:bookmarkEnd w:id="311"/>
      <w:bookmarkEnd w:id="312"/>
      <w:bookmarkEnd w:id="313"/>
      <w:bookmarkEnd w:id="314"/>
    </w:p>
    <w:tbl>
      <w:tblPr>
        <w:tblStyle w:val="23"/>
        <w:tblW w:w="10417" w:type="dxa"/>
        <w:jc w:val="center"/>
        <w:tblLayout w:type="fixed"/>
        <w:tblCellMar>
          <w:top w:w="0" w:type="dxa"/>
          <w:left w:w="0" w:type="dxa"/>
          <w:bottom w:w="0" w:type="dxa"/>
          <w:right w:w="0" w:type="dxa"/>
        </w:tblCellMar>
      </w:tblPr>
      <w:tblGrid>
        <w:gridCol w:w="416"/>
        <w:gridCol w:w="930"/>
        <w:gridCol w:w="6641"/>
        <w:gridCol w:w="810"/>
        <w:gridCol w:w="810"/>
        <w:gridCol w:w="810"/>
      </w:tblGrid>
      <w:tr w14:paraId="43BF59FA">
        <w:tblPrEx>
          <w:tblCellMar>
            <w:top w:w="0" w:type="dxa"/>
            <w:left w:w="0" w:type="dxa"/>
            <w:bottom w:w="0" w:type="dxa"/>
            <w:right w:w="0" w:type="dxa"/>
          </w:tblCellMar>
        </w:tblPrEx>
        <w:trPr>
          <w:trHeight w:val="310"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F376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序号</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DCC0E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评审内容</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AFEF48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评审细则</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D0EC78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color w:val="auto"/>
                <w:sz w:val="20"/>
                <w:szCs w:val="20"/>
                <w:highlight w:val="none"/>
              </w:rPr>
            </w:pPr>
            <w:r>
              <w:rPr>
                <w:rFonts w:hint="eastAsia" w:ascii="宋体" w:hAnsi="宋体" w:eastAsia="宋体" w:cs="宋体"/>
                <w:b/>
                <w:color w:val="auto"/>
                <w:kern w:val="0"/>
                <w:sz w:val="20"/>
                <w:szCs w:val="20"/>
                <w:highlight w:val="none"/>
              </w:rPr>
              <w:t>分值</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3234BC">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自评得分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86F82A">
            <w:pPr>
              <w:pStyle w:val="7"/>
              <w:bidi w:val="0"/>
              <w:spacing w:line="240" w:lineRule="auto"/>
              <w:jc w:val="center"/>
              <w:rPr>
                <w:rFonts w:hint="eastAsia" w:ascii="宋体" w:hAnsi="宋体" w:eastAsia="宋体" w:cs="宋体"/>
                <w:b/>
                <w:color w:val="auto"/>
                <w:kern w:val="0"/>
                <w:sz w:val="20"/>
                <w:szCs w:val="20"/>
                <w:highlight w:val="none"/>
              </w:rPr>
            </w:pPr>
            <w:r>
              <w:rPr>
                <w:rFonts w:hint="eastAsia" w:ascii="宋体" w:hAnsi="宋体" w:eastAsia="宋体" w:cs="宋体"/>
                <w:b/>
                <w:bCs/>
                <w:color w:val="auto"/>
                <w:sz w:val="21"/>
                <w:szCs w:val="21"/>
                <w:highlight w:val="none"/>
                <w:lang w:val="en-US" w:eastAsia="zh-CN"/>
              </w:rPr>
              <w:t>证明文件指引</w:t>
            </w:r>
          </w:p>
        </w:tc>
      </w:tr>
      <w:tr w14:paraId="2B0AC1D8">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FF0020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7049E27">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b/>
                <w:bCs/>
                <w:color w:val="auto"/>
                <w:kern w:val="2"/>
                <w:sz w:val="20"/>
                <w:szCs w:val="20"/>
                <w:highlight w:val="none"/>
                <w:lang w:val="en-US" w:eastAsia="zh-CN" w:bidi="ar-SA"/>
              </w:rPr>
            </w:pPr>
            <w:r>
              <w:rPr>
                <w:rFonts w:hint="eastAsia" w:ascii="宋体" w:hAnsi="宋体" w:cs="宋体"/>
                <w:b/>
                <w:bCs/>
                <w:color w:val="auto"/>
                <w:sz w:val="20"/>
                <w:szCs w:val="20"/>
                <w:highlight w:val="none"/>
                <w:lang w:val="en-US" w:eastAsia="zh-CN"/>
              </w:rPr>
              <w:t>重要</w:t>
            </w:r>
            <w:r>
              <w:rPr>
                <w:rFonts w:hint="eastAsia" w:ascii="宋体" w:hAnsi="宋体" w:eastAsia="宋体" w:cs="宋体"/>
                <w:b/>
                <w:bCs/>
                <w:color w:val="auto"/>
                <w:sz w:val="20"/>
                <w:szCs w:val="20"/>
                <w:highlight w:val="none"/>
                <w:lang w:val="en-US" w:eastAsia="zh-CN"/>
              </w:rPr>
              <w:t>性条款（标注“▲”号条款）响应 (</w:t>
            </w:r>
            <w:r>
              <w:rPr>
                <w:rFonts w:hint="eastAsia" w:ascii="宋体" w:hAnsi="宋体" w:cs="宋体"/>
                <w:b/>
                <w:bCs/>
                <w:color w:val="auto"/>
                <w:sz w:val="20"/>
                <w:szCs w:val="20"/>
                <w:highlight w:val="none"/>
                <w:lang w:val="en-US" w:eastAsia="zh-CN"/>
              </w:rPr>
              <w:t>18</w:t>
            </w:r>
            <w:r>
              <w:rPr>
                <w:rFonts w:hint="eastAsia" w:ascii="宋体" w:hAnsi="宋体" w:eastAsia="宋体" w:cs="宋体"/>
                <w:b/>
                <w:bCs/>
                <w:color w:val="auto"/>
                <w:sz w:val="20"/>
                <w:szCs w:val="20"/>
                <w:highlight w:val="none"/>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7E9DB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根据</w:t>
            </w: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的</w:t>
            </w:r>
            <w:r>
              <w:rPr>
                <w:rFonts w:hint="eastAsia" w:ascii="宋体" w:hAnsi="宋体" w:cs="宋体"/>
                <w:b w:val="0"/>
                <w:bCs w:val="0"/>
                <w:color w:val="auto"/>
                <w:sz w:val="20"/>
                <w:szCs w:val="20"/>
                <w:highlight w:val="none"/>
                <w:lang w:val="en-US" w:eastAsia="zh-CN"/>
              </w:rPr>
              <w:t>响应</w:t>
            </w:r>
            <w:r>
              <w:rPr>
                <w:rFonts w:hint="eastAsia" w:ascii="宋体" w:hAnsi="宋体" w:eastAsia="宋体" w:cs="宋体"/>
                <w:b w:val="0"/>
                <w:bCs w:val="0"/>
                <w:color w:val="auto"/>
                <w:sz w:val="20"/>
                <w:szCs w:val="20"/>
                <w:highlight w:val="none"/>
                <w:lang w:val="en-US" w:eastAsia="zh-CN"/>
              </w:rPr>
              <w:t>文件对“第二</w:t>
            </w:r>
            <w:r>
              <w:rPr>
                <w:rFonts w:hint="eastAsia" w:ascii="宋体" w:hAnsi="宋体" w:cs="宋体"/>
                <w:b w:val="0"/>
                <w:bCs w:val="0"/>
                <w:color w:val="auto"/>
                <w:sz w:val="20"/>
                <w:szCs w:val="20"/>
                <w:highlight w:val="none"/>
                <w:lang w:val="en-US" w:eastAsia="zh-CN"/>
              </w:rPr>
              <w:t>部分</w:t>
            </w:r>
            <w:r>
              <w:rPr>
                <w:rFonts w:hint="eastAsia" w:ascii="宋体" w:hAnsi="宋体" w:eastAsia="宋体" w:cs="宋体"/>
                <w:b w:val="0"/>
                <w:bCs w:val="0"/>
                <w:color w:val="auto"/>
                <w:sz w:val="20"/>
                <w:szCs w:val="20"/>
                <w:highlight w:val="none"/>
                <w:lang w:val="en-US" w:eastAsia="zh-CN"/>
              </w:rPr>
              <w:t xml:space="preserve"> 采购需求</w:t>
            </w:r>
            <w:r>
              <w:rPr>
                <w:rFonts w:hint="eastAsia" w:ascii="宋体" w:hAnsi="宋体" w:cs="宋体"/>
                <w:b w:val="0"/>
                <w:bCs w:val="0"/>
                <w:color w:val="auto"/>
                <w:sz w:val="20"/>
                <w:szCs w:val="20"/>
                <w:highlight w:val="none"/>
                <w:lang w:val="en-US" w:eastAsia="zh-CN"/>
              </w:rPr>
              <w:t>--</w:t>
            </w:r>
            <w:r>
              <w:rPr>
                <w:rFonts w:hint="eastAsia" w:ascii="宋体" w:hAnsi="宋体" w:eastAsia="宋体" w:cs="宋体"/>
                <w:b w:val="0"/>
                <w:bCs w:val="0"/>
                <w:color w:val="auto"/>
                <w:sz w:val="20"/>
                <w:szCs w:val="20"/>
                <w:highlight w:val="none"/>
                <w:lang w:val="en-US" w:eastAsia="zh-CN"/>
              </w:rPr>
              <w:t>二、</w:t>
            </w:r>
            <w:r>
              <w:rPr>
                <w:rFonts w:hint="eastAsia" w:ascii="宋体" w:hAnsi="宋体" w:cs="宋体"/>
                <w:b w:val="0"/>
                <w:bCs w:val="0"/>
                <w:color w:val="auto"/>
                <w:sz w:val="20"/>
                <w:szCs w:val="20"/>
                <w:highlight w:val="none"/>
                <w:lang w:val="en-US" w:eastAsia="zh-CN"/>
              </w:rPr>
              <w:t>技术</w:t>
            </w:r>
            <w:r>
              <w:rPr>
                <w:rFonts w:hint="eastAsia" w:ascii="宋体" w:hAnsi="宋体" w:eastAsia="宋体" w:cs="宋体"/>
                <w:b w:val="0"/>
                <w:bCs w:val="0"/>
                <w:color w:val="auto"/>
                <w:sz w:val="20"/>
                <w:szCs w:val="20"/>
                <w:highlight w:val="none"/>
                <w:lang w:val="en-US" w:eastAsia="zh-CN"/>
              </w:rPr>
              <w:t>要求</w:t>
            </w:r>
            <w:r>
              <w:rPr>
                <w:rFonts w:hint="eastAsia" w:ascii="宋体" w:hAnsi="宋体" w:cs="宋体"/>
                <w:b w:val="0"/>
                <w:bCs w:val="0"/>
                <w:color w:val="auto"/>
                <w:sz w:val="20"/>
                <w:szCs w:val="20"/>
                <w:highlight w:val="none"/>
                <w:lang w:val="en-US" w:eastAsia="zh-CN"/>
              </w:rPr>
              <w:t>以及三、商务要求</w:t>
            </w:r>
            <w:r>
              <w:rPr>
                <w:rFonts w:hint="eastAsia" w:ascii="宋体" w:hAnsi="宋体" w:eastAsia="宋体" w:cs="宋体"/>
                <w:b w:val="0"/>
                <w:bCs w:val="0"/>
                <w:color w:val="auto"/>
                <w:sz w:val="20"/>
                <w:szCs w:val="20"/>
                <w:highlight w:val="none"/>
                <w:lang w:val="en-US" w:eastAsia="zh-CN"/>
              </w:rPr>
              <w:t>”的重要性条款（标注“▲”号）的响应情况进行评审（共</w:t>
            </w:r>
            <w:r>
              <w:rPr>
                <w:rFonts w:hint="eastAsia" w:ascii="宋体" w:hAnsi="宋体" w:cs="宋体"/>
                <w:b w:val="0"/>
                <w:bCs w:val="0"/>
                <w:color w:val="auto"/>
                <w:sz w:val="20"/>
                <w:szCs w:val="20"/>
                <w:highlight w:val="none"/>
                <w:lang w:val="en-US" w:eastAsia="zh-CN"/>
              </w:rPr>
              <w:t>6</w:t>
            </w:r>
            <w:r>
              <w:rPr>
                <w:rFonts w:hint="eastAsia" w:ascii="宋体" w:hAnsi="宋体" w:eastAsia="宋体" w:cs="宋体"/>
                <w:b w:val="0"/>
                <w:bCs w:val="0"/>
                <w:color w:val="auto"/>
                <w:sz w:val="20"/>
                <w:szCs w:val="20"/>
                <w:highlight w:val="none"/>
                <w:lang w:val="en-US" w:eastAsia="zh-CN"/>
              </w:rPr>
              <w:t>项），每一项重要性条款的响应情况为“正偏离”或“无偏离”的，得</w:t>
            </w:r>
            <w:r>
              <w:rPr>
                <w:rFonts w:hint="eastAsia" w:ascii="宋体" w:hAnsi="宋体" w:cs="宋体"/>
                <w:b w:val="0"/>
                <w:bCs w:val="0"/>
                <w:color w:val="auto"/>
                <w:sz w:val="20"/>
                <w:szCs w:val="20"/>
                <w:highlight w:val="none"/>
                <w:lang w:val="en-US" w:eastAsia="zh-CN"/>
              </w:rPr>
              <w:t>3</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18</w:t>
            </w:r>
            <w:r>
              <w:rPr>
                <w:rFonts w:hint="eastAsia" w:ascii="宋体" w:hAnsi="宋体" w:eastAsia="宋体" w:cs="宋体"/>
                <w:b w:val="0"/>
                <w:bCs w:val="0"/>
                <w:color w:val="auto"/>
                <w:sz w:val="20"/>
                <w:szCs w:val="20"/>
                <w:highlight w:val="none"/>
                <w:lang w:val="en-US" w:eastAsia="zh-CN"/>
              </w:rPr>
              <w:t>分。</w:t>
            </w:r>
          </w:p>
          <w:p w14:paraId="0CA21BFB">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cs="宋体"/>
                <w:b/>
                <w:bCs/>
                <w:color w:val="auto"/>
                <w:sz w:val="20"/>
                <w:szCs w:val="20"/>
                <w:highlight w:val="none"/>
                <w:lang w:val="en-US" w:eastAsia="zh-CN"/>
              </w:rPr>
              <w:t>注：</w:t>
            </w:r>
            <w:r>
              <w:rPr>
                <w:rFonts w:hint="eastAsia" w:ascii="宋体" w:hAnsi="宋体" w:eastAsia="宋体" w:cs="宋体"/>
                <w:b/>
                <w:bCs/>
                <w:color w:val="auto"/>
                <w:sz w:val="20"/>
                <w:szCs w:val="20"/>
                <w:highlight w:val="none"/>
                <w:lang w:val="en-US" w:eastAsia="zh-CN"/>
              </w:rPr>
              <w:t>①填写《采购需求偏离表》，若采购需求有要求提供证明材料的，需提供符合要求的证明材料，否则视为负偏离，采购需求偏离表需备注证明文件页码。为方便评审，建议在证明材料能体现</w:t>
            </w:r>
            <w:r>
              <w:rPr>
                <w:rFonts w:hint="eastAsia" w:ascii="宋体" w:hAnsi="宋体" w:cs="宋体"/>
                <w:b/>
                <w:bCs/>
                <w:color w:val="auto"/>
                <w:sz w:val="20"/>
                <w:szCs w:val="20"/>
                <w:highlight w:val="none"/>
                <w:lang w:val="en-US" w:eastAsia="zh-CN"/>
              </w:rPr>
              <w:t>需求条款</w:t>
            </w:r>
            <w:r>
              <w:rPr>
                <w:rFonts w:hint="eastAsia" w:ascii="宋体" w:hAnsi="宋体" w:eastAsia="宋体" w:cs="宋体"/>
                <w:b/>
                <w:bCs/>
                <w:color w:val="auto"/>
                <w:sz w:val="20"/>
                <w:szCs w:val="20"/>
                <w:highlight w:val="none"/>
                <w:lang w:val="en-US" w:eastAsia="zh-CN"/>
              </w:rPr>
              <w:t>处进行标识（如增加红色方框并写明对应的条款名称或条款序号）</w:t>
            </w:r>
            <w:r>
              <w:rPr>
                <w:rFonts w:hint="eastAsia" w:ascii="宋体" w:hAnsi="宋体" w:cs="宋体"/>
                <w:b/>
                <w:bCs/>
                <w:color w:val="auto"/>
                <w:sz w:val="20"/>
                <w:szCs w:val="20"/>
                <w:highlight w:val="none"/>
                <w:lang w:val="en-US" w:eastAsia="zh-CN"/>
              </w:rPr>
              <w:t>；若</w:t>
            </w:r>
            <w:r>
              <w:rPr>
                <w:rFonts w:hint="eastAsia" w:ascii="宋体" w:hAnsi="宋体" w:eastAsia="宋体" w:cs="宋体"/>
                <w:b/>
                <w:bCs/>
                <w:color w:val="auto"/>
                <w:sz w:val="20"/>
                <w:szCs w:val="20"/>
                <w:highlight w:val="none"/>
                <w:lang w:val="en-US" w:eastAsia="zh-CN"/>
              </w:rPr>
              <w:t>采购需求</w:t>
            </w:r>
            <w:r>
              <w:rPr>
                <w:rFonts w:hint="eastAsia" w:ascii="宋体" w:hAnsi="宋体" w:cs="宋体"/>
                <w:b/>
                <w:bCs/>
                <w:color w:val="auto"/>
                <w:sz w:val="20"/>
                <w:szCs w:val="20"/>
                <w:highlight w:val="none"/>
                <w:lang w:val="en-US" w:eastAsia="zh-CN"/>
              </w:rPr>
              <w:t>无要求提供证明材料的，则以供应商响应文件中的《</w:t>
            </w:r>
            <w:r>
              <w:rPr>
                <w:rFonts w:hint="eastAsia" w:ascii="宋体" w:hAnsi="宋体" w:eastAsia="宋体" w:cs="宋体"/>
                <w:b/>
                <w:bCs/>
                <w:color w:val="auto"/>
                <w:sz w:val="20"/>
                <w:szCs w:val="20"/>
                <w:highlight w:val="none"/>
                <w:lang w:val="en-US" w:eastAsia="zh-CN"/>
              </w:rPr>
              <w:t>采购需求偏离表</w:t>
            </w:r>
            <w:r>
              <w:rPr>
                <w:rFonts w:hint="eastAsia" w:ascii="宋体" w:hAnsi="宋体" w:cs="宋体"/>
                <w:b/>
                <w:bCs/>
                <w:color w:val="auto"/>
                <w:sz w:val="20"/>
                <w:szCs w:val="20"/>
                <w:highlight w:val="none"/>
                <w:lang w:val="en-US" w:eastAsia="zh-CN"/>
              </w:rPr>
              <w:t>》中的响应情况进行评审。</w:t>
            </w:r>
            <w:r>
              <w:rPr>
                <w:rFonts w:hint="eastAsia" w:ascii="宋体" w:hAnsi="宋体" w:eastAsia="宋体" w:cs="宋体"/>
                <w:b/>
                <w:bCs/>
                <w:color w:val="auto"/>
                <w:sz w:val="20"/>
                <w:szCs w:val="20"/>
                <w:highlight w:val="none"/>
                <w:lang w:val="en-US" w:eastAsia="zh-CN"/>
              </w:rPr>
              <w:t>②不按要求提供采购需求偏离表或提供</w:t>
            </w:r>
            <w:r>
              <w:rPr>
                <w:rFonts w:hint="eastAsia" w:ascii="宋体" w:hAnsi="宋体" w:cs="宋体"/>
                <w:b/>
                <w:bCs/>
                <w:color w:val="auto"/>
                <w:sz w:val="20"/>
                <w:szCs w:val="20"/>
                <w:highlight w:val="none"/>
                <w:lang w:val="en-US" w:eastAsia="zh-CN"/>
              </w:rPr>
              <w:t>证明资料</w:t>
            </w:r>
            <w:r>
              <w:rPr>
                <w:rFonts w:hint="eastAsia" w:ascii="宋体" w:hAnsi="宋体" w:eastAsia="宋体" w:cs="宋体"/>
                <w:b/>
                <w:bCs/>
                <w:color w:val="auto"/>
                <w:sz w:val="20"/>
                <w:szCs w:val="20"/>
                <w:highlight w:val="none"/>
                <w:lang w:val="en-US" w:eastAsia="zh-CN"/>
              </w:rPr>
              <w:t>不符的视为负偏离。</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3A67B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18分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C0589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AE7DC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1E3E4DBA">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228F32">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2</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E7CD69">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lang w:val="en-US" w:eastAsia="zh-CN" w:bidi="ar-SA"/>
              </w:rPr>
            </w:pPr>
            <w:r>
              <w:rPr>
                <w:rFonts w:hint="eastAsia" w:ascii="宋体" w:hAnsi="宋体" w:eastAsia="宋体" w:cs="宋体"/>
                <w:b/>
                <w:bCs/>
                <w:color w:val="auto"/>
                <w:sz w:val="20"/>
                <w:szCs w:val="20"/>
                <w:highlight w:val="none"/>
                <w:lang w:val="en-US" w:eastAsia="zh-CN"/>
              </w:rPr>
              <w:t>一般性条款（非“★”、“▲”号条款）响应 (</w:t>
            </w:r>
            <w:r>
              <w:rPr>
                <w:rFonts w:hint="eastAsia" w:ascii="宋体" w:hAnsi="宋体" w:cs="宋体"/>
                <w:b/>
                <w:bCs/>
                <w:color w:val="auto"/>
                <w:sz w:val="20"/>
                <w:szCs w:val="20"/>
                <w:highlight w:val="none"/>
                <w:lang w:val="en-US" w:eastAsia="zh-CN"/>
              </w:rPr>
              <w:t>24</w:t>
            </w:r>
            <w:r>
              <w:rPr>
                <w:rFonts w:hint="eastAsia" w:ascii="宋体" w:hAnsi="宋体" w:eastAsia="宋体" w:cs="宋体"/>
                <w:b/>
                <w:bCs/>
                <w:color w:val="auto"/>
                <w:sz w:val="20"/>
                <w:szCs w:val="20"/>
                <w:highlight w:val="none"/>
                <w:lang w:val="en-US" w:eastAsia="zh-CN"/>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38D00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根据</w:t>
            </w: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的</w:t>
            </w:r>
            <w:r>
              <w:rPr>
                <w:rFonts w:hint="eastAsia" w:ascii="宋体" w:hAnsi="宋体" w:cs="宋体"/>
                <w:b w:val="0"/>
                <w:bCs w:val="0"/>
                <w:color w:val="auto"/>
                <w:sz w:val="20"/>
                <w:szCs w:val="20"/>
                <w:highlight w:val="none"/>
                <w:lang w:val="en-US" w:eastAsia="zh-CN"/>
              </w:rPr>
              <w:t>响应</w:t>
            </w:r>
            <w:r>
              <w:rPr>
                <w:rFonts w:hint="eastAsia" w:ascii="宋体" w:hAnsi="宋体" w:eastAsia="宋体" w:cs="宋体"/>
                <w:b w:val="0"/>
                <w:bCs w:val="0"/>
                <w:color w:val="auto"/>
                <w:sz w:val="20"/>
                <w:szCs w:val="20"/>
                <w:highlight w:val="none"/>
                <w:lang w:val="en-US" w:eastAsia="zh-CN"/>
              </w:rPr>
              <w:t>文件对“第二部分 采购需求--二、</w:t>
            </w:r>
            <w:r>
              <w:rPr>
                <w:rFonts w:hint="eastAsia" w:ascii="宋体" w:hAnsi="宋体" w:cs="宋体"/>
                <w:b w:val="0"/>
                <w:bCs w:val="0"/>
                <w:color w:val="auto"/>
                <w:sz w:val="20"/>
                <w:szCs w:val="20"/>
                <w:highlight w:val="none"/>
                <w:lang w:val="en-US" w:eastAsia="zh-CN"/>
              </w:rPr>
              <w:t>技术</w:t>
            </w:r>
            <w:r>
              <w:rPr>
                <w:rFonts w:hint="eastAsia" w:ascii="宋体" w:hAnsi="宋体" w:eastAsia="宋体" w:cs="宋体"/>
                <w:b w:val="0"/>
                <w:bCs w:val="0"/>
                <w:color w:val="auto"/>
                <w:sz w:val="20"/>
                <w:szCs w:val="20"/>
                <w:highlight w:val="none"/>
                <w:lang w:val="en-US" w:eastAsia="zh-CN"/>
              </w:rPr>
              <w:t>要求以及三、商务要求”的一般性条款（非“★”、“▲”号）的响应情况进行评审（共</w:t>
            </w:r>
            <w:r>
              <w:rPr>
                <w:rFonts w:hint="eastAsia" w:ascii="宋体" w:hAnsi="宋体" w:cs="宋体"/>
                <w:b w:val="0"/>
                <w:bCs w:val="0"/>
                <w:color w:val="auto"/>
                <w:sz w:val="20"/>
                <w:szCs w:val="20"/>
                <w:highlight w:val="none"/>
                <w:shd w:val="clear"/>
                <w:lang w:val="en-US" w:eastAsia="zh-CN"/>
              </w:rPr>
              <w:t>20</w:t>
            </w:r>
            <w:r>
              <w:rPr>
                <w:rFonts w:hint="eastAsia" w:ascii="宋体" w:hAnsi="宋体" w:eastAsia="宋体" w:cs="宋体"/>
                <w:b w:val="0"/>
                <w:bCs w:val="0"/>
                <w:color w:val="auto"/>
                <w:sz w:val="20"/>
                <w:szCs w:val="20"/>
                <w:highlight w:val="none"/>
                <w:lang w:val="en-US" w:eastAsia="zh-CN"/>
              </w:rPr>
              <w:t>项）。每一项一般性条款的响应情况为“正偏离”或“符合”或“无偏离”的，得</w:t>
            </w:r>
            <w:r>
              <w:rPr>
                <w:rFonts w:hint="eastAsia" w:ascii="宋体" w:hAnsi="宋体" w:cs="宋体"/>
                <w:b w:val="0"/>
                <w:bCs w:val="0"/>
                <w:color w:val="auto"/>
                <w:sz w:val="20"/>
                <w:szCs w:val="20"/>
                <w:highlight w:val="none"/>
                <w:lang w:val="en-US" w:eastAsia="zh-CN"/>
              </w:rPr>
              <w:t>1.2</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24</w:t>
            </w:r>
            <w:r>
              <w:rPr>
                <w:rFonts w:hint="eastAsia" w:ascii="宋体" w:hAnsi="宋体" w:eastAsia="宋体" w:cs="宋体"/>
                <w:b w:val="0"/>
                <w:bCs w:val="0"/>
                <w:color w:val="auto"/>
                <w:sz w:val="20"/>
                <w:szCs w:val="20"/>
                <w:highlight w:val="none"/>
                <w:lang w:val="en-US" w:eastAsia="zh-CN"/>
              </w:rPr>
              <w:t>分。</w:t>
            </w:r>
          </w:p>
          <w:p w14:paraId="1C8EB560">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注：①填写《</w:t>
            </w:r>
            <w:r>
              <w:rPr>
                <w:rFonts w:hint="eastAsia" w:ascii="宋体" w:hAnsi="宋体" w:cs="宋体"/>
                <w:b/>
                <w:bCs/>
                <w:color w:val="auto"/>
                <w:sz w:val="20"/>
                <w:szCs w:val="20"/>
                <w:highlight w:val="none"/>
                <w:lang w:val="en-US" w:eastAsia="zh-CN"/>
              </w:rPr>
              <w:t>采购需求偏离表</w:t>
            </w:r>
            <w:r>
              <w:rPr>
                <w:rFonts w:hint="eastAsia" w:ascii="宋体" w:hAnsi="宋体" w:eastAsia="宋体" w:cs="宋体"/>
                <w:b/>
                <w:bCs/>
                <w:color w:val="auto"/>
                <w:sz w:val="20"/>
                <w:szCs w:val="20"/>
                <w:highlight w:val="none"/>
                <w:lang w:val="en-US" w:eastAsia="zh-CN"/>
              </w:rPr>
              <w:t>》，若采购需求有要求提供证明材料的，需提供符合要求的证明材料，否则视为负偏离，响应情况表需备注证明文件页码。为方便评审，建议在证明材料能体现技术条款处进行标识（如增加红色方框并写明对应的条款名称或条款序号）</w:t>
            </w:r>
            <w:r>
              <w:rPr>
                <w:rFonts w:hint="eastAsia" w:ascii="宋体" w:hAnsi="宋体" w:cs="宋体"/>
                <w:b/>
                <w:bCs/>
                <w:color w:val="auto"/>
                <w:sz w:val="20"/>
                <w:szCs w:val="20"/>
                <w:highlight w:val="none"/>
                <w:lang w:val="en-US" w:eastAsia="zh-CN"/>
              </w:rPr>
              <w:t>。</w:t>
            </w:r>
            <w:r>
              <w:rPr>
                <w:rFonts w:hint="eastAsia" w:ascii="宋体" w:hAnsi="宋体" w:eastAsia="宋体" w:cs="宋体"/>
                <w:b/>
                <w:bCs/>
                <w:color w:val="auto"/>
                <w:sz w:val="20"/>
                <w:szCs w:val="20"/>
                <w:highlight w:val="none"/>
                <w:lang w:val="en-US" w:eastAsia="zh-CN"/>
              </w:rPr>
              <w:t>②不按要求提供或提供不符的视为负偏离。③如采购需求书中有要求证明资料的，以采购需求书要求为准。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C737DA">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24分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FE3D36">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8CA19A">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5F707D33">
        <w:tblPrEx>
          <w:tblCellMar>
            <w:top w:w="0" w:type="dxa"/>
            <w:left w:w="0" w:type="dxa"/>
            <w:bottom w:w="0" w:type="dxa"/>
            <w:right w:w="0" w:type="dxa"/>
          </w:tblCellMar>
        </w:tblPrEx>
        <w:trPr>
          <w:trHeight w:val="54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1C491B">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3</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04A38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同类</w:t>
            </w:r>
            <w:r>
              <w:rPr>
                <w:rFonts w:hint="eastAsia" w:ascii="宋体" w:hAnsi="宋体" w:cs="宋体"/>
                <w:b/>
                <w:bCs/>
                <w:color w:val="auto"/>
                <w:kern w:val="0"/>
                <w:sz w:val="20"/>
                <w:szCs w:val="20"/>
                <w:highlight w:val="none"/>
                <w:lang w:val="en-US" w:eastAsia="zh-CN"/>
              </w:rPr>
              <w:t>项目</w:t>
            </w:r>
            <w:r>
              <w:rPr>
                <w:rFonts w:hint="eastAsia" w:ascii="宋体" w:hAnsi="宋体" w:eastAsia="宋体" w:cs="宋体"/>
                <w:b/>
                <w:bCs/>
                <w:color w:val="auto"/>
                <w:kern w:val="0"/>
                <w:sz w:val="20"/>
                <w:szCs w:val="20"/>
                <w:highlight w:val="none"/>
              </w:rPr>
              <w:t>业绩</w:t>
            </w:r>
          </w:p>
          <w:p w14:paraId="39032F3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eastAsia="宋体"/>
                <w:b/>
                <w:bCs/>
                <w:color w:val="auto"/>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（10</w:t>
            </w:r>
            <w:r>
              <w:rPr>
                <w:rFonts w:hint="eastAsia" w:ascii="宋体" w:hAnsi="宋体" w:eastAsia="宋体" w:cs="宋体"/>
                <w:b/>
                <w:bCs/>
                <w:color w:val="auto"/>
                <w:kern w:val="0"/>
                <w:sz w:val="20"/>
                <w:szCs w:val="20"/>
                <w:highlight w:val="none"/>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817BDD">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cs="宋体"/>
                <w:b w:val="0"/>
                <w:bCs w:val="0"/>
                <w:color w:val="auto"/>
                <w:sz w:val="20"/>
                <w:szCs w:val="20"/>
                <w:highlight w:val="none"/>
                <w:lang w:val="en-US" w:eastAsia="zh-CN"/>
              </w:rPr>
              <w:t>供应商</w:t>
            </w:r>
            <w:r>
              <w:rPr>
                <w:rFonts w:hint="eastAsia" w:ascii="宋体" w:hAnsi="宋体" w:eastAsia="宋体" w:cs="宋体"/>
                <w:b w:val="0"/>
                <w:bCs w:val="0"/>
                <w:color w:val="auto"/>
                <w:sz w:val="20"/>
                <w:szCs w:val="20"/>
                <w:highlight w:val="none"/>
                <w:lang w:val="en-US" w:eastAsia="zh-CN"/>
              </w:rPr>
              <w:t>具有自2023年1月1日至今同类项目业绩的，每提供一个合同得</w:t>
            </w:r>
            <w:r>
              <w:rPr>
                <w:rFonts w:hint="eastAsia" w:ascii="宋体" w:hAnsi="宋体" w:cs="宋体"/>
                <w:b w:val="0"/>
                <w:bCs w:val="0"/>
                <w:color w:val="auto"/>
                <w:sz w:val="20"/>
                <w:szCs w:val="20"/>
                <w:highlight w:val="none"/>
                <w:lang w:val="en-US" w:eastAsia="zh-CN"/>
              </w:rPr>
              <w:t>2</w:t>
            </w:r>
            <w:r>
              <w:rPr>
                <w:rFonts w:hint="eastAsia" w:ascii="宋体" w:hAnsi="宋体" w:eastAsia="宋体" w:cs="宋体"/>
                <w:b w:val="0"/>
                <w:bCs w:val="0"/>
                <w:color w:val="auto"/>
                <w:sz w:val="20"/>
                <w:szCs w:val="20"/>
                <w:highlight w:val="none"/>
                <w:lang w:val="en-US" w:eastAsia="zh-CN"/>
              </w:rPr>
              <w:t>分，最高得</w:t>
            </w:r>
            <w:r>
              <w:rPr>
                <w:rFonts w:hint="eastAsia" w:ascii="宋体" w:hAnsi="宋体" w:cs="宋体"/>
                <w:b w:val="0"/>
                <w:bCs w:val="0"/>
                <w:color w:val="auto"/>
                <w:sz w:val="20"/>
                <w:szCs w:val="20"/>
                <w:highlight w:val="none"/>
                <w:lang w:val="en-US" w:eastAsia="zh-CN"/>
              </w:rPr>
              <w:t>10</w:t>
            </w:r>
            <w:r>
              <w:rPr>
                <w:rFonts w:hint="eastAsia" w:ascii="宋体" w:hAnsi="宋体" w:eastAsia="宋体" w:cs="宋体"/>
                <w:b w:val="0"/>
                <w:bCs w:val="0"/>
                <w:color w:val="auto"/>
                <w:sz w:val="20"/>
                <w:szCs w:val="20"/>
                <w:highlight w:val="none"/>
                <w:lang w:val="en-US" w:eastAsia="zh-CN"/>
              </w:rPr>
              <w:t>分。</w:t>
            </w:r>
          </w:p>
          <w:p w14:paraId="05690758">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注：①以合同签订时间为准，与同一用户单位签订的多份同类项目业绩不累计计分</w:t>
            </w:r>
            <w:r>
              <w:rPr>
                <w:rFonts w:hint="eastAsia" w:ascii="宋体" w:hAnsi="宋体" w:cs="宋体"/>
                <w:b/>
                <w:bCs/>
                <w:color w:val="auto"/>
                <w:sz w:val="20"/>
                <w:szCs w:val="20"/>
                <w:highlight w:val="none"/>
                <w:lang w:val="en-US" w:eastAsia="zh-CN"/>
              </w:rPr>
              <w:t>。</w:t>
            </w:r>
            <w:r>
              <w:rPr>
                <w:rFonts w:hint="eastAsia" w:ascii="宋体" w:hAnsi="宋体" w:eastAsia="宋体" w:cs="宋体"/>
                <w:b/>
                <w:bCs/>
                <w:color w:val="auto"/>
                <w:sz w:val="20"/>
                <w:szCs w:val="20"/>
                <w:highlight w:val="none"/>
                <w:lang w:val="en-US" w:eastAsia="zh-CN"/>
              </w:rPr>
              <w:t>②附合同关键页</w:t>
            </w:r>
            <w:r>
              <w:rPr>
                <w:rFonts w:hint="eastAsia" w:ascii="宋体" w:hAnsi="宋体" w:cs="宋体"/>
                <w:b/>
                <w:bCs/>
                <w:color w:val="auto"/>
                <w:sz w:val="20"/>
                <w:szCs w:val="20"/>
                <w:highlight w:val="none"/>
                <w:lang w:val="en-US" w:eastAsia="zh-CN"/>
              </w:rPr>
              <w:t>复印件</w:t>
            </w:r>
            <w:r>
              <w:rPr>
                <w:rFonts w:hint="eastAsia" w:ascii="宋体" w:hAnsi="宋体" w:eastAsia="宋体" w:cs="宋体"/>
                <w:b/>
                <w:bCs/>
                <w:color w:val="auto"/>
                <w:sz w:val="20"/>
                <w:szCs w:val="20"/>
                <w:highlight w:val="none"/>
                <w:lang w:val="en-US" w:eastAsia="zh-CN"/>
              </w:rPr>
              <w:t>作为证明材料（含签订合同双方的单位名称、合同项目名称、合同内容、签订合同双方的落款盖章、签订日期等的关键页）。</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D34DA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DB7D0">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56E0C5">
            <w:pPr>
              <w:keepNext w:val="0"/>
              <w:keepLines w:val="0"/>
              <w:widowControl/>
              <w:suppressLineNumbers w:val="0"/>
              <w:jc w:val="center"/>
              <w:textAlignment w:val="center"/>
              <w:rPr>
                <w:rFonts w:hint="eastAsia" w:ascii="宋体" w:hAnsi="宋体" w:cs="宋体"/>
                <w:i w:val="0"/>
                <w:iCs w:val="0"/>
                <w:color w:val="auto"/>
                <w:kern w:val="0"/>
                <w:sz w:val="20"/>
                <w:szCs w:val="20"/>
                <w:highlight w:val="none"/>
                <w:u w:val="none"/>
                <w:lang w:val="en-US" w:eastAsia="zh-CN" w:bidi="ar"/>
              </w:rPr>
            </w:pPr>
            <w:r>
              <w:rPr>
                <w:rFonts w:hint="eastAsia" w:ascii="Times New Roman" w:hAnsi="Times New Roman" w:cs="Times New Roman"/>
                <w:color w:val="auto"/>
                <w:highlight w:val="none"/>
              </w:rPr>
              <w:t>第   页</w:t>
            </w:r>
          </w:p>
        </w:tc>
      </w:tr>
      <w:tr w14:paraId="100FC41E">
        <w:tblPrEx>
          <w:tblCellMar>
            <w:top w:w="0" w:type="dxa"/>
            <w:left w:w="0" w:type="dxa"/>
            <w:bottom w:w="0" w:type="dxa"/>
            <w:right w:w="0" w:type="dxa"/>
          </w:tblCellMar>
        </w:tblPrEx>
        <w:trPr>
          <w:trHeight w:val="384"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0B92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4</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C4DF87">
            <w:pPr>
              <w:keepNext w:val="0"/>
              <w:keepLines w:val="0"/>
              <w:widowControl/>
              <w:suppressLineNumbers w:val="0"/>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i w:val="0"/>
                <w:iCs w:val="0"/>
                <w:color w:val="auto"/>
                <w:kern w:val="0"/>
                <w:sz w:val="20"/>
                <w:szCs w:val="20"/>
                <w:highlight w:val="none"/>
                <w:u w:val="none"/>
                <w:lang w:val="en-US" w:eastAsia="zh-CN" w:bidi="ar"/>
              </w:rPr>
              <w:t>认证证书 (</w:t>
            </w:r>
            <w:r>
              <w:rPr>
                <w:rFonts w:hint="eastAsia" w:ascii="宋体" w:hAnsi="宋体" w:cs="宋体"/>
                <w:b/>
                <w:bCs/>
                <w:i w:val="0"/>
                <w:iCs w:val="0"/>
                <w:color w:val="auto"/>
                <w:kern w:val="0"/>
                <w:sz w:val="20"/>
                <w:szCs w:val="20"/>
                <w:highlight w:val="none"/>
                <w:u w:val="none"/>
                <w:lang w:val="en-US" w:eastAsia="zh-CN" w:bidi="ar"/>
              </w:rPr>
              <w:t>2</w:t>
            </w:r>
            <w:r>
              <w:rPr>
                <w:rFonts w:hint="eastAsia" w:ascii="宋体" w:hAnsi="宋体" w:eastAsia="宋体" w:cs="宋体"/>
                <w:b/>
                <w:bCs/>
                <w:i w:val="0"/>
                <w:iCs w:val="0"/>
                <w:color w:val="auto"/>
                <w:kern w:val="0"/>
                <w:sz w:val="20"/>
                <w:szCs w:val="20"/>
                <w:highlight w:val="none"/>
                <w:u w:val="none"/>
                <w:lang w:val="en-US" w:eastAsia="zh-CN" w:bidi="ar"/>
              </w:rPr>
              <w:t>分)</w:t>
            </w:r>
          </w:p>
        </w:tc>
        <w:tc>
          <w:tcPr>
            <w:tcW w:w="664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E141C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供应商需具备以下证书：</w:t>
            </w:r>
          </w:p>
          <w:p w14:paraId="650B4E11">
            <w:pPr>
              <w:keepNext w:val="0"/>
              <w:keepLines w:val="0"/>
              <w:pageBreakBefore w:val="0"/>
              <w:kinsoku/>
              <w:wordWrap/>
              <w:overflowPunct/>
              <w:topLinePunct w:val="0"/>
              <w:autoSpaceDE/>
              <w:autoSpaceDN/>
              <w:bidi w:val="0"/>
              <w:adjustRightInd/>
              <w:snapToGrid/>
              <w:spacing w:line="240" w:lineRule="exact"/>
              <w:jc w:val="left"/>
              <w:textAlignment w:val="center"/>
              <w:rPr>
                <w:rFonts w:hint="default" w:ascii="宋体" w:hAnsi="宋体" w:eastAsia="宋体" w:cs="宋体"/>
                <w:b w:val="0"/>
                <w:bCs w:val="0"/>
                <w:color w:val="auto"/>
                <w:sz w:val="20"/>
                <w:szCs w:val="20"/>
                <w:highlight w:val="none"/>
                <w:lang w:val="en-US" w:eastAsia="zh-CN"/>
              </w:rPr>
            </w:pPr>
            <w:r>
              <w:rPr>
                <w:rFonts w:hint="eastAsia" w:ascii="宋体" w:hAnsi="宋体" w:cs="宋体"/>
                <w:b w:val="0"/>
                <w:bCs w:val="0"/>
                <w:color w:val="auto"/>
                <w:sz w:val="20"/>
                <w:szCs w:val="20"/>
                <w:highlight w:val="none"/>
                <w:lang w:val="en-US" w:eastAsia="zh-CN"/>
              </w:rPr>
              <w:t>1</w:t>
            </w:r>
            <w:r>
              <w:rPr>
                <w:rFonts w:hint="eastAsia" w:ascii="宋体" w:hAnsi="宋体" w:eastAsia="宋体" w:cs="宋体"/>
                <w:b w:val="0"/>
                <w:bCs w:val="0"/>
                <w:color w:val="auto"/>
                <w:sz w:val="20"/>
                <w:szCs w:val="20"/>
                <w:highlight w:val="none"/>
                <w:lang w:val="en-US" w:eastAsia="zh-CN"/>
              </w:rPr>
              <w:t>.具备质量管理体系ISO9001认证证书（认证范围与软件开发相关）</w:t>
            </w:r>
            <w:r>
              <w:rPr>
                <w:rFonts w:hint="eastAsia" w:ascii="宋体" w:hAnsi="宋体" w:cs="宋体"/>
                <w:b w:val="0"/>
                <w:bCs w:val="0"/>
                <w:color w:val="auto"/>
                <w:sz w:val="20"/>
                <w:szCs w:val="20"/>
                <w:highlight w:val="none"/>
                <w:lang w:val="en-US" w:eastAsia="zh-CN"/>
              </w:rPr>
              <w:t>，得2分。</w:t>
            </w:r>
          </w:p>
          <w:p w14:paraId="130977A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b/>
                <w:bCs/>
                <w:color w:val="auto"/>
                <w:sz w:val="20"/>
                <w:szCs w:val="20"/>
                <w:highlight w:val="none"/>
                <w:lang w:val="en-US" w:eastAsia="zh-CN"/>
              </w:rPr>
              <w:t>注：以上资质证书须在有效期内，提供证书的复印件并加盖公章，否则不得分。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48BD1B">
            <w:pPr>
              <w:keepNext w:val="0"/>
              <w:keepLines w:val="0"/>
              <w:widowControl/>
              <w:suppressLineNumbers w:val="0"/>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i w:val="0"/>
                <w:iCs w:val="0"/>
                <w:color w:val="auto"/>
                <w:kern w:val="0"/>
                <w:sz w:val="20"/>
                <w:szCs w:val="20"/>
                <w:highlight w:val="none"/>
                <w:u w:val="none"/>
                <w:lang w:val="en-US" w:eastAsia="zh-CN" w:bidi="ar"/>
              </w:rPr>
              <w:t>2分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77248">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6A9512">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169092B">
        <w:tblPrEx>
          <w:tblCellMar>
            <w:top w:w="0" w:type="dxa"/>
            <w:left w:w="0" w:type="dxa"/>
            <w:bottom w:w="0" w:type="dxa"/>
            <w:right w:w="0" w:type="dxa"/>
          </w:tblCellMar>
        </w:tblPrEx>
        <w:trPr>
          <w:trHeight w:val="383"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5756F4">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5</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7E9D0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cs="宋体"/>
                <w:b/>
                <w:bCs/>
                <w:i w:val="0"/>
                <w:iCs w:val="0"/>
                <w:color w:val="auto"/>
                <w:kern w:val="0"/>
                <w:sz w:val="20"/>
                <w:szCs w:val="20"/>
                <w:highlight w:val="none"/>
                <w:u w:val="none"/>
                <w:lang w:val="en-US" w:eastAsia="zh-CN" w:bidi="ar"/>
              </w:rPr>
              <w:t>项目</w:t>
            </w:r>
            <w:r>
              <w:rPr>
                <w:rFonts w:hint="eastAsia" w:ascii="宋体" w:hAnsi="宋体" w:eastAsia="宋体" w:cs="宋体"/>
                <w:b/>
                <w:bCs/>
                <w:i w:val="0"/>
                <w:iCs w:val="0"/>
                <w:color w:val="auto"/>
                <w:kern w:val="0"/>
                <w:sz w:val="20"/>
                <w:szCs w:val="20"/>
                <w:highlight w:val="none"/>
                <w:u w:val="none"/>
                <w:lang w:val="en-US" w:eastAsia="zh-CN" w:bidi="ar"/>
              </w:rPr>
              <w:t>团队人员（</w:t>
            </w:r>
            <w:r>
              <w:rPr>
                <w:rFonts w:hint="eastAsia" w:ascii="宋体" w:hAnsi="宋体" w:cs="宋体"/>
                <w:b/>
                <w:bCs/>
                <w:i w:val="0"/>
                <w:iCs w:val="0"/>
                <w:color w:val="auto"/>
                <w:kern w:val="0"/>
                <w:sz w:val="20"/>
                <w:szCs w:val="20"/>
                <w:highlight w:val="none"/>
                <w:u w:val="none"/>
                <w:lang w:val="en-US" w:eastAsia="zh-CN" w:bidi="ar"/>
              </w:rPr>
              <w:t>10</w:t>
            </w:r>
            <w:r>
              <w:rPr>
                <w:rFonts w:hint="eastAsia" w:ascii="宋体" w:hAnsi="宋体" w:eastAsia="宋体" w:cs="宋体"/>
                <w:b/>
                <w:bCs/>
                <w:i w:val="0"/>
                <w:iCs w:val="0"/>
                <w:color w:val="auto"/>
                <w:kern w:val="0"/>
                <w:sz w:val="20"/>
                <w:szCs w:val="20"/>
                <w:highlight w:val="none"/>
                <w:u w:val="none"/>
                <w:lang w:val="en-US" w:eastAsia="zh-CN" w:bidi="ar"/>
              </w:rPr>
              <w:t>分</w:t>
            </w:r>
            <w:r>
              <w:rPr>
                <w:rFonts w:hint="eastAsia" w:ascii="宋体" w:hAnsi="宋体" w:eastAsia="宋体" w:cs="宋体"/>
                <w:b/>
                <w:bCs/>
                <w:color w:val="auto"/>
                <w:kern w:val="0"/>
                <w:sz w:val="20"/>
                <w:szCs w:val="20"/>
                <w:highlight w:val="none"/>
                <w:lang w:val="en-US" w:eastAsia="zh-CN"/>
              </w:rPr>
              <w:t>）</w:t>
            </w:r>
          </w:p>
        </w:tc>
        <w:tc>
          <w:tcPr>
            <w:tcW w:w="6641"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05B370C">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b w:val="0"/>
                <w:bCs w:val="0"/>
                <w:color w:val="auto"/>
                <w:sz w:val="20"/>
                <w:szCs w:val="20"/>
                <w:highlight w:val="none"/>
                <w:lang w:val="en-US" w:eastAsia="zh-CN"/>
              </w:rPr>
            </w:pPr>
            <w:r>
              <w:rPr>
                <w:rFonts w:hint="eastAsia" w:ascii="宋体" w:hAnsi="宋体" w:eastAsia="宋体" w:cs="宋体"/>
                <w:b w:val="0"/>
                <w:bCs w:val="0"/>
                <w:color w:val="auto"/>
                <w:sz w:val="20"/>
                <w:szCs w:val="20"/>
                <w:highlight w:val="none"/>
                <w:lang w:val="en-US" w:eastAsia="zh-CN"/>
              </w:rPr>
              <w:t>项目团队</w:t>
            </w:r>
            <w:r>
              <w:rPr>
                <w:rFonts w:hint="eastAsia" w:ascii="宋体" w:hAnsi="宋体" w:cs="宋体"/>
                <w:b w:val="0"/>
                <w:bCs w:val="0"/>
                <w:color w:val="auto"/>
                <w:sz w:val="20"/>
                <w:szCs w:val="20"/>
                <w:highlight w:val="none"/>
                <w:lang w:val="en-US" w:eastAsia="zh-CN"/>
              </w:rPr>
              <w:t>人员</w:t>
            </w:r>
            <w:r>
              <w:rPr>
                <w:rFonts w:hint="eastAsia" w:ascii="宋体" w:hAnsi="宋体" w:eastAsia="宋体" w:cs="宋体"/>
                <w:b w:val="0"/>
                <w:bCs w:val="0"/>
                <w:color w:val="auto"/>
                <w:sz w:val="20"/>
                <w:szCs w:val="20"/>
                <w:highlight w:val="none"/>
                <w:lang w:val="en-US" w:eastAsia="zh-CN"/>
              </w:rPr>
              <w:t>（含项目经理）：</w:t>
            </w:r>
          </w:p>
          <w:p w14:paraId="2EE9B99C">
            <w:pPr>
              <w:pStyle w:val="54"/>
              <w:numPr>
                <w:ilvl w:val="0"/>
                <w:numId w:val="0"/>
              </w:numPr>
              <w:ind w:left="100" w:leftChars="0" w:firstLine="0" w:firstLineChars="0"/>
              <w:jc w:val="left"/>
              <w:rPr>
                <w:rFonts w:hint="eastAsia" w:ascii="宋体" w:hAnsi="宋体" w:eastAsia="宋体" w:cs="宋体"/>
                <w:highlight w:val="none"/>
                <w:lang w:val="en-US" w:eastAsia="zh-CN"/>
              </w:rPr>
            </w:pPr>
            <w:r>
              <w:rPr>
                <w:rFonts w:hint="eastAsia" w:ascii="宋体" w:hAnsi="宋体" w:cs="宋体"/>
                <w:highlight w:val="none"/>
                <w:lang w:val="en-US" w:eastAsia="zh-CN"/>
              </w:rPr>
              <w:t>1</w:t>
            </w:r>
            <w:r>
              <w:rPr>
                <w:rFonts w:hint="eastAsia" w:ascii="宋体" w:hAnsi="宋体" w:eastAsia="宋体" w:cs="宋体"/>
                <w:highlight w:val="none"/>
                <w:lang w:val="en-US" w:eastAsia="zh-CN"/>
              </w:rPr>
              <w:t>.</w:t>
            </w:r>
            <w:r>
              <w:rPr>
                <w:rFonts w:hint="eastAsia" w:ascii="宋体" w:hAnsi="宋体" w:cs="宋体"/>
                <w:highlight w:val="none"/>
                <w:lang w:val="en-US" w:eastAsia="zh-CN"/>
              </w:rPr>
              <w:t>大专及</w:t>
            </w:r>
            <w:r>
              <w:rPr>
                <w:rFonts w:hint="eastAsia" w:ascii="宋体" w:hAnsi="宋体" w:eastAsia="宋体" w:cs="宋体"/>
                <w:highlight w:val="none"/>
                <w:lang w:val="en-US" w:eastAsia="zh-CN"/>
              </w:rPr>
              <w:t>以上学历，专业为计算机相关专业，每提供一人证书得</w:t>
            </w:r>
            <w:r>
              <w:rPr>
                <w:rFonts w:hint="eastAsia" w:ascii="宋体" w:hAnsi="宋体" w:cs="宋体"/>
                <w:highlight w:val="none"/>
                <w:lang w:val="en-US" w:eastAsia="zh-CN"/>
              </w:rPr>
              <w:t>1</w:t>
            </w:r>
            <w:r>
              <w:rPr>
                <w:rFonts w:hint="eastAsia" w:ascii="宋体" w:hAnsi="宋体" w:eastAsia="宋体" w:cs="宋体"/>
                <w:highlight w:val="none"/>
                <w:lang w:val="en-US" w:eastAsia="zh-CN"/>
              </w:rPr>
              <w:t>分，最高</w:t>
            </w:r>
            <w:r>
              <w:rPr>
                <w:rFonts w:hint="eastAsia" w:ascii="宋体" w:hAnsi="宋体" w:cs="宋体"/>
                <w:highlight w:val="none"/>
                <w:lang w:val="en-US" w:eastAsia="zh-CN"/>
              </w:rPr>
              <w:t>3</w:t>
            </w:r>
            <w:r>
              <w:rPr>
                <w:rFonts w:hint="eastAsia" w:ascii="宋体" w:hAnsi="宋体" w:eastAsia="宋体" w:cs="宋体"/>
                <w:highlight w:val="none"/>
                <w:lang w:val="en-US" w:eastAsia="zh-CN"/>
              </w:rPr>
              <w:t>分；</w:t>
            </w:r>
          </w:p>
          <w:p w14:paraId="712DFEC7">
            <w:pPr>
              <w:pStyle w:val="54"/>
              <w:numPr>
                <w:ilvl w:val="0"/>
                <w:numId w:val="0"/>
              </w:numPr>
              <w:ind w:left="100" w:leftChars="0" w:firstLine="0" w:firstLineChars="0"/>
              <w:jc w:val="left"/>
              <w:rPr>
                <w:rFonts w:hint="eastAsia" w:ascii="宋体" w:hAnsi="宋体" w:eastAsia="宋体" w:cs="宋体"/>
                <w:highlight w:val="none"/>
              </w:rPr>
            </w:pPr>
            <w:r>
              <w:rPr>
                <w:rFonts w:hint="eastAsia" w:ascii="宋体" w:hAnsi="宋体" w:cs="宋体"/>
                <w:highlight w:val="none"/>
                <w:lang w:val="en-US" w:eastAsia="zh-CN"/>
              </w:rPr>
              <w:t>2.团队成员</w:t>
            </w:r>
            <w:r>
              <w:rPr>
                <w:rFonts w:hint="eastAsia" w:ascii="宋体" w:hAnsi="宋体" w:eastAsia="宋体" w:cs="宋体"/>
                <w:highlight w:val="none"/>
              </w:rPr>
              <w:t>具有工业和信息化部(工信部)和人力资源和社会保障部(人社部)颁发的系统集成项目管理工程师,每提供1人得</w:t>
            </w:r>
            <w:r>
              <w:rPr>
                <w:rFonts w:hint="eastAsia" w:ascii="宋体" w:hAnsi="宋体" w:eastAsia="宋体" w:cs="宋体"/>
                <w:highlight w:val="none"/>
                <w:lang w:val="en-US" w:eastAsia="zh-CN"/>
              </w:rPr>
              <w:t>2</w:t>
            </w:r>
            <w:r>
              <w:rPr>
                <w:rFonts w:hint="eastAsia" w:ascii="宋体" w:hAnsi="宋体" w:eastAsia="宋体" w:cs="宋体"/>
                <w:highlight w:val="none"/>
              </w:rPr>
              <w:t>分，最高得</w:t>
            </w:r>
            <w:r>
              <w:rPr>
                <w:rFonts w:hint="eastAsia" w:ascii="宋体" w:hAnsi="宋体" w:eastAsia="宋体" w:cs="宋体"/>
                <w:highlight w:val="none"/>
                <w:lang w:val="en-US" w:eastAsia="zh-CN"/>
              </w:rPr>
              <w:t>4</w:t>
            </w:r>
            <w:r>
              <w:rPr>
                <w:rFonts w:hint="eastAsia" w:ascii="宋体" w:hAnsi="宋体" w:eastAsia="宋体" w:cs="宋体"/>
                <w:highlight w:val="none"/>
              </w:rPr>
              <w:t>分。</w:t>
            </w:r>
          </w:p>
          <w:p w14:paraId="058FCA2F">
            <w:pPr>
              <w:pStyle w:val="54"/>
              <w:numPr>
                <w:ilvl w:val="0"/>
                <w:numId w:val="0"/>
              </w:numPr>
              <w:ind w:left="100" w:leftChars="0" w:firstLine="0" w:firstLineChars="0"/>
              <w:jc w:val="left"/>
              <w:rPr>
                <w:rFonts w:hint="default" w:ascii="宋体" w:hAnsi="宋体" w:eastAsia="宋体" w:cs="宋体"/>
                <w:highlight w:val="none"/>
                <w:lang w:val="en-US" w:eastAsia="zh-CN"/>
              </w:rPr>
            </w:pPr>
            <w:r>
              <w:rPr>
                <w:rFonts w:hint="eastAsia" w:ascii="宋体" w:hAnsi="宋体" w:cs="宋体"/>
                <w:highlight w:val="none"/>
                <w:lang w:val="en-US" w:eastAsia="zh-CN"/>
              </w:rPr>
              <w:t>3.团队成员具有3年或以上的同类项目（排队叫号系统或多媒体分诊导引系统）交付经验，每提供1人履历表得1分，最高得3分。</w:t>
            </w:r>
          </w:p>
          <w:p w14:paraId="57C0E079">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Times New Roman" w:hAnsi="Times New Roman" w:eastAsia="宋体" w:cs="Times New Roman"/>
                <w:color w:val="auto"/>
                <w:sz w:val="20"/>
                <w:szCs w:val="20"/>
                <w:highlight w:val="none"/>
                <w:lang w:val="en-US" w:eastAsia="zh-CN"/>
              </w:rPr>
            </w:pPr>
            <w:r>
              <w:rPr>
                <w:b/>
                <w:bCs/>
                <w:color w:val="auto"/>
                <w:sz w:val="20"/>
                <w:szCs w:val="20"/>
                <w:highlight w:val="none"/>
              </w:rPr>
              <w:t>注：①本项最高得</w:t>
            </w:r>
            <w:r>
              <w:rPr>
                <w:rFonts w:hint="eastAsia"/>
                <w:b/>
                <w:bCs/>
                <w:color w:val="auto"/>
                <w:sz w:val="20"/>
                <w:szCs w:val="20"/>
                <w:highlight w:val="none"/>
                <w:lang w:val="en-US" w:eastAsia="zh-CN"/>
              </w:rPr>
              <w:t>10</w:t>
            </w:r>
            <w:r>
              <w:rPr>
                <w:b/>
                <w:bCs/>
                <w:color w:val="auto"/>
                <w:sz w:val="20"/>
                <w:szCs w:val="20"/>
                <w:highlight w:val="none"/>
              </w:rPr>
              <w:t>分。提供有效的证书复印件，如一人同时具有多个证书的，</w:t>
            </w:r>
            <w:r>
              <w:rPr>
                <w:rFonts w:hint="eastAsia"/>
                <w:b/>
                <w:bCs/>
                <w:color w:val="auto"/>
                <w:sz w:val="20"/>
                <w:szCs w:val="20"/>
                <w:highlight w:val="none"/>
                <w:lang w:val="en-US" w:eastAsia="zh-CN"/>
              </w:rPr>
              <w:t>最多</w:t>
            </w:r>
            <w:r>
              <w:rPr>
                <w:b/>
                <w:bCs/>
                <w:color w:val="auto"/>
                <w:sz w:val="20"/>
                <w:szCs w:val="20"/>
                <w:highlight w:val="none"/>
              </w:rPr>
              <w:t>只计</w:t>
            </w:r>
            <w:r>
              <w:rPr>
                <w:rFonts w:hint="eastAsia"/>
                <w:b/>
                <w:bCs/>
                <w:color w:val="auto"/>
                <w:sz w:val="20"/>
                <w:szCs w:val="20"/>
                <w:highlight w:val="none"/>
                <w:lang w:val="en-US" w:eastAsia="zh-CN"/>
              </w:rPr>
              <w:t>2分</w:t>
            </w:r>
            <w:r>
              <w:rPr>
                <w:b/>
                <w:bCs/>
                <w:color w:val="auto"/>
                <w:sz w:val="20"/>
                <w:szCs w:val="20"/>
                <w:highlight w:val="none"/>
              </w:rPr>
              <w:t>。②须提供</w:t>
            </w:r>
            <w:r>
              <w:rPr>
                <w:rFonts w:hint="eastAsia"/>
                <w:b/>
                <w:bCs/>
                <w:color w:val="auto"/>
                <w:sz w:val="20"/>
                <w:szCs w:val="20"/>
                <w:highlight w:val="none"/>
                <w:lang w:val="en-US" w:eastAsia="zh-CN"/>
              </w:rPr>
              <w:t>供应商在评审当天前</w:t>
            </w:r>
            <w:r>
              <w:rPr>
                <w:b/>
                <w:bCs/>
                <w:color w:val="auto"/>
                <w:sz w:val="20"/>
                <w:szCs w:val="20"/>
                <w:highlight w:val="none"/>
              </w:rPr>
              <w:t>六个月内任意一个月为其购买社保的证明材料</w:t>
            </w:r>
            <w:r>
              <w:rPr>
                <w:rFonts w:hint="eastAsia"/>
                <w:b/>
                <w:bCs/>
                <w:color w:val="auto"/>
                <w:sz w:val="20"/>
                <w:szCs w:val="20"/>
                <w:highlight w:val="none"/>
                <w:lang w:eastAsia="zh-CN"/>
              </w:rPr>
              <w:t>。</w:t>
            </w:r>
            <w:r>
              <w:rPr>
                <w:b/>
                <w:bCs/>
                <w:color w:val="auto"/>
                <w:sz w:val="20"/>
                <w:szCs w:val="20"/>
                <w:highlight w:val="none"/>
              </w:rPr>
              <w:t>③如证明资料不齐全的，视为无效，不得分</w:t>
            </w:r>
            <w:r>
              <w:rPr>
                <w:rFonts w:hint="eastAsia"/>
                <w:b/>
                <w:bCs/>
                <w:color w:val="auto"/>
                <w:sz w:val="20"/>
                <w:szCs w:val="20"/>
                <w:highlight w:val="none"/>
                <w:lang w:eastAsia="zh-CN"/>
              </w:rPr>
              <w:t>。</w:t>
            </w:r>
            <w:r>
              <w:rPr>
                <w:b/>
                <w:bCs/>
                <w:color w:val="auto"/>
                <w:sz w:val="20"/>
                <w:szCs w:val="20"/>
                <w:highlight w:val="none"/>
              </w:rPr>
              <w:t>④项目经理与服务团队人员不得兼任。</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1476A3F">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0"/>
                <w:szCs w:val="20"/>
                <w:highlight w:val="none"/>
                <w:lang w:val="en-US" w:eastAsia="zh-CN"/>
              </w:rPr>
            </w:pPr>
            <w:r>
              <w:rPr>
                <w:rFonts w:hint="eastAsia" w:ascii="宋体" w:hAnsi="宋体" w:cs="宋体"/>
                <w:color w:val="auto"/>
                <w:kern w:val="0"/>
                <w:sz w:val="20"/>
                <w:szCs w:val="20"/>
                <w:highlight w:val="none"/>
                <w:lang w:val="en-US" w:eastAsia="zh-CN"/>
              </w:rPr>
              <w:t>10</w:t>
            </w:r>
            <w:r>
              <w:rPr>
                <w:rFonts w:hint="eastAsia" w:ascii="宋体" w:hAnsi="宋体" w:eastAsia="宋体" w:cs="宋体"/>
                <w:color w:val="auto"/>
                <w:kern w:val="0"/>
                <w:sz w:val="20"/>
                <w:szCs w:val="20"/>
                <w:highlight w:val="none"/>
                <w:lang w:val="en-US" w:eastAsia="zh-CN"/>
              </w:rPr>
              <w:t>分</w:t>
            </w: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565AF6C">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p>
        </w:tc>
        <w:tc>
          <w:tcPr>
            <w:tcW w:w="810"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913F2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highlight w:val="none"/>
              </w:rPr>
              <w:t>第   页</w:t>
            </w:r>
          </w:p>
        </w:tc>
      </w:tr>
      <w:tr w14:paraId="28FB9918">
        <w:tblPrEx>
          <w:tblCellMar>
            <w:top w:w="0" w:type="dxa"/>
            <w:left w:w="0" w:type="dxa"/>
            <w:bottom w:w="0" w:type="dxa"/>
            <w:right w:w="0" w:type="dxa"/>
          </w:tblCellMar>
        </w:tblPrEx>
        <w:trPr>
          <w:trHeight w:val="1615"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4E732F">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6</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BB301B">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cs="宋体"/>
                <w:b/>
                <w:bCs/>
                <w:i w:val="0"/>
                <w:iCs w:val="0"/>
                <w:color w:val="auto"/>
                <w:kern w:val="0"/>
                <w:sz w:val="20"/>
                <w:szCs w:val="20"/>
                <w:highlight w:val="none"/>
                <w:u w:val="none"/>
                <w:lang w:val="en-US" w:eastAsia="zh-CN" w:bidi="ar"/>
              </w:rPr>
              <w:t>项目实施</w:t>
            </w:r>
            <w:r>
              <w:rPr>
                <w:rFonts w:hint="eastAsia" w:ascii="宋体" w:hAnsi="宋体" w:eastAsia="宋体" w:cs="宋体"/>
                <w:b/>
                <w:bCs/>
                <w:i w:val="0"/>
                <w:iCs w:val="0"/>
                <w:color w:val="auto"/>
                <w:kern w:val="0"/>
                <w:sz w:val="20"/>
                <w:szCs w:val="20"/>
                <w:highlight w:val="none"/>
                <w:u w:val="none"/>
                <w:lang w:val="en-US" w:eastAsia="zh-CN" w:bidi="ar"/>
              </w:rPr>
              <w:t>方案</w:t>
            </w:r>
          </w:p>
          <w:p w14:paraId="1AF4717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sz w:val="20"/>
                <w:szCs w:val="20"/>
                <w:highlight w:val="none"/>
                <w:lang w:bidi="ar"/>
              </w:rPr>
            </w:pPr>
            <w:r>
              <w:rPr>
                <w:rFonts w:hint="eastAsia" w:ascii="宋体" w:hAnsi="宋体" w:eastAsia="宋体" w:cs="宋体"/>
                <w:b/>
                <w:bCs/>
                <w:i w:val="0"/>
                <w:iCs w:val="0"/>
                <w:color w:val="auto"/>
                <w:kern w:val="0"/>
                <w:sz w:val="20"/>
                <w:szCs w:val="20"/>
                <w:highlight w:val="none"/>
                <w:u w:val="none"/>
                <w:lang w:val="en-US" w:eastAsia="zh-CN" w:bidi="ar"/>
              </w:rPr>
              <w:t>（</w:t>
            </w:r>
            <w:r>
              <w:rPr>
                <w:rFonts w:hint="eastAsia" w:ascii="宋体" w:hAnsi="宋体" w:cs="宋体"/>
                <w:b/>
                <w:bCs/>
                <w:i w:val="0"/>
                <w:iCs w:val="0"/>
                <w:color w:val="auto"/>
                <w:kern w:val="0"/>
                <w:sz w:val="20"/>
                <w:szCs w:val="20"/>
                <w:highlight w:val="none"/>
                <w:u w:val="none"/>
                <w:lang w:val="en-US" w:eastAsia="zh-CN" w:bidi="ar"/>
              </w:rPr>
              <w:t>12</w:t>
            </w:r>
            <w:r>
              <w:rPr>
                <w:rFonts w:hint="eastAsia" w:ascii="宋体" w:hAnsi="宋体" w:eastAsia="宋体" w:cs="宋体"/>
                <w:b/>
                <w:bCs/>
                <w:i w:val="0"/>
                <w:iCs w:val="0"/>
                <w:color w:val="auto"/>
                <w:kern w:val="0"/>
                <w:sz w:val="20"/>
                <w:szCs w:val="20"/>
                <w:highlight w:val="none"/>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DE5665A">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根据</w:t>
            </w:r>
            <w:r>
              <w:rPr>
                <w:rFonts w:hint="eastAsia" w:ascii="新宋体" w:hAnsi="新宋体" w:eastAsia="新宋体" w:cs="Arial"/>
                <w:color w:val="auto"/>
                <w:sz w:val="20"/>
                <w:szCs w:val="20"/>
                <w:highlight w:val="none"/>
                <w:lang w:val="en-US" w:eastAsia="zh-CN"/>
              </w:rPr>
              <w:t>供应商</w:t>
            </w:r>
            <w:r>
              <w:rPr>
                <w:rFonts w:hint="eastAsia" w:ascii="新宋体" w:hAnsi="新宋体" w:eastAsia="新宋体" w:cs="Arial"/>
                <w:color w:val="auto"/>
                <w:sz w:val="20"/>
                <w:szCs w:val="20"/>
                <w:highlight w:val="none"/>
              </w:rPr>
              <w:t>结合采购需求提供的</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lang w:eastAsia="zh-CN"/>
              </w:rPr>
              <w:t>（包括</w:t>
            </w:r>
            <w:r>
              <w:rPr>
                <w:rFonts w:hint="eastAsia" w:ascii="新宋体" w:hAnsi="新宋体" w:eastAsia="新宋体" w:cs="Arial"/>
                <w:color w:val="auto"/>
                <w:sz w:val="20"/>
                <w:szCs w:val="20"/>
                <w:highlight w:val="none"/>
                <w:lang w:val="en-US" w:eastAsia="zh-CN"/>
              </w:rPr>
              <w:t>但不限于</w:t>
            </w:r>
            <w:r>
              <w:rPr>
                <w:rFonts w:hint="eastAsia" w:ascii="新宋体" w:hAnsi="新宋体" w:eastAsia="新宋体" w:cs="Arial"/>
                <w:color w:val="auto"/>
                <w:sz w:val="20"/>
                <w:szCs w:val="20"/>
                <w:highlight w:val="none"/>
                <w:lang w:eastAsia="zh-CN"/>
              </w:rPr>
              <w:t>人员组织、时间安排、阶段性文档提交、质量保证和风险规避措施等）</w:t>
            </w:r>
            <w:r>
              <w:rPr>
                <w:rFonts w:hint="eastAsia" w:ascii="新宋体" w:hAnsi="新宋体" w:eastAsia="新宋体" w:cs="Arial"/>
                <w:color w:val="auto"/>
                <w:sz w:val="20"/>
                <w:szCs w:val="20"/>
                <w:highlight w:val="none"/>
              </w:rPr>
              <w:t>进行评审：</w:t>
            </w:r>
          </w:p>
          <w:p w14:paraId="100D1825">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1</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rPr>
              <w:t>内容非常全面，</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具体，针对性</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强，</w:t>
            </w:r>
            <w:r>
              <w:rPr>
                <w:rFonts w:hint="eastAsia" w:ascii="新宋体" w:hAnsi="新宋体" w:eastAsia="新宋体" w:cs="Arial"/>
                <w:color w:val="auto"/>
                <w:sz w:val="20"/>
                <w:szCs w:val="20"/>
                <w:highlight w:val="none"/>
                <w:lang w:val="en-US" w:eastAsia="zh-CN"/>
              </w:rPr>
              <w:t>非常</w:t>
            </w:r>
            <w:r>
              <w:rPr>
                <w:rFonts w:hint="eastAsia" w:ascii="新宋体" w:hAnsi="新宋体" w:eastAsia="新宋体" w:cs="Arial"/>
                <w:color w:val="auto"/>
                <w:sz w:val="20"/>
                <w:szCs w:val="20"/>
                <w:highlight w:val="none"/>
              </w:rPr>
              <w:t>科学合理的，得</w:t>
            </w:r>
            <w:r>
              <w:rPr>
                <w:rFonts w:hint="eastAsia" w:ascii="新宋体" w:hAnsi="新宋体" w:eastAsia="新宋体" w:cs="Arial"/>
                <w:color w:val="auto"/>
                <w:sz w:val="20"/>
                <w:szCs w:val="20"/>
                <w:highlight w:val="none"/>
                <w:lang w:val="en-US" w:eastAsia="zh-CN"/>
              </w:rPr>
              <w:t>12</w:t>
            </w:r>
            <w:r>
              <w:rPr>
                <w:rFonts w:hint="eastAsia" w:ascii="新宋体" w:hAnsi="新宋体" w:eastAsia="新宋体" w:cs="Arial"/>
                <w:color w:val="auto"/>
                <w:sz w:val="20"/>
                <w:szCs w:val="20"/>
                <w:highlight w:val="none"/>
              </w:rPr>
              <w:t>分；</w:t>
            </w:r>
          </w:p>
          <w:p w14:paraId="2E2BF992">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rPr>
              <w:t>2</w:t>
            </w:r>
            <w:r>
              <w:rPr>
                <w:rFonts w:hint="eastAsia" w:ascii="新宋体" w:hAnsi="新宋体" w:eastAsia="新宋体" w:cs="Arial"/>
                <w:color w:val="auto"/>
                <w:sz w:val="20"/>
                <w:szCs w:val="20"/>
                <w:highlight w:val="none"/>
                <w:lang w:val="en-US" w:eastAsia="zh-CN"/>
              </w:rPr>
              <w:t>.项目实施方案</w:t>
            </w:r>
            <w:r>
              <w:rPr>
                <w:rFonts w:hint="eastAsia" w:ascii="新宋体" w:hAnsi="新宋体" w:eastAsia="新宋体" w:cs="Arial"/>
                <w:color w:val="auto"/>
                <w:sz w:val="20"/>
                <w:szCs w:val="20"/>
                <w:highlight w:val="none"/>
              </w:rPr>
              <w:t>内容</w:t>
            </w:r>
            <w:r>
              <w:rPr>
                <w:rFonts w:hint="eastAsia" w:ascii="新宋体" w:hAnsi="新宋体" w:eastAsia="新宋体" w:cs="Arial"/>
                <w:color w:val="auto"/>
                <w:sz w:val="20"/>
                <w:szCs w:val="20"/>
                <w:highlight w:val="none"/>
                <w:lang w:val="en-US" w:eastAsia="zh-CN"/>
              </w:rPr>
              <w:t>较</w:t>
            </w:r>
            <w:r>
              <w:rPr>
                <w:rFonts w:hint="eastAsia" w:ascii="新宋体" w:hAnsi="新宋体" w:eastAsia="新宋体" w:cs="Arial"/>
                <w:color w:val="auto"/>
                <w:sz w:val="20"/>
                <w:szCs w:val="20"/>
                <w:highlight w:val="none"/>
              </w:rPr>
              <w:t>全面，具体，针对性</w:t>
            </w:r>
            <w:r>
              <w:rPr>
                <w:rFonts w:hint="eastAsia" w:ascii="新宋体" w:hAnsi="新宋体" w:eastAsia="新宋体" w:cs="Arial"/>
                <w:color w:val="auto"/>
                <w:sz w:val="20"/>
                <w:szCs w:val="20"/>
                <w:highlight w:val="none"/>
                <w:lang w:val="en-US" w:eastAsia="zh-CN"/>
              </w:rPr>
              <w:t>较</w:t>
            </w:r>
            <w:r>
              <w:rPr>
                <w:rFonts w:hint="eastAsia" w:ascii="新宋体" w:hAnsi="新宋体" w:eastAsia="新宋体" w:cs="Arial"/>
                <w:color w:val="auto"/>
                <w:sz w:val="20"/>
                <w:szCs w:val="20"/>
                <w:highlight w:val="none"/>
              </w:rPr>
              <w:t>强，科学合理的，得</w:t>
            </w:r>
            <w:r>
              <w:rPr>
                <w:rFonts w:hint="eastAsia" w:ascii="新宋体" w:hAnsi="新宋体" w:eastAsia="新宋体" w:cs="Arial"/>
                <w:color w:val="auto"/>
                <w:sz w:val="20"/>
                <w:szCs w:val="20"/>
                <w:highlight w:val="none"/>
                <w:lang w:val="en-US" w:eastAsia="zh-CN"/>
              </w:rPr>
              <w:t>8</w:t>
            </w:r>
            <w:r>
              <w:rPr>
                <w:rFonts w:hint="eastAsia" w:ascii="新宋体" w:hAnsi="新宋体" w:eastAsia="新宋体" w:cs="Arial"/>
                <w:color w:val="auto"/>
                <w:sz w:val="20"/>
                <w:szCs w:val="20"/>
                <w:highlight w:val="none"/>
              </w:rPr>
              <w:t>分；</w:t>
            </w:r>
          </w:p>
          <w:p w14:paraId="7F7405BB">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新宋体" w:hAnsi="新宋体" w:eastAsia="新宋体" w:cs="Arial"/>
                <w:color w:val="auto"/>
                <w:sz w:val="20"/>
                <w:szCs w:val="20"/>
                <w:highlight w:val="none"/>
              </w:rPr>
            </w:pPr>
            <w:r>
              <w:rPr>
                <w:rFonts w:hint="eastAsia" w:ascii="新宋体" w:hAnsi="新宋体" w:eastAsia="新宋体" w:cs="Arial"/>
                <w:color w:val="auto"/>
                <w:sz w:val="20"/>
                <w:szCs w:val="20"/>
                <w:highlight w:val="none"/>
                <w:lang w:val="en-US" w:eastAsia="zh-CN"/>
              </w:rPr>
              <w:t>3.项目实施方案</w:t>
            </w:r>
            <w:r>
              <w:rPr>
                <w:rFonts w:hint="eastAsia" w:ascii="新宋体" w:hAnsi="新宋体" w:eastAsia="新宋体" w:cs="Arial"/>
                <w:color w:val="auto"/>
                <w:sz w:val="20"/>
                <w:szCs w:val="20"/>
                <w:highlight w:val="none"/>
              </w:rPr>
              <w:t>内容</w:t>
            </w:r>
            <w:r>
              <w:rPr>
                <w:rFonts w:hint="eastAsia" w:ascii="新宋体" w:hAnsi="新宋体" w:eastAsia="新宋体" w:cs="Arial"/>
                <w:color w:val="auto"/>
                <w:sz w:val="20"/>
                <w:szCs w:val="20"/>
                <w:highlight w:val="none"/>
                <w:lang w:val="en-US" w:eastAsia="zh-CN"/>
              </w:rPr>
              <w:t>一般</w:t>
            </w:r>
            <w:r>
              <w:rPr>
                <w:rFonts w:hint="eastAsia" w:ascii="新宋体" w:hAnsi="新宋体" w:eastAsia="新宋体" w:cs="Arial"/>
                <w:color w:val="auto"/>
                <w:sz w:val="20"/>
                <w:szCs w:val="20"/>
                <w:highlight w:val="none"/>
              </w:rPr>
              <w:t>，针对性</w:t>
            </w:r>
            <w:r>
              <w:rPr>
                <w:rFonts w:hint="eastAsia" w:ascii="新宋体" w:hAnsi="新宋体" w:eastAsia="新宋体" w:cs="Arial"/>
                <w:color w:val="auto"/>
                <w:sz w:val="20"/>
                <w:szCs w:val="20"/>
                <w:highlight w:val="none"/>
                <w:lang w:eastAsia="zh-CN"/>
              </w:rPr>
              <w:t>、</w:t>
            </w:r>
            <w:r>
              <w:rPr>
                <w:rFonts w:hint="eastAsia" w:ascii="新宋体" w:hAnsi="新宋体" w:eastAsia="新宋体" w:cs="Arial"/>
                <w:color w:val="auto"/>
                <w:sz w:val="20"/>
                <w:szCs w:val="20"/>
                <w:highlight w:val="none"/>
              </w:rPr>
              <w:t>科学合理</w:t>
            </w:r>
            <w:r>
              <w:rPr>
                <w:rFonts w:hint="eastAsia" w:ascii="新宋体" w:hAnsi="新宋体" w:eastAsia="新宋体" w:cs="Arial"/>
                <w:color w:val="auto"/>
                <w:sz w:val="20"/>
                <w:szCs w:val="20"/>
                <w:highlight w:val="none"/>
                <w:lang w:val="en-US" w:eastAsia="zh-CN"/>
              </w:rPr>
              <w:t>性一般</w:t>
            </w:r>
            <w:r>
              <w:rPr>
                <w:rFonts w:hint="eastAsia" w:ascii="新宋体" w:hAnsi="新宋体" w:eastAsia="新宋体" w:cs="Arial"/>
                <w:color w:val="auto"/>
                <w:sz w:val="20"/>
                <w:szCs w:val="20"/>
                <w:highlight w:val="none"/>
              </w:rPr>
              <w:t>的，得</w:t>
            </w:r>
            <w:r>
              <w:rPr>
                <w:rFonts w:hint="eastAsia" w:ascii="新宋体" w:hAnsi="新宋体" w:eastAsia="新宋体" w:cs="Arial"/>
                <w:color w:val="auto"/>
                <w:sz w:val="20"/>
                <w:szCs w:val="20"/>
                <w:highlight w:val="none"/>
                <w:lang w:val="en-US" w:eastAsia="zh-CN"/>
              </w:rPr>
              <w:t>4</w:t>
            </w:r>
            <w:r>
              <w:rPr>
                <w:rFonts w:hint="eastAsia" w:ascii="新宋体" w:hAnsi="新宋体" w:eastAsia="新宋体" w:cs="Arial"/>
                <w:color w:val="auto"/>
                <w:sz w:val="20"/>
                <w:szCs w:val="20"/>
                <w:highlight w:val="none"/>
              </w:rPr>
              <w:t>分；</w:t>
            </w:r>
          </w:p>
          <w:p w14:paraId="6AAA1634">
            <w:pPr>
              <w:keepNext w:val="0"/>
              <w:keepLines w:val="0"/>
              <w:pageBreakBefore w:val="0"/>
              <w:widowControl/>
              <w:kinsoku/>
              <w:wordWrap/>
              <w:overflowPunct/>
              <w:topLinePunct w:val="0"/>
              <w:autoSpaceDE/>
              <w:autoSpaceDN/>
              <w:bidi w:val="0"/>
              <w:adjustRightInd/>
              <w:snapToGrid/>
              <w:spacing w:line="240" w:lineRule="exact"/>
              <w:jc w:val="left"/>
              <w:textAlignment w:val="auto"/>
              <w:outlineLvl w:val="1"/>
              <w:rPr>
                <w:rFonts w:hint="eastAsia" w:ascii="Times New Roman" w:hAnsi="Times New Roman" w:eastAsia="宋体" w:cs="Times New Roman"/>
                <w:color w:val="auto"/>
                <w:sz w:val="20"/>
                <w:szCs w:val="20"/>
                <w:highlight w:val="none"/>
                <w:lang w:val="en-US" w:eastAsia="zh-CN"/>
              </w:rPr>
            </w:pPr>
            <w:r>
              <w:rPr>
                <w:rFonts w:hint="eastAsia" w:ascii="新宋体" w:hAnsi="新宋体" w:eastAsia="新宋体" w:cs="Arial"/>
                <w:color w:val="auto"/>
                <w:sz w:val="20"/>
                <w:szCs w:val="20"/>
                <w:highlight w:val="none"/>
                <w:lang w:val="en-US" w:eastAsia="zh-CN"/>
              </w:rPr>
              <w:t>4.项目实施方案</w:t>
            </w:r>
            <w:r>
              <w:rPr>
                <w:rFonts w:hint="eastAsia" w:ascii="新宋体" w:hAnsi="新宋体" w:eastAsia="新宋体" w:cs="Arial"/>
                <w:color w:val="auto"/>
                <w:sz w:val="20"/>
                <w:szCs w:val="20"/>
                <w:highlight w:val="none"/>
              </w:rPr>
              <w:t>内容不全面，不具体，针对性弱，科学合理性一般的</w:t>
            </w:r>
            <w:r>
              <w:rPr>
                <w:rFonts w:hint="eastAsia" w:ascii="新宋体" w:hAnsi="新宋体" w:eastAsia="新宋体" w:cs="Arial"/>
                <w:color w:val="auto"/>
                <w:sz w:val="20"/>
                <w:szCs w:val="20"/>
                <w:highlight w:val="none"/>
                <w:lang w:val="en-US" w:eastAsia="zh-CN"/>
              </w:rPr>
              <w:t>或未提供方案的</w:t>
            </w:r>
            <w:r>
              <w:rPr>
                <w:rFonts w:hint="eastAsia" w:ascii="新宋体" w:hAnsi="新宋体" w:eastAsia="新宋体" w:cs="Arial"/>
                <w:color w:val="auto"/>
                <w:sz w:val="20"/>
                <w:szCs w:val="20"/>
                <w:highlight w:val="none"/>
              </w:rPr>
              <w:t>，不得分。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D00B7F">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sz w:val="20"/>
                <w:szCs w:val="20"/>
                <w:highlight w:val="none"/>
                <w:lang w:val="en-US" w:eastAsia="zh-CN"/>
              </w:rPr>
              <w:t>12</w:t>
            </w:r>
            <w:r>
              <w:rPr>
                <w:rFonts w:hint="eastAsia" w:ascii="宋体" w:hAnsi="宋体" w:eastAsia="宋体" w:cs="宋体"/>
                <w:color w:val="auto"/>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3C9F271">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EE17A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23B47492">
        <w:tblPrEx>
          <w:tblCellMar>
            <w:top w:w="0" w:type="dxa"/>
            <w:left w:w="0" w:type="dxa"/>
            <w:bottom w:w="0" w:type="dxa"/>
            <w:right w:w="0" w:type="dxa"/>
          </w:tblCellMar>
        </w:tblPrEx>
        <w:trPr>
          <w:trHeight w:val="1378"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EFA6971">
            <w:pPr>
              <w:keepNext w:val="0"/>
              <w:keepLines w:val="0"/>
              <w:pageBreakBefore w:val="0"/>
              <w:kinsoku/>
              <w:wordWrap/>
              <w:overflowPunct/>
              <w:topLinePunct w:val="0"/>
              <w:autoSpaceDE/>
              <w:autoSpaceDN/>
              <w:bidi w:val="0"/>
              <w:adjustRightInd/>
              <w:snapToGrid/>
              <w:spacing w:line="240" w:lineRule="auto"/>
              <w:jc w:val="center"/>
              <w:textAlignment w:val="center"/>
              <w:rPr>
                <w:rFonts w:hint="default"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7</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7D6CA3">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cs="宋体"/>
                <w:b/>
                <w:bCs/>
                <w:i w:val="0"/>
                <w:iCs w:val="0"/>
                <w:color w:val="auto"/>
                <w:kern w:val="0"/>
                <w:sz w:val="20"/>
                <w:szCs w:val="20"/>
                <w:highlight w:val="none"/>
                <w:u w:val="none"/>
                <w:lang w:val="en-US" w:eastAsia="zh-CN" w:bidi="ar"/>
              </w:rPr>
              <w:t>应急保障</w:t>
            </w:r>
            <w:r>
              <w:rPr>
                <w:rFonts w:hint="eastAsia" w:ascii="宋体" w:hAnsi="宋体" w:eastAsia="宋体" w:cs="宋体"/>
                <w:b/>
                <w:bCs/>
                <w:i w:val="0"/>
                <w:iCs w:val="0"/>
                <w:color w:val="auto"/>
                <w:kern w:val="0"/>
                <w:sz w:val="20"/>
                <w:szCs w:val="20"/>
                <w:highlight w:val="none"/>
                <w:u w:val="none"/>
                <w:lang w:val="en-US" w:eastAsia="zh-CN" w:bidi="ar"/>
              </w:rPr>
              <w:t>方案 (</w:t>
            </w:r>
            <w:r>
              <w:rPr>
                <w:rFonts w:hint="eastAsia" w:ascii="宋体" w:hAnsi="宋体" w:cs="宋体"/>
                <w:b/>
                <w:bCs/>
                <w:i w:val="0"/>
                <w:iCs w:val="0"/>
                <w:color w:val="auto"/>
                <w:kern w:val="0"/>
                <w:sz w:val="20"/>
                <w:szCs w:val="20"/>
                <w:highlight w:val="none"/>
                <w:u w:val="none"/>
                <w:lang w:val="en-US" w:eastAsia="zh-CN" w:bidi="ar"/>
              </w:rPr>
              <w:t>9</w:t>
            </w:r>
            <w:r>
              <w:rPr>
                <w:rFonts w:hint="eastAsia" w:ascii="宋体" w:hAnsi="宋体" w:eastAsia="宋体" w:cs="宋体"/>
                <w:b/>
                <w:bCs/>
                <w:i w:val="0"/>
                <w:iCs w:val="0"/>
                <w:color w:val="auto"/>
                <w:kern w:val="0"/>
                <w:sz w:val="20"/>
                <w:szCs w:val="20"/>
                <w:highlight w:val="none"/>
                <w:u w:val="none"/>
                <w:lang w:val="en-US" w:eastAsia="zh-CN" w:bidi="ar"/>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top"/>
          </w:tcPr>
          <w:p w14:paraId="637698BD">
            <w:pPr>
              <w:pStyle w:val="54"/>
              <w:jc w:val="left"/>
              <w:rPr>
                <w:rFonts w:hint="eastAsia" w:ascii="宋体" w:hAnsi="宋体" w:eastAsia="宋体" w:cs="宋体"/>
                <w:color w:val="auto"/>
                <w:sz w:val="20"/>
                <w:szCs w:val="20"/>
                <w:highlight w:val="none"/>
              </w:rPr>
            </w:pPr>
            <w:r>
              <w:rPr>
                <w:rFonts w:hint="eastAsia"/>
                <w:color w:val="auto"/>
                <w:sz w:val="20"/>
                <w:szCs w:val="20"/>
                <w:highlight w:val="none"/>
                <w:lang w:val="en-US" w:eastAsia="zh-CN"/>
              </w:rPr>
              <w:t>根</w:t>
            </w:r>
            <w:r>
              <w:rPr>
                <w:rFonts w:hint="eastAsia"/>
                <w:color w:val="auto"/>
                <w:sz w:val="20"/>
                <w:szCs w:val="20"/>
                <w:highlight w:val="none"/>
              </w:rPr>
              <w:t>据</w:t>
            </w:r>
            <w:r>
              <w:rPr>
                <w:rFonts w:hint="eastAsia"/>
                <w:color w:val="auto"/>
                <w:sz w:val="20"/>
                <w:szCs w:val="20"/>
                <w:highlight w:val="none"/>
                <w:lang w:val="en-US" w:eastAsia="zh-CN"/>
              </w:rPr>
              <w:t>供应商</w:t>
            </w:r>
            <w:r>
              <w:rPr>
                <w:rFonts w:hint="eastAsia"/>
                <w:color w:val="auto"/>
                <w:sz w:val="20"/>
                <w:szCs w:val="20"/>
                <w:highlight w:val="none"/>
              </w:rPr>
              <w:t>针对本项目</w:t>
            </w:r>
            <w:r>
              <w:rPr>
                <w:rFonts w:hint="eastAsia"/>
                <w:color w:val="auto"/>
                <w:sz w:val="20"/>
                <w:szCs w:val="20"/>
                <w:highlight w:val="none"/>
                <w:lang w:val="en-US" w:eastAsia="zh-CN"/>
              </w:rPr>
              <w:t>提供</w:t>
            </w:r>
            <w:r>
              <w:rPr>
                <w:rFonts w:hint="eastAsia"/>
                <w:color w:val="auto"/>
                <w:sz w:val="20"/>
                <w:szCs w:val="20"/>
                <w:highlight w:val="none"/>
              </w:rPr>
              <w:t>的应急保障方案（包括但不限于应急管理、应急人员、应急设备等</w:t>
            </w:r>
            <w:r>
              <w:rPr>
                <w:rFonts w:hint="eastAsia" w:ascii="宋体" w:hAnsi="宋体" w:eastAsia="宋体" w:cs="宋体"/>
                <w:color w:val="auto"/>
                <w:sz w:val="20"/>
                <w:szCs w:val="20"/>
                <w:highlight w:val="none"/>
              </w:rPr>
              <w:t xml:space="preserve">应急保障）进行评审： </w:t>
            </w:r>
          </w:p>
          <w:p w14:paraId="0F84E7CC">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rPr>
              <w:t>应急保障方案非常具体</w:t>
            </w:r>
            <w:r>
              <w:rPr>
                <w:rFonts w:hint="eastAsia" w:ascii="宋体" w:hAnsi="宋体" w:eastAsia="宋体" w:cs="宋体"/>
                <w:color w:val="auto"/>
                <w:sz w:val="20"/>
                <w:szCs w:val="20"/>
                <w:highlight w:val="none"/>
                <w:lang w:val="en-US" w:eastAsia="zh-CN"/>
              </w:rPr>
              <w:t>详细</w:t>
            </w:r>
            <w:r>
              <w:rPr>
                <w:rFonts w:hint="eastAsia" w:ascii="宋体" w:hAnsi="宋体" w:eastAsia="宋体" w:cs="宋体"/>
                <w:color w:val="auto"/>
                <w:sz w:val="20"/>
                <w:szCs w:val="20"/>
                <w:highlight w:val="none"/>
              </w:rPr>
              <w:t>，有成熟的应急管理机制、人员安排计划周全，组织运作机制非常完善、科学合理，可行性非常强的，得</w:t>
            </w:r>
            <w:r>
              <w:rPr>
                <w:rFonts w:hint="eastAsia" w:ascii="宋体" w:hAnsi="宋体" w:cs="宋体"/>
                <w:color w:val="auto"/>
                <w:sz w:val="20"/>
                <w:szCs w:val="20"/>
                <w:highlight w:val="none"/>
                <w:lang w:val="en-US" w:eastAsia="zh-CN"/>
              </w:rPr>
              <w:t>9</w:t>
            </w:r>
            <w:r>
              <w:rPr>
                <w:rFonts w:hint="eastAsia" w:ascii="宋体" w:hAnsi="宋体" w:eastAsia="宋体" w:cs="宋体"/>
                <w:color w:val="auto"/>
                <w:sz w:val="20"/>
                <w:szCs w:val="20"/>
                <w:highlight w:val="none"/>
              </w:rPr>
              <w:t>分；</w:t>
            </w:r>
          </w:p>
          <w:p w14:paraId="4E72B2AC">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w:t>
            </w:r>
            <w:r>
              <w:rPr>
                <w:rFonts w:hint="eastAsia" w:ascii="宋体" w:hAnsi="宋体" w:eastAsia="宋体" w:cs="宋体"/>
                <w:color w:val="auto"/>
                <w:sz w:val="20"/>
                <w:szCs w:val="20"/>
                <w:highlight w:val="none"/>
              </w:rPr>
              <w:t>应急保障方案</w:t>
            </w:r>
            <w:r>
              <w:rPr>
                <w:rFonts w:hint="eastAsia" w:ascii="宋体" w:hAnsi="宋体" w:cs="宋体"/>
                <w:color w:val="auto"/>
                <w:sz w:val="20"/>
                <w:szCs w:val="20"/>
                <w:highlight w:val="none"/>
                <w:lang w:val="en-US" w:eastAsia="zh-CN"/>
              </w:rPr>
              <w:t>较</w:t>
            </w:r>
            <w:r>
              <w:rPr>
                <w:rFonts w:hint="eastAsia" w:ascii="宋体" w:hAnsi="宋体" w:eastAsia="宋体" w:cs="宋体"/>
                <w:color w:val="auto"/>
                <w:sz w:val="20"/>
                <w:szCs w:val="20"/>
                <w:highlight w:val="none"/>
              </w:rPr>
              <w:t>具体详细，有</w:t>
            </w:r>
            <w:r>
              <w:rPr>
                <w:rFonts w:hint="eastAsia" w:ascii="宋体" w:hAnsi="宋体" w:cs="宋体"/>
                <w:color w:val="auto"/>
                <w:sz w:val="20"/>
                <w:szCs w:val="20"/>
                <w:highlight w:val="none"/>
                <w:lang w:val="en-US" w:eastAsia="zh-CN"/>
              </w:rPr>
              <w:t>较</w:t>
            </w:r>
            <w:r>
              <w:rPr>
                <w:rFonts w:hint="eastAsia" w:ascii="宋体" w:hAnsi="宋体" w:eastAsia="宋体" w:cs="宋体"/>
                <w:color w:val="auto"/>
                <w:sz w:val="20"/>
                <w:szCs w:val="20"/>
                <w:highlight w:val="none"/>
              </w:rPr>
              <w:t>完善的应急管理机制、人员安排计划可行，组织运作机制完善、合理，可行性强的，得</w:t>
            </w:r>
            <w:r>
              <w:rPr>
                <w:rFonts w:hint="eastAsia" w:ascii="宋体" w:hAnsi="宋体" w:cs="宋体"/>
                <w:color w:val="auto"/>
                <w:sz w:val="20"/>
                <w:szCs w:val="20"/>
                <w:highlight w:val="none"/>
                <w:lang w:val="en-US" w:eastAsia="zh-CN"/>
              </w:rPr>
              <w:t>5</w:t>
            </w:r>
            <w:r>
              <w:rPr>
                <w:rFonts w:hint="eastAsia" w:ascii="宋体" w:hAnsi="宋体" w:eastAsia="宋体" w:cs="宋体"/>
                <w:color w:val="auto"/>
                <w:sz w:val="20"/>
                <w:szCs w:val="20"/>
                <w:highlight w:val="none"/>
              </w:rPr>
              <w:t>分；</w:t>
            </w:r>
          </w:p>
          <w:p w14:paraId="4A8BF34D">
            <w:pPr>
              <w:pStyle w:val="54"/>
              <w:jc w:val="left"/>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3.</w:t>
            </w:r>
            <w:r>
              <w:rPr>
                <w:rFonts w:hint="eastAsia" w:ascii="宋体" w:hAnsi="宋体" w:eastAsia="宋体" w:cs="宋体"/>
                <w:color w:val="auto"/>
                <w:sz w:val="20"/>
                <w:szCs w:val="20"/>
                <w:highlight w:val="none"/>
              </w:rPr>
              <w:t>应急保障方案</w:t>
            </w:r>
            <w:r>
              <w:rPr>
                <w:rFonts w:hint="eastAsia" w:ascii="宋体" w:hAnsi="宋体" w:cs="宋体"/>
                <w:color w:val="auto"/>
                <w:sz w:val="20"/>
                <w:szCs w:val="20"/>
                <w:highlight w:val="none"/>
                <w:lang w:val="en-US" w:eastAsia="zh-CN"/>
              </w:rPr>
              <w:t>内容一般</w:t>
            </w:r>
            <w:r>
              <w:rPr>
                <w:rFonts w:hint="eastAsia" w:ascii="宋体" w:hAnsi="宋体" w:eastAsia="宋体" w:cs="宋体"/>
                <w:color w:val="auto"/>
                <w:sz w:val="20"/>
                <w:szCs w:val="20"/>
                <w:highlight w:val="none"/>
              </w:rPr>
              <w:t>，有</w:t>
            </w:r>
            <w:r>
              <w:rPr>
                <w:rFonts w:hint="eastAsia" w:ascii="宋体" w:hAnsi="宋体" w:eastAsia="宋体" w:cs="宋体"/>
                <w:color w:val="auto"/>
                <w:sz w:val="20"/>
                <w:szCs w:val="20"/>
                <w:highlight w:val="none"/>
                <w:lang w:val="en-US" w:eastAsia="zh-CN"/>
              </w:rPr>
              <w:t>基本</w:t>
            </w:r>
            <w:r>
              <w:rPr>
                <w:rFonts w:hint="eastAsia" w:ascii="宋体" w:hAnsi="宋体" w:eastAsia="宋体" w:cs="宋体"/>
                <w:color w:val="auto"/>
                <w:sz w:val="20"/>
                <w:szCs w:val="20"/>
                <w:highlight w:val="none"/>
              </w:rPr>
              <w:t>的应急管理机制</w:t>
            </w:r>
            <w:r>
              <w:rPr>
                <w:rFonts w:hint="eastAsia" w:ascii="宋体" w:hAnsi="宋体" w:cs="宋体"/>
                <w:color w:val="auto"/>
                <w:sz w:val="20"/>
                <w:szCs w:val="20"/>
                <w:highlight w:val="none"/>
                <w:lang w:eastAsia="zh-CN"/>
              </w:rPr>
              <w:t>，</w:t>
            </w:r>
            <w:r>
              <w:rPr>
                <w:rFonts w:hint="eastAsia" w:ascii="宋体" w:hAnsi="宋体" w:eastAsia="宋体" w:cs="宋体"/>
                <w:color w:val="auto"/>
                <w:sz w:val="20"/>
                <w:szCs w:val="20"/>
                <w:highlight w:val="none"/>
              </w:rPr>
              <w:t>人员安排计划</w:t>
            </w:r>
            <w:r>
              <w:rPr>
                <w:rFonts w:hint="eastAsia" w:ascii="宋体" w:hAnsi="宋体" w:cs="宋体"/>
                <w:color w:val="auto"/>
                <w:sz w:val="20"/>
                <w:szCs w:val="20"/>
                <w:highlight w:val="none"/>
                <w:lang w:val="en-US" w:eastAsia="zh-CN"/>
              </w:rPr>
              <w:t>一般</w:t>
            </w:r>
            <w:r>
              <w:rPr>
                <w:rFonts w:hint="eastAsia" w:ascii="宋体" w:hAnsi="宋体" w:eastAsia="宋体" w:cs="宋体"/>
                <w:color w:val="auto"/>
                <w:sz w:val="20"/>
                <w:szCs w:val="20"/>
                <w:highlight w:val="none"/>
              </w:rPr>
              <w:t>可行，组织运作机制合理</w:t>
            </w:r>
            <w:r>
              <w:rPr>
                <w:rFonts w:hint="eastAsia" w:ascii="宋体" w:hAnsi="宋体" w:cs="宋体"/>
                <w:color w:val="auto"/>
                <w:sz w:val="20"/>
                <w:szCs w:val="20"/>
                <w:highlight w:val="none"/>
                <w:lang w:val="en-US" w:eastAsia="zh-CN"/>
              </w:rPr>
              <w:t>性一般</w:t>
            </w:r>
            <w:r>
              <w:rPr>
                <w:rFonts w:hint="eastAsia" w:ascii="宋体" w:hAnsi="宋体" w:eastAsia="宋体" w:cs="宋体"/>
                <w:color w:val="auto"/>
                <w:sz w:val="20"/>
                <w:szCs w:val="20"/>
                <w:highlight w:val="none"/>
              </w:rPr>
              <w:t>，可行性</w:t>
            </w:r>
            <w:r>
              <w:rPr>
                <w:rFonts w:hint="eastAsia" w:ascii="宋体" w:hAnsi="宋体" w:cs="宋体"/>
                <w:color w:val="auto"/>
                <w:sz w:val="20"/>
                <w:szCs w:val="20"/>
                <w:highlight w:val="none"/>
                <w:lang w:val="en-US" w:eastAsia="zh-CN"/>
              </w:rPr>
              <w:t>一般</w:t>
            </w:r>
            <w:r>
              <w:rPr>
                <w:rFonts w:hint="eastAsia" w:ascii="宋体" w:hAnsi="宋体" w:eastAsia="宋体" w:cs="宋体"/>
                <w:color w:val="auto"/>
                <w:sz w:val="20"/>
                <w:szCs w:val="20"/>
                <w:highlight w:val="none"/>
              </w:rPr>
              <w:t>，得</w:t>
            </w:r>
            <w:r>
              <w:rPr>
                <w:rFonts w:hint="eastAsia" w:ascii="宋体" w:hAnsi="宋体" w:cs="宋体"/>
                <w:color w:val="auto"/>
                <w:sz w:val="20"/>
                <w:szCs w:val="20"/>
                <w:highlight w:val="none"/>
                <w:lang w:val="en-US" w:eastAsia="zh-CN"/>
              </w:rPr>
              <w:t>2</w:t>
            </w:r>
            <w:r>
              <w:rPr>
                <w:rFonts w:hint="eastAsia" w:ascii="宋体" w:hAnsi="宋体" w:eastAsia="宋体" w:cs="宋体"/>
                <w:color w:val="auto"/>
                <w:sz w:val="20"/>
                <w:szCs w:val="20"/>
                <w:highlight w:val="none"/>
              </w:rPr>
              <w:t>分；</w:t>
            </w:r>
          </w:p>
          <w:p w14:paraId="60CEE2D7">
            <w:pPr>
              <w:pStyle w:val="54"/>
              <w:jc w:val="left"/>
              <w:rPr>
                <w:rFonts w:hint="eastAsia" w:ascii="Times New Roman" w:hAnsi="Times New Roman" w:eastAsia="宋体" w:cs="Times New Roman"/>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r>
              <w:rPr>
                <w:rFonts w:hint="eastAsia"/>
                <w:color w:val="auto"/>
                <w:sz w:val="20"/>
                <w:szCs w:val="20"/>
                <w:highlight w:val="none"/>
              </w:rPr>
              <w:t>应急保障方案</w:t>
            </w:r>
            <w:r>
              <w:rPr>
                <w:rFonts w:hint="eastAsia"/>
                <w:color w:val="auto"/>
                <w:sz w:val="20"/>
                <w:szCs w:val="20"/>
                <w:highlight w:val="none"/>
                <w:lang w:val="en-US" w:eastAsia="zh-CN"/>
              </w:rPr>
              <w:t>不</w:t>
            </w:r>
            <w:r>
              <w:rPr>
                <w:rFonts w:hint="eastAsia"/>
                <w:color w:val="auto"/>
                <w:sz w:val="20"/>
                <w:szCs w:val="20"/>
                <w:highlight w:val="none"/>
              </w:rPr>
              <w:t>具体详细，应急管理机制</w:t>
            </w:r>
            <w:r>
              <w:rPr>
                <w:rFonts w:hint="eastAsia"/>
                <w:color w:val="auto"/>
                <w:sz w:val="20"/>
                <w:szCs w:val="20"/>
                <w:highlight w:val="none"/>
                <w:lang w:val="en-US" w:eastAsia="zh-CN"/>
              </w:rPr>
              <w:t>内容欠缺</w:t>
            </w:r>
            <w:r>
              <w:rPr>
                <w:rFonts w:hint="eastAsia"/>
                <w:color w:val="auto"/>
                <w:sz w:val="20"/>
                <w:szCs w:val="20"/>
                <w:highlight w:val="none"/>
              </w:rPr>
              <w:t>、人员安排计划可行性差，组织运作机制</w:t>
            </w:r>
            <w:r>
              <w:rPr>
                <w:rFonts w:hint="eastAsia"/>
                <w:color w:val="auto"/>
                <w:sz w:val="20"/>
                <w:szCs w:val="20"/>
                <w:highlight w:val="none"/>
                <w:lang w:val="en-US" w:eastAsia="zh-CN"/>
              </w:rPr>
              <w:t>不完善、合理、可行性差的或未提供方案的，</w:t>
            </w:r>
            <w:r>
              <w:rPr>
                <w:rFonts w:hint="eastAsia"/>
                <w:color w:val="auto"/>
                <w:sz w:val="20"/>
                <w:szCs w:val="20"/>
                <w:highlight w:val="none"/>
              </w:rPr>
              <w:t>不得分。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1899F4">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9</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5E3AF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112C2CF">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Times New Roman" w:hAnsi="Times New Roman" w:cs="Times New Roman"/>
                <w:color w:val="auto"/>
                <w:highlight w:val="none"/>
              </w:rPr>
              <w:t>第   页</w:t>
            </w:r>
          </w:p>
        </w:tc>
      </w:tr>
      <w:tr w14:paraId="34A89820">
        <w:tblPrEx>
          <w:tblCellMar>
            <w:top w:w="0" w:type="dxa"/>
            <w:left w:w="0" w:type="dxa"/>
            <w:bottom w:w="0" w:type="dxa"/>
            <w:right w:w="0" w:type="dxa"/>
          </w:tblCellMar>
        </w:tblPrEx>
        <w:trPr>
          <w:trHeight w:val="1139" w:hRule="atLeast"/>
          <w:jc w:val="center"/>
        </w:trPr>
        <w:tc>
          <w:tcPr>
            <w:tcW w:w="41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B4DD01">
            <w:pPr>
              <w:keepNext w:val="0"/>
              <w:keepLines w:val="0"/>
              <w:pageBreakBefore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color w:val="auto"/>
                <w:kern w:val="0"/>
                <w:sz w:val="20"/>
                <w:szCs w:val="20"/>
                <w:highlight w:val="none"/>
                <w:lang w:val="en-US" w:eastAsia="zh-CN"/>
              </w:rPr>
            </w:pPr>
            <w:r>
              <w:rPr>
                <w:rFonts w:hint="eastAsia" w:ascii="宋体" w:hAnsi="宋体" w:eastAsia="宋体" w:cs="宋体"/>
                <w:b/>
                <w:bCs/>
                <w:color w:val="auto"/>
                <w:kern w:val="0"/>
                <w:sz w:val="20"/>
                <w:szCs w:val="20"/>
                <w:highlight w:val="none"/>
                <w:lang w:val="en-US" w:eastAsia="zh-CN"/>
              </w:rPr>
              <w:t>8</w:t>
            </w:r>
          </w:p>
        </w:tc>
        <w:tc>
          <w:tcPr>
            <w:tcW w:w="9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1B8A54">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auto"/>
                <w:kern w:val="0"/>
                <w:sz w:val="20"/>
                <w:szCs w:val="20"/>
                <w:highlight w:val="none"/>
              </w:rPr>
            </w:pPr>
            <w:r>
              <w:rPr>
                <w:rFonts w:hint="eastAsia" w:ascii="宋体" w:hAnsi="宋体" w:eastAsia="宋体" w:cs="宋体"/>
                <w:b/>
                <w:bCs/>
                <w:color w:val="auto"/>
                <w:kern w:val="0"/>
                <w:sz w:val="20"/>
                <w:szCs w:val="20"/>
                <w:highlight w:val="none"/>
              </w:rPr>
              <w:t>价格评分</w:t>
            </w:r>
          </w:p>
          <w:p w14:paraId="4D274930">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0"/>
                <w:szCs w:val="20"/>
                <w:highlight w:val="none"/>
              </w:rPr>
            </w:pPr>
            <w:r>
              <w:rPr>
                <w:rFonts w:hint="eastAsia" w:ascii="宋体" w:hAnsi="宋体" w:eastAsia="宋体" w:cs="宋体"/>
                <w:b/>
                <w:bCs/>
                <w:color w:val="auto"/>
                <w:kern w:val="0"/>
                <w:sz w:val="20"/>
                <w:szCs w:val="20"/>
                <w:highlight w:val="none"/>
              </w:rPr>
              <w:t>（</w:t>
            </w:r>
            <w:r>
              <w:rPr>
                <w:rFonts w:hint="eastAsia" w:ascii="宋体" w:hAnsi="宋体" w:cs="宋体"/>
                <w:b/>
                <w:bCs/>
                <w:color w:val="auto"/>
                <w:kern w:val="0"/>
                <w:sz w:val="20"/>
                <w:szCs w:val="20"/>
                <w:highlight w:val="none"/>
                <w:lang w:val="en-US" w:eastAsia="zh-CN"/>
              </w:rPr>
              <w:t>15</w:t>
            </w:r>
            <w:r>
              <w:rPr>
                <w:rFonts w:hint="eastAsia" w:ascii="宋体" w:hAnsi="宋体" w:eastAsia="宋体" w:cs="宋体"/>
                <w:b/>
                <w:bCs/>
                <w:color w:val="auto"/>
                <w:kern w:val="0"/>
                <w:sz w:val="20"/>
                <w:szCs w:val="20"/>
                <w:highlight w:val="none"/>
              </w:rPr>
              <w:t>分）</w:t>
            </w:r>
          </w:p>
        </w:tc>
        <w:tc>
          <w:tcPr>
            <w:tcW w:w="6641"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1F62D72">
            <w:pPr>
              <w:keepNext w:val="0"/>
              <w:keepLines w:val="0"/>
              <w:pageBreakBefore w:val="0"/>
              <w:kinsoku/>
              <w:wordWrap/>
              <w:overflowPunct/>
              <w:topLinePunct w:val="0"/>
              <w:autoSpaceDE/>
              <w:autoSpaceDN/>
              <w:bidi w:val="0"/>
              <w:adjustRightInd/>
              <w:snapToGrid/>
              <w:spacing w:line="240" w:lineRule="exact"/>
              <w:jc w:val="left"/>
              <w:textAlignment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本项目的价格分：通过本项目审查且报价最低的报价为评审基准价，其价格分为满分。报价得分 = （评审基准价/最终报价）×价格分值</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6D45BD">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15</w:t>
            </w:r>
            <w:r>
              <w:rPr>
                <w:rFonts w:hint="eastAsia" w:ascii="宋体" w:hAnsi="宋体" w:eastAsia="宋体" w:cs="宋体"/>
                <w:color w:val="auto"/>
                <w:kern w:val="0"/>
                <w:sz w:val="20"/>
                <w:szCs w:val="20"/>
                <w:highlight w:val="none"/>
                <w:lang w:val="en-US" w:eastAsia="zh-CN"/>
              </w:rPr>
              <w:t>分</w:t>
            </w: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4F6497">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cs="宋体"/>
                <w:color w:val="auto"/>
                <w:kern w:val="0"/>
                <w:sz w:val="20"/>
                <w:szCs w:val="20"/>
                <w:highlight w:val="none"/>
                <w:lang w:val="en-US" w:eastAsia="zh-CN"/>
              </w:rPr>
            </w:pPr>
          </w:p>
        </w:tc>
        <w:tc>
          <w:tcPr>
            <w:tcW w:w="81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41A09E5">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cs="Times New Roman"/>
                <w:color w:val="auto"/>
                <w:highlight w:val="none"/>
                <w:lang w:val="en-US" w:eastAsia="zh-CN"/>
              </w:rPr>
            </w:pPr>
            <w:r>
              <w:rPr>
                <w:rFonts w:hint="eastAsia" w:ascii="Times New Roman" w:hAnsi="Times New Roman" w:cs="Times New Roman"/>
                <w:color w:val="auto"/>
                <w:highlight w:val="none"/>
              </w:rPr>
              <w:t>第   页</w:t>
            </w:r>
          </w:p>
        </w:tc>
      </w:tr>
      <w:tr w14:paraId="256C6513">
        <w:tblPrEx>
          <w:tblCellMar>
            <w:top w:w="0" w:type="dxa"/>
            <w:left w:w="0" w:type="dxa"/>
            <w:bottom w:w="0" w:type="dxa"/>
            <w:right w:w="0" w:type="dxa"/>
          </w:tblCellMar>
        </w:tblPrEx>
        <w:trPr>
          <w:trHeight w:val="398" w:hRule="atLeast"/>
          <w:jc w:val="center"/>
        </w:trPr>
        <w:tc>
          <w:tcPr>
            <w:tcW w:w="798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CECA392">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rPr>
            </w:pPr>
            <w:r>
              <w:rPr>
                <w:rFonts w:hint="eastAsia" w:ascii="宋体" w:hAnsi="宋体" w:eastAsia="宋体" w:cs="宋体"/>
                <w:b/>
                <w:bCs/>
                <w:color w:val="auto"/>
                <w:kern w:val="0"/>
                <w:sz w:val="20"/>
                <w:szCs w:val="20"/>
                <w:highlight w:val="none"/>
              </w:rPr>
              <w:t>合</w:t>
            </w:r>
            <w:r>
              <w:rPr>
                <w:rFonts w:hint="eastAsia" w:ascii="宋体" w:hAnsi="宋体" w:eastAsia="宋体" w:cs="宋体"/>
                <w:b/>
                <w:bCs/>
                <w:color w:val="auto"/>
                <w:kern w:val="0"/>
                <w:sz w:val="20"/>
                <w:szCs w:val="20"/>
                <w:highlight w:val="none"/>
                <w:lang w:val="en-US" w:eastAsia="zh-CN"/>
              </w:rPr>
              <w:t xml:space="preserve">   </w:t>
            </w:r>
            <w:r>
              <w:rPr>
                <w:rFonts w:hint="eastAsia" w:ascii="宋体" w:hAnsi="宋体" w:eastAsia="宋体" w:cs="宋体"/>
                <w:b/>
                <w:bCs/>
                <w:color w:val="auto"/>
                <w:kern w:val="0"/>
                <w:sz w:val="20"/>
                <w:szCs w:val="20"/>
                <w:highlight w:val="none"/>
              </w:rPr>
              <w:t>计</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42AB1E">
            <w:pPr>
              <w:keepNext w:val="0"/>
              <w:keepLines w:val="0"/>
              <w:pageBreakBefore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kern w:val="0"/>
                <w:sz w:val="20"/>
                <w:szCs w:val="20"/>
                <w:highlight w:val="none"/>
                <w:lang w:val="en-US" w:eastAsia="zh-CN"/>
              </w:rPr>
            </w:pPr>
            <w:r>
              <w:rPr>
                <w:rFonts w:hint="eastAsia" w:ascii="宋体" w:hAnsi="宋体" w:eastAsia="宋体" w:cs="宋体"/>
                <w:color w:val="auto"/>
                <w:kern w:val="0"/>
                <w:sz w:val="20"/>
                <w:szCs w:val="20"/>
                <w:highlight w:val="none"/>
                <w:lang w:val="en-US" w:eastAsia="zh-CN"/>
              </w:rPr>
              <w:t>100分</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3F103">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c>
          <w:tcPr>
            <w:tcW w:w="81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E402F1">
            <w:pPr>
              <w:keepNext w:val="0"/>
              <w:keepLines w:val="0"/>
              <w:pageBreakBefore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kern w:val="0"/>
                <w:sz w:val="20"/>
                <w:szCs w:val="20"/>
                <w:highlight w:val="none"/>
                <w:lang w:val="en-US" w:eastAsia="zh-CN"/>
              </w:rPr>
            </w:pPr>
            <w:r>
              <w:rPr>
                <w:rFonts w:hint="eastAsia" w:ascii="宋体" w:hAnsi="宋体" w:cs="宋体"/>
                <w:color w:val="auto"/>
                <w:kern w:val="0"/>
                <w:sz w:val="20"/>
                <w:szCs w:val="20"/>
                <w:highlight w:val="none"/>
                <w:lang w:val="en-US" w:eastAsia="zh-CN"/>
              </w:rPr>
              <w:t>/</w:t>
            </w:r>
          </w:p>
        </w:tc>
      </w:tr>
    </w:tbl>
    <w:p w14:paraId="150D9D6A">
      <w:pPr>
        <w:widowControl w:val="0"/>
        <w:numPr>
          <w:ilvl w:val="0"/>
          <w:numId w:val="0"/>
        </w:numPr>
        <w:tabs>
          <w:tab w:val="left" w:pos="3656"/>
        </w:tabs>
        <w:jc w:val="both"/>
        <w:outlineLvl w:val="0"/>
        <w:rPr>
          <w:rFonts w:hint="eastAsia" w:ascii="Times New Roman" w:hAnsi="Times New Roman" w:eastAsia="宋体" w:cs="Times New Roman"/>
          <w:b/>
          <w:bCs/>
          <w:color w:val="auto"/>
          <w:highlight w:val="none"/>
          <w:lang w:eastAsia="zh-CN"/>
        </w:rPr>
      </w:pPr>
    </w:p>
    <w:p w14:paraId="6C0BDC6B">
      <w:pPr>
        <w:pStyle w:val="36"/>
        <w:tabs>
          <w:tab w:val="left" w:pos="1050"/>
          <w:tab w:val="center" w:pos="4535"/>
        </w:tabs>
        <w:spacing w:line="360" w:lineRule="auto"/>
        <w:jc w:val="left"/>
        <w:outlineLvl w:val="9"/>
        <w:rPr>
          <w:rFonts w:hint="eastAsia" w:ascii="Calibri" w:hAnsi="Calibri" w:eastAsia="宋体" w:cs="宋体"/>
          <w:b/>
          <w:bCs/>
          <w:color w:val="auto"/>
          <w:kern w:val="2"/>
          <w:sz w:val="21"/>
          <w:szCs w:val="21"/>
          <w:highlight w:val="none"/>
          <w:lang w:val="zh-CN" w:eastAsia="zh-CN" w:bidi="ar-SA"/>
        </w:rPr>
      </w:pPr>
      <w:r>
        <w:rPr>
          <w:rFonts w:hint="eastAsia" w:ascii="Calibri" w:hAnsi="Calibri" w:eastAsia="宋体" w:cs="宋体"/>
          <w:b/>
          <w:bCs/>
          <w:color w:val="auto"/>
          <w:kern w:val="2"/>
          <w:sz w:val="21"/>
          <w:szCs w:val="21"/>
          <w:highlight w:val="none"/>
          <w:lang w:val="zh-CN" w:eastAsia="zh-CN" w:bidi="ar-SA"/>
        </w:rPr>
        <w:t>重要提示：请</w:t>
      </w:r>
      <w:r>
        <w:rPr>
          <w:rFonts w:hint="eastAsia" w:ascii="Calibri" w:hAnsi="Calibri" w:cs="宋体"/>
          <w:b/>
          <w:bCs/>
          <w:color w:val="auto"/>
          <w:kern w:val="2"/>
          <w:sz w:val="21"/>
          <w:szCs w:val="21"/>
          <w:highlight w:val="none"/>
          <w:lang w:val="zh-CN" w:eastAsia="zh-CN" w:bidi="ar-SA"/>
        </w:rPr>
        <w:t>供应商</w:t>
      </w:r>
      <w:r>
        <w:rPr>
          <w:rFonts w:hint="eastAsia" w:ascii="Calibri" w:hAnsi="Calibri" w:eastAsia="宋体" w:cs="宋体"/>
          <w:b/>
          <w:bCs/>
          <w:color w:val="auto"/>
          <w:kern w:val="2"/>
          <w:sz w:val="21"/>
          <w:szCs w:val="21"/>
          <w:highlight w:val="none"/>
          <w:lang w:val="zh-CN" w:eastAsia="zh-CN" w:bidi="ar-SA"/>
        </w:rPr>
        <w:t>认真核对上述条目相关资料提供情况，并标明页内码，以利于评委评审时快速查对。</w:t>
      </w:r>
    </w:p>
    <w:p w14:paraId="508BF6DC">
      <w:pPr>
        <w:pStyle w:val="36"/>
        <w:tabs>
          <w:tab w:val="left" w:pos="1050"/>
          <w:tab w:val="center" w:pos="4535"/>
        </w:tabs>
        <w:spacing w:line="360" w:lineRule="auto"/>
        <w:jc w:val="both"/>
        <w:outlineLvl w:val="9"/>
        <w:rPr>
          <w:rFonts w:hint="eastAsia" w:ascii="Calibri" w:hAnsi="Calibri" w:eastAsia="宋体" w:cs="宋体"/>
          <w:color w:val="auto"/>
          <w:kern w:val="2"/>
          <w:sz w:val="21"/>
          <w:szCs w:val="21"/>
          <w:highlight w:val="none"/>
          <w:lang w:val="zh-CN" w:eastAsia="zh-CN" w:bidi="ar-SA"/>
        </w:rPr>
      </w:pPr>
    </w:p>
    <w:p w14:paraId="5B463E4B">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供应商</w:t>
      </w:r>
      <w:r>
        <w:rPr>
          <w:rFonts w:hint="eastAsia" w:ascii="Calibri" w:hAnsi="Calibri" w:eastAsia="宋体" w:cs="宋体"/>
          <w:color w:val="auto"/>
          <w:kern w:val="2"/>
          <w:sz w:val="21"/>
          <w:szCs w:val="21"/>
          <w:highlight w:val="none"/>
          <w:lang w:val="zh-CN" w:eastAsia="zh-CN" w:bidi="ar-SA"/>
        </w:rPr>
        <w:t>名称（加盖公章）：</w:t>
      </w:r>
    </w:p>
    <w:p w14:paraId="6B47F5E0">
      <w:pPr>
        <w:pStyle w:val="36"/>
        <w:tabs>
          <w:tab w:val="left" w:pos="1050"/>
          <w:tab w:val="center" w:pos="4535"/>
        </w:tabs>
        <w:spacing w:line="360" w:lineRule="auto"/>
        <w:jc w:val="center"/>
        <w:outlineLvl w:val="9"/>
        <w:rPr>
          <w:rFonts w:hint="eastAsia" w:ascii="Calibri" w:hAnsi="Calibri" w:eastAsia="宋体" w:cs="宋体"/>
          <w:color w:val="auto"/>
          <w:kern w:val="2"/>
          <w:sz w:val="21"/>
          <w:szCs w:val="21"/>
          <w:highlight w:val="none"/>
          <w:lang w:val="zh-CN" w:eastAsia="zh-CN" w:bidi="ar-SA"/>
        </w:rPr>
      </w:pPr>
      <w:r>
        <w:rPr>
          <w:rFonts w:hint="eastAsia" w:ascii="Calibri" w:hAnsi="Calibri" w:cs="宋体"/>
          <w:color w:val="auto"/>
          <w:kern w:val="2"/>
          <w:sz w:val="21"/>
          <w:szCs w:val="21"/>
          <w:highlight w:val="none"/>
          <w:lang w:val="en-US" w:eastAsia="zh-CN" w:bidi="ar-SA"/>
        </w:rPr>
        <w:t xml:space="preserve">                                                 </w:t>
      </w:r>
      <w:r>
        <w:rPr>
          <w:rFonts w:hint="eastAsia" w:ascii="Calibri" w:hAnsi="Calibri" w:eastAsia="宋体" w:cs="宋体"/>
          <w:color w:val="auto"/>
          <w:kern w:val="2"/>
          <w:sz w:val="21"/>
          <w:szCs w:val="21"/>
          <w:highlight w:val="none"/>
          <w:lang w:val="zh-CN" w:eastAsia="zh-CN" w:bidi="ar-SA"/>
        </w:rPr>
        <w:t>日期：   年   月   日</w:t>
      </w:r>
    </w:p>
    <w:p w14:paraId="6923EF7F">
      <w:pPr>
        <w:spacing w:line="360" w:lineRule="auto"/>
        <w:jc w:val="left"/>
        <w:rPr>
          <w:rFonts w:hint="eastAsia" w:ascii="宋体" w:hAnsi="宋体" w:cs="宋体"/>
          <w:b/>
          <w:bCs/>
          <w:color w:val="auto"/>
          <w:sz w:val="21"/>
          <w:szCs w:val="21"/>
          <w:highlight w:val="none"/>
          <w:lang w:val="en-US" w:eastAsia="zh-CN"/>
        </w:rPr>
      </w:pPr>
    </w:p>
    <w:p w14:paraId="33827562">
      <w:pPr>
        <w:pStyle w:val="31"/>
        <w:rPr>
          <w:rFonts w:hint="eastAsia" w:ascii="宋体" w:hAnsi="宋体" w:cs="宋体"/>
          <w:b/>
          <w:bCs/>
          <w:color w:val="auto"/>
          <w:sz w:val="21"/>
          <w:szCs w:val="21"/>
          <w:highlight w:val="none"/>
          <w:lang w:val="en-US" w:eastAsia="zh-CN"/>
        </w:rPr>
      </w:pPr>
    </w:p>
    <w:p w14:paraId="784AFE39">
      <w:pPr>
        <w:pStyle w:val="31"/>
        <w:rPr>
          <w:rFonts w:hint="eastAsia" w:ascii="宋体" w:hAnsi="宋体" w:cs="宋体"/>
          <w:b/>
          <w:bCs/>
          <w:color w:val="auto"/>
          <w:sz w:val="21"/>
          <w:szCs w:val="21"/>
          <w:highlight w:val="none"/>
          <w:lang w:val="en-US" w:eastAsia="zh-CN"/>
        </w:rPr>
      </w:pPr>
    </w:p>
    <w:p w14:paraId="203EDA58">
      <w:pPr>
        <w:pStyle w:val="31"/>
        <w:rPr>
          <w:rFonts w:hint="eastAsia" w:ascii="宋体" w:hAnsi="宋体" w:cs="宋体"/>
          <w:b/>
          <w:bCs/>
          <w:color w:val="auto"/>
          <w:sz w:val="21"/>
          <w:szCs w:val="21"/>
          <w:highlight w:val="none"/>
          <w:lang w:val="en-US" w:eastAsia="zh-CN"/>
        </w:rPr>
      </w:pPr>
    </w:p>
    <w:p w14:paraId="481E97DD">
      <w:pPr>
        <w:pStyle w:val="31"/>
        <w:rPr>
          <w:rFonts w:hint="eastAsia" w:ascii="宋体" w:hAnsi="宋体" w:cs="宋体"/>
          <w:b/>
          <w:bCs/>
          <w:color w:val="auto"/>
          <w:sz w:val="21"/>
          <w:szCs w:val="21"/>
          <w:highlight w:val="none"/>
          <w:lang w:val="en-US" w:eastAsia="zh-CN"/>
        </w:rPr>
      </w:pPr>
    </w:p>
    <w:p w14:paraId="798693AC">
      <w:pPr>
        <w:pStyle w:val="31"/>
        <w:rPr>
          <w:rFonts w:hint="eastAsia" w:ascii="宋体" w:hAnsi="宋体" w:cs="宋体"/>
          <w:b/>
          <w:bCs/>
          <w:color w:val="auto"/>
          <w:sz w:val="21"/>
          <w:szCs w:val="21"/>
          <w:highlight w:val="none"/>
          <w:lang w:val="en-US" w:eastAsia="zh-CN"/>
        </w:rPr>
      </w:pPr>
    </w:p>
    <w:p w14:paraId="280D59A3">
      <w:pPr>
        <w:pStyle w:val="31"/>
        <w:rPr>
          <w:rFonts w:hint="eastAsia" w:ascii="宋体" w:hAnsi="宋体" w:cs="宋体"/>
          <w:b/>
          <w:bCs/>
          <w:color w:val="auto"/>
          <w:sz w:val="21"/>
          <w:szCs w:val="21"/>
          <w:highlight w:val="none"/>
          <w:lang w:val="en-US" w:eastAsia="zh-CN"/>
        </w:rPr>
      </w:pPr>
    </w:p>
    <w:p w14:paraId="5DED57CB">
      <w:pPr>
        <w:pStyle w:val="31"/>
        <w:rPr>
          <w:rFonts w:hint="eastAsia" w:ascii="宋体" w:hAnsi="宋体" w:cs="宋体"/>
          <w:b/>
          <w:bCs/>
          <w:color w:val="auto"/>
          <w:sz w:val="21"/>
          <w:szCs w:val="21"/>
          <w:highlight w:val="none"/>
          <w:lang w:val="en-US" w:eastAsia="zh-CN"/>
        </w:rPr>
      </w:pPr>
    </w:p>
    <w:p w14:paraId="0F5AD666">
      <w:pPr>
        <w:spacing w:line="360" w:lineRule="auto"/>
        <w:jc w:val="left"/>
        <w:rPr>
          <w:rFonts w:hint="eastAsia" w:ascii="宋体" w:hAnsi="宋体" w:cs="宋体"/>
          <w:b/>
          <w:bCs/>
          <w:color w:val="auto"/>
          <w:sz w:val="21"/>
          <w:szCs w:val="21"/>
          <w:highlight w:val="none"/>
          <w:lang w:val="en-US" w:eastAsia="zh-CN"/>
        </w:rPr>
      </w:pPr>
    </w:p>
    <w:p w14:paraId="6F73754A">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7CE8CBCC">
      <w:pPr>
        <w:spacing w:line="360" w:lineRule="auto"/>
        <w:jc w:val="center"/>
        <w:outlineLvl w:val="0"/>
        <w:rPr>
          <w:rFonts w:hint="eastAsia" w:ascii="宋体" w:hAnsi="宋体"/>
          <w:b/>
          <w:bCs/>
          <w:color w:val="auto"/>
          <w:sz w:val="28"/>
          <w:szCs w:val="28"/>
          <w:highlight w:val="none"/>
        </w:rPr>
      </w:pPr>
      <w:bookmarkStart w:id="315" w:name="_Toc6121"/>
      <w:bookmarkStart w:id="316" w:name="_Toc337"/>
      <w:bookmarkStart w:id="317" w:name="_Toc21593"/>
      <w:bookmarkStart w:id="318" w:name="_Toc6838"/>
      <w:bookmarkStart w:id="319" w:name="_Toc8677"/>
      <w:bookmarkStart w:id="320" w:name="_Toc5184"/>
      <w:bookmarkStart w:id="321" w:name="_Toc17193"/>
      <w:r>
        <w:rPr>
          <w:rFonts w:hint="eastAsia" w:ascii="宋体" w:hAnsi="宋体"/>
          <w:b/>
          <w:bCs/>
          <w:color w:val="auto"/>
          <w:sz w:val="28"/>
          <w:szCs w:val="28"/>
          <w:highlight w:val="none"/>
        </w:rPr>
        <w:t>报价表</w:t>
      </w:r>
      <w:bookmarkEnd w:id="315"/>
      <w:bookmarkEnd w:id="316"/>
      <w:bookmarkEnd w:id="317"/>
      <w:bookmarkEnd w:id="318"/>
      <w:bookmarkEnd w:id="319"/>
      <w:bookmarkEnd w:id="320"/>
      <w:bookmarkEnd w:id="321"/>
    </w:p>
    <w:tbl>
      <w:tblPr>
        <w:tblStyle w:val="23"/>
        <w:tblW w:w="9251"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2929"/>
        <w:gridCol w:w="4969"/>
        <w:gridCol w:w="1353"/>
      </w:tblGrid>
      <w:tr w14:paraId="0206FE2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45"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86D0257">
            <w:pPr>
              <w:jc w:val="center"/>
              <w:rPr>
                <w:rFonts w:hint="default" w:ascii="宋体" w:hAnsi="宋体" w:eastAsia="宋体" w:cs="宋体"/>
                <w:b/>
                <w:bCs/>
                <w:color w:val="auto"/>
                <w:kern w:val="2"/>
                <w:sz w:val="21"/>
                <w:szCs w:val="21"/>
                <w:highlight w:val="none"/>
                <w:lang w:val="en-US" w:eastAsia="zh-CN" w:bidi="ar-SA"/>
              </w:rPr>
            </w:pPr>
            <w:r>
              <w:rPr>
                <w:rFonts w:hint="eastAsia" w:ascii="宋体" w:hAnsi="宋体" w:cs="宋体"/>
                <w:b/>
                <w:bCs/>
                <w:color w:val="auto"/>
                <w:sz w:val="21"/>
                <w:szCs w:val="21"/>
                <w:highlight w:val="none"/>
                <w:lang w:val="en-US" w:eastAsia="zh-CN"/>
              </w:rPr>
              <w:t>项目名称</w:t>
            </w:r>
          </w:p>
        </w:tc>
        <w:tc>
          <w:tcPr>
            <w:tcW w:w="4969" w:type="dxa"/>
            <w:tcBorders>
              <w:top w:val="single" w:color="auto" w:sz="4" w:space="0"/>
              <w:left w:val="single" w:color="auto" w:sz="4" w:space="0"/>
              <w:bottom w:val="single" w:color="auto" w:sz="4" w:space="0"/>
              <w:right w:val="single" w:color="auto" w:sz="4" w:space="0"/>
            </w:tcBorders>
            <w:vAlign w:val="center"/>
          </w:tcPr>
          <w:p w14:paraId="276A849E">
            <w:pPr>
              <w:spacing w:line="36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报价（含税）</w:t>
            </w:r>
          </w:p>
          <w:p w14:paraId="5C615E3F">
            <w:pPr>
              <w:spacing w:line="360" w:lineRule="auto"/>
              <w:jc w:val="center"/>
              <w:rPr>
                <w:rFonts w:hint="default"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sz w:val="21"/>
                <w:szCs w:val="21"/>
                <w:highlight w:val="none"/>
              </w:rPr>
              <w:t>（人民币 元）</w:t>
            </w:r>
          </w:p>
        </w:tc>
        <w:tc>
          <w:tcPr>
            <w:tcW w:w="1353" w:type="dxa"/>
            <w:tcBorders>
              <w:top w:val="single" w:color="auto" w:sz="4" w:space="0"/>
              <w:left w:val="single" w:color="auto" w:sz="4" w:space="0"/>
              <w:bottom w:val="single" w:color="auto" w:sz="4" w:space="0"/>
              <w:right w:val="single" w:color="auto" w:sz="4" w:space="0"/>
            </w:tcBorders>
            <w:vAlign w:val="center"/>
          </w:tcPr>
          <w:p w14:paraId="79A0F2FF">
            <w:pPr>
              <w:spacing w:line="360" w:lineRule="auto"/>
              <w:jc w:val="center"/>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备注</w:t>
            </w:r>
          </w:p>
        </w:tc>
      </w:tr>
      <w:tr w14:paraId="6324ECE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10" w:hRule="atLeast"/>
          <w:jc w:val="center"/>
        </w:trPr>
        <w:tc>
          <w:tcPr>
            <w:tcW w:w="2929" w:type="dxa"/>
            <w:tcBorders>
              <w:top w:val="single" w:color="auto" w:sz="4" w:space="0"/>
              <w:left w:val="single" w:color="auto" w:sz="4" w:space="0"/>
              <w:bottom w:val="single" w:color="auto" w:sz="4" w:space="0"/>
              <w:right w:val="single" w:color="auto" w:sz="4" w:space="0"/>
            </w:tcBorders>
            <w:vAlign w:val="center"/>
          </w:tcPr>
          <w:p w14:paraId="794AA08F">
            <w:pPr>
              <w:jc w:val="left"/>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color w:val="auto"/>
                <w:sz w:val="21"/>
                <w:szCs w:val="21"/>
                <w:highlight w:val="none"/>
                <w:lang w:val="en-US" w:eastAsia="zh-CN"/>
              </w:rPr>
              <w:t>南方医科大学第五附属医院</w:t>
            </w:r>
            <w:r>
              <w:rPr>
                <w:rFonts w:hint="eastAsia" w:ascii="宋体" w:hAnsi="宋体" w:cs="宋体"/>
                <w:b w:val="0"/>
                <w:bCs/>
                <w:color w:val="auto"/>
                <w:sz w:val="21"/>
                <w:szCs w:val="21"/>
                <w:highlight w:val="none"/>
                <w:lang w:val="en-US" w:eastAsia="zh-CN"/>
              </w:rPr>
              <w:t>多媒体分诊导引系统升级项目</w:t>
            </w:r>
          </w:p>
        </w:tc>
        <w:tc>
          <w:tcPr>
            <w:tcW w:w="4969" w:type="dxa"/>
            <w:tcBorders>
              <w:top w:val="single" w:color="auto" w:sz="4" w:space="0"/>
              <w:left w:val="single" w:color="auto" w:sz="4" w:space="0"/>
              <w:bottom w:val="single" w:color="auto" w:sz="4" w:space="0"/>
              <w:right w:val="single" w:color="auto" w:sz="4" w:space="0"/>
            </w:tcBorders>
            <w:vAlign w:val="center"/>
          </w:tcPr>
          <w:p w14:paraId="6E99A364">
            <w:pPr>
              <w:spacing w:line="360" w:lineRule="auto"/>
              <w:jc w:val="left"/>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rPr>
              <w:t>金额</w:t>
            </w:r>
            <w:r>
              <w:rPr>
                <w:rFonts w:hint="eastAsia" w:ascii="宋体" w:hAnsi="宋体" w:eastAsia="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小</w:t>
            </w:r>
            <w:r>
              <w:rPr>
                <w:rFonts w:hint="eastAsia" w:ascii="宋体" w:hAnsi="宋体" w:eastAsia="宋体" w:cs="宋体"/>
                <w:b w:val="0"/>
                <w:bCs/>
                <w:color w:val="auto"/>
                <w:sz w:val="21"/>
                <w:szCs w:val="21"/>
                <w:highlight w:val="none"/>
              </w:rPr>
              <w:t>写</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w:t>
            </w:r>
          </w:p>
          <w:p w14:paraId="29F4634C">
            <w:pPr>
              <w:spacing w:line="360" w:lineRule="auto"/>
              <w:jc w:val="left"/>
              <w:rPr>
                <w:rFonts w:hint="eastAsia" w:ascii="宋体" w:hAnsi="宋体" w:eastAsia="宋体" w:cs="宋体"/>
                <w:b w:val="0"/>
                <w:bCs/>
                <w:color w:val="auto"/>
                <w:sz w:val="21"/>
                <w:szCs w:val="21"/>
                <w:highlight w:val="none"/>
              </w:rPr>
            </w:pPr>
          </w:p>
          <w:p w14:paraId="1A9514B5">
            <w:pPr>
              <w:spacing w:line="360" w:lineRule="auto"/>
              <w:jc w:val="left"/>
              <w:rPr>
                <w:rFonts w:hint="eastAsia" w:ascii="宋体" w:hAnsi="宋体" w:eastAsia="宋体" w:cs="宋体"/>
                <w:b/>
                <w:bCs w:val="0"/>
                <w:color w:val="auto"/>
                <w:kern w:val="2"/>
                <w:sz w:val="21"/>
                <w:szCs w:val="21"/>
                <w:highlight w:val="none"/>
                <w:lang w:val="zh-CN" w:eastAsia="zh-CN" w:bidi="ar-SA"/>
              </w:rPr>
            </w:pPr>
            <w:r>
              <w:rPr>
                <w:rFonts w:hint="eastAsia" w:ascii="宋体" w:hAnsi="宋体" w:eastAsia="宋体" w:cs="宋体"/>
                <w:b w:val="0"/>
                <w:bCs/>
                <w:color w:val="auto"/>
                <w:sz w:val="21"/>
                <w:szCs w:val="21"/>
                <w:highlight w:val="none"/>
              </w:rPr>
              <w:t>金额</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大写</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w:t>
            </w:r>
          </w:p>
        </w:tc>
        <w:tc>
          <w:tcPr>
            <w:tcW w:w="1353" w:type="dxa"/>
            <w:tcBorders>
              <w:top w:val="single" w:color="auto" w:sz="4" w:space="0"/>
              <w:left w:val="single" w:color="auto" w:sz="4" w:space="0"/>
              <w:bottom w:val="single" w:color="auto" w:sz="4" w:space="0"/>
              <w:right w:val="single" w:color="auto" w:sz="4" w:space="0"/>
            </w:tcBorders>
            <w:vAlign w:val="center"/>
          </w:tcPr>
          <w:p w14:paraId="1FA9EBA6">
            <w:pPr>
              <w:spacing w:line="360" w:lineRule="auto"/>
              <w:jc w:val="left"/>
              <w:rPr>
                <w:rFonts w:hint="eastAsia" w:ascii="宋体" w:hAnsi="宋体" w:eastAsia="宋体" w:cs="宋体"/>
                <w:b w:val="0"/>
                <w:bCs/>
                <w:color w:val="auto"/>
                <w:sz w:val="21"/>
                <w:szCs w:val="21"/>
                <w:highlight w:val="none"/>
              </w:rPr>
            </w:pPr>
          </w:p>
        </w:tc>
      </w:tr>
    </w:tbl>
    <w:p w14:paraId="01E2874C">
      <w:pPr>
        <w:pStyle w:val="33"/>
        <w:rPr>
          <w:rFonts w:hint="eastAsia" w:ascii="宋体" w:hAnsi="宋体" w:eastAsia="宋体" w:cs="宋体"/>
          <w:color w:val="auto"/>
          <w:sz w:val="21"/>
          <w:szCs w:val="21"/>
          <w:highlight w:val="none"/>
        </w:rPr>
      </w:pPr>
    </w:p>
    <w:p w14:paraId="3368228D">
      <w:pPr>
        <w:pStyle w:val="33"/>
        <w:rPr>
          <w:rFonts w:hint="eastAsia" w:ascii="宋体" w:hAnsi="宋体" w:eastAsia="宋体" w:cs="宋体"/>
          <w:color w:val="auto"/>
          <w:sz w:val="21"/>
          <w:szCs w:val="21"/>
          <w:highlight w:val="none"/>
        </w:rPr>
      </w:pPr>
    </w:p>
    <w:p w14:paraId="47ED1214">
      <w:pPr>
        <w:pStyle w:val="33"/>
        <w:spacing w:line="360" w:lineRule="auto"/>
        <w:jc w:val="left"/>
        <w:rPr>
          <w:rFonts w:hint="eastAsia" w:ascii="宋体" w:hAnsi="宋体" w:eastAsia="宋体" w:cs="宋体"/>
          <w:color w:val="auto"/>
          <w:sz w:val="21"/>
          <w:szCs w:val="21"/>
          <w:highlight w:val="none"/>
        </w:rPr>
      </w:pPr>
      <w:bookmarkStart w:id="322" w:name="_Toc1767"/>
      <w:bookmarkStart w:id="323" w:name="_Toc28125"/>
      <w:bookmarkStart w:id="324" w:name="_Toc12770"/>
      <w:r>
        <w:rPr>
          <w:rFonts w:hint="eastAsia" w:ascii="宋体" w:hAnsi="宋体" w:eastAsia="宋体" w:cs="宋体"/>
          <w:b/>
          <w:bCs/>
          <w:color w:val="auto"/>
          <w:sz w:val="21"/>
          <w:szCs w:val="21"/>
          <w:highlight w:val="none"/>
        </w:rPr>
        <w:t>1.温馨提示（金额大写）：</w:t>
      </w:r>
      <w:r>
        <w:rPr>
          <w:rFonts w:hint="eastAsia" w:ascii="宋体" w:hAnsi="宋体" w:eastAsia="宋体" w:cs="宋体"/>
          <w:color w:val="auto"/>
          <w:sz w:val="21"/>
          <w:szCs w:val="21"/>
          <w:highlight w:val="none"/>
        </w:rPr>
        <w:t>壹、贰、叁、肆、伍、陆、柒、捌、玖、拾</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佰、仟、万</w:t>
      </w:r>
    </w:p>
    <w:p w14:paraId="106D4D14">
      <w:pPr>
        <w:tabs>
          <w:tab w:val="left" w:pos="180"/>
          <w:tab w:val="left" w:pos="1620"/>
        </w:tabs>
        <w:spacing w:line="360" w:lineRule="auto"/>
        <w:outlineLvl w:val="2"/>
        <w:rPr>
          <w:rFonts w:hint="eastAsia" w:ascii="宋体" w:hAnsi="宋体" w:cs="宋体"/>
          <w:b/>
          <w:color w:val="auto"/>
          <w:sz w:val="21"/>
          <w:szCs w:val="21"/>
          <w:highlight w:val="none"/>
          <w:lang w:val="en-US" w:eastAsia="zh-CN"/>
        </w:rPr>
      </w:pPr>
      <w:bookmarkStart w:id="325" w:name="_Toc30244"/>
      <w:r>
        <w:rPr>
          <w:rFonts w:hint="eastAsia" w:ascii="宋体" w:hAnsi="宋体" w:cs="宋体"/>
          <w:b/>
          <w:color w:val="auto"/>
          <w:sz w:val="21"/>
          <w:szCs w:val="21"/>
          <w:highlight w:val="none"/>
          <w:lang w:val="en-US" w:eastAsia="zh-CN"/>
        </w:rPr>
        <w:t>2.报价要求：</w:t>
      </w:r>
    </w:p>
    <w:p w14:paraId="41BDA7AA">
      <w:pPr>
        <w:widowControl/>
        <w:numPr>
          <w:ilvl w:val="-1"/>
          <w:numId w:val="0"/>
        </w:numPr>
        <w:spacing w:line="360" w:lineRule="auto"/>
        <w:jc w:val="left"/>
        <w:rPr>
          <w:rFonts w:hint="default" w:ascii="宋体" w:hAnsi="宋体" w:cs="宋体"/>
          <w:b/>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ascii="宋体" w:hAnsi="宋体" w:cs="宋体"/>
          <w:b w:val="0"/>
          <w:bCs/>
          <w:color w:val="auto"/>
          <w:kern w:val="0"/>
          <w:sz w:val="21"/>
          <w:szCs w:val="21"/>
          <w:highlight w:val="none"/>
          <w:lang w:val="en-US" w:eastAsia="zh-CN"/>
        </w:rPr>
        <w:t>报价为全包价，以人民币为结算单位，包括但不限于安装费、调试费、技术服务费（含联络费、培训费、保修费）、各项税费及不可预见费等完成本采购内容所需的一切费用。</w:t>
      </w:r>
    </w:p>
    <w:p w14:paraId="310459C2">
      <w:pPr>
        <w:tabs>
          <w:tab w:val="left" w:pos="180"/>
          <w:tab w:val="left" w:pos="1620"/>
        </w:tabs>
        <w:spacing w:line="360" w:lineRule="auto"/>
        <w:outlineLvl w:val="2"/>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val="en-US" w:eastAsia="zh-CN"/>
        </w:rPr>
        <w:t>3</w:t>
      </w:r>
      <w:r>
        <w:rPr>
          <w:rFonts w:hint="eastAsia" w:ascii="宋体" w:hAnsi="宋体" w:eastAsia="宋体" w:cs="宋体"/>
          <w:b/>
          <w:color w:val="auto"/>
          <w:sz w:val="21"/>
          <w:szCs w:val="21"/>
          <w:highlight w:val="none"/>
        </w:rPr>
        <w:t>.其他承诺：</w:t>
      </w:r>
      <w:bookmarkEnd w:id="325"/>
    </w:p>
    <w:bookmarkEnd w:id="322"/>
    <w:bookmarkEnd w:id="323"/>
    <w:bookmarkEnd w:id="324"/>
    <w:p w14:paraId="0A5738B1">
      <w:pPr>
        <w:tabs>
          <w:tab w:val="left" w:pos="180"/>
          <w:tab w:val="left" w:pos="1620"/>
        </w:tabs>
        <w:spacing w:line="360" w:lineRule="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w:t>
      </w:r>
      <w:bookmarkStart w:id="326" w:name="_Toc16360"/>
      <w:bookmarkStart w:id="327" w:name="_Toc10413"/>
      <w:bookmarkStart w:id="328" w:name="_Toc2864"/>
    </w:p>
    <w:bookmarkEnd w:id="326"/>
    <w:bookmarkEnd w:id="327"/>
    <w:bookmarkEnd w:id="328"/>
    <w:p w14:paraId="465F3B43">
      <w:pPr>
        <w:spacing w:line="360" w:lineRule="auto"/>
        <w:jc w:val="both"/>
        <w:rPr>
          <w:rFonts w:hint="eastAsia" w:ascii="宋体" w:hAnsi="宋体" w:eastAsia="宋体" w:cs="宋体"/>
          <w:b w:val="0"/>
          <w:bCs/>
          <w:color w:val="auto"/>
          <w:sz w:val="21"/>
          <w:szCs w:val="21"/>
          <w:highlight w:val="none"/>
        </w:rPr>
      </w:pPr>
    </w:p>
    <w:p w14:paraId="242DB1C0">
      <w:pPr>
        <w:spacing w:line="360" w:lineRule="auto"/>
        <w:jc w:val="both"/>
        <w:rPr>
          <w:rFonts w:hint="eastAsia" w:ascii="宋体" w:hAnsi="宋体" w:eastAsia="宋体" w:cs="宋体"/>
          <w:b w:val="0"/>
          <w:bCs/>
          <w:color w:val="auto"/>
          <w:sz w:val="21"/>
          <w:szCs w:val="21"/>
          <w:highlight w:val="none"/>
        </w:rPr>
      </w:pPr>
    </w:p>
    <w:p w14:paraId="45AF0E06">
      <w:pPr>
        <w:spacing w:line="360" w:lineRule="auto"/>
        <w:jc w:val="both"/>
        <w:rPr>
          <w:rFonts w:hint="eastAsia" w:ascii="宋体" w:hAnsi="宋体" w:eastAsia="宋体" w:cs="宋体"/>
          <w:b w:val="0"/>
          <w:bCs/>
          <w:color w:val="auto"/>
          <w:sz w:val="21"/>
          <w:szCs w:val="21"/>
          <w:highlight w:val="none"/>
        </w:rPr>
      </w:pPr>
    </w:p>
    <w:p w14:paraId="20162560">
      <w:pPr>
        <w:spacing w:line="360" w:lineRule="auto"/>
        <w:jc w:val="both"/>
        <w:rPr>
          <w:rFonts w:hint="eastAsia" w:ascii="宋体" w:hAnsi="宋体" w:eastAsia="宋体" w:cs="宋体"/>
          <w:b w:val="0"/>
          <w:bCs/>
          <w:color w:val="auto"/>
          <w:sz w:val="21"/>
          <w:szCs w:val="21"/>
          <w:highlight w:val="none"/>
        </w:rPr>
      </w:pPr>
    </w:p>
    <w:p w14:paraId="608B7C01">
      <w:pPr>
        <w:spacing w:line="360" w:lineRule="auto"/>
        <w:ind w:firstLine="5040" w:firstLineChars="2400"/>
        <w:jc w:val="both"/>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供应商名称（公章）：</w:t>
      </w:r>
    </w:p>
    <w:p w14:paraId="1E021ADD">
      <w:pPr>
        <w:spacing w:line="360" w:lineRule="auto"/>
        <w:ind w:firstLine="2730" w:firstLineChars="1300"/>
        <w:jc w:val="both"/>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供应商法定代表人或授权代表</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签字或签章</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 xml:space="preserve">：           </w:t>
      </w:r>
    </w:p>
    <w:p w14:paraId="74246A90">
      <w:pPr>
        <w:tabs>
          <w:tab w:val="center" w:pos="5029"/>
          <w:tab w:val="right" w:pos="9218"/>
        </w:tabs>
        <w:spacing w:line="360" w:lineRule="auto"/>
        <w:ind w:firstLine="420" w:firstLineChars="200"/>
        <w:jc w:val="lef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1"/>
          <w:szCs w:val="21"/>
          <w:highlight w:val="none"/>
          <w:lang w:val="en-US" w:eastAsia="zh-CN"/>
        </w:rPr>
        <w:tab/>
      </w:r>
      <w:r>
        <w:rPr>
          <w:rFonts w:hint="eastAsia" w:ascii="宋体" w:hAnsi="宋体" w:eastAsia="宋体" w:cs="宋体"/>
          <w:b w:val="0"/>
          <w:bCs/>
          <w:color w:val="auto"/>
          <w:sz w:val="21"/>
          <w:szCs w:val="21"/>
          <w:highlight w:val="none"/>
          <w:lang w:val="en-US" w:eastAsia="zh-CN"/>
        </w:rPr>
        <w:t xml:space="preserve">                                          </w:t>
      </w:r>
      <w:r>
        <w:rPr>
          <w:rFonts w:hint="eastAsia" w:ascii="宋体" w:hAnsi="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rPr>
        <w:t>日  期：    年    月     日</w:t>
      </w:r>
    </w:p>
    <w:p w14:paraId="71C380C2">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AABA1F8">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54348DEC">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4A40E9F9">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62769417">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5BDA3F63">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27651D12">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FB7862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70E2CBA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026D148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6C4CC5F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8BE555C">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55613BCB">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4B51ACE">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3A5DD681">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lang w:val="en-US" w:eastAsia="zh-CN"/>
        </w:rPr>
      </w:pPr>
    </w:p>
    <w:p w14:paraId="19DECA9D">
      <w:pPr>
        <w:keepNext w:val="0"/>
        <w:keepLines w:val="0"/>
        <w:pageBreakBefore w:val="0"/>
        <w:widowControl w:val="0"/>
        <w:kinsoku/>
        <w:wordWrap/>
        <w:overflowPunct/>
        <w:topLinePunct w:val="0"/>
        <w:autoSpaceDE/>
        <w:autoSpaceDN/>
        <w:bidi w:val="0"/>
        <w:adjustRightInd/>
        <w:snapToGrid/>
        <w:spacing w:line="320" w:lineRule="atLeast"/>
        <w:jc w:val="left"/>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 xml:space="preserve">2.3 </w:t>
      </w:r>
      <w:r>
        <w:rPr>
          <w:rFonts w:hint="eastAsia" w:ascii="宋体" w:hAnsi="宋体" w:cs="宋体"/>
          <w:b/>
          <w:bCs/>
          <w:color w:val="auto"/>
          <w:sz w:val="21"/>
          <w:szCs w:val="21"/>
          <w:highlight w:val="none"/>
          <w:lang w:eastAsia="zh-CN"/>
        </w:rPr>
        <w:t>采购</w:t>
      </w:r>
      <w:r>
        <w:rPr>
          <w:rFonts w:hint="eastAsia" w:ascii="宋体" w:hAnsi="宋体" w:cs="宋体"/>
          <w:b/>
          <w:bCs/>
          <w:color w:val="auto"/>
          <w:sz w:val="21"/>
          <w:szCs w:val="21"/>
          <w:highlight w:val="none"/>
        </w:rPr>
        <w:t>需求偏离表</w:t>
      </w:r>
    </w:p>
    <w:p w14:paraId="393EB095">
      <w:pPr>
        <w:keepNext w:val="0"/>
        <w:keepLines w:val="0"/>
        <w:pageBreakBefore w:val="0"/>
        <w:widowControl w:val="0"/>
        <w:kinsoku/>
        <w:wordWrap/>
        <w:overflowPunct/>
        <w:topLinePunct w:val="0"/>
        <w:autoSpaceDE/>
        <w:autoSpaceDN/>
        <w:bidi w:val="0"/>
        <w:adjustRightInd/>
        <w:snapToGrid/>
        <w:spacing w:line="360" w:lineRule="atLeast"/>
        <w:jc w:val="center"/>
        <w:textAlignment w:val="auto"/>
        <w:rPr>
          <w:rFonts w:hint="eastAsia" w:ascii="宋体" w:hAnsi="宋体" w:cs="宋体"/>
          <w:b/>
          <w:bCs/>
          <w:color w:val="auto"/>
          <w:sz w:val="28"/>
          <w:szCs w:val="28"/>
          <w:highlight w:val="none"/>
        </w:rPr>
      </w:pPr>
      <w:r>
        <w:rPr>
          <w:rFonts w:hint="eastAsia" w:ascii="宋体" w:hAnsi="宋体" w:cs="宋体"/>
          <w:b/>
          <w:bCs/>
          <w:color w:val="auto"/>
          <w:sz w:val="28"/>
          <w:szCs w:val="28"/>
          <w:highlight w:val="none"/>
          <w:lang w:eastAsia="zh-CN"/>
        </w:rPr>
        <w:t>采购</w:t>
      </w:r>
      <w:r>
        <w:rPr>
          <w:rFonts w:hint="eastAsia" w:ascii="宋体" w:hAnsi="宋体" w:cs="宋体"/>
          <w:b/>
          <w:bCs/>
          <w:color w:val="auto"/>
          <w:sz w:val="28"/>
          <w:szCs w:val="28"/>
          <w:highlight w:val="none"/>
        </w:rPr>
        <w:t>需求偏离表</w:t>
      </w:r>
    </w:p>
    <w:p w14:paraId="7CA17118">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eastAsia="宋体" w:cs="Times New Roman"/>
          <w:b/>
          <w:color w:val="auto"/>
          <w:kern w:val="2"/>
          <w:sz w:val="21"/>
          <w:szCs w:val="21"/>
          <w:highlight w:val="none"/>
          <w:lang w:val="en-US" w:eastAsia="zh-CN" w:bidi="ar-SA"/>
        </w:rPr>
      </w:pPr>
      <w:r>
        <w:rPr>
          <w:rFonts w:hint="eastAsia" w:ascii="宋体" w:hAnsi="宋体" w:eastAsia="宋体" w:cs="Times New Roman"/>
          <w:b/>
          <w:color w:val="auto"/>
          <w:kern w:val="2"/>
          <w:sz w:val="21"/>
          <w:szCs w:val="21"/>
          <w:highlight w:val="none"/>
          <w:lang w:val="en-US" w:eastAsia="zh-CN" w:bidi="ar-SA"/>
        </w:rPr>
        <w:t>★的条款均为必须完全满足指标，供应商须进行实质性响应，供应商若有一项带“★”的条款未响应或不满足，将按无效投标处理。</w:t>
      </w:r>
    </w:p>
    <w:p w14:paraId="4DCB6FA9">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eastAsia="宋体" w:cs="Times New Roman"/>
          <w:b/>
          <w:color w:val="auto"/>
          <w:kern w:val="2"/>
          <w:sz w:val="21"/>
          <w:szCs w:val="21"/>
          <w:highlight w:val="none"/>
          <w:lang w:val="en-US" w:eastAsia="zh-CN" w:bidi="ar-SA"/>
        </w:rPr>
        <w:t>▲供应商应根据所投产品/服务的情况逐项如实填写“用户需求响应偏离表”并作为供应商评分的重要依据。如不按所投产品/服务实际响应情况填写或不填写，视为不符合采购文件要求，对应技术参数和商务参数不得分，由</w:t>
      </w:r>
      <w:r>
        <w:rPr>
          <w:rFonts w:hint="eastAsia" w:ascii="宋体" w:hAnsi="宋体"/>
          <w:b/>
          <w:color w:val="auto"/>
          <w:sz w:val="21"/>
          <w:szCs w:val="21"/>
          <w:highlight w:val="none"/>
        </w:rPr>
        <w:t>此产生的不良后果由供应商自行负责。</w:t>
      </w:r>
    </w:p>
    <w:p w14:paraId="49A538BC">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无偏离：所投产品/服务响应采购文件需求；</w:t>
      </w:r>
    </w:p>
    <w:p w14:paraId="3181CE5E">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正偏离：所投产品/服务优于/高于采购文件需求；</w:t>
      </w:r>
    </w:p>
    <w:p w14:paraId="5E826B1D">
      <w:pPr>
        <w:keepNext w:val="0"/>
        <w:keepLines w:val="0"/>
        <w:pageBreakBefore w:val="0"/>
        <w:widowControl w:val="0"/>
        <w:kinsoku/>
        <w:wordWrap/>
        <w:overflowPunct/>
        <w:topLinePunct w:val="0"/>
        <w:autoSpaceDE/>
        <w:autoSpaceDN/>
        <w:bidi w:val="0"/>
        <w:adjustRightInd/>
        <w:snapToGrid/>
        <w:spacing w:line="360" w:lineRule="atLeast"/>
        <w:textAlignment w:val="auto"/>
        <w:rPr>
          <w:rFonts w:ascii="宋体" w:hAnsi="宋体"/>
          <w:b/>
          <w:color w:val="auto"/>
          <w:sz w:val="21"/>
          <w:szCs w:val="21"/>
          <w:highlight w:val="none"/>
        </w:rPr>
      </w:pPr>
      <w:r>
        <w:rPr>
          <w:rFonts w:hint="eastAsia" w:ascii="宋体" w:hAnsi="宋体"/>
          <w:b/>
          <w:color w:val="auto"/>
          <w:sz w:val="21"/>
          <w:szCs w:val="21"/>
          <w:highlight w:val="none"/>
        </w:rPr>
        <w:t>负偏离：所投产品/服务不符合采购文件需求。</w:t>
      </w:r>
    </w:p>
    <w:p w14:paraId="46965E8F">
      <w:pPr>
        <w:keepNext w:val="0"/>
        <w:keepLines w:val="0"/>
        <w:pageBreakBefore w:val="0"/>
        <w:widowControl w:val="0"/>
        <w:kinsoku/>
        <w:wordWrap/>
        <w:overflowPunct/>
        <w:topLinePunct w:val="0"/>
        <w:autoSpaceDE/>
        <w:autoSpaceDN/>
        <w:bidi w:val="0"/>
        <w:adjustRightInd/>
        <w:snapToGrid/>
        <w:spacing w:line="360" w:lineRule="atLeast"/>
        <w:textAlignment w:val="auto"/>
        <w:rPr>
          <w:rFonts w:hint="eastAsia" w:ascii="宋体" w:hAnsi="宋体"/>
          <w:b/>
          <w:bCs w:val="0"/>
          <w:color w:val="auto"/>
          <w:sz w:val="21"/>
          <w:szCs w:val="21"/>
          <w:highlight w:val="none"/>
        </w:rPr>
      </w:pPr>
      <w:r>
        <w:rPr>
          <w:rFonts w:hint="eastAsia" w:ascii="宋体" w:hAnsi="宋体"/>
          <w:b/>
          <w:bCs w:val="0"/>
          <w:color w:val="auto"/>
          <w:sz w:val="21"/>
          <w:szCs w:val="21"/>
          <w:highlight w:val="none"/>
        </w:rPr>
        <w:t>本表所列条款必须一一予以响应，“</w:t>
      </w:r>
      <w:r>
        <w:rPr>
          <w:rFonts w:hint="eastAsia" w:ascii="宋体" w:hAnsi="宋体"/>
          <w:b/>
          <w:bCs w:val="0"/>
          <w:color w:val="auto"/>
          <w:sz w:val="21"/>
          <w:szCs w:val="21"/>
          <w:highlight w:val="none"/>
          <w:lang w:val="en-US" w:eastAsia="zh-CN"/>
        </w:rPr>
        <w:t>响应</w:t>
      </w:r>
      <w:r>
        <w:rPr>
          <w:rFonts w:hint="eastAsia" w:ascii="宋体" w:hAnsi="宋体"/>
          <w:b/>
          <w:bCs w:val="0"/>
          <w:color w:val="auto"/>
          <w:sz w:val="21"/>
          <w:szCs w:val="21"/>
          <w:highlight w:val="none"/>
        </w:rPr>
        <w:t>文件</w:t>
      </w:r>
      <w:r>
        <w:rPr>
          <w:rFonts w:hint="eastAsia" w:ascii="宋体" w:hAnsi="宋体"/>
          <w:b/>
          <w:bCs w:val="0"/>
          <w:color w:val="auto"/>
          <w:sz w:val="21"/>
          <w:szCs w:val="21"/>
          <w:highlight w:val="none"/>
          <w:lang w:val="en-US" w:eastAsia="zh-CN"/>
        </w:rPr>
        <w:t>实际</w:t>
      </w:r>
      <w:r>
        <w:rPr>
          <w:rFonts w:hint="eastAsia" w:ascii="宋体" w:hAnsi="宋体"/>
          <w:b/>
          <w:bCs w:val="0"/>
          <w:color w:val="auto"/>
          <w:sz w:val="21"/>
          <w:szCs w:val="21"/>
          <w:highlight w:val="none"/>
        </w:rPr>
        <w:t>响应”一栏应填写具体的响应内容</w:t>
      </w:r>
      <w:r>
        <w:rPr>
          <w:rFonts w:hint="eastAsia" w:ascii="宋体" w:hAnsi="宋体"/>
          <w:b/>
          <w:bCs w:val="0"/>
          <w:color w:val="auto"/>
          <w:sz w:val="21"/>
          <w:szCs w:val="21"/>
          <w:highlight w:val="none"/>
          <w:lang w:eastAsia="zh-CN"/>
        </w:rPr>
        <w:t>。</w:t>
      </w:r>
      <w:r>
        <w:rPr>
          <w:rFonts w:hint="eastAsia" w:ascii="宋体" w:hAnsi="宋体"/>
          <w:b/>
          <w:bCs w:val="0"/>
          <w:color w:val="auto"/>
          <w:sz w:val="21"/>
          <w:szCs w:val="21"/>
          <w:highlight w:val="none"/>
          <w:lang w:val="en-GB"/>
        </w:rPr>
        <w:t>如无偏离则</w:t>
      </w:r>
      <w:r>
        <w:rPr>
          <w:rFonts w:hint="eastAsia" w:ascii="宋体" w:hAnsi="宋体"/>
          <w:b/>
          <w:bCs w:val="0"/>
          <w:color w:val="auto"/>
          <w:sz w:val="21"/>
          <w:szCs w:val="21"/>
          <w:highlight w:val="none"/>
          <w:lang w:val="en-US" w:eastAsia="zh-CN"/>
        </w:rPr>
        <w:t>在“偏离差异说明”一栏中填写“无”；</w:t>
      </w:r>
      <w:r>
        <w:rPr>
          <w:rFonts w:hint="eastAsia" w:ascii="宋体" w:hAnsi="宋体"/>
          <w:b/>
          <w:bCs w:val="0"/>
          <w:color w:val="auto"/>
          <w:sz w:val="21"/>
          <w:szCs w:val="21"/>
          <w:highlight w:val="none"/>
        </w:rPr>
        <w:t>有</w:t>
      </w:r>
      <w:r>
        <w:rPr>
          <w:rFonts w:hint="eastAsia" w:ascii="宋体" w:hAnsi="宋体"/>
          <w:b/>
          <w:bCs w:val="0"/>
          <w:color w:val="auto"/>
          <w:sz w:val="21"/>
          <w:szCs w:val="21"/>
          <w:highlight w:val="none"/>
          <w:lang w:val="en-US" w:eastAsia="zh-CN"/>
        </w:rPr>
        <w:t>偏离则在“偏离差异说明”一栏填写</w:t>
      </w:r>
      <w:r>
        <w:rPr>
          <w:rFonts w:hint="eastAsia" w:ascii="宋体" w:hAnsi="宋体"/>
          <w:b/>
          <w:bCs w:val="0"/>
          <w:color w:val="auto"/>
          <w:sz w:val="21"/>
          <w:szCs w:val="21"/>
          <w:highlight w:val="none"/>
        </w:rPr>
        <w:t>具体说明。</w:t>
      </w:r>
    </w:p>
    <w:p w14:paraId="38045054">
      <w:pPr>
        <w:keepNext w:val="0"/>
        <w:keepLines w:val="0"/>
        <w:pageBreakBefore w:val="0"/>
        <w:widowControl w:val="0"/>
        <w:numPr>
          <w:ilvl w:val="0"/>
          <w:numId w:val="0"/>
        </w:numPr>
        <w:kinsoku/>
        <w:wordWrap/>
        <w:overflowPunct/>
        <w:topLinePunct w:val="0"/>
        <w:autoSpaceDE/>
        <w:autoSpaceDN/>
        <w:bidi w:val="0"/>
        <w:spacing w:line="360" w:lineRule="atLeast"/>
        <w:textAlignment w:val="auto"/>
        <w:rPr>
          <w:rFonts w:hint="eastAsia" w:ascii="宋体" w:hAnsi="宋体" w:cs="宋体"/>
          <w:b/>
          <w:bCs/>
          <w:color w:val="auto"/>
          <w:sz w:val="21"/>
          <w:szCs w:val="21"/>
          <w:highlight w:val="none"/>
          <w:lang w:val="en-US" w:eastAsia="zh-CN"/>
        </w:rPr>
      </w:pPr>
      <w:r>
        <w:rPr>
          <w:rFonts w:hint="eastAsia" w:ascii="宋体" w:hAnsi="宋体" w:eastAsia="宋体" w:cs="宋体"/>
          <w:b/>
          <w:bCs/>
          <w:color w:val="auto"/>
          <w:kern w:val="2"/>
          <w:sz w:val="21"/>
          <w:szCs w:val="21"/>
          <w:highlight w:val="none"/>
          <w:lang w:val="en-US" w:eastAsia="zh-CN" w:bidi="ar-SA"/>
        </w:rPr>
        <w:t>一、</w:t>
      </w:r>
      <w:r>
        <w:rPr>
          <w:rFonts w:hint="eastAsia" w:ascii="宋体" w:hAnsi="宋体" w:cs="宋体"/>
          <w:b/>
          <w:bCs/>
          <w:color w:val="auto"/>
          <w:sz w:val="21"/>
          <w:szCs w:val="21"/>
          <w:highlight w:val="none"/>
          <w:lang w:val="en-US" w:eastAsia="zh-CN"/>
        </w:rPr>
        <w:t>“★”条款响应表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C084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7CE2EED">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24B414FB">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50BBAF62">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D4E06A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75D99CB3">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188F23EE">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5446F36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3E18925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C75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239B38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56A5284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F09960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6588B2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F04039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05F28F0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30E9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4562D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30065F1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945769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FEC1E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455047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5D0B1C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7618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23F75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4364CC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A58E9A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C4B152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69198F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0D575F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EBB177C">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二</w:t>
      </w:r>
      <w:r>
        <w:rPr>
          <w:rFonts w:hint="eastAsia"/>
          <w:b/>
          <w:bCs/>
          <w:color w:val="auto"/>
          <w:sz w:val="21"/>
          <w:szCs w:val="21"/>
          <w:highlight w:val="none"/>
        </w:rPr>
        <w:t>、</w:t>
      </w:r>
      <w:r>
        <w:rPr>
          <w:rFonts w:hint="eastAsia" w:ascii="宋体" w:hAnsi="宋体" w:cs="宋体"/>
          <w:b/>
          <w:bCs/>
          <w:color w:val="auto"/>
          <w:sz w:val="21"/>
          <w:szCs w:val="21"/>
          <w:highlight w:val="none"/>
          <w:lang w:val="en-US" w:eastAsia="zh-CN"/>
        </w:rPr>
        <w:t>技术要求条款</w:t>
      </w:r>
      <w:r>
        <w:rPr>
          <w:rFonts w:hint="eastAsia" w:hAnsi="宋体"/>
          <w:b/>
          <w:color w:val="auto"/>
          <w:sz w:val="21"/>
          <w:szCs w:val="21"/>
          <w:highlight w:val="none"/>
        </w:rPr>
        <w:t>响应表</w:t>
      </w:r>
    </w:p>
    <w:tbl>
      <w:tblPr>
        <w:tblStyle w:val="23"/>
        <w:tblW w:w="9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314"/>
        <w:gridCol w:w="1928"/>
      </w:tblGrid>
      <w:tr w14:paraId="3321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9FDD72E">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2F51774">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4061ED45">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43D06F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300DED0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314" w:type="dxa"/>
            <w:tcBorders>
              <w:top w:val="single" w:color="auto" w:sz="4" w:space="0"/>
              <w:left w:val="single" w:color="auto" w:sz="4" w:space="0"/>
              <w:bottom w:val="single" w:color="auto" w:sz="4" w:space="0"/>
              <w:right w:val="single" w:color="auto" w:sz="4" w:space="0"/>
            </w:tcBorders>
            <w:vAlign w:val="center"/>
          </w:tcPr>
          <w:p w14:paraId="78FF8075">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4E09A0D0">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0352E931">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19C4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903506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0A1261E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5BA27B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C7B3F1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16F3415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CE7E098">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1E1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903E41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78D892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E9DAEA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2D16F2D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4FEF1DD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FFAC4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56E0F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4D59A8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E82E42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6081A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62BEDC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314" w:type="dxa"/>
            <w:tcBorders>
              <w:top w:val="single" w:color="auto" w:sz="4" w:space="0"/>
              <w:left w:val="single" w:color="auto" w:sz="4" w:space="0"/>
              <w:bottom w:val="single" w:color="auto" w:sz="4" w:space="0"/>
              <w:right w:val="single" w:color="auto" w:sz="4" w:space="0"/>
            </w:tcBorders>
            <w:vAlign w:val="center"/>
          </w:tcPr>
          <w:p w14:paraId="27FA4A8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6C9216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4A3F0B95">
      <w:pPr>
        <w:keepNext w:val="0"/>
        <w:keepLines w:val="0"/>
        <w:pageBreakBefore w:val="0"/>
        <w:widowControl w:val="0"/>
        <w:kinsoku/>
        <w:wordWrap/>
        <w:overflowPunct/>
        <w:topLinePunct w:val="0"/>
        <w:autoSpaceDE/>
        <w:autoSpaceDN/>
        <w:bidi w:val="0"/>
        <w:spacing w:line="360" w:lineRule="atLeast"/>
        <w:textAlignment w:val="auto"/>
        <w:rPr>
          <w:rFonts w:hint="eastAsia" w:eastAsia="宋体"/>
          <w:b/>
          <w:bCs/>
          <w:color w:val="auto"/>
          <w:sz w:val="21"/>
          <w:szCs w:val="21"/>
          <w:highlight w:val="none"/>
          <w:lang w:eastAsia="zh-CN"/>
        </w:rPr>
      </w:pPr>
      <w:r>
        <w:rPr>
          <w:rFonts w:hint="eastAsia"/>
          <w:b/>
          <w:bCs/>
          <w:color w:val="auto"/>
          <w:sz w:val="21"/>
          <w:szCs w:val="21"/>
          <w:highlight w:val="none"/>
          <w:lang w:val="en-US" w:eastAsia="zh-CN"/>
        </w:rPr>
        <w:t>三</w:t>
      </w:r>
      <w:r>
        <w:rPr>
          <w:rFonts w:hint="eastAsia"/>
          <w:b/>
          <w:bCs/>
          <w:color w:val="auto"/>
          <w:sz w:val="21"/>
          <w:szCs w:val="21"/>
          <w:highlight w:val="none"/>
        </w:rPr>
        <w:t>、</w:t>
      </w:r>
      <w:r>
        <w:rPr>
          <w:rFonts w:hint="eastAsia"/>
          <w:b/>
          <w:bCs/>
          <w:color w:val="auto"/>
          <w:sz w:val="21"/>
          <w:szCs w:val="21"/>
          <w:highlight w:val="none"/>
          <w:lang w:val="en-US" w:eastAsia="zh-CN"/>
        </w:rPr>
        <w:t>商务要求</w:t>
      </w:r>
      <w:r>
        <w:rPr>
          <w:rFonts w:hint="eastAsia" w:ascii="宋体" w:hAnsi="宋体" w:cs="宋体"/>
          <w:b/>
          <w:bCs/>
          <w:color w:val="auto"/>
          <w:sz w:val="21"/>
          <w:szCs w:val="21"/>
          <w:highlight w:val="none"/>
          <w:lang w:val="en-US" w:eastAsia="zh-CN"/>
        </w:rPr>
        <w:t>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2C6A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656B9D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03CFC87">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eastAsia="宋体"/>
                <w:color w:val="auto"/>
                <w:sz w:val="21"/>
                <w:szCs w:val="21"/>
                <w:highlight w:val="none"/>
                <w:lang w:eastAsia="zh-CN"/>
              </w:rPr>
            </w:pPr>
            <w:r>
              <w:rPr>
                <w:rFonts w:hint="eastAsia"/>
                <w:color w:val="auto"/>
                <w:sz w:val="21"/>
                <w:szCs w:val="21"/>
                <w:highlight w:val="none"/>
              </w:rPr>
              <w:t>采购文件的</w:t>
            </w:r>
            <w:r>
              <w:rPr>
                <w:rFonts w:hint="eastAsia"/>
                <w:color w:val="auto"/>
                <w:sz w:val="21"/>
                <w:szCs w:val="21"/>
                <w:highlight w:val="none"/>
                <w:lang w:val="en-US"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E8DEE8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20A73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Arial" w:hAnsi="Arial" w:cs="Arial"/>
                <w:b/>
                <w:color w:val="auto"/>
                <w:sz w:val="21"/>
                <w:szCs w:val="21"/>
                <w:highlight w:val="none"/>
              </w:rPr>
            </w:pPr>
            <w:r>
              <w:rPr>
                <w:rFonts w:ascii="Arial" w:hAnsi="Arial" w:cs="Arial"/>
                <w:b/>
                <w:color w:val="auto"/>
                <w:sz w:val="21"/>
                <w:szCs w:val="21"/>
                <w:highlight w:val="none"/>
              </w:rPr>
              <w:t>是否偏离</w:t>
            </w:r>
          </w:p>
          <w:p w14:paraId="57B817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color w:val="auto"/>
                <w:sz w:val="21"/>
                <w:szCs w:val="21"/>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09682F20">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64A31CF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2A9F0137">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4B2E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A6C05B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52424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E7E894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4FE7143D">
            <w:pPr>
              <w:keepNext w:val="0"/>
              <w:keepLines w:val="0"/>
              <w:pageBreakBefore w:val="0"/>
              <w:widowControl w:val="0"/>
              <w:kinsoku/>
              <w:wordWrap/>
              <w:overflowPunct/>
              <w:topLinePunct w:val="0"/>
              <w:autoSpaceDE/>
              <w:autoSpaceDN/>
              <w:bidi w:val="0"/>
              <w:spacing w:line="360" w:lineRule="atLeast"/>
              <w:jc w:val="center"/>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2FD980D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1BC45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2044D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3230B4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9E0F98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A13CC6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349457A5">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0296308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85A799">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6D57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3FB5DD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1A4F270F">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76B3CFA">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0FD6F83B">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EE69AC0">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6D03BE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747D8B6A">
      <w:pPr>
        <w:pStyle w:val="32"/>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rFonts w:hint="eastAsia" w:ascii="宋体" w:hAnsi="宋体"/>
          <w:b/>
          <w:color w:val="auto"/>
          <w:sz w:val="21"/>
          <w:szCs w:val="21"/>
          <w:highlight w:val="none"/>
          <w:lang w:val="en-US" w:eastAsia="zh-CN"/>
        </w:rPr>
        <w:t>四、</w:t>
      </w:r>
      <w:r>
        <w:rPr>
          <w:rFonts w:hint="eastAsia" w:ascii="宋体" w:hAnsi="宋体"/>
          <w:b/>
          <w:color w:val="auto"/>
          <w:sz w:val="21"/>
          <w:szCs w:val="21"/>
          <w:highlight w:val="none"/>
        </w:rPr>
        <w:t>合同条款</w:t>
      </w:r>
      <w:r>
        <w:rPr>
          <w:rFonts w:hint="eastAsia" w:hAnsi="宋体"/>
          <w:b/>
          <w:color w:val="auto"/>
          <w:sz w:val="21"/>
          <w:szCs w:val="21"/>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246B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76ADBB">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color w:val="auto"/>
                <w:sz w:val="21"/>
                <w:szCs w:val="21"/>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0038469C">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rPr>
              <w:t>合同模板条款</w:t>
            </w:r>
          </w:p>
        </w:tc>
        <w:tc>
          <w:tcPr>
            <w:tcW w:w="1417" w:type="dxa"/>
            <w:tcBorders>
              <w:top w:val="single" w:color="auto" w:sz="4" w:space="0"/>
              <w:left w:val="single" w:color="auto" w:sz="4" w:space="0"/>
              <w:bottom w:val="single" w:color="auto" w:sz="4" w:space="0"/>
              <w:right w:val="single" w:color="auto" w:sz="4" w:space="0"/>
            </w:tcBorders>
            <w:vAlign w:val="center"/>
          </w:tcPr>
          <w:p w14:paraId="53C341D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color w:val="auto"/>
                <w:sz w:val="21"/>
                <w:szCs w:val="21"/>
                <w:highlight w:val="none"/>
                <w:lang w:val="en-US" w:eastAsia="zh-CN"/>
              </w:rPr>
              <w:t>响应</w:t>
            </w:r>
            <w:r>
              <w:rPr>
                <w:rFonts w:hint="eastAsia"/>
                <w:color w:val="auto"/>
                <w:sz w:val="21"/>
                <w:szCs w:val="21"/>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E6E06B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color w:val="auto"/>
                <w:sz w:val="21"/>
                <w:szCs w:val="21"/>
                <w:highlight w:val="none"/>
              </w:rPr>
            </w:pPr>
            <w:r>
              <w:rPr>
                <w:rFonts w:ascii="Arial" w:hAnsi="Arial" w:cs="Arial"/>
                <w:b/>
                <w:color w:val="auto"/>
                <w:sz w:val="21"/>
                <w:szCs w:val="21"/>
                <w:highlight w:val="none"/>
              </w:rPr>
              <w:t>是否偏离</w:t>
            </w:r>
          </w:p>
          <w:p w14:paraId="71DDA049">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color w:val="auto"/>
                <w:sz w:val="21"/>
                <w:szCs w:val="21"/>
                <w:highlight w:val="none"/>
              </w:rPr>
            </w:pPr>
            <w:r>
              <w:rPr>
                <w:rFonts w:hint="eastAsia" w:ascii="Times New Roman" w:hAnsi="Times New Roman" w:cs="Times New Roman"/>
                <w:color w:val="auto"/>
                <w:sz w:val="21"/>
                <w:szCs w:val="21"/>
                <w:highlight w:val="none"/>
                <w:lang w:eastAsia="zh-CN"/>
              </w:rPr>
              <w:t>（</w:t>
            </w:r>
            <w:r>
              <w:rPr>
                <w:rFonts w:ascii="Times New Roman" w:hAnsi="Times New Roman" w:cs="Times New Roman"/>
                <w:color w:val="auto"/>
                <w:sz w:val="21"/>
                <w:szCs w:val="21"/>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2490B413">
            <w:pPr>
              <w:keepNext w:val="0"/>
              <w:keepLines w:val="0"/>
              <w:pageBreakBefore w:val="0"/>
              <w:widowControl w:val="0"/>
              <w:kinsoku/>
              <w:wordWrap/>
              <w:overflowPunct/>
              <w:topLinePunct w:val="0"/>
              <w:autoSpaceDE/>
              <w:autoSpaceDN/>
              <w:bidi w:val="0"/>
              <w:adjustRightInd/>
              <w:snapToGrid/>
              <w:spacing w:line="240" w:lineRule="atLeast"/>
              <w:textAlignment w:val="auto"/>
              <w:rPr>
                <w:rFonts w:hint="eastAsia" w:ascii="宋体" w:hAnsi="宋体" w:cs="宋体"/>
                <w:b/>
                <w:bCs/>
                <w:color w:val="auto"/>
                <w:kern w:val="0"/>
                <w:sz w:val="21"/>
                <w:szCs w:val="21"/>
                <w:highlight w:val="none"/>
                <w:lang w:eastAsia="zh-CN"/>
              </w:rPr>
            </w:pPr>
            <w:r>
              <w:rPr>
                <w:rFonts w:hint="eastAsia" w:ascii="宋体" w:hAnsi="宋体" w:cs="宋体"/>
                <w:b/>
                <w:bCs/>
                <w:color w:val="auto"/>
                <w:kern w:val="0"/>
                <w:sz w:val="21"/>
                <w:szCs w:val="21"/>
                <w:highlight w:val="none"/>
                <w:lang w:eastAsia="zh-CN"/>
              </w:rPr>
              <w:t>偏离差异</w:t>
            </w:r>
          </w:p>
          <w:p w14:paraId="7F77D1AA">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8B8296">
            <w:pPr>
              <w:keepNext w:val="0"/>
              <w:keepLines w:val="0"/>
              <w:pageBreakBefore w:val="0"/>
              <w:widowControl w:val="0"/>
              <w:kinsoku/>
              <w:wordWrap/>
              <w:overflowPunct/>
              <w:topLinePunct w:val="0"/>
              <w:autoSpaceDE/>
              <w:autoSpaceDN/>
              <w:bidi w:val="0"/>
              <w:adjustRightInd/>
              <w:snapToGrid/>
              <w:spacing w:line="240" w:lineRule="atLeast"/>
              <w:textAlignment w:val="auto"/>
              <w:rPr>
                <w:color w:val="auto"/>
                <w:sz w:val="21"/>
                <w:szCs w:val="21"/>
                <w:highlight w:val="none"/>
              </w:rPr>
            </w:pPr>
            <w:r>
              <w:rPr>
                <w:rFonts w:hint="eastAsia" w:ascii="宋体" w:hAnsi="宋体" w:cs="宋体"/>
                <w:b/>
                <w:bCs/>
                <w:color w:val="auto"/>
                <w:kern w:val="0"/>
                <w:sz w:val="21"/>
                <w:szCs w:val="21"/>
                <w:highlight w:val="none"/>
                <w:lang w:eastAsia="zh-CN"/>
              </w:rPr>
              <w:t>证明文件索引</w:t>
            </w:r>
          </w:p>
        </w:tc>
      </w:tr>
      <w:tr w14:paraId="53C0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9F18BD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487439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2C2B37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9CCBF6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DD1AD42">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5EEEC08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54D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588C08BE">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6F167454">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FD6CD">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849B3A6">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243C03F1">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2DC3D5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r w14:paraId="087F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44EF3E7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r>
              <w:rPr>
                <w:color w:val="auto"/>
                <w:sz w:val="21"/>
                <w:szCs w:val="21"/>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E73C13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14F04C3">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98049B7">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014061C">
            <w:pPr>
              <w:keepNext w:val="0"/>
              <w:keepLines w:val="0"/>
              <w:pageBreakBefore w:val="0"/>
              <w:widowControl w:val="0"/>
              <w:kinsoku/>
              <w:wordWrap/>
              <w:overflowPunct/>
              <w:topLinePunct w:val="0"/>
              <w:autoSpaceDE/>
              <w:autoSpaceDN/>
              <w:bidi w:val="0"/>
              <w:spacing w:line="360" w:lineRule="atLeast"/>
              <w:textAlignment w:val="auto"/>
              <w:rPr>
                <w:color w:val="auto"/>
                <w:sz w:val="21"/>
                <w:szCs w:val="21"/>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6F7C780">
            <w:pPr>
              <w:keepNext w:val="0"/>
              <w:keepLines w:val="0"/>
              <w:pageBreakBefore w:val="0"/>
              <w:widowControl w:val="0"/>
              <w:kinsoku/>
              <w:wordWrap/>
              <w:overflowPunct/>
              <w:topLinePunct w:val="0"/>
              <w:autoSpaceDE/>
              <w:autoSpaceDN/>
              <w:bidi w:val="0"/>
              <w:adjustRightInd/>
              <w:snapToGrid/>
              <w:spacing w:line="360" w:lineRule="atLeast"/>
              <w:textAlignment w:val="auto"/>
              <w:rPr>
                <w:color w:val="auto"/>
                <w:sz w:val="21"/>
                <w:szCs w:val="21"/>
                <w:highlight w:val="none"/>
              </w:rPr>
            </w:pPr>
            <w:r>
              <w:rPr>
                <w:color w:val="auto"/>
                <w:sz w:val="21"/>
                <w:szCs w:val="21"/>
                <w:highlight w:val="none"/>
              </w:rPr>
              <w:t>第</w:t>
            </w:r>
            <w:r>
              <w:rPr>
                <w:rFonts w:hint="eastAsia"/>
                <w:color w:val="auto"/>
                <w:sz w:val="21"/>
                <w:szCs w:val="21"/>
                <w:highlight w:val="none"/>
                <w:lang w:eastAsia="zh-CN"/>
              </w:rPr>
              <w:t>（</w:t>
            </w:r>
            <w:r>
              <w:rPr>
                <w:rFonts w:hint="eastAsia"/>
                <w:color w:val="auto"/>
                <w:sz w:val="21"/>
                <w:szCs w:val="21"/>
                <w:highlight w:val="none"/>
              </w:rPr>
              <w:t xml:space="preserve">   ～    </w:t>
            </w:r>
            <w:r>
              <w:rPr>
                <w:rFonts w:hint="eastAsia"/>
                <w:color w:val="auto"/>
                <w:sz w:val="21"/>
                <w:szCs w:val="21"/>
                <w:highlight w:val="none"/>
                <w:lang w:eastAsia="zh-CN"/>
              </w:rPr>
              <w:t>）</w:t>
            </w:r>
            <w:r>
              <w:rPr>
                <w:color w:val="auto"/>
                <w:sz w:val="21"/>
                <w:szCs w:val="21"/>
                <w:highlight w:val="none"/>
              </w:rPr>
              <w:t>页</w:t>
            </w:r>
          </w:p>
        </w:tc>
      </w:tr>
    </w:tbl>
    <w:p w14:paraId="5E357895">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cs="Times New Roman"/>
          <w:b/>
          <w:color w:val="auto"/>
          <w:sz w:val="21"/>
          <w:szCs w:val="21"/>
          <w:highlight w:val="none"/>
          <w:lang w:val="en-US" w:eastAsia="zh-CN" w:bidi="ar-SA"/>
        </w:rPr>
      </w:pPr>
    </w:p>
    <w:p w14:paraId="0547F61B">
      <w:pPr>
        <w:keepNext/>
        <w:keepLines w:val="0"/>
        <w:widowControl w:val="0"/>
        <w:numPr>
          <w:ilvl w:val="0"/>
          <w:numId w:val="0"/>
        </w:numPr>
        <w:tabs>
          <w:tab w:val="left" w:pos="420"/>
        </w:tabs>
        <w:adjustRightInd/>
        <w:snapToGrid/>
        <w:spacing w:line="360" w:lineRule="auto"/>
        <w:ind w:firstLine="5060" w:firstLineChars="2400"/>
        <w:jc w:val="both"/>
        <w:outlineLvl w:val="1"/>
        <w:rPr>
          <w:rFonts w:hint="eastAsia" w:ascii="宋体" w:hAnsi="宋体" w:eastAsia="宋体" w:cs="Times New Roman"/>
          <w:b/>
          <w:color w:val="auto"/>
          <w:sz w:val="21"/>
          <w:szCs w:val="21"/>
          <w:highlight w:val="none"/>
          <w:lang w:val="en-US" w:eastAsia="zh-CN" w:bidi="ar-SA"/>
        </w:rPr>
      </w:pPr>
      <w:bookmarkStart w:id="329" w:name="_Toc29859"/>
      <w:r>
        <w:rPr>
          <w:rFonts w:hint="eastAsia" w:ascii="宋体" w:hAnsi="宋体" w:cs="Times New Roman"/>
          <w:b/>
          <w:color w:val="auto"/>
          <w:sz w:val="21"/>
          <w:szCs w:val="21"/>
          <w:highlight w:val="none"/>
          <w:lang w:val="en-US" w:eastAsia="zh-CN" w:bidi="ar-SA"/>
        </w:rPr>
        <w:t>供应商</w:t>
      </w:r>
      <w:r>
        <w:rPr>
          <w:rFonts w:hint="eastAsia" w:ascii="宋体" w:hAnsi="宋体" w:eastAsia="宋体" w:cs="Times New Roman"/>
          <w:b/>
          <w:color w:val="auto"/>
          <w:sz w:val="21"/>
          <w:szCs w:val="21"/>
          <w:highlight w:val="none"/>
          <w:lang w:val="en-US" w:eastAsia="zh-CN" w:bidi="ar-SA"/>
        </w:rPr>
        <w:t>名称（盖章）：</w:t>
      </w:r>
      <w:bookmarkEnd w:id="329"/>
    </w:p>
    <w:p w14:paraId="11510694">
      <w:pPr>
        <w:keepNext/>
        <w:keepLines w:val="0"/>
        <w:widowControl w:val="0"/>
        <w:numPr>
          <w:ilvl w:val="0"/>
          <w:numId w:val="0"/>
        </w:numPr>
        <w:tabs>
          <w:tab w:val="left" w:pos="420"/>
        </w:tabs>
        <w:adjustRightInd/>
        <w:snapToGrid/>
        <w:spacing w:line="360" w:lineRule="auto"/>
        <w:jc w:val="right"/>
        <w:outlineLvl w:val="1"/>
        <w:rPr>
          <w:rFonts w:hint="default" w:ascii="宋体" w:hAnsi="宋体" w:eastAsia="宋体" w:cs="Times New Roman"/>
          <w:b/>
          <w:color w:val="auto"/>
          <w:sz w:val="21"/>
          <w:szCs w:val="21"/>
          <w:highlight w:val="none"/>
          <w:lang w:val="en-US" w:eastAsia="zh-CN" w:bidi="ar-SA"/>
        </w:rPr>
      </w:pPr>
      <w:r>
        <w:rPr>
          <w:rFonts w:hint="eastAsia" w:ascii="宋体" w:hAnsi="宋体" w:eastAsia="宋体" w:cs="Times New Roman"/>
          <w:b/>
          <w:color w:val="auto"/>
          <w:sz w:val="21"/>
          <w:szCs w:val="21"/>
          <w:highlight w:val="none"/>
          <w:lang w:val="en-US" w:eastAsia="zh-CN" w:bidi="ar-SA"/>
        </w:rPr>
        <w:t xml:space="preserve">                                       </w:t>
      </w:r>
      <w:bookmarkStart w:id="330" w:name="_Toc26168"/>
      <w:r>
        <w:rPr>
          <w:rFonts w:hint="eastAsia" w:ascii="宋体" w:hAnsi="宋体" w:eastAsia="宋体" w:cs="Times New Roman"/>
          <w:b/>
          <w:color w:val="auto"/>
          <w:sz w:val="21"/>
          <w:szCs w:val="21"/>
          <w:highlight w:val="none"/>
          <w:lang w:val="en-US" w:eastAsia="zh-CN" w:bidi="ar-SA"/>
        </w:rPr>
        <w:t>日期：      年    月    日</w:t>
      </w:r>
      <w:bookmarkEnd w:id="330"/>
    </w:p>
    <w:p w14:paraId="77A78DEF">
      <w:pPr>
        <w:pStyle w:val="36"/>
        <w:tabs>
          <w:tab w:val="left" w:pos="1050"/>
          <w:tab w:val="center" w:pos="4535"/>
        </w:tabs>
        <w:spacing w:line="360" w:lineRule="auto"/>
        <w:jc w:val="both"/>
        <w:outlineLvl w:val="0"/>
        <w:rPr>
          <w:rFonts w:hint="eastAsia" w:ascii="宋体" w:hAnsi="宋体" w:eastAsia="宋体" w:cs="宋体"/>
          <w:b/>
          <w:bCs/>
          <w:color w:val="auto"/>
          <w:kern w:val="2"/>
          <w:sz w:val="21"/>
          <w:szCs w:val="21"/>
          <w:highlight w:val="none"/>
          <w:lang w:val="en-US" w:eastAsia="zh-CN" w:bidi="ar-SA"/>
        </w:rPr>
      </w:pPr>
      <w:bookmarkStart w:id="331" w:name="_Toc8755"/>
      <w:bookmarkStart w:id="332" w:name="_Toc15747"/>
      <w:bookmarkStart w:id="333" w:name="_Toc12562"/>
      <w:bookmarkStart w:id="334" w:name="_Toc29687"/>
      <w:bookmarkStart w:id="335" w:name="_Toc18653"/>
      <w:bookmarkStart w:id="336" w:name="_Toc16096"/>
      <w:bookmarkStart w:id="337" w:name="_Toc31077"/>
      <w:bookmarkStart w:id="338" w:name="_Toc6214"/>
      <w:bookmarkStart w:id="339" w:name="_Toc28851"/>
      <w:bookmarkStart w:id="340" w:name="_Toc21213"/>
      <w:bookmarkStart w:id="341" w:name="_Toc31674"/>
      <w:bookmarkStart w:id="342" w:name="_Toc21561"/>
    </w:p>
    <w:p w14:paraId="7C002D73">
      <w:pPr>
        <w:pStyle w:val="36"/>
        <w:tabs>
          <w:tab w:val="left" w:pos="1050"/>
          <w:tab w:val="center" w:pos="4535"/>
        </w:tabs>
        <w:spacing w:line="360" w:lineRule="auto"/>
        <w:jc w:val="both"/>
        <w:outlineLvl w:val="0"/>
        <w:rPr>
          <w:rFonts w:hint="eastAsia" w:eastAsia="宋体"/>
          <w:b/>
          <w:bCs/>
          <w:color w:val="auto"/>
          <w:sz w:val="21"/>
          <w:szCs w:val="21"/>
          <w:highlight w:val="none"/>
          <w:lang w:val="en-US" w:eastAsia="zh-CN"/>
        </w:rPr>
      </w:pPr>
      <w:bookmarkStart w:id="343" w:name="_Toc24172"/>
      <w:bookmarkStart w:id="344" w:name="_Toc23413"/>
      <w:bookmarkStart w:id="345" w:name="_Toc14003"/>
      <w:r>
        <w:rPr>
          <w:rFonts w:hint="eastAsia" w:ascii="宋体" w:hAnsi="宋体" w:eastAsia="宋体" w:cs="宋体"/>
          <w:b/>
          <w:bCs/>
          <w:color w:val="auto"/>
          <w:kern w:val="2"/>
          <w:sz w:val="21"/>
          <w:szCs w:val="21"/>
          <w:highlight w:val="none"/>
          <w:lang w:val="en-US" w:eastAsia="zh-CN" w:bidi="ar-SA"/>
        </w:rPr>
        <w:t>2.4</w:t>
      </w:r>
      <w:r>
        <w:rPr>
          <w:rFonts w:hint="eastAsia"/>
          <w:b/>
          <w:bCs/>
          <w:color w:val="auto"/>
          <w:sz w:val="21"/>
          <w:szCs w:val="21"/>
          <w:highlight w:val="none"/>
        </w:rPr>
        <w:t>法定代表人资格证明书</w:t>
      </w:r>
      <w:r>
        <w:rPr>
          <w:rFonts w:hint="eastAsia"/>
          <w:b/>
          <w:bCs/>
          <w:color w:val="auto"/>
          <w:sz w:val="21"/>
          <w:szCs w:val="21"/>
          <w:highlight w:val="none"/>
          <w:lang w:val="en-US" w:eastAsia="zh-CN"/>
        </w:rPr>
        <w:t>和法定代表人授权委托书</w:t>
      </w:r>
      <w:bookmarkEnd w:id="331"/>
      <w:bookmarkEnd w:id="332"/>
      <w:bookmarkEnd w:id="333"/>
      <w:bookmarkEnd w:id="334"/>
      <w:bookmarkEnd w:id="335"/>
      <w:bookmarkEnd w:id="336"/>
      <w:bookmarkEnd w:id="343"/>
      <w:bookmarkEnd w:id="344"/>
      <w:bookmarkEnd w:id="345"/>
    </w:p>
    <w:bookmarkEnd w:id="337"/>
    <w:bookmarkEnd w:id="338"/>
    <w:bookmarkEnd w:id="339"/>
    <w:bookmarkEnd w:id="340"/>
    <w:p w14:paraId="4F3A926B">
      <w:pPr>
        <w:pStyle w:val="36"/>
        <w:tabs>
          <w:tab w:val="left" w:pos="1050"/>
          <w:tab w:val="center" w:pos="4535"/>
        </w:tabs>
        <w:spacing w:line="360" w:lineRule="auto"/>
        <w:jc w:val="center"/>
        <w:outlineLvl w:val="0"/>
        <w:rPr>
          <w:b/>
          <w:bCs/>
          <w:color w:val="auto"/>
          <w:sz w:val="28"/>
          <w:szCs w:val="28"/>
          <w:highlight w:val="none"/>
        </w:rPr>
      </w:pPr>
      <w:bookmarkStart w:id="346" w:name="_Toc16236"/>
      <w:bookmarkStart w:id="347" w:name="_Toc14931"/>
      <w:bookmarkStart w:id="348" w:name="_Toc22827"/>
      <w:bookmarkStart w:id="349" w:name="_Toc18442"/>
      <w:bookmarkStart w:id="350" w:name="_Toc19528"/>
      <w:bookmarkStart w:id="351" w:name="_Toc32303"/>
      <w:bookmarkStart w:id="352" w:name="_Toc31787"/>
      <w:bookmarkStart w:id="353" w:name="_Toc23326"/>
      <w:bookmarkStart w:id="354" w:name="_Toc31311"/>
      <w:bookmarkStart w:id="355" w:name="_Toc24790"/>
      <w:bookmarkStart w:id="356" w:name="_Toc23684"/>
      <w:bookmarkStart w:id="357" w:name="_Toc14073"/>
      <w:bookmarkStart w:id="358" w:name="_Toc22175"/>
      <w:bookmarkStart w:id="359" w:name="_Toc15050"/>
      <w:bookmarkStart w:id="360" w:name="_Toc3241"/>
      <w:bookmarkStart w:id="361" w:name="_Toc18443"/>
      <w:bookmarkStart w:id="362" w:name="_Toc14020"/>
      <w:bookmarkStart w:id="363" w:name="_Toc3758"/>
      <w:bookmarkStart w:id="364" w:name="_Toc7276"/>
      <w:bookmarkStart w:id="365" w:name="_Toc14591"/>
      <w:bookmarkStart w:id="366" w:name="_Toc23685"/>
      <w:bookmarkStart w:id="367" w:name="_Toc28957"/>
      <w:bookmarkStart w:id="368" w:name="_Toc14853"/>
      <w:r>
        <w:rPr>
          <w:rFonts w:hint="eastAsia"/>
          <w:b/>
          <w:bCs/>
          <w:color w:val="auto"/>
          <w:sz w:val="28"/>
          <w:szCs w:val="28"/>
          <w:highlight w:val="none"/>
        </w:rPr>
        <w:t>法定代表人资格证明书</w:t>
      </w:r>
      <w:bookmarkEnd w:id="346"/>
      <w:bookmarkEnd w:id="347"/>
      <w:bookmarkEnd w:id="348"/>
      <w:bookmarkEnd w:id="349"/>
      <w:bookmarkEnd w:id="350"/>
      <w:bookmarkEnd w:id="351"/>
      <w:bookmarkEnd w:id="352"/>
      <w:bookmarkEnd w:id="353"/>
      <w:bookmarkEnd w:id="354"/>
      <w:bookmarkEnd w:id="355"/>
      <w:bookmarkEnd w:id="356"/>
      <w:bookmarkEnd w:id="357"/>
    </w:p>
    <w:p w14:paraId="098A2AE5">
      <w:pPr>
        <w:pStyle w:val="36"/>
        <w:spacing w:line="360" w:lineRule="auto"/>
        <w:ind w:firstLine="560"/>
        <w:rPr>
          <w:color w:val="auto"/>
          <w:sz w:val="21"/>
          <w:szCs w:val="21"/>
          <w:highlight w:val="none"/>
        </w:rPr>
      </w:pPr>
      <w:r>
        <w:rPr>
          <w:rFonts w:hint="eastAsia"/>
          <w:color w:val="auto"/>
          <w:sz w:val="21"/>
          <w:szCs w:val="21"/>
          <w:highlight w:val="none"/>
        </w:rPr>
        <w:t>兹证明，</w:t>
      </w:r>
      <w:r>
        <w:rPr>
          <w:rFonts w:hint="eastAsia"/>
          <w:color w:val="auto"/>
          <w:sz w:val="21"/>
          <w:szCs w:val="21"/>
          <w:highlight w:val="none"/>
          <w:u w:val="single"/>
        </w:rPr>
        <w:t xml:space="preserve">           </w:t>
      </w:r>
      <w:r>
        <w:rPr>
          <w:rFonts w:hint="eastAsia"/>
          <w:color w:val="auto"/>
          <w:sz w:val="21"/>
          <w:szCs w:val="21"/>
          <w:highlight w:val="none"/>
        </w:rPr>
        <w:t>同志，</w:t>
      </w:r>
      <w:r>
        <w:rPr>
          <w:rFonts w:hint="eastAsia"/>
          <w:color w:val="auto"/>
          <w:sz w:val="21"/>
          <w:szCs w:val="21"/>
          <w:highlight w:val="none"/>
          <w:u w:val="single"/>
        </w:rPr>
        <w:t xml:space="preserve">     </w:t>
      </w:r>
      <w:r>
        <w:rPr>
          <w:rFonts w:hint="eastAsia"/>
          <w:color w:val="auto"/>
          <w:sz w:val="21"/>
          <w:szCs w:val="21"/>
          <w:highlight w:val="none"/>
        </w:rPr>
        <w:t>（性别），现任我司</w:t>
      </w:r>
      <w:r>
        <w:rPr>
          <w:rFonts w:hint="eastAsia"/>
          <w:color w:val="auto"/>
          <w:sz w:val="21"/>
          <w:szCs w:val="21"/>
          <w:highlight w:val="none"/>
          <w:u w:val="single"/>
        </w:rPr>
        <w:t xml:space="preserve">         </w:t>
      </w:r>
      <w:r>
        <w:rPr>
          <w:rFonts w:hint="eastAsia"/>
          <w:color w:val="auto"/>
          <w:sz w:val="21"/>
          <w:szCs w:val="21"/>
          <w:highlight w:val="none"/>
        </w:rPr>
        <w:t>职务，为本公司的法定代表人，特此证明。</w:t>
      </w:r>
    </w:p>
    <w:p w14:paraId="31775B43">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w:t>
      </w:r>
      <w:r>
        <w:rPr>
          <w:rFonts w:hint="eastAsia"/>
          <w:color w:val="auto"/>
          <w:sz w:val="21"/>
          <w:szCs w:val="21"/>
          <w:highlight w:val="none"/>
          <w:lang w:eastAsia="zh-CN"/>
        </w:rPr>
        <w:t>（</w:t>
      </w:r>
      <w:r>
        <w:rPr>
          <w:rFonts w:hint="eastAsia"/>
          <w:color w:val="auto"/>
          <w:sz w:val="21"/>
          <w:szCs w:val="21"/>
          <w:highlight w:val="none"/>
        </w:rPr>
        <w:t>签字</w:t>
      </w:r>
      <w:r>
        <w:rPr>
          <w:rFonts w:hint="eastAsia"/>
          <w:color w:val="auto"/>
          <w:sz w:val="21"/>
          <w:szCs w:val="21"/>
          <w:highlight w:val="none"/>
          <w:lang w:val="en-US" w:eastAsia="zh-CN"/>
        </w:rPr>
        <w:t>或签</w:t>
      </w:r>
      <w:r>
        <w:rPr>
          <w:rFonts w:hint="eastAsia"/>
          <w:color w:val="auto"/>
          <w:sz w:val="21"/>
          <w:szCs w:val="21"/>
          <w:highlight w:val="none"/>
        </w:rPr>
        <w:t>章）：</w:t>
      </w:r>
      <w:r>
        <w:rPr>
          <w:rFonts w:hint="eastAsia"/>
          <w:color w:val="auto"/>
          <w:sz w:val="21"/>
          <w:szCs w:val="21"/>
          <w:highlight w:val="none"/>
          <w:u w:val="single"/>
        </w:rPr>
        <w:t xml:space="preserve">                                  </w:t>
      </w:r>
    </w:p>
    <w:p w14:paraId="60149AD8">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r>
        <w:rPr>
          <w:rFonts w:hint="eastAsia"/>
          <w:color w:val="auto"/>
          <w:sz w:val="21"/>
          <w:szCs w:val="21"/>
          <w:highlight w:val="none"/>
        </w:rPr>
        <w:t xml:space="preserve">  </w:t>
      </w:r>
    </w:p>
    <w:p w14:paraId="238BDC66">
      <w:pPr>
        <w:pStyle w:val="36"/>
        <w:spacing w:line="360" w:lineRule="auto"/>
        <w:ind w:firstLine="560"/>
        <w:rPr>
          <w:b/>
          <w:bCs/>
          <w:color w:val="auto"/>
          <w:sz w:val="28"/>
          <w:szCs w:val="28"/>
          <w:highlight w:val="none"/>
        </w:rPr>
      </w:pPr>
      <w:r>
        <w:rPr>
          <w:rFonts w:hint="eastAsia"/>
          <w:color w:val="auto"/>
          <w:sz w:val="21"/>
          <w:szCs w:val="21"/>
          <w:highlight w:val="none"/>
        </w:rPr>
        <w:t>日  期：</w:t>
      </w:r>
      <w:r>
        <w:rPr>
          <w:rFonts w:hint="eastAsia"/>
          <w:color w:val="auto"/>
          <w:sz w:val="21"/>
          <w:szCs w:val="21"/>
          <w:highlight w:val="none"/>
          <w:u w:val="single"/>
        </w:rPr>
        <w:t xml:space="preserve">                                                           </w:t>
      </w:r>
    </w:p>
    <w:p w14:paraId="44502E7C">
      <w:pPr>
        <w:pStyle w:val="36"/>
        <w:spacing w:line="360" w:lineRule="auto"/>
        <w:ind w:firstLine="120" w:firstLineChars="50"/>
        <w:rPr>
          <w:b/>
          <w:bCs/>
          <w:color w:val="auto"/>
          <w:sz w:val="28"/>
          <w:szCs w:val="28"/>
          <w:highlight w:val="none"/>
        </w:rPr>
      </w:pPr>
      <w:r>
        <w:rPr>
          <w:color w:val="auto"/>
          <w:highlight w:val="none"/>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highlight w:val="none"/>
        </w:rPr>
        <w:t xml:space="preserve">      </w:t>
      </w:r>
      <w:r>
        <w:rPr>
          <w:color w:val="auto"/>
          <w:highlight w:val="none"/>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58"/>
    <w:bookmarkEnd w:id="359"/>
    <w:bookmarkEnd w:id="360"/>
    <w:bookmarkEnd w:id="361"/>
    <w:bookmarkEnd w:id="362"/>
    <w:bookmarkEnd w:id="363"/>
    <w:bookmarkEnd w:id="364"/>
    <w:bookmarkEnd w:id="365"/>
    <w:bookmarkEnd w:id="366"/>
    <w:bookmarkEnd w:id="367"/>
    <w:bookmarkEnd w:id="368"/>
    <w:p w14:paraId="2837EFFA">
      <w:pPr>
        <w:pStyle w:val="36"/>
        <w:spacing w:line="360" w:lineRule="auto"/>
        <w:jc w:val="both"/>
        <w:outlineLvl w:val="0"/>
        <w:rPr>
          <w:rFonts w:hint="eastAsia"/>
          <w:b/>
          <w:bCs/>
          <w:color w:val="auto"/>
          <w:sz w:val="28"/>
          <w:szCs w:val="28"/>
          <w:highlight w:val="none"/>
        </w:rPr>
      </w:pPr>
      <w:bookmarkStart w:id="369" w:name="_Toc23308"/>
      <w:bookmarkStart w:id="370" w:name="_Toc17511"/>
      <w:bookmarkStart w:id="371" w:name="_Toc9844"/>
      <w:bookmarkStart w:id="372" w:name="_Toc3470"/>
      <w:bookmarkStart w:id="373" w:name="_Toc26675"/>
      <w:bookmarkStart w:id="374" w:name="_Toc14277"/>
      <w:bookmarkStart w:id="375" w:name="_Toc3494"/>
      <w:bookmarkStart w:id="376" w:name="_Toc18069"/>
    </w:p>
    <w:p w14:paraId="3AC8AC7F">
      <w:pPr>
        <w:pStyle w:val="36"/>
        <w:spacing w:line="360" w:lineRule="auto"/>
        <w:jc w:val="center"/>
        <w:outlineLvl w:val="0"/>
        <w:rPr>
          <w:rFonts w:hint="eastAsia"/>
          <w:b/>
          <w:bCs/>
          <w:color w:val="auto"/>
          <w:sz w:val="28"/>
          <w:szCs w:val="28"/>
          <w:highlight w:val="none"/>
        </w:rPr>
      </w:pPr>
    </w:p>
    <w:p w14:paraId="68CF9F82">
      <w:pPr>
        <w:pStyle w:val="36"/>
        <w:spacing w:line="360" w:lineRule="auto"/>
        <w:jc w:val="center"/>
        <w:outlineLvl w:val="0"/>
        <w:rPr>
          <w:rFonts w:hint="eastAsia"/>
          <w:b/>
          <w:bCs/>
          <w:color w:val="auto"/>
          <w:sz w:val="28"/>
          <w:szCs w:val="28"/>
          <w:highlight w:val="none"/>
        </w:rPr>
      </w:pPr>
    </w:p>
    <w:p w14:paraId="1502DE2B">
      <w:pPr>
        <w:pStyle w:val="36"/>
        <w:spacing w:line="360" w:lineRule="auto"/>
        <w:jc w:val="center"/>
        <w:outlineLvl w:val="0"/>
        <w:rPr>
          <w:rFonts w:hint="eastAsia"/>
          <w:b/>
          <w:bCs/>
          <w:color w:val="auto"/>
          <w:sz w:val="28"/>
          <w:szCs w:val="28"/>
          <w:highlight w:val="none"/>
        </w:rPr>
      </w:pPr>
    </w:p>
    <w:p w14:paraId="36ADA078">
      <w:pPr>
        <w:pStyle w:val="36"/>
        <w:spacing w:line="360" w:lineRule="auto"/>
        <w:jc w:val="center"/>
        <w:outlineLvl w:val="0"/>
        <w:rPr>
          <w:rFonts w:hint="eastAsia"/>
          <w:b/>
          <w:bCs/>
          <w:color w:val="auto"/>
          <w:sz w:val="28"/>
          <w:szCs w:val="28"/>
          <w:highlight w:val="none"/>
        </w:rPr>
      </w:pPr>
    </w:p>
    <w:p w14:paraId="1A845AB1">
      <w:pPr>
        <w:pStyle w:val="36"/>
        <w:spacing w:line="360" w:lineRule="auto"/>
        <w:jc w:val="center"/>
        <w:outlineLvl w:val="0"/>
        <w:rPr>
          <w:rFonts w:hint="eastAsia"/>
          <w:b/>
          <w:bCs/>
          <w:color w:val="auto"/>
          <w:sz w:val="28"/>
          <w:szCs w:val="28"/>
          <w:highlight w:val="none"/>
        </w:rPr>
      </w:pPr>
    </w:p>
    <w:p w14:paraId="12A16791">
      <w:pPr>
        <w:pStyle w:val="36"/>
        <w:spacing w:line="360" w:lineRule="auto"/>
        <w:jc w:val="center"/>
        <w:outlineLvl w:val="0"/>
        <w:rPr>
          <w:rFonts w:hint="eastAsia"/>
          <w:b/>
          <w:bCs/>
          <w:color w:val="auto"/>
          <w:sz w:val="28"/>
          <w:szCs w:val="28"/>
          <w:highlight w:val="none"/>
        </w:rPr>
      </w:pPr>
    </w:p>
    <w:p w14:paraId="1B7A2B58">
      <w:pPr>
        <w:pStyle w:val="36"/>
        <w:spacing w:line="360" w:lineRule="auto"/>
        <w:jc w:val="center"/>
        <w:outlineLvl w:val="0"/>
        <w:rPr>
          <w:rFonts w:hint="eastAsia"/>
          <w:b/>
          <w:bCs/>
          <w:color w:val="auto"/>
          <w:sz w:val="28"/>
          <w:szCs w:val="28"/>
          <w:highlight w:val="none"/>
        </w:rPr>
      </w:pPr>
    </w:p>
    <w:p w14:paraId="45932794">
      <w:pPr>
        <w:pStyle w:val="36"/>
        <w:spacing w:line="360" w:lineRule="auto"/>
        <w:jc w:val="center"/>
        <w:outlineLvl w:val="0"/>
        <w:rPr>
          <w:b/>
          <w:bCs/>
          <w:color w:val="auto"/>
          <w:sz w:val="28"/>
          <w:szCs w:val="28"/>
          <w:highlight w:val="none"/>
        </w:rPr>
      </w:pPr>
      <w:bookmarkStart w:id="377" w:name="_Toc28232"/>
      <w:bookmarkStart w:id="378" w:name="_Toc5147"/>
      <w:bookmarkStart w:id="379" w:name="_Toc16130"/>
      <w:bookmarkStart w:id="380" w:name="_Toc11510"/>
      <w:r>
        <w:rPr>
          <w:rFonts w:hint="eastAsia"/>
          <w:b/>
          <w:bCs/>
          <w:color w:val="auto"/>
          <w:sz w:val="28"/>
          <w:szCs w:val="28"/>
          <w:highlight w:val="none"/>
        </w:rPr>
        <w:t>法定代表人授权委托书</w:t>
      </w:r>
      <w:bookmarkEnd w:id="369"/>
      <w:bookmarkEnd w:id="370"/>
      <w:bookmarkEnd w:id="371"/>
      <w:bookmarkEnd w:id="372"/>
      <w:bookmarkEnd w:id="373"/>
      <w:bookmarkEnd w:id="374"/>
      <w:bookmarkEnd w:id="375"/>
      <w:bookmarkEnd w:id="376"/>
      <w:bookmarkEnd w:id="377"/>
      <w:bookmarkEnd w:id="378"/>
      <w:bookmarkEnd w:id="379"/>
      <w:bookmarkEnd w:id="380"/>
    </w:p>
    <w:p w14:paraId="4F0FB4B1">
      <w:pPr>
        <w:pStyle w:val="37"/>
        <w:spacing w:line="360" w:lineRule="auto"/>
        <w:jc w:val="left"/>
        <w:rPr>
          <w:b/>
          <w:bCs/>
          <w:color w:val="auto"/>
          <w:sz w:val="21"/>
          <w:szCs w:val="21"/>
          <w:highlight w:val="none"/>
        </w:rPr>
      </w:pPr>
      <w:r>
        <w:rPr>
          <w:rFonts w:hint="eastAsia"/>
          <w:b/>
          <w:bCs/>
          <w:color w:val="auto"/>
          <w:sz w:val="21"/>
          <w:szCs w:val="21"/>
          <w:highlight w:val="none"/>
        </w:rPr>
        <w:t>本授权书声明：</w:t>
      </w:r>
    </w:p>
    <w:p w14:paraId="687B5BF9">
      <w:pPr>
        <w:pStyle w:val="36"/>
        <w:spacing w:line="360" w:lineRule="auto"/>
        <w:ind w:firstLine="560"/>
        <w:rPr>
          <w:color w:val="auto"/>
          <w:sz w:val="21"/>
          <w:szCs w:val="21"/>
          <w:highlight w:val="none"/>
        </w:rPr>
      </w:pPr>
      <w:r>
        <w:rPr>
          <w:rFonts w:hint="eastAsia"/>
          <w:color w:val="auto"/>
          <w:sz w:val="21"/>
          <w:szCs w:val="21"/>
          <w:highlight w:val="none"/>
        </w:rPr>
        <w:t>注册于</w:t>
      </w:r>
      <w:r>
        <w:rPr>
          <w:rFonts w:hint="eastAsia"/>
          <w:color w:val="auto"/>
          <w:sz w:val="21"/>
          <w:szCs w:val="21"/>
          <w:highlight w:val="none"/>
          <w:u w:val="single"/>
        </w:rPr>
        <w:t xml:space="preserve">           </w:t>
      </w:r>
      <w:r>
        <w:rPr>
          <w:rFonts w:hint="eastAsia"/>
          <w:b/>
          <w:bCs/>
          <w:color w:val="auto"/>
          <w:sz w:val="21"/>
          <w:szCs w:val="21"/>
          <w:highlight w:val="none"/>
        </w:rPr>
        <w:t>（公司</w:t>
      </w:r>
      <w:r>
        <w:rPr>
          <w:rFonts w:hint="eastAsia"/>
          <w:b/>
          <w:bCs/>
          <w:color w:val="auto"/>
          <w:sz w:val="21"/>
          <w:szCs w:val="21"/>
          <w:highlight w:val="none"/>
          <w:lang w:val="en-US" w:eastAsia="zh-CN"/>
        </w:rPr>
        <w:t>注册</w:t>
      </w:r>
      <w:r>
        <w:rPr>
          <w:rFonts w:hint="eastAsia"/>
          <w:b/>
          <w:bCs/>
          <w:color w:val="auto"/>
          <w:sz w:val="21"/>
          <w:szCs w:val="21"/>
          <w:highlight w:val="none"/>
        </w:rPr>
        <w:t>地址）</w:t>
      </w:r>
      <w:r>
        <w:rPr>
          <w:rFonts w:hint="eastAsia"/>
          <w:color w:val="auto"/>
          <w:sz w:val="21"/>
          <w:szCs w:val="21"/>
          <w:highlight w:val="none"/>
          <w:u w:val="single"/>
        </w:rPr>
        <w:t xml:space="preserve">               </w:t>
      </w:r>
      <w:r>
        <w:rPr>
          <w:rFonts w:hint="eastAsia"/>
          <w:b/>
          <w:bCs/>
          <w:color w:val="auto"/>
          <w:sz w:val="21"/>
          <w:szCs w:val="21"/>
          <w:highlight w:val="none"/>
        </w:rPr>
        <w:t>（公司名称）</w:t>
      </w:r>
      <w:r>
        <w:rPr>
          <w:rFonts w:hint="eastAsia"/>
          <w:color w:val="auto"/>
          <w:sz w:val="21"/>
          <w:szCs w:val="21"/>
          <w:highlight w:val="none"/>
        </w:rPr>
        <w:t>的</w:t>
      </w:r>
      <w:r>
        <w:rPr>
          <w:rFonts w:hint="eastAsia"/>
          <w:color w:val="auto"/>
          <w:sz w:val="21"/>
          <w:szCs w:val="21"/>
          <w:highlight w:val="none"/>
          <w:u w:val="single"/>
        </w:rPr>
        <w:t xml:space="preserve">        </w:t>
      </w:r>
      <w:r>
        <w:rPr>
          <w:rFonts w:hint="eastAsia"/>
          <w:b/>
          <w:bCs/>
          <w:color w:val="auto"/>
          <w:sz w:val="21"/>
          <w:szCs w:val="21"/>
          <w:highlight w:val="none"/>
        </w:rPr>
        <w:t>（法定代表人姓名、职务）</w:t>
      </w:r>
      <w:r>
        <w:rPr>
          <w:rFonts w:hint="eastAsia"/>
          <w:color w:val="auto"/>
          <w:sz w:val="21"/>
          <w:szCs w:val="21"/>
          <w:highlight w:val="none"/>
        </w:rPr>
        <w:t xml:space="preserve">代表本公司授权 </w:t>
      </w:r>
      <w:r>
        <w:rPr>
          <w:rFonts w:hint="eastAsia"/>
          <w:color w:val="auto"/>
          <w:sz w:val="21"/>
          <w:szCs w:val="21"/>
          <w:highlight w:val="none"/>
          <w:u w:val="single"/>
        </w:rPr>
        <w:t xml:space="preserve">       </w:t>
      </w:r>
      <w:r>
        <w:rPr>
          <w:rFonts w:hint="eastAsia"/>
          <w:b/>
          <w:bCs/>
          <w:color w:val="auto"/>
          <w:sz w:val="21"/>
          <w:szCs w:val="21"/>
          <w:highlight w:val="none"/>
        </w:rPr>
        <w:t>（被授权人的姓名、职务、联系方式）</w:t>
      </w:r>
      <w:r>
        <w:rPr>
          <w:rFonts w:hint="eastAsia"/>
          <w:color w:val="auto"/>
          <w:sz w:val="21"/>
          <w:szCs w:val="21"/>
          <w:highlight w:val="none"/>
        </w:rPr>
        <w:t>为本公司的合法代表，以本公司名义负责处理在</w:t>
      </w:r>
      <w:r>
        <w:rPr>
          <w:rFonts w:hint="eastAsia"/>
          <w:color w:val="auto"/>
          <w:sz w:val="21"/>
          <w:szCs w:val="21"/>
          <w:highlight w:val="none"/>
          <w:u w:val="single"/>
        </w:rPr>
        <w:t>南方医科大学第五附属医院</w:t>
      </w:r>
      <w:r>
        <w:rPr>
          <w:rFonts w:hint="eastAsia"/>
          <w:color w:val="auto"/>
          <w:sz w:val="21"/>
          <w:szCs w:val="21"/>
          <w:highlight w:val="none"/>
          <w:u w:val="single"/>
          <w:lang w:eastAsia="zh-CN"/>
        </w:rPr>
        <w:t>多媒体分诊导引系统升级项目（</w:t>
      </w:r>
      <w:r>
        <w:rPr>
          <w:rFonts w:hint="eastAsia"/>
          <w:color w:val="auto"/>
          <w:sz w:val="21"/>
          <w:szCs w:val="21"/>
          <w:highlight w:val="none"/>
          <w:u w:val="single"/>
          <w:lang w:val="en-US" w:eastAsia="zh-CN"/>
        </w:rPr>
        <w:t>项目编号：NYWYF20260014</w:t>
      </w:r>
      <w:r>
        <w:rPr>
          <w:rFonts w:hint="eastAsia"/>
          <w:color w:val="auto"/>
          <w:sz w:val="21"/>
          <w:szCs w:val="21"/>
          <w:highlight w:val="none"/>
          <w:u w:val="single"/>
          <w:lang w:eastAsia="zh-CN"/>
        </w:rPr>
        <w:t>）</w:t>
      </w:r>
      <w:r>
        <w:rPr>
          <w:rFonts w:hint="eastAsia"/>
          <w:color w:val="auto"/>
          <w:sz w:val="21"/>
          <w:szCs w:val="21"/>
          <w:highlight w:val="none"/>
        </w:rPr>
        <w:t>院内采购活动中一切与之相关的事宜。</w:t>
      </w:r>
    </w:p>
    <w:p w14:paraId="71411A47">
      <w:pPr>
        <w:pStyle w:val="36"/>
        <w:spacing w:line="360" w:lineRule="auto"/>
        <w:ind w:firstLine="560"/>
        <w:rPr>
          <w:color w:val="auto"/>
          <w:sz w:val="21"/>
          <w:szCs w:val="21"/>
          <w:highlight w:val="none"/>
          <w:u w:val="single"/>
        </w:rPr>
      </w:pPr>
      <w:r>
        <w:rPr>
          <w:rFonts w:hint="eastAsia"/>
          <w:color w:val="auto"/>
          <w:sz w:val="21"/>
          <w:szCs w:val="21"/>
          <w:highlight w:val="none"/>
        </w:rPr>
        <w:t xml:space="preserve">授权日期： </w:t>
      </w:r>
      <w:r>
        <w:rPr>
          <w:rFonts w:hint="eastAsia"/>
          <w:color w:val="auto"/>
          <w:sz w:val="21"/>
          <w:szCs w:val="21"/>
          <w:highlight w:val="none"/>
          <w:u w:val="single"/>
        </w:rPr>
        <w:t xml:space="preserve">                 至                   </w:t>
      </w:r>
    </w:p>
    <w:p w14:paraId="20BD7617">
      <w:pPr>
        <w:pStyle w:val="36"/>
        <w:spacing w:line="360" w:lineRule="auto"/>
        <w:ind w:firstLine="560"/>
        <w:rPr>
          <w:color w:val="auto"/>
          <w:sz w:val="21"/>
          <w:szCs w:val="21"/>
          <w:highlight w:val="none"/>
        </w:rPr>
      </w:pPr>
      <w:r>
        <w:rPr>
          <w:rFonts w:hint="eastAsia"/>
          <w:color w:val="auto"/>
          <w:sz w:val="21"/>
          <w:szCs w:val="21"/>
          <w:highlight w:val="none"/>
        </w:rPr>
        <w:t>本授权书在签字盖章后生效，特此声明。</w:t>
      </w:r>
    </w:p>
    <w:p w14:paraId="3E855CC8">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法定代表人（签字或</w:t>
      </w:r>
      <w:r>
        <w:rPr>
          <w:rFonts w:hint="eastAsia"/>
          <w:color w:val="auto"/>
          <w:sz w:val="21"/>
          <w:szCs w:val="21"/>
          <w:highlight w:val="none"/>
          <w:lang w:val="en-US" w:eastAsia="zh-CN"/>
        </w:rPr>
        <w:t>签</w:t>
      </w:r>
      <w:r>
        <w:rPr>
          <w:rFonts w:hint="eastAsia"/>
          <w:color w:val="auto"/>
          <w:sz w:val="21"/>
          <w:szCs w:val="21"/>
          <w:highlight w:val="none"/>
        </w:rPr>
        <w:t>章）：</w:t>
      </w:r>
      <w:r>
        <w:rPr>
          <w:rFonts w:hint="eastAsia"/>
          <w:color w:val="auto"/>
          <w:sz w:val="21"/>
          <w:szCs w:val="21"/>
          <w:highlight w:val="none"/>
          <w:u w:val="single"/>
        </w:rPr>
        <w:t xml:space="preserve">                                </w:t>
      </w:r>
    </w:p>
    <w:p w14:paraId="063AC3EA">
      <w:pPr>
        <w:pStyle w:val="36"/>
        <w:spacing w:line="360" w:lineRule="auto"/>
        <w:ind w:firstLine="560"/>
        <w:rPr>
          <w:color w:val="auto"/>
          <w:sz w:val="21"/>
          <w:szCs w:val="21"/>
          <w:highlight w:val="none"/>
        </w:rPr>
      </w:pPr>
      <w:r>
        <w:rPr>
          <w:rFonts w:hint="eastAsia"/>
          <w:color w:val="auto"/>
          <w:sz w:val="21"/>
          <w:szCs w:val="21"/>
          <w:highlight w:val="none"/>
          <w:lang w:val="en-US" w:eastAsia="zh-CN"/>
        </w:rPr>
        <w:t>供应商</w:t>
      </w:r>
      <w:r>
        <w:rPr>
          <w:rFonts w:hint="eastAsia"/>
          <w:color w:val="auto"/>
          <w:sz w:val="21"/>
          <w:szCs w:val="21"/>
          <w:highlight w:val="none"/>
        </w:rPr>
        <w:t>被授权人（签字）：</w:t>
      </w:r>
      <w:r>
        <w:rPr>
          <w:rFonts w:hint="eastAsia"/>
          <w:color w:val="auto"/>
          <w:sz w:val="21"/>
          <w:szCs w:val="21"/>
          <w:highlight w:val="none"/>
          <w:u w:val="single"/>
        </w:rPr>
        <w:t xml:space="preserve">                                        </w:t>
      </w:r>
    </w:p>
    <w:p w14:paraId="75AE914A">
      <w:pPr>
        <w:pStyle w:val="36"/>
        <w:spacing w:line="360" w:lineRule="auto"/>
        <w:ind w:firstLine="560"/>
        <w:rPr>
          <w:color w:val="auto"/>
          <w:sz w:val="21"/>
          <w:szCs w:val="21"/>
          <w:highlight w:val="none"/>
          <w:u w:val="single"/>
        </w:rPr>
      </w:pPr>
      <w:r>
        <w:rPr>
          <w:rFonts w:hint="eastAsia"/>
          <w:color w:val="auto"/>
          <w:sz w:val="21"/>
          <w:szCs w:val="21"/>
          <w:highlight w:val="none"/>
          <w:lang w:val="en-US" w:eastAsia="zh-CN"/>
        </w:rPr>
        <w:t>供应商</w:t>
      </w:r>
      <w:r>
        <w:rPr>
          <w:rFonts w:hint="eastAsia"/>
          <w:color w:val="auto"/>
          <w:sz w:val="21"/>
          <w:szCs w:val="21"/>
          <w:highlight w:val="none"/>
        </w:rPr>
        <w:t>名称（加盖公章）：</w:t>
      </w:r>
      <w:r>
        <w:rPr>
          <w:rFonts w:hint="eastAsia"/>
          <w:color w:val="auto"/>
          <w:sz w:val="21"/>
          <w:szCs w:val="21"/>
          <w:highlight w:val="none"/>
          <w:u w:val="single"/>
        </w:rPr>
        <w:t xml:space="preserve">                                        </w:t>
      </w:r>
    </w:p>
    <w:p w14:paraId="381B7A30">
      <w:pPr>
        <w:pStyle w:val="36"/>
        <w:spacing w:line="360" w:lineRule="auto"/>
        <w:ind w:firstLine="560"/>
        <w:rPr>
          <w:color w:val="auto"/>
          <w:sz w:val="21"/>
          <w:szCs w:val="21"/>
          <w:highlight w:val="none"/>
        </w:rPr>
      </w:pPr>
      <w:r>
        <w:rPr>
          <w:rFonts w:hint="eastAsia"/>
          <w:color w:val="auto"/>
          <w:sz w:val="21"/>
          <w:szCs w:val="21"/>
          <w:highlight w:val="none"/>
        </w:rPr>
        <w:t>日</w:t>
      </w:r>
      <w:r>
        <w:rPr>
          <w:rFonts w:hint="eastAsia"/>
          <w:color w:val="auto"/>
          <w:sz w:val="21"/>
          <w:szCs w:val="21"/>
          <w:highlight w:val="none"/>
          <w:lang w:val="en-US" w:eastAsia="zh-CN"/>
        </w:rPr>
        <w:t xml:space="preserve"> </w:t>
      </w:r>
      <w:r>
        <w:rPr>
          <w:rFonts w:hint="eastAsia"/>
          <w:color w:val="auto"/>
          <w:sz w:val="21"/>
          <w:szCs w:val="21"/>
          <w:highlight w:val="none"/>
        </w:rPr>
        <w:t>期 ：</w:t>
      </w:r>
      <w:r>
        <w:rPr>
          <w:rFonts w:hint="eastAsia"/>
          <w:color w:val="auto"/>
          <w:sz w:val="21"/>
          <w:szCs w:val="21"/>
          <w:highlight w:val="none"/>
          <w:u w:val="single"/>
        </w:rPr>
        <w:t xml:space="preserve">                                                       </w:t>
      </w:r>
      <w:r>
        <w:rPr>
          <w:rFonts w:hint="eastAsia"/>
          <w:color w:val="auto"/>
          <w:sz w:val="21"/>
          <w:szCs w:val="21"/>
          <w:highlight w:val="none"/>
        </w:rPr>
        <w:t xml:space="preserve">     </w:t>
      </w:r>
    </w:p>
    <w:p w14:paraId="743D6123">
      <w:pPr>
        <w:pStyle w:val="36"/>
        <w:spacing w:line="360" w:lineRule="auto"/>
        <w:ind w:firstLine="560"/>
        <w:rPr>
          <w:color w:val="auto"/>
          <w:sz w:val="28"/>
          <w:szCs w:val="28"/>
          <w:highlight w:val="none"/>
        </w:rPr>
      </w:pPr>
      <w:r>
        <w:rPr>
          <w:rFonts w:hint="eastAsia"/>
          <w:color w:val="auto"/>
          <w:sz w:val="28"/>
          <w:szCs w:val="28"/>
          <w:highlight w:val="none"/>
        </w:rPr>
        <w:t xml:space="preserve">                                    </w:t>
      </w:r>
    </w:p>
    <w:p w14:paraId="6D3D75DF">
      <w:pPr>
        <w:pStyle w:val="36"/>
        <w:spacing w:line="360" w:lineRule="auto"/>
        <w:ind w:firstLine="360" w:firstLineChars="150"/>
        <w:jc w:val="center"/>
        <w:rPr>
          <w:color w:val="auto"/>
          <w:highlight w:val="none"/>
        </w:rPr>
      </w:pPr>
      <w:r>
        <w:rPr>
          <w:color w:val="auto"/>
          <w:highlight w:val="none"/>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highlight w:val="none"/>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7CDD9EE3">
      <w:pPr>
        <w:pStyle w:val="33"/>
        <w:ind w:firstLine="3975" w:firstLineChars="1100"/>
        <w:rPr>
          <w:b/>
          <w:bCs/>
          <w:color w:val="auto"/>
          <w:sz w:val="36"/>
          <w:szCs w:val="36"/>
          <w:highlight w:val="none"/>
        </w:rPr>
      </w:pPr>
    </w:p>
    <w:p w14:paraId="0F003FF8">
      <w:pPr>
        <w:pStyle w:val="36"/>
        <w:tabs>
          <w:tab w:val="left" w:pos="1050"/>
          <w:tab w:val="center" w:pos="4535"/>
        </w:tabs>
        <w:spacing w:line="360" w:lineRule="auto"/>
        <w:jc w:val="center"/>
        <w:outlineLvl w:val="9"/>
        <w:rPr>
          <w:rFonts w:hint="eastAsia"/>
          <w:b/>
          <w:bCs/>
          <w:color w:val="auto"/>
          <w:sz w:val="32"/>
          <w:szCs w:val="32"/>
          <w:highlight w:val="none"/>
        </w:rPr>
      </w:pPr>
      <w:bookmarkStart w:id="381" w:name="_Toc32281"/>
      <w:bookmarkStart w:id="382" w:name="_Toc10212"/>
    </w:p>
    <w:p w14:paraId="617F30D9">
      <w:pPr>
        <w:pStyle w:val="36"/>
        <w:tabs>
          <w:tab w:val="left" w:pos="1050"/>
          <w:tab w:val="center" w:pos="4535"/>
        </w:tabs>
        <w:spacing w:line="360" w:lineRule="auto"/>
        <w:jc w:val="both"/>
        <w:outlineLvl w:val="9"/>
        <w:rPr>
          <w:rFonts w:hint="eastAsia"/>
          <w:b/>
          <w:bCs/>
          <w:color w:val="auto"/>
          <w:sz w:val="21"/>
          <w:szCs w:val="21"/>
          <w:highlight w:val="none"/>
          <w:lang w:val="en-US" w:eastAsia="zh-CN"/>
        </w:rPr>
      </w:pPr>
      <w:bookmarkStart w:id="383" w:name="_Toc13766"/>
    </w:p>
    <w:p w14:paraId="76E66D74">
      <w:pPr>
        <w:pStyle w:val="36"/>
        <w:tabs>
          <w:tab w:val="left" w:pos="1050"/>
          <w:tab w:val="center" w:pos="4535"/>
        </w:tabs>
        <w:spacing w:line="360" w:lineRule="auto"/>
        <w:jc w:val="both"/>
        <w:outlineLvl w:val="0"/>
        <w:rPr>
          <w:rFonts w:hint="eastAsia"/>
          <w:b/>
          <w:bCs/>
          <w:color w:val="auto"/>
          <w:sz w:val="21"/>
          <w:szCs w:val="21"/>
          <w:highlight w:val="none"/>
          <w:lang w:val="en-US" w:eastAsia="zh-CN"/>
        </w:rPr>
      </w:pPr>
      <w:bookmarkStart w:id="384" w:name="_Toc32147"/>
      <w:bookmarkStart w:id="385" w:name="_Toc26640"/>
      <w:bookmarkStart w:id="386" w:name="_Toc4185"/>
      <w:bookmarkStart w:id="387" w:name="_Toc6192"/>
      <w:bookmarkStart w:id="388" w:name="_Toc20534"/>
      <w:bookmarkStart w:id="389" w:name="_Toc22587"/>
      <w:bookmarkStart w:id="390" w:name="_Toc4097"/>
    </w:p>
    <w:p w14:paraId="19476D33">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headerReference r:id="rId12" w:type="default"/>
          <w:footerReference r:id="rId13" w:type="default"/>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391" w:name="_Toc8206"/>
    </w:p>
    <w:p w14:paraId="45219152">
      <w:pPr>
        <w:pStyle w:val="36"/>
        <w:tabs>
          <w:tab w:val="left" w:pos="1050"/>
          <w:tab w:val="center" w:pos="4535"/>
        </w:tabs>
        <w:spacing w:line="360" w:lineRule="auto"/>
        <w:jc w:val="both"/>
        <w:outlineLvl w:val="0"/>
        <w:rPr>
          <w:rFonts w:hint="default" w:asciiTheme="majorEastAsia" w:hAnsiTheme="majorEastAsia" w:eastAsiaTheme="majorEastAsia" w:cstheme="majorEastAsia"/>
          <w:b/>
          <w:bCs/>
          <w:color w:val="auto"/>
          <w:sz w:val="28"/>
          <w:szCs w:val="28"/>
          <w:highlight w:val="none"/>
          <w:lang w:val="en-US" w:eastAsia="zh-CN"/>
        </w:rPr>
      </w:pPr>
      <w:r>
        <w:rPr>
          <w:rFonts w:hint="eastAsia" w:ascii="宋体" w:hAnsi="宋体" w:eastAsia="宋体" w:cs="宋体"/>
          <w:b/>
          <w:bCs/>
          <w:color w:val="auto"/>
          <w:kern w:val="2"/>
          <w:sz w:val="21"/>
          <w:szCs w:val="21"/>
          <w:highlight w:val="none"/>
          <w:lang w:val="en-US" w:eastAsia="zh-CN" w:bidi="ar-SA"/>
        </w:rPr>
        <w:t>2.5</w:t>
      </w:r>
      <w:r>
        <w:rPr>
          <w:rFonts w:hint="eastAsia" w:eastAsia="宋体"/>
          <w:b/>
          <w:bCs/>
          <w:color w:val="auto"/>
          <w:sz w:val="21"/>
          <w:szCs w:val="21"/>
          <w:highlight w:val="none"/>
          <w:lang w:val="en-US" w:eastAsia="zh-CN"/>
        </w:rPr>
        <w:t>承诺函或声明函</w:t>
      </w:r>
    </w:p>
    <w:p w14:paraId="54097D07">
      <w:pPr>
        <w:jc w:val="center"/>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b/>
          <w:bCs/>
          <w:color w:val="auto"/>
          <w:sz w:val="28"/>
          <w:szCs w:val="28"/>
          <w:highlight w:val="none"/>
          <w:lang w:eastAsia="zh-CN"/>
        </w:rPr>
        <w:t>承诺函</w:t>
      </w:r>
    </w:p>
    <w:p w14:paraId="67CE7468">
      <w:pPr>
        <w:spacing w:line="360" w:lineRule="auto"/>
        <w:jc w:val="both"/>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eastAsia="zh-CN"/>
        </w:rPr>
        <w:t>致：南方医科大学第五附属医院</w:t>
      </w:r>
    </w:p>
    <w:p w14:paraId="276158A1">
      <w:pPr>
        <w:spacing w:line="360" w:lineRule="auto"/>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 xml:space="preserve">      本公司参加贵方组织的南方医科大学第五附属医院多媒体分诊导引系统升级项目（项目编号：NYWYF20260014）的院内采购活动作出如下郑重承诺：</w:t>
      </w:r>
    </w:p>
    <w:p w14:paraId="7457C980">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kern w:val="2"/>
          <w:sz w:val="21"/>
          <w:szCs w:val="21"/>
          <w:highlight w:val="none"/>
          <w:lang w:val="en-US" w:eastAsia="zh-CN" w:bidi="ar-SA"/>
        </w:rPr>
        <w:t>（一）</w:t>
      </w:r>
      <w:r>
        <w:rPr>
          <w:rFonts w:hint="eastAsia" w:asciiTheme="majorEastAsia" w:hAnsiTheme="majorEastAsia" w:eastAsiaTheme="majorEastAsia" w:cstheme="majorEastAsia"/>
          <w:color w:val="auto"/>
          <w:sz w:val="21"/>
          <w:szCs w:val="21"/>
          <w:highlight w:val="none"/>
          <w:lang w:val="en-US" w:eastAsia="zh-CN"/>
        </w:rPr>
        <w:t>我方具有独立承担民事责任的能力；</w:t>
      </w:r>
    </w:p>
    <w:p w14:paraId="661F41A9">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highlight w:val="none"/>
          <w:lang w:eastAsia="zh-CN"/>
        </w:rPr>
      </w:pP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二</w:t>
      </w:r>
      <w:r>
        <w:rPr>
          <w:rFonts w:hint="eastAsia" w:asciiTheme="majorEastAsia" w:hAnsiTheme="majorEastAsia" w:eastAsiaTheme="majorEastAsia" w:cstheme="majorEastAsia"/>
          <w:color w:val="auto"/>
          <w:kern w:val="0"/>
          <w:sz w:val="21"/>
          <w:szCs w:val="21"/>
          <w:highlight w:val="none"/>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highlight w:val="none"/>
          <w:lang w:eastAsia="zh-CN"/>
        </w:rPr>
        <w:t>；</w:t>
      </w:r>
    </w:p>
    <w:p w14:paraId="3DD7C03E">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三</w:t>
      </w:r>
      <w:r>
        <w:rPr>
          <w:rFonts w:hint="eastAsia" w:asciiTheme="majorEastAsia" w:hAnsiTheme="majorEastAsia" w:eastAsiaTheme="majorEastAsia" w:cstheme="majorEastAsia"/>
          <w:color w:val="auto"/>
          <w:kern w:val="0"/>
          <w:sz w:val="21"/>
          <w:szCs w:val="21"/>
          <w:highlight w:val="none"/>
          <w:lang w:eastAsia="zh-CN"/>
        </w:rPr>
        <w:t>）</w:t>
      </w:r>
      <w:r>
        <w:rPr>
          <w:rFonts w:hint="eastAsia" w:ascii="宋体" w:hAnsi="宋体"/>
          <w:color w:val="auto"/>
          <w:sz w:val="21"/>
          <w:szCs w:val="21"/>
          <w:highlight w:val="none"/>
        </w:rPr>
        <w:t>我方具有良好的商业信誉和健全的财务会计制度；</w:t>
      </w:r>
    </w:p>
    <w:p w14:paraId="52C489E9">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656FA129">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0B7F6E7F">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kern w:val="2"/>
          <w:sz w:val="21"/>
          <w:szCs w:val="21"/>
          <w:highlight w:val="none"/>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30D9E163">
      <w:pPr>
        <w:jc w:val="center"/>
        <w:rPr>
          <w:rFonts w:hint="eastAsia" w:asciiTheme="majorEastAsia" w:hAnsiTheme="majorEastAsia" w:eastAsiaTheme="majorEastAsia" w:cstheme="majorEastAsia"/>
          <w:color w:val="auto"/>
          <w:sz w:val="21"/>
          <w:szCs w:val="21"/>
          <w:highlight w:val="none"/>
        </w:rPr>
      </w:pPr>
    </w:p>
    <w:p w14:paraId="204245EB">
      <w:pPr>
        <w:spacing w:line="360" w:lineRule="auto"/>
        <w:ind w:firstLine="630" w:firstLineChars="300"/>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3E44F2A7">
      <w:pPr>
        <w:spacing w:line="360" w:lineRule="auto"/>
        <w:ind w:firstLine="630" w:firstLineChars="300"/>
        <w:rPr>
          <w:rFonts w:ascii="宋体" w:hAnsi="宋体"/>
          <w:color w:val="auto"/>
          <w:sz w:val="21"/>
          <w:szCs w:val="21"/>
          <w:highlight w:val="none"/>
        </w:rPr>
      </w:pPr>
      <w:r>
        <w:rPr>
          <w:rFonts w:hint="eastAsia" w:ascii="宋体" w:hAnsi="宋体"/>
          <w:color w:val="auto"/>
          <w:sz w:val="21"/>
          <w:szCs w:val="21"/>
          <w:highlight w:val="none"/>
        </w:rPr>
        <w:t>特此</w:t>
      </w:r>
      <w:r>
        <w:rPr>
          <w:rFonts w:hint="eastAsia" w:ascii="宋体" w:hAnsi="宋体"/>
          <w:color w:val="auto"/>
          <w:sz w:val="21"/>
          <w:szCs w:val="21"/>
          <w:highlight w:val="none"/>
          <w:lang w:eastAsia="zh-CN"/>
        </w:rPr>
        <w:t>承诺</w:t>
      </w:r>
      <w:r>
        <w:rPr>
          <w:rFonts w:hint="eastAsia" w:ascii="宋体" w:hAnsi="宋体"/>
          <w:color w:val="auto"/>
          <w:sz w:val="21"/>
          <w:szCs w:val="21"/>
          <w:highlight w:val="none"/>
        </w:rPr>
        <w:t>！</w:t>
      </w:r>
    </w:p>
    <w:p w14:paraId="54CB7D88">
      <w:pPr>
        <w:jc w:val="both"/>
        <w:rPr>
          <w:rFonts w:hint="eastAsia" w:asciiTheme="majorEastAsia" w:hAnsiTheme="majorEastAsia" w:eastAsiaTheme="majorEastAsia" w:cstheme="majorEastAsia"/>
          <w:color w:val="auto"/>
          <w:sz w:val="21"/>
          <w:szCs w:val="21"/>
          <w:highlight w:val="none"/>
        </w:rPr>
      </w:pPr>
    </w:p>
    <w:p w14:paraId="25AAF904">
      <w:pPr>
        <w:wordWrap w:val="0"/>
        <w:spacing w:line="360" w:lineRule="auto"/>
        <w:jc w:val="both"/>
        <w:rPr>
          <w:rFonts w:hint="eastAsia" w:asciiTheme="majorEastAsia" w:hAnsiTheme="majorEastAsia" w:eastAsiaTheme="majorEastAsia" w:cstheme="majorEastAsia"/>
          <w:color w:val="auto"/>
          <w:sz w:val="21"/>
          <w:szCs w:val="21"/>
          <w:highlight w:val="none"/>
          <w:lang w:val="en-US" w:eastAsia="zh-CN"/>
        </w:rPr>
      </w:pPr>
    </w:p>
    <w:p w14:paraId="1728DDCB">
      <w:pPr>
        <w:wordWrap w:val="0"/>
        <w:spacing w:line="360" w:lineRule="auto"/>
        <w:jc w:val="right"/>
        <w:rPr>
          <w:rFonts w:hint="eastAsia" w:asciiTheme="majorEastAsia" w:hAnsiTheme="majorEastAsia" w:eastAsiaTheme="majorEastAsia" w:cstheme="majorEastAsia"/>
          <w:color w:val="auto"/>
          <w:sz w:val="21"/>
          <w:szCs w:val="21"/>
          <w:highlight w:val="none"/>
          <w:u w:val="single"/>
          <w:lang w:val="en-US" w:eastAsia="zh-CN"/>
        </w:rPr>
      </w:pPr>
      <w:r>
        <w:rPr>
          <w:rFonts w:hint="eastAsia" w:asciiTheme="majorEastAsia" w:hAnsiTheme="majorEastAsia" w:eastAsiaTheme="majorEastAsia" w:cstheme="major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highlight w:val="none"/>
          <w:lang w:eastAsia="zh-CN"/>
        </w:rPr>
        <w:t>名称（</w:t>
      </w:r>
      <w:r>
        <w:rPr>
          <w:rFonts w:hint="eastAsia" w:asciiTheme="majorEastAsia" w:hAnsiTheme="majorEastAsia" w:eastAsiaTheme="majorEastAsia" w:cstheme="majorEastAsia"/>
          <w:color w:val="auto"/>
          <w:sz w:val="21"/>
          <w:szCs w:val="21"/>
          <w:highlight w:val="none"/>
          <w:lang w:val="en-US" w:eastAsia="zh-CN"/>
        </w:rPr>
        <w:t>盖</w:t>
      </w:r>
      <w:r>
        <w:rPr>
          <w:rFonts w:hint="eastAsia" w:asciiTheme="majorEastAsia" w:hAnsiTheme="majorEastAsia" w:eastAsiaTheme="majorEastAsia" w:cstheme="majorEastAsia"/>
          <w:color w:val="auto"/>
          <w:sz w:val="21"/>
          <w:szCs w:val="21"/>
          <w:highlight w:val="none"/>
          <w:lang w:eastAsia="zh-CN"/>
        </w:rPr>
        <w:t>章）：</w:t>
      </w:r>
      <w:r>
        <w:rPr>
          <w:rFonts w:hint="eastAsia" w:asciiTheme="majorEastAsia" w:hAnsiTheme="majorEastAsia" w:eastAsiaTheme="majorEastAsia" w:cstheme="majorEastAsia"/>
          <w:color w:val="auto"/>
          <w:sz w:val="21"/>
          <w:szCs w:val="21"/>
          <w:highlight w:val="none"/>
          <w:u w:val="single"/>
          <w:lang w:val="en-US" w:eastAsia="zh-CN"/>
        </w:rPr>
        <w:t xml:space="preserve">                  </w:t>
      </w:r>
    </w:p>
    <w:p w14:paraId="6584384B">
      <w:pPr>
        <w:wordWrap w:val="0"/>
        <w:spacing w:line="360" w:lineRule="auto"/>
        <w:jc w:val="right"/>
        <w:rPr>
          <w:rFonts w:hint="eastAsia"/>
          <w:color w:val="auto"/>
          <w:sz w:val="21"/>
          <w:szCs w:val="21"/>
          <w:highlight w:val="none"/>
          <w:lang w:val="en-US" w:eastAsia="zh-CN"/>
        </w:rPr>
      </w:pPr>
    </w:p>
    <w:p w14:paraId="429C3EA4">
      <w:pPr>
        <w:wordWrap w:val="0"/>
        <w:spacing w:line="360" w:lineRule="auto"/>
        <w:jc w:val="right"/>
        <w:rPr>
          <w:rFonts w:hint="eastAsia" w:asciiTheme="majorEastAsia" w:hAnsiTheme="majorEastAsia" w:eastAsiaTheme="majorEastAsia" w:cstheme="majorEastAsia"/>
          <w:color w:val="auto"/>
          <w:sz w:val="21"/>
          <w:szCs w:val="21"/>
          <w:highlight w:val="none"/>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highlight w:val="none"/>
        </w:rPr>
        <w:t>法定代表人（或法定代表人授权代表）（签字或</w:t>
      </w:r>
      <w:r>
        <w:rPr>
          <w:rFonts w:hint="eastAsia" w:asciiTheme="majorEastAsia" w:hAnsiTheme="majorEastAsia" w:eastAsiaTheme="majorEastAsia" w:cstheme="majorEastAsia"/>
          <w:color w:val="auto"/>
          <w:sz w:val="21"/>
          <w:szCs w:val="21"/>
          <w:highlight w:val="none"/>
          <w:lang w:val="en-US" w:eastAsia="zh-CN"/>
        </w:rPr>
        <w:t>签章</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u w:val="single"/>
          <w:lang w:val="en-US" w:eastAsia="zh-CN"/>
        </w:rPr>
        <w:t xml:space="preserve">                  </w:t>
      </w:r>
    </w:p>
    <w:p w14:paraId="2900AD32">
      <w:pPr>
        <w:wordWrap w:val="0"/>
        <w:spacing w:line="360" w:lineRule="auto"/>
        <w:jc w:val="right"/>
        <w:rPr>
          <w:rFonts w:hint="eastAsia" w:asciiTheme="majorEastAsia" w:hAnsiTheme="majorEastAsia" w:eastAsiaTheme="majorEastAsia" w:cstheme="majorEastAsia"/>
          <w:color w:val="auto"/>
          <w:sz w:val="21"/>
          <w:szCs w:val="21"/>
          <w:highlight w:val="none"/>
          <w:lang w:eastAsia="zh-CN"/>
        </w:rPr>
      </w:pPr>
    </w:p>
    <w:p w14:paraId="2391A9C8">
      <w:pPr>
        <w:wordWrap w:val="0"/>
        <w:spacing w:line="360" w:lineRule="auto"/>
        <w:jc w:val="right"/>
        <w:rPr>
          <w:rFonts w:hint="eastAsia" w:asciiTheme="majorEastAsia" w:hAnsiTheme="majorEastAsia" w:eastAsiaTheme="majorEastAsia" w:cstheme="majorEastAsia"/>
          <w:color w:val="auto"/>
          <w:sz w:val="21"/>
          <w:szCs w:val="21"/>
          <w:highlight w:val="none"/>
          <w:u w:val="single"/>
          <w:lang w:val="en-US" w:eastAsia="zh-CN"/>
        </w:rPr>
      </w:pPr>
      <w:r>
        <w:rPr>
          <w:rFonts w:hint="eastAsia" w:asciiTheme="majorEastAsia" w:hAnsiTheme="majorEastAsia" w:eastAsiaTheme="majorEastAsia" w:cstheme="majorEastAsia"/>
          <w:color w:val="auto"/>
          <w:sz w:val="21"/>
          <w:szCs w:val="21"/>
          <w:highlight w:val="none"/>
          <w:lang w:eastAsia="zh-CN"/>
        </w:rPr>
        <w:t>日期：</w:t>
      </w:r>
      <w:r>
        <w:rPr>
          <w:rFonts w:hint="eastAsia" w:asciiTheme="majorEastAsia" w:hAnsiTheme="majorEastAsia" w:eastAsiaTheme="majorEastAsia" w:cstheme="majorEastAsia"/>
          <w:color w:val="auto"/>
          <w:sz w:val="21"/>
          <w:szCs w:val="21"/>
          <w:highlight w:val="none"/>
          <w:u w:val="single"/>
          <w:lang w:val="en-US" w:eastAsia="zh-CN"/>
        </w:rPr>
        <w:t xml:space="preserve">      年   月   日</w:t>
      </w:r>
    </w:p>
    <w:p w14:paraId="04CEAD05">
      <w:pPr>
        <w:jc w:val="center"/>
        <w:rPr>
          <w:rFonts w:hint="eastAsia" w:ascii="宋体" w:hAnsi="宋体" w:eastAsia="宋体" w:cs="宋体"/>
          <w:b/>
          <w:bCs/>
          <w:color w:val="auto"/>
          <w:sz w:val="28"/>
          <w:szCs w:val="28"/>
          <w:highlight w:val="none"/>
        </w:rPr>
      </w:pPr>
    </w:p>
    <w:p w14:paraId="5C925944">
      <w:pPr>
        <w:jc w:val="both"/>
        <w:rPr>
          <w:rFonts w:hint="eastAsia" w:ascii="宋体" w:hAnsi="宋体" w:eastAsia="宋体" w:cs="宋体"/>
          <w:b/>
          <w:bCs/>
          <w:color w:val="auto"/>
          <w:sz w:val="28"/>
          <w:szCs w:val="28"/>
          <w:highlight w:val="none"/>
        </w:rPr>
      </w:pPr>
    </w:p>
    <w:p w14:paraId="3DA35016">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page"/>
      </w:r>
    </w:p>
    <w:p w14:paraId="40EAEF16">
      <w:pPr>
        <w:jc w:val="center"/>
        <w:rPr>
          <w:rFonts w:hint="eastAsia" w:asciiTheme="majorEastAsia" w:hAnsiTheme="majorEastAsia" w:eastAsiaTheme="majorEastAsia" w:cstheme="majorEastAsia"/>
          <w:b/>
          <w:bCs/>
          <w:color w:val="auto"/>
          <w:sz w:val="28"/>
          <w:szCs w:val="28"/>
          <w:highlight w:val="none"/>
          <w:lang w:eastAsia="zh-CN"/>
        </w:rPr>
      </w:pPr>
      <w:r>
        <w:rPr>
          <w:rFonts w:hint="eastAsia" w:asciiTheme="majorEastAsia" w:hAnsiTheme="majorEastAsia" w:eastAsiaTheme="majorEastAsia" w:cstheme="majorEastAsia"/>
          <w:b/>
          <w:bCs/>
          <w:color w:val="auto"/>
          <w:sz w:val="28"/>
          <w:szCs w:val="28"/>
          <w:highlight w:val="none"/>
          <w:lang w:val="en-US" w:eastAsia="zh-CN"/>
        </w:rPr>
        <w:t>声明</w:t>
      </w:r>
      <w:r>
        <w:rPr>
          <w:rFonts w:hint="eastAsia" w:asciiTheme="majorEastAsia" w:hAnsiTheme="majorEastAsia" w:eastAsiaTheme="majorEastAsia" w:cstheme="majorEastAsia"/>
          <w:b/>
          <w:bCs/>
          <w:color w:val="auto"/>
          <w:sz w:val="28"/>
          <w:szCs w:val="28"/>
          <w:highlight w:val="none"/>
          <w:lang w:eastAsia="zh-CN"/>
        </w:rPr>
        <w:t>函</w:t>
      </w:r>
    </w:p>
    <w:p w14:paraId="6A28C137">
      <w:pPr>
        <w:spacing w:line="360" w:lineRule="auto"/>
        <w:jc w:val="both"/>
        <w:rPr>
          <w:rFonts w:hint="eastAsia" w:asciiTheme="majorEastAsia" w:hAnsiTheme="majorEastAsia" w:eastAsiaTheme="majorEastAsia" w:cstheme="majorEastAsia"/>
          <w:color w:val="auto"/>
          <w:sz w:val="21"/>
          <w:szCs w:val="21"/>
          <w:highlight w:val="none"/>
          <w:lang w:eastAsia="zh-CN"/>
        </w:rPr>
      </w:pPr>
      <w:r>
        <w:rPr>
          <w:rFonts w:hint="eastAsia" w:asciiTheme="majorEastAsia" w:hAnsiTheme="majorEastAsia" w:eastAsiaTheme="majorEastAsia" w:cstheme="majorEastAsia"/>
          <w:color w:val="auto"/>
          <w:sz w:val="21"/>
          <w:szCs w:val="21"/>
          <w:highlight w:val="none"/>
          <w:lang w:eastAsia="zh-CN"/>
        </w:rPr>
        <w:t>致：南方医科大学第五附属医院</w:t>
      </w:r>
    </w:p>
    <w:p w14:paraId="6B2A6C7C">
      <w:pPr>
        <w:spacing w:line="360" w:lineRule="auto"/>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sz w:val="21"/>
          <w:szCs w:val="21"/>
          <w:highlight w:val="none"/>
          <w:lang w:val="en-US" w:eastAsia="zh-CN"/>
        </w:rPr>
        <w:t xml:space="preserve">      本公司参加贵方组织的南方医科大学第五附属医院多媒体分诊导引系统升级项目（项目编号：NYWYF20260014）的院内采购活动作出如下郑重声明：</w:t>
      </w:r>
    </w:p>
    <w:p w14:paraId="6FD4799A">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kern w:val="2"/>
          <w:sz w:val="21"/>
          <w:szCs w:val="21"/>
          <w:highlight w:val="none"/>
          <w:lang w:val="en-US" w:eastAsia="zh-CN" w:bidi="ar-SA"/>
        </w:rPr>
        <w:t>（一）</w:t>
      </w:r>
      <w:r>
        <w:rPr>
          <w:rFonts w:hint="eastAsia" w:asciiTheme="majorEastAsia" w:hAnsiTheme="majorEastAsia" w:eastAsiaTheme="majorEastAsia" w:cstheme="majorEastAsia"/>
          <w:color w:val="auto"/>
          <w:sz w:val="21"/>
          <w:szCs w:val="21"/>
          <w:highlight w:val="none"/>
          <w:lang w:val="en-US" w:eastAsia="zh-CN"/>
        </w:rPr>
        <w:t>我方具有独立承担民事责任的能力；</w:t>
      </w:r>
    </w:p>
    <w:p w14:paraId="5BD46D6C">
      <w:pPr>
        <w:numPr>
          <w:ilvl w:val="0"/>
          <w:numId w:val="0"/>
        </w:numPr>
        <w:spacing w:line="360" w:lineRule="auto"/>
        <w:ind w:left="630" w:leftChars="0"/>
        <w:jc w:val="both"/>
        <w:rPr>
          <w:rFonts w:hint="eastAsia" w:asciiTheme="majorEastAsia" w:hAnsiTheme="majorEastAsia" w:eastAsiaTheme="majorEastAsia" w:cstheme="majorEastAsia"/>
          <w:color w:val="auto"/>
          <w:kern w:val="0"/>
          <w:sz w:val="21"/>
          <w:szCs w:val="21"/>
          <w:highlight w:val="none"/>
          <w:lang w:eastAsia="zh-CN"/>
        </w:rPr>
      </w:pP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二</w:t>
      </w:r>
      <w:r>
        <w:rPr>
          <w:rFonts w:hint="eastAsia" w:asciiTheme="majorEastAsia" w:hAnsiTheme="majorEastAsia" w:eastAsiaTheme="majorEastAsia" w:cstheme="majorEastAsia"/>
          <w:color w:val="auto"/>
          <w:kern w:val="0"/>
          <w:sz w:val="21"/>
          <w:szCs w:val="21"/>
          <w:highlight w:val="none"/>
          <w:lang w:eastAsia="zh-CN"/>
        </w:rPr>
        <w:t>）</w:t>
      </w:r>
      <w:r>
        <w:rPr>
          <w:rFonts w:hint="eastAsia" w:ascii="宋体" w:hAnsi="宋体"/>
          <w:color w:val="auto"/>
          <w:sz w:val="21"/>
          <w:szCs w:val="21"/>
          <w:highlight w:val="none"/>
        </w:rPr>
        <w:t>我方有依法缴纳税收和社会保障资金的良好记录</w:t>
      </w:r>
      <w:r>
        <w:rPr>
          <w:rFonts w:hint="eastAsia" w:asciiTheme="majorEastAsia" w:hAnsiTheme="majorEastAsia" w:eastAsiaTheme="majorEastAsia" w:cstheme="majorEastAsia"/>
          <w:color w:val="auto"/>
          <w:kern w:val="0"/>
          <w:sz w:val="21"/>
          <w:szCs w:val="21"/>
          <w:highlight w:val="none"/>
          <w:lang w:eastAsia="zh-CN"/>
        </w:rPr>
        <w:t>；</w:t>
      </w:r>
    </w:p>
    <w:p w14:paraId="24C3FF98">
      <w:pPr>
        <w:numPr>
          <w:ilvl w:val="0"/>
          <w:numId w:val="0"/>
        </w:numPr>
        <w:spacing w:line="360" w:lineRule="auto"/>
        <w:ind w:left="630" w:leftChars="0"/>
        <w:jc w:val="both"/>
        <w:rPr>
          <w:rFonts w:hint="eastAsia" w:ascii="宋体" w:hAnsi="宋体"/>
          <w:color w:val="auto"/>
          <w:sz w:val="21"/>
          <w:szCs w:val="21"/>
          <w:highlight w:val="none"/>
        </w:rPr>
      </w:pPr>
      <w:r>
        <w:rPr>
          <w:rFonts w:hint="eastAsia" w:asciiTheme="majorEastAsia" w:hAnsiTheme="majorEastAsia" w:eastAsiaTheme="majorEastAsia" w:cstheme="majorEastAsia"/>
          <w:color w:val="auto"/>
          <w:kern w:val="0"/>
          <w:sz w:val="21"/>
          <w:szCs w:val="21"/>
          <w:highlight w:val="none"/>
          <w:lang w:eastAsia="zh-CN"/>
        </w:rPr>
        <w:t>（</w:t>
      </w:r>
      <w:r>
        <w:rPr>
          <w:rFonts w:hint="eastAsia" w:asciiTheme="majorEastAsia" w:hAnsiTheme="majorEastAsia" w:eastAsiaTheme="majorEastAsia" w:cstheme="majorEastAsia"/>
          <w:color w:val="auto"/>
          <w:kern w:val="0"/>
          <w:sz w:val="21"/>
          <w:szCs w:val="21"/>
          <w:highlight w:val="none"/>
          <w:lang w:val="en-US" w:eastAsia="zh-CN"/>
        </w:rPr>
        <w:t>三</w:t>
      </w:r>
      <w:r>
        <w:rPr>
          <w:rFonts w:hint="eastAsia" w:asciiTheme="majorEastAsia" w:hAnsiTheme="majorEastAsia" w:eastAsiaTheme="majorEastAsia" w:cstheme="majorEastAsia"/>
          <w:color w:val="auto"/>
          <w:kern w:val="0"/>
          <w:sz w:val="21"/>
          <w:szCs w:val="21"/>
          <w:highlight w:val="none"/>
          <w:lang w:eastAsia="zh-CN"/>
        </w:rPr>
        <w:t>）</w:t>
      </w:r>
      <w:r>
        <w:rPr>
          <w:rFonts w:hint="eastAsia" w:ascii="宋体" w:hAnsi="宋体"/>
          <w:color w:val="auto"/>
          <w:sz w:val="21"/>
          <w:szCs w:val="21"/>
          <w:highlight w:val="none"/>
        </w:rPr>
        <w:t>我方具有良好的商业信誉和健全的财务会计制度；</w:t>
      </w:r>
    </w:p>
    <w:p w14:paraId="53292BC5">
      <w:pPr>
        <w:numPr>
          <w:ilvl w:val="0"/>
          <w:numId w:val="0"/>
        </w:numPr>
        <w:spacing w:line="360" w:lineRule="auto"/>
        <w:ind w:left="630" w:leftChars="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（四）</w:t>
      </w:r>
      <w:r>
        <w:rPr>
          <w:rFonts w:hint="eastAsia" w:ascii="宋体" w:hAnsi="宋体"/>
          <w:color w:val="auto"/>
          <w:sz w:val="21"/>
          <w:szCs w:val="21"/>
          <w:highlight w:val="none"/>
        </w:rPr>
        <w:t>我方具有履行合同所必需的设备和专业技术能力；</w:t>
      </w:r>
    </w:p>
    <w:p w14:paraId="33CE7895">
      <w:pPr>
        <w:numPr>
          <w:ilvl w:val="0"/>
          <w:numId w:val="0"/>
        </w:numPr>
        <w:spacing w:line="360" w:lineRule="auto"/>
        <w:ind w:left="630" w:leftChars="0"/>
        <w:jc w:val="both"/>
        <w:rPr>
          <w:rFonts w:hint="eastAsia" w:ascii="宋体" w:hAnsi="宋体"/>
          <w:color w:val="auto"/>
          <w:sz w:val="21"/>
          <w:szCs w:val="21"/>
          <w:highlight w:val="none"/>
          <w:lang w:val="en-US" w:eastAsia="zh-CN"/>
        </w:rPr>
      </w:pPr>
      <w:r>
        <w:rPr>
          <w:rFonts w:hint="eastAsia" w:ascii="宋体" w:hAnsi="宋体"/>
          <w:color w:val="auto"/>
          <w:sz w:val="21"/>
          <w:szCs w:val="21"/>
          <w:highlight w:val="none"/>
          <w:lang w:val="en-US" w:eastAsia="zh-CN"/>
        </w:rPr>
        <w:t>（五）</w:t>
      </w:r>
      <w:r>
        <w:rPr>
          <w:rFonts w:hint="eastAsia" w:ascii="宋体" w:hAnsi="宋体" w:eastAsia="宋体"/>
          <w:color w:val="auto"/>
          <w:sz w:val="21"/>
          <w:szCs w:val="21"/>
          <w:highlight w:val="none"/>
        </w:rPr>
        <w:t>我方在参加采购活动前3年内</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在经营活动中没有重大违法记录；</w:t>
      </w:r>
    </w:p>
    <w:p w14:paraId="1901D18B">
      <w:pPr>
        <w:numPr>
          <w:ilvl w:val="0"/>
          <w:numId w:val="0"/>
        </w:numPr>
        <w:spacing w:line="360" w:lineRule="auto"/>
        <w:ind w:left="630" w:leftChars="0" w:firstLine="0" w:firstLineChars="0"/>
        <w:jc w:val="both"/>
        <w:rPr>
          <w:rFonts w:hint="eastAsia" w:asciiTheme="majorEastAsia" w:hAnsiTheme="majorEastAsia" w:eastAsiaTheme="majorEastAsia" w:cstheme="majorEastAsia"/>
          <w:color w:val="auto"/>
          <w:sz w:val="21"/>
          <w:szCs w:val="21"/>
          <w:highlight w:val="none"/>
          <w:lang w:val="en-US" w:eastAsia="zh-CN"/>
        </w:rPr>
      </w:pPr>
      <w:r>
        <w:rPr>
          <w:rFonts w:hint="eastAsia" w:asciiTheme="majorEastAsia" w:hAnsiTheme="majorEastAsia" w:eastAsiaTheme="majorEastAsia" w:cstheme="majorEastAsia"/>
          <w:color w:val="auto"/>
          <w:kern w:val="2"/>
          <w:sz w:val="21"/>
          <w:szCs w:val="21"/>
          <w:highlight w:val="none"/>
          <w:lang w:val="en-US" w:eastAsia="zh-CN" w:bidi="ar-SA"/>
        </w:rPr>
        <w:t>（六）</w:t>
      </w:r>
      <w:r>
        <w:rPr>
          <w:rFonts w:hint="eastAsia" w:ascii="宋体" w:hAnsi="宋体"/>
          <w:color w:val="auto"/>
          <w:sz w:val="21"/>
          <w:szCs w:val="21"/>
          <w:highlight w:val="none"/>
        </w:rPr>
        <w:t>我方不存在以下情况：以联</w:t>
      </w:r>
      <w:r>
        <w:rPr>
          <w:rFonts w:hint="eastAsia" w:ascii="宋体" w:hAnsi="宋体" w:eastAsia="宋体"/>
          <w:color w:val="auto"/>
          <w:sz w:val="21"/>
          <w:szCs w:val="21"/>
          <w:highlight w:val="none"/>
        </w:rPr>
        <w:t>合体形式参加本项目院内采购活动；</w:t>
      </w:r>
    </w:p>
    <w:p w14:paraId="26507C32">
      <w:pPr>
        <w:jc w:val="center"/>
        <w:rPr>
          <w:rFonts w:hint="eastAsia" w:asciiTheme="majorEastAsia" w:hAnsiTheme="majorEastAsia" w:eastAsiaTheme="majorEastAsia" w:cstheme="majorEastAsia"/>
          <w:color w:val="auto"/>
          <w:sz w:val="21"/>
          <w:szCs w:val="21"/>
          <w:highlight w:val="none"/>
        </w:rPr>
      </w:pPr>
    </w:p>
    <w:p w14:paraId="46E09D70">
      <w:pPr>
        <w:spacing w:line="360" w:lineRule="auto"/>
        <w:ind w:firstLine="630" w:firstLineChars="300"/>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10DC7942">
      <w:pPr>
        <w:spacing w:line="360" w:lineRule="auto"/>
        <w:ind w:firstLine="630" w:firstLineChars="300"/>
        <w:rPr>
          <w:rFonts w:ascii="宋体" w:hAnsi="宋体"/>
          <w:color w:val="auto"/>
          <w:sz w:val="21"/>
          <w:szCs w:val="21"/>
          <w:highlight w:val="none"/>
        </w:rPr>
      </w:pPr>
      <w:r>
        <w:rPr>
          <w:rFonts w:hint="eastAsia" w:ascii="宋体" w:hAnsi="宋体"/>
          <w:color w:val="auto"/>
          <w:sz w:val="21"/>
          <w:szCs w:val="21"/>
          <w:highlight w:val="none"/>
        </w:rPr>
        <w:t>特此</w:t>
      </w:r>
      <w:r>
        <w:rPr>
          <w:rFonts w:hint="eastAsia" w:ascii="宋体" w:hAnsi="宋体"/>
          <w:color w:val="auto"/>
          <w:sz w:val="21"/>
          <w:szCs w:val="21"/>
          <w:highlight w:val="none"/>
          <w:lang w:val="en-US" w:eastAsia="zh-CN"/>
        </w:rPr>
        <w:t>声明</w:t>
      </w:r>
      <w:r>
        <w:rPr>
          <w:rFonts w:hint="eastAsia" w:ascii="宋体" w:hAnsi="宋体"/>
          <w:color w:val="auto"/>
          <w:sz w:val="21"/>
          <w:szCs w:val="21"/>
          <w:highlight w:val="none"/>
        </w:rPr>
        <w:t>！</w:t>
      </w:r>
    </w:p>
    <w:p w14:paraId="602C0615">
      <w:pPr>
        <w:jc w:val="both"/>
        <w:rPr>
          <w:rFonts w:hint="eastAsia" w:asciiTheme="majorEastAsia" w:hAnsiTheme="majorEastAsia" w:eastAsiaTheme="majorEastAsia" w:cstheme="majorEastAsia"/>
          <w:color w:val="auto"/>
          <w:sz w:val="21"/>
          <w:szCs w:val="21"/>
          <w:highlight w:val="none"/>
        </w:rPr>
      </w:pPr>
    </w:p>
    <w:p w14:paraId="161EF72A">
      <w:pPr>
        <w:jc w:val="center"/>
        <w:rPr>
          <w:rFonts w:hint="eastAsia" w:asciiTheme="majorEastAsia" w:hAnsiTheme="majorEastAsia" w:eastAsiaTheme="majorEastAsia" w:cstheme="majorEastAsia"/>
          <w:color w:val="auto"/>
          <w:sz w:val="21"/>
          <w:szCs w:val="21"/>
          <w:highlight w:val="none"/>
        </w:rPr>
      </w:pPr>
    </w:p>
    <w:p w14:paraId="48743AB9">
      <w:pPr>
        <w:jc w:val="center"/>
        <w:rPr>
          <w:rFonts w:hint="eastAsia" w:asciiTheme="majorEastAsia" w:hAnsiTheme="majorEastAsia" w:eastAsiaTheme="majorEastAsia" w:cstheme="majorEastAsia"/>
          <w:color w:val="auto"/>
          <w:sz w:val="21"/>
          <w:szCs w:val="21"/>
          <w:highlight w:val="none"/>
        </w:rPr>
      </w:pPr>
    </w:p>
    <w:p w14:paraId="40FA60F9">
      <w:pPr>
        <w:wordWrap w:val="0"/>
        <w:spacing w:line="360" w:lineRule="auto"/>
        <w:jc w:val="right"/>
        <w:rPr>
          <w:rFonts w:hint="eastAsia" w:asciiTheme="majorEastAsia" w:hAnsiTheme="majorEastAsia" w:eastAsiaTheme="majorEastAsia" w:cstheme="majorEastAsia"/>
          <w:color w:val="auto"/>
          <w:sz w:val="21"/>
          <w:szCs w:val="21"/>
          <w:highlight w:val="none"/>
          <w:u w:val="single"/>
          <w:lang w:val="en-US" w:eastAsia="zh-CN"/>
        </w:rPr>
      </w:pPr>
      <w:r>
        <w:rPr>
          <w:rFonts w:hint="eastAsia" w:asciiTheme="majorEastAsia" w:hAnsiTheme="majorEastAsia" w:eastAsiaTheme="majorEastAsia" w:cstheme="major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highlight w:val="none"/>
          <w:lang w:eastAsia="zh-CN"/>
        </w:rPr>
        <w:t>名称（</w:t>
      </w:r>
      <w:r>
        <w:rPr>
          <w:rFonts w:hint="eastAsia" w:asciiTheme="majorEastAsia" w:hAnsiTheme="majorEastAsia" w:eastAsiaTheme="majorEastAsia" w:cstheme="majorEastAsia"/>
          <w:color w:val="auto"/>
          <w:sz w:val="21"/>
          <w:szCs w:val="21"/>
          <w:highlight w:val="none"/>
          <w:lang w:val="en-US" w:eastAsia="zh-CN"/>
        </w:rPr>
        <w:t>盖</w:t>
      </w:r>
      <w:r>
        <w:rPr>
          <w:rFonts w:hint="eastAsia" w:asciiTheme="majorEastAsia" w:hAnsiTheme="majorEastAsia" w:eastAsiaTheme="majorEastAsia" w:cstheme="majorEastAsia"/>
          <w:color w:val="auto"/>
          <w:sz w:val="21"/>
          <w:szCs w:val="21"/>
          <w:highlight w:val="none"/>
          <w:lang w:eastAsia="zh-CN"/>
        </w:rPr>
        <w:t>章）：</w:t>
      </w:r>
      <w:r>
        <w:rPr>
          <w:rFonts w:hint="eastAsia" w:asciiTheme="majorEastAsia" w:hAnsiTheme="majorEastAsia" w:eastAsiaTheme="majorEastAsia" w:cstheme="majorEastAsia"/>
          <w:color w:val="auto"/>
          <w:sz w:val="21"/>
          <w:szCs w:val="21"/>
          <w:highlight w:val="none"/>
          <w:u w:val="single"/>
          <w:lang w:val="en-US" w:eastAsia="zh-CN"/>
        </w:rPr>
        <w:t xml:space="preserve">                  </w:t>
      </w:r>
    </w:p>
    <w:p w14:paraId="21515928">
      <w:pPr>
        <w:wordWrap w:val="0"/>
        <w:spacing w:line="360" w:lineRule="auto"/>
        <w:jc w:val="right"/>
        <w:rPr>
          <w:rFonts w:hint="eastAsia"/>
          <w:color w:val="auto"/>
          <w:sz w:val="21"/>
          <w:szCs w:val="21"/>
          <w:highlight w:val="none"/>
          <w:lang w:val="en-US" w:eastAsia="zh-CN"/>
        </w:rPr>
      </w:pPr>
    </w:p>
    <w:p w14:paraId="1A75948A">
      <w:pPr>
        <w:wordWrap w:val="0"/>
        <w:spacing w:line="360" w:lineRule="auto"/>
        <w:jc w:val="right"/>
        <w:rPr>
          <w:rFonts w:hint="eastAsia" w:asciiTheme="majorEastAsia" w:hAnsiTheme="majorEastAsia" w:eastAsiaTheme="majorEastAsia" w:cstheme="majorEastAsia"/>
          <w:color w:val="auto"/>
          <w:sz w:val="21"/>
          <w:szCs w:val="21"/>
          <w:highlight w:val="none"/>
          <w:u w:val="single"/>
          <w:lang w:val="en-US" w:eastAsia="zh-CN"/>
        </w:rPr>
      </w:pPr>
      <w:r>
        <w:rPr>
          <w:rFonts w:hint="eastAsia"/>
          <w:color w:val="auto"/>
          <w:sz w:val="21"/>
          <w:szCs w:val="21"/>
          <w:highlight w:val="none"/>
          <w:lang w:val="en-US" w:eastAsia="zh-CN"/>
        </w:rPr>
        <w:t>供应商</w:t>
      </w:r>
      <w:r>
        <w:rPr>
          <w:rFonts w:hint="eastAsia" w:asciiTheme="majorEastAsia" w:hAnsiTheme="majorEastAsia" w:eastAsiaTheme="majorEastAsia" w:cstheme="majorEastAsia"/>
          <w:color w:val="auto"/>
          <w:sz w:val="21"/>
          <w:szCs w:val="21"/>
          <w:highlight w:val="none"/>
        </w:rPr>
        <w:t>法定代表人（或法定代表人授权代表）（签字或</w:t>
      </w:r>
      <w:r>
        <w:rPr>
          <w:rFonts w:hint="eastAsia" w:asciiTheme="majorEastAsia" w:hAnsiTheme="majorEastAsia" w:eastAsiaTheme="majorEastAsia" w:cstheme="majorEastAsia"/>
          <w:color w:val="auto"/>
          <w:sz w:val="21"/>
          <w:szCs w:val="21"/>
          <w:highlight w:val="none"/>
          <w:lang w:val="en-US" w:eastAsia="zh-CN"/>
        </w:rPr>
        <w:t>签章</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u w:val="single"/>
          <w:lang w:val="en-US" w:eastAsia="zh-CN"/>
        </w:rPr>
        <w:t xml:space="preserve">                  </w:t>
      </w:r>
    </w:p>
    <w:p w14:paraId="6AE47E90">
      <w:pPr>
        <w:wordWrap w:val="0"/>
        <w:spacing w:line="360" w:lineRule="auto"/>
        <w:jc w:val="right"/>
        <w:rPr>
          <w:rFonts w:hint="eastAsia" w:asciiTheme="majorEastAsia" w:hAnsiTheme="majorEastAsia" w:eastAsiaTheme="majorEastAsia" w:cstheme="majorEastAsia"/>
          <w:color w:val="auto"/>
          <w:sz w:val="21"/>
          <w:szCs w:val="21"/>
          <w:highlight w:val="none"/>
          <w:lang w:eastAsia="zh-CN"/>
        </w:rPr>
      </w:pPr>
    </w:p>
    <w:p w14:paraId="46E3236A">
      <w:pPr>
        <w:bidi w:val="0"/>
        <w:jc w:val="right"/>
        <w:rPr>
          <w:rFonts w:hint="eastAsia"/>
          <w:color w:val="auto"/>
          <w:highlight w:val="none"/>
          <w:lang w:val="en-US" w:eastAsia="zh-CN"/>
        </w:rPr>
      </w:pPr>
      <w:r>
        <w:rPr>
          <w:rFonts w:hint="eastAsia" w:asciiTheme="majorEastAsia" w:hAnsiTheme="majorEastAsia" w:eastAsiaTheme="majorEastAsia" w:cstheme="majorEastAsia"/>
          <w:color w:val="auto"/>
          <w:sz w:val="21"/>
          <w:szCs w:val="21"/>
          <w:highlight w:val="none"/>
          <w:lang w:eastAsia="zh-CN"/>
        </w:rPr>
        <w:t>日期：</w:t>
      </w:r>
      <w:r>
        <w:rPr>
          <w:rFonts w:hint="eastAsia" w:asciiTheme="majorEastAsia" w:hAnsiTheme="majorEastAsia" w:eastAsiaTheme="majorEastAsia" w:cstheme="majorEastAsia"/>
          <w:color w:val="auto"/>
          <w:sz w:val="21"/>
          <w:szCs w:val="21"/>
          <w:highlight w:val="none"/>
          <w:u w:val="single"/>
          <w:lang w:val="en-US" w:eastAsia="zh-CN"/>
        </w:rPr>
        <w:t xml:space="preserve">      年   月   日</w:t>
      </w:r>
    </w:p>
    <w:p w14:paraId="11A15247">
      <w:pPr>
        <w:pStyle w:val="36"/>
        <w:tabs>
          <w:tab w:val="left" w:pos="1050"/>
          <w:tab w:val="center" w:pos="4535"/>
        </w:tabs>
        <w:spacing w:line="360" w:lineRule="auto"/>
        <w:jc w:val="both"/>
        <w:outlineLvl w:val="0"/>
        <w:rPr>
          <w:rFonts w:hint="eastAsia"/>
          <w:b/>
          <w:bCs/>
          <w:color w:val="auto"/>
          <w:sz w:val="21"/>
          <w:szCs w:val="21"/>
          <w:highlight w:val="none"/>
          <w:lang w:val="en-US" w:eastAsia="zh-CN"/>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p>
    <w:p w14:paraId="7675B93B">
      <w:pPr>
        <w:pStyle w:val="36"/>
        <w:tabs>
          <w:tab w:val="left" w:pos="1050"/>
          <w:tab w:val="center" w:pos="4535"/>
        </w:tabs>
        <w:spacing w:line="360" w:lineRule="auto"/>
        <w:jc w:val="both"/>
        <w:outlineLvl w:val="0"/>
        <w:rPr>
          <w:rFonts w:hint="eastAsia"/>
          <w:b/>
          <w:bCs/>
          <w:color w:val="auto"/>
          <w:sz w:val="21"/>
          <w:szCs w:val="21"/>
          <w:highlight w:val="none"/>
        </w:rPr>
      </w:pPr>
      <w:r>
        <w:rPr>
          <w:rFonts w:hint="eastAsia"/>
          <w:b/>
          <w:bCs/>
          <w:color w:val="auto"/>
          <w:sz w:val="21"/>
          <w:szCs w:val="21"/>
          <w:highlight w:val="none"/>
          <w:lang w:val="en-US" w:eastAsia="zh-CN"/>
        </w:rPr>
        <w:t>2.6</w:t>
      </w:r>
      <w:r>
        <w:rPr>
          <w:rFonts w:hint="eastAsia"/>
          <w:b/>
          <w:bCs/>
          <w:color w:val="auto"/>
          <w:sz w:val="21"/>
          <w:szCs w:val="21"/>
          <w:highlight w:val="none"/>
        </w:rPr>
        <w:t>业绩清单汇总</w:t>
      </w:r>
      <w:bookmarkEnd w:id="383"/>
      <w:bookmarkEnd w:id="384"/>
      <w:bookmarkEnd w:id="385"/>
      <w:bookmarkEnd w:id="386"/>
      <w:bookmarkEnd w:id="387"/>
      <w:bookmarkEnd w:id="388"/>
      <w:bookmarkEnd w:id="389"/>
      <w:bookmarkEnd w:id="390"/>
      <w:bookmarkEnd w:id="391"/>
    </w:p>
    <w:p w14:paraId="4C27A723">
      <w:pPr>
        <w:pStyle w:val="36"/>
        <w:tabs>
          <w:tab w:val="left" w:pos="1050"/>
          <w:tab w:val="center" w:pos="4535"/>
        </w:tabs>
        <w:spacing w:line="360" w:lineRule="auto"/>
        <w:jc w:val="center"/>
        <w:outlineLvl w:val="0"/>
        <w:rPr>
          <w:b/>
          <w:bCs/>
          <w:color w:val="auto"/>
          <w:sz w:val="24"/>
          <w:szCs w:val="24"/>
          <w:highlight w:val="none"/>
        </w:rPr>
      </w:pPr>
      <w:bookmarkStart w:id="392" w:name="_Toc29658"/>
      <w:bookmarkStart w:id="393" w:name="_Toc17724"/>
      <w:bookmarkStart w:id="394" w:name="_Toc12811"/>
      <w:bookmarkStart w:id="395" w:name="_Toc22733"/>
      <w:bookmarkStart w:id="396" w:name="_Toc27041"/>
      <w:bookmarkStart w:id="397" w:name="_Toc13372"/>
      <w:bookmarkStart w:id="398" w:name="_Toc27402"/>
      <w:bookmarkStart w:id="399" w:name="_Toc2703"/>
      <w:bookmarkStart w:id="400" w:name="_Toc6189"/>
      <w:r>
        <w:rPr>
          <w:rFonts w:hint="eastAsia"/>
          <w:b/>
          <w:bCs/>
          <w:color w:val="auto"/>
          <w:sz w:val="24"/>
          <w:szCs w:val="24"/>
          <w:highlight w:val="none"/>
        </w:rPr>
        <w:t>同类项目</w:t>
      </w:r>
      <w:r>
        <w:rPr>
          <w:rFonts w:hint="eastAsia"/>
          <w:b/>
          <w:bCs/>
          <w:color w:val="auto"/>
          <w:sz w:val="24"/>
          <w:szCs w:val="24"/>
          <w:highlight w:val="none"/>
          <w:lang w:val="en-US" w:eastAsia="zh-CN"/>
        </w:rPr>
        <w:t>业绩</w:t>
      </w:r>
      <w:r>
        <w:rPr>
          <w:rFonts w:hint="eastAsia"/>
          <w:b/>
          <w:bCs/>
          <w:color w:val="auto"/>
          <w:sz w:val="24"/>
          <w:szCs w:val="24"/>
          <w:highlight w:val="none"/>
        </w:rPr>
        <w:t>情况一览表</w:t>
      </w:r>
      <w:bookmarkEnd w:id="341"/>
      <w:bookmarkEnd w:id="342"/>
      <w:bookmarkEnd w:id="381"/>
      <w:bookmarkEnd w:id="382"/>
      <w:bookmarkEnd w:id="392"/>
      <w:bookmarkEnd w:id="393"/>
      <w:bookmarkEnd w:id="394"/>
      <w:bookmarkEnd w:id="395"/>
      <w:bookmarkEnd w:id="396"/>
      <w:bookmarkEnd w:id="397"/>
      <w:bookmarkEnd w:id="398"/>
      <w:bookmarkEnd w:id="399"/>
      <w:bookmarkEnd w:id="400"/>
    </w:p>
    <w:tbl>
      <w:tblPr>
        <w:tblStyle w:val="23"/>
        <w:tblW w:w="9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131"/>
        <w:gridCol w:w="1182"/>
        <w:gridCol w:w="1612"/>
        <w:gridCol w:w="1706"/>
        <w:gridCol w:w="1338"/>
      </w:tblGrid>
      <w:tr w14:paraId="6E66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1B28BB52">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序号</w:t>
            </w:r>
          </w:p>
        </w:tc>
        <w:tc>
          <w:tcPr>
            <w:tcW w:w="1065" w:type="dxa"/>
            <w:vAlign w:val="center"/>
          </w:tcPr>
          <w:p w14:paraId="54AF4AE9">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业主名称</w:t>
            </w:r>
          </w:p>
        </w:tc>
        <w:tc>
          <w:tcPr>
            <w:tcW w:w="2131" w:type="dxa"/>
            <w:vAlign w:val="center"/>
          </w:tcPr>
          <w:p w14:paraId="1D4878FA">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项目名称</w:t>
            </w:r>
          </w:p>
        </w:tc>
        <w:tc>
          <w:tcPr>
            <w:tcW w:w="1182" w:type="dxa"/>
            <w:vAlign w:val="center"/>
          </w:tcPr>
          <w:p w14:paraId="38665437">
            <w:pPr>
              <w:spacing w:line="240" w:lineRule="auto"/>
              <w:jc w:val="center"/>
              <w:rPr>
                <w:rFonts w:hint="default" w:ascii="宋体" w:hAnsi="宋体" w:eastAsia="宋体"/>
                <w:b/>
                <w:color w:val="auto"/>
                <w:sz w:val="21"/>
                <w:szCs w:val="21"/>
                <w:highlight w:val="none"/>
                <w:lang w:val="en-US" w:eastAsia="zh-CN"/>
              </w:rPr>
            </w:pPr>
            <w:r>
              <w:rPr>
                <w:rFonts w:hint="eastAsia" w:ascii="宋体" w:hAnsi="宋体"/>
                <w:b/>
                <w:color w:val="auto"/>
                <w:sz w:val="21"/>
                <w:szCs w:val="21"/>
                <w:highlight w:val="none"/>
                <w:lang w:val="en-US" w:eastAsia="zh-CN"/>
              </w:rPr>
              <w:t>合同总价（元）</w:t>
            </w:r>
          </w:p>
        </w:tc>
        <w:tc>
          <w:tcPr>
            <w:tcW w:w="1612" w:type="dxa"/>
            <w:vAlign w:val="center"/>
          </w:tcPr>
          <w:p w14:paraId="36CF4086">
            <w:pPr>
              <w:spacing w:line="360" w:lineRule="auto"/>
              <w:jc w:val="center"/>
              <w:rPr>
                <w:rFonts w:ascii="宋体" w:hAnsi="宋体"/>
                <w:b/>
                <w:color w:val="auto"/>
                <w:sz w:val="21"/>
                <w:szCs w:val="21"/>
                <w:highlight w:val="none"/>
              </w:rPr>
            </w:pPr>
            <w:r>
              <w:rPr>
                <w:rFonts w:hint="eastAsia" w:ascii="宋体" w:hAnsi="宋体"/>
                <w:b/>
                <w:color w:val="auto"/>
                <w:sz w:val="21"/>
                <w:szCs w:val="21"/>
                <w:highlight w:val="none"/>
              </w:rPr>
              <w:t>合同签订时间</w:t>
            </w:r>
          </w:p>
        </w:tc>
        <w:tc>
          <w:tcPr>
            <w:tcW w:w="1706" w:type="dxa"/>
            <w:vAlign w:val="center"/>
          </w:tcPr>
          <w:p w14:paraId="1BFD9465">
            <w:pPr>
              <w:jc w:val="center"/>
              <w:rPr>
                <w:rFonts w:ascii="宋体" w:hAnsi="宋体"/>
                <w:b/>
                <w:color w:val="auto"/>
                <w:sz w:val="21"/>
                <w:szCs w:val="21"/>
                <w:highlight w:val="none"/>
              </w:rPr>
            </w:pPr>
            <w:r>
              <w:rPr>
                <w:rFonts w:hint="eastAsia" w:ascii="宋体" w:hAnsi="宋体"/>
                <w:b/>
                <w:color w:val="auto"/>
                <w:sz w:val="21"/>
                <w:szCs w:val="21"/>
                <w:highlight w:val="none"/>
              </w:rPr>
              <w:t>业主单位</w:t>
            </w:r>
          </w:p>
          <w:p w14:paraId="7B8E4CBC">
            <w:pPr>
              <w:jc w:val="center"/>
              <w:rPr>
                <w:rFonts w:ascii="宋体" w:hAnsi="宋体"/>
                <w:b/>
                <w:color w:val="auto"/>
                <w:sz w:val="21"/>
                <w:szCs w:val="21"/>
                <w:highlight w:val="none"/>
              </w:rPr>
            </w:pPr>
            <w:r>
              <w:rPr>
                <w:rFonts w:hint="eastAsia" w:ascii="宋体" w:hAnsi="宋体"/>
                <w:b/>
                <w:color w:val="auto"/>
                <w:sz w:val="21"/>
                <w:szCs w:val="21"/>
                <w:highlight w:val="none"/>
              </w:rPr>
              <w:t>联系人及电话</w:t>
            </w:r>
          </w:p>
        </w:tc>
        <w:tc>
          <w:tcPr>
            <w:tcW w:w="1338" w:type="dxa"/>
            <w:vAlign w:val="center"/>
          </w:tcPr>
          <w:p w14:paraId="10995495">
            <w:pPr>
              <w:jc w:val="center"/>
              <w:rPr>
                <w:rFonts w:hint="eastAsia" w:ascii="宋体" w:hAnsi="宋体"/>
                <w:b/>
                <w:color w:val="auto"/>
                <w:sz w:val="21"/>
                <w:szCs w:val="21"/>
                <w:highlight w:val="none"/>
              </w:rPr>
            </w:pPr>
            <w:r>
              <w:rPr>
                <w:rFonts w:hint="eastAsia" w:ascii="宋体" w:hAnsi="宋体"/>
                <w:b/>
                <w:color w:val="auto"/>
                <w:sz w:val="21"/>
                <w:szCs w:val="21"/>
                <w:highlight w:val="none"/>
                <w:lang w:eastAsia="zh-CN"/>
              </w:rPr>
              <w:t>证明文件</w:t>
            </w:r>
          </w:p>
        </w:tc>
      </w:tr>
      <w:tr w14:paraId="5B76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118CF94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1</w:t>
            </w:r>
          </w:p>
        </w:tc>
        <w:tc>
          <w:tcPr>
            <w:tcW w:w="1065" w:type="dxa"/>
            <w:vAlign w:val="center"/>
          </w:tcPr>
          <w:p w14:paraId="20CCBDF5">
            <w:pPr>
              <w:spacing w:line="360" w:lineRule="auto"/>
              <w:jc w:val="center"/>
              <w:rPr>
                <w:rFonts w:ascii="宋体" w:hAnsi="宋体"/>
                <w:color w:val="auto"/>
                <w:sz w:val="21"/>
                <w:szCs w:val="21"/>
                <w:highlight w:val="none"/>
              </w:rPr>
            </w:pPr>
          </w:p>
        </w:tc>
        <w:tc>
          <w:tcPr>
            <w:tcW w:w="2131" w:type="dxa"/>
            <w:vAlign w:val="center"/>
          </w:tcPr>
          <w:p w14:paraId="5898591A">
            <w:pPr>
              <w:spacing w:line="360" w:lineRule="auto"/>
              <w:jc w:val="center"/>
              <w:rPr>
                <w:rFonts w:ascii="宋体" w:hAnsi="宋体"/>
                <w:color w:val="auto"/>
                <w:sz w:val="21"/>
                <w:szCs w:val="21"/>
                <w:highlight w:val="none"/>
              </w:rPr>
            </w:pPr>
          </w:p>
        </w:tc>
        <w:tc>
          <w:tcPr>
            <w:tcW w:w="1182" w:type="dxa"/>
            <w:vAlign w:val="center"/>
          </w:tcPr>
          <w:p w14:paraId="4BE7AE8C">
            <w:pPr>
              <w:spacing w:line="240" w:lineRule="auto"/>
              <w:jc w:val="center"/>
              <w:rPr>
                <w:rFonts w:ascii="宋体" w:hAnsi="宋体"/>
                <w:color w:val="auto"/>
                <w:sz w:val="21"/>
                <w:szCs w:val="21"/>
                <w:highlight w:val="none"/>
              </w:rPr>
            </w:pPr>
          </w:p>
        </w:tc>
        <w:tc>
          <w:tcPr>
            <w:tcW w:w="1612" w:type="dxa"/>
            <w:vAlign w:val="center"/>
          </w:tcPr>
          <w:p w14:paraId="45B7EF6C">
            <w:pPr>
              <w:spacing w:line="360" w:lineRule="auto"/>
              <w:jc w:val="center"/>
              <w:rPr>
                <w:rFonts w:ascii="宋体" w:hAnsi="宋体"/>
                <w:color w:val="auto"/>
                <w:sz w:val="21"/>
                <w:szCs w:val="21"/>
                <w:highlight w:val="none"/>
              </w:rPr>
            </w:pPr>
          </w:p>
        </w:tc>
        <w:tc>
          <w:tcPr>
            <w:tcW w:w="1706" w:type="dxa"/>
            <w:vAlign w:val="center"/>
          </w:tcPr>
          <w:p w14:paraId="3AD11D56">
            <w:pPr>
              <w:spacing w:line="360" w:lineRule="auto"/>
              <w:jc w:val="center"/>
              <w:rPr>
                <w:rFonts w:ascii="宋体" w:hAnsi="宋体"/>
                <w:color w:val="auto"/>
                <w:sz w:val="21"/>
                <w:szCs w:val="21"/>
                <w:highlight w:val="none"/>
              </w:rPr>
            </w:pPr>
          </w:p>
        </w:tc>
        <w:tc>
          <w:tcPr>
            <w:tcW w:w="1338" w:type="dxa"/>
            <w:vAlign w:val="center"/>
          </w:tcPr>
          <w:p w14:paraId="21DBE85D">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5A7F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65D12537">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2</w:t>
            </w:r>
          </w:p>
        </w:tc>
        <w:tc>
          <w:tcPr>
            <w:tcW w:w="1065" w:type="dxa"/>
            <w:vAlign w:val="center"/>
          </w:tcPr>
          <w:p w14:paraId="1AA46C7F">
            <w:pPr>
              <w:spacing w:line="360" w:lineRule="auto"/>
              <w:jc w:val="center"/>
              <w:rPr>
                <w:rFonts w:ascii="宋体" w:hAnsi="宋体"/>
                <w:color w:val="auto"/>
                <w:sz w:val="21"/>
                <w:szCs w:val="21"/>
                <w:highlight w:val="none"/>
              </w:rPr>
            </w:pPr>
          </w:p>
        </w:tc>
        <w:tc>
          <w:tcPr>
            <w:tcW w:w="2131" w:type="dxa"/>
            <w:vAlign w:val="center"/>
          </w:tcPr>
          <w:p w14:paraId="4E6410DB">
            <w:pPr>
              <w:spacing w:line="360" w:lineRule="auto"/>
              <w:jc w:val="center"/>
              <w:rPr>
                <w:rFonts w:ascii="宋体" w:hAnsi="宋体"/>
                <w:color w:val="auto"/>
                <w:sz w:val="21"/>
                <w:szCs w:val="21"/>
                <w:highlight w:val="none"/>
              </w:rPr>
            </w:pPr>
          </w:p>
        </w:tc>
        <w:tc>
          <w:tcPr>
            <w:tcW w:w="1182" w:type="dxa"/>
            <w:vAlign w:val="center"/>
          </w:tcPr>
          <w:p w14:paraId="47937C2F">
            <w:pPr>
              <w:spacing w:line="240" w:lineRule="auto"/>
              <w:jc w:val="center"/>
              <w:rPr>
                <w:rFonts w:ascii="宋体" w:hAnsi="宋体"/>
                <w:color w:val="auto"/>
                <w:sz w:val="21"/>
                <w:szCs w:val="21"/>
                <w:highlight w:val="none"/>
              </w:rPr>
            </w:pPr>
          </w:p>
        </w:tc>
        <w:tc>
          <w:tcPr>
            <w:tcW w:w="1612" w:type="dxa"/>
            <w:vAlign w:val="center"/>
          </w:tcPr>
          <w:p w14:paraId="54424FF4">
            <w:pPr>
              <w:spacing w:line="360" w:lineRule="auto"/>
              <w:jc w:val="center"/>
              <w:rPr>
                <w:rFonts w:ascii="宋体" w:hAnsi="宋体"/>
                <w:color w:val="auto"/>
                <w:sz w:val="21"/>
                <w:szCs w:val="21"/>
                <w:highlight w:val="none"/>
              </w:rPr>
            </w:pPr>
          </w:p>
        </w:tc>
        <w:tc>
          <w:tcPr>
            <w:tcW w:w="1706" w:type="dxa"/>
            <w:vAlign w:val="center"/>
          </w:tcPr>
          <w:p w14:paraId="28DBCAA0">
            <w:pPr>
              <w:spacing w:line="360" w:lineRule="auto"/>
              <w:jc w:val="center"/>
              <w:rPr>
                <w:rFonts w:ascii="宋体" w:hAnsi="宋体"/>
                <w:color w:val="auto"/>
                <w:sz w:val="21"/>
                <w:szCs w:val="21"/>
                <w:highlight w:val="none"/>
              </w:rPr>
            </w:pPr>
          </w:p>
        </w:tc>
        <w:tc>
          <w:tcPr>
            <w:tcW w:w="1338" w:type="dxa"/>
            <w:vAlign w:val="center"/>
          </w:tcPr>
          <w:p w14:paraId="03EF716F">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r w14:paraId="3705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39D592A5">
            <w:pPr>
              <w:spacing w:line="360" w:lineRule="auto"/>
              <w:jc w:val="center"/>
              <w:rPr>
                <w:rFonts w:ascii="宋体" w:hAnsi="宋体"/>
                <w:color w:val="auto"/>
                <w:sz w:val="21"/>
                <w:szCs w:val="21"/>
                <w:highlight w:val="none"/>
              </w:rPr>
            </w:pPr>
            <w:r>
              <w:rPr>
                <w:rFonts w:hint="eastAsia" w:ascii="宋体" w:hAnsi="宋体"/>
                <w:color w:val="auto"/>
                <w:sz w:val="21"/>
                <w:szCs w:val="21"/>
                <w:highlight w:val="none"/>
              </w:rPr>
              <w:t>…</w:t>
            </w:r>
          </w:p>
        </w:tc>
        <w:tc>
          <w:tcPr>
            <w:tcW w:w="1065" w:type="dxa"/>
            <w:vAlign w:val="center"/>
          </w:tcPr>
          <w:p w14:paraId="48CD0FE1">
            <w:pPr>
              <w:spacing w:line="360" w:lineRule="auto"/>
              <w:jc w:val="center"/>
              <w:rPr>
                <w:rFonts w:ascii="宋体" w:hAnsi="宋体"/>
                <w:color w:val="auto"/>
                <w:sz w:val="21"/>
                <w:szCs w:val="21"/>
                <w:highlight w:val="none"/>
              </w:rPr>
            </w:pPr>
          </w:p>
        </w:tc>
        <w:tc>
          <w:tcPr>
            <w:tcW w:w="2131" w:type="dxa"/>
            <w:vAlign w:val="center"/>
          </w:tcPr>
          <w:p w14:paraId="32E7F570">
            <w:pPr>
              <w:spacing w:line="360" w:lineRule="auto"/>
              <w:jc w:val="center"/>
              <w:rPr>
                <w:rFonts w:ascii="宋体" w:hAnsi="宋体"/>
                <w:color w:val="auto"/>
                <w:sz w:val="21"/>
                <w:szCs w:val="21"/>
                <w:highlight w:val="none"/>
              </w:rPr>
            </w:pPr>
          </w:p>
        </w:tc>
        <w:tc>
          <w:tcPr>
            <w:tcW w:w="1182" w:type="dxa"/>
            <w:vAlign w:val="center"/>
          </w:tcPr>
          <w:p w14:paraId="79B65A9B">
            <w:pPr>
              <w:spacing w:line="240" w:lineRule="auto"/>
              <w:jc w:val="center"/>
              <w:rPr>
                <w:rFonts w:ascii="宋体" w:hAnsi="宋体"/>
                <w:color w:val="auto"/>
                <w:sz w:val="21"/>
                <w:szCs w:val="21"/>
                <w:highlight w:val="none"/>
              </w:rPr>
            </w:pPr>
          </w:p>
        </w:tc>
        <w:tc>
          <w:tcPr>
            <w:tcW w:w="1612" w:type="dxa"/>
            <w:vAlign w:val="center"/>
          </w:tcPr>
          <w:p w14:paraId="2355B7BB">
            <w:pPr>
              <w:spacing w:line="360" w:lineRule="auto"/>
              <w:jc w:val="center"/>
              <w:rPr>
                <w:rFonts w:ascii="宋体" w:hAnsi="宋体"/>
                <w:color w:val="auto"/>
                <w:sz w:val="21"/>
                <w:szCs w:val="21"/>
                <w:highlight w:val="none"/>
              </w:rPr>
            </w:pPr>
          </w:p>
        </w:tc>
        <w:tc>
          <w:tcPr>
            <w:tcW w:w="1706" w:type="dxa"/>
            <w:vAlign w:val="center"/>
          </w:tcPr>
          <w:p w14:paraId="71D29949">
            <w:pPr>
              <w:spacing w:line="360" w:lineRule="auto"/>
              <w:jc w:val="center"/>
              <w:rPr>
                <w:rFonts w:ascii="宋体" w:hAnsi="宋体"/>
                <w:color w:val="auto"/>
                <w:sz w:val="21"/>
                <w:szCs w:val="21"/>
                <w:highlight w:val="none"/>
              </w:rPr>
            </w:pPr>
          </w:p>
        </w:tc>
        <w:tc>
          <w:tcPr>
            <w:tcW w:w="1338" w:type="dxa"/>
            <w:vAlign w:val="center"/>
          </w:tcPr>
          <w:p w14:paraId="69C42DD8">
            <w:pPr>
              <w:spacing w:line="360" w:lineRule="auto"/>
              <w:jc w:val="center"/>
              <w:rPr>
                <w:rFonts w:ascii="宋体" w:hAnsi="宋体"/>
                <w:color w:val="auto"/>
                <w:sz w:val="21"/>
                <w:szCs w:val="21"/>
                <w:highlight w:val="none"/>
              </w:rPr>
            </w:pPr>
            <w:r>
              <w:rPr>
                <w:rFonts w:hint="eastAsia" w:ascii="宋体" w:hAnsi="宋体"/>
                <w:color w:val="auto"/>
                <w:sz w:val="21"/>
                <w:szCs w:val="21"/>
                <w:highlight w:val="none"/>
                <w:lang w:eastAsia="zh-CN"/>
              </w:rPr>
              <w:t>第（</w:t>
            </w:r>
            <w:r>
              <w:rPr>
                <w:rFonts w:hint="eastAsia" w:ascii="宋体" w:hAnsi="宋体"/>
                <w:color w:val="auto"/>
                <w:sz w:val="21"/>
                <w:szCs w:val="21"/>
                <w:highlight w:val="none"/>
                <w:lang w:val="en-US" w:eastAsia="zh-CN"/>
              </w:rPr>
              <w:t xml:space="preserve">   </w:t>
            </w:r>
            <w:r>
              <w:rPr>
                <w:rFonts w:hint="eastAsia" w:ascii="宋体" w:hAnsi="宋体"/>
                <w:color w:val="auto"/>
                <w:sz w:val="21"/>
                <w:szCs w:val="21"/>
                <w:highlight w:val="none"/>
                <w:lang w:eastAsia="zh-CN"/>
              </w:rPr>
              <w:t>）页</w:t>
            </w:r>
          </w:p>
        </w:tc>
      </w:tr>
    </w:tbl>
    <w:p w14:paraId="566D4372">
      <w:pPr>
        <w:pStyle w:val="33"/>
        <w:rPr>
          <w:rFonts w:ascii="宋体" w:hAnsi="宋体"/>
          <w:color w:val="auto"/>
          <w:sz w:val="21"/>
          <w:szCs w:val="21"/>
          <w:highlight w:val="none"/>
        </w:rPr>
      </w:pPr>
    </w:p>
    <w:p w14:paraId="55BD41A0">
      <w:pPr>
        <w:pStyle w:val="33"/>
        <w:spacing w:line="360" w:lineRule="auto"/>
        <w:ind w:firstLine="422" w:firstLineChars="200"/>
        <w:outlineLvl w:val="0"/>
        <w:rPr>
          <w:rFonts w:hint="eastAsia" w:ascii="宋体" w:hAnsi="宋体" w:eastAsia="宋体" w:cs="宋体"/>
          <w:b/>
          <w:bCs/>
          <w:color w:val="auto"/>
          <w:kern w:val="0"/>
          <w:sz w:val="21"/>
          <w:szCs w:val="21"/>
          <w:highlight w:val="none"/>
          <w:lang w:val="en-US" w:eastAsia="zh-CN" w:bidi="ar-SA"/>
        </w:rPr>
      </w:pPr>
      <w:bookmarkStart w:id="401" w:name="_Toc16613"/>
      <w:bookmarkStart w:id="402" w:name="_Toc6536"/>
      <w:bookmarkStart w:id="403" w:name="_Toc8547"/>
      <w:bookmarkStart w:id="404" w:name="_Toc4106"/>
      <w:bookmarkStart w:id="405" w:name="_Toc30168"/>
      <w:bookmarkStart w:id="406" w:name="_Toc1667"/>
      <w:bookmarkStart w:id="407" w:name="_Toc14309"/>
      <w:bookmarkStart w:id="408" w:name="_Toc31502"/>
      <w:bookmarkStart w:id="409" w:name="_Toc25473"/>
      <w:bookmarkStart w:id="410" w:name="_Toc16606"/>
      <w:bookmarkStart w:id="411" w:name="_Toc29821"/>
      <w:r>
        <w:rPr>
          <w:rFonts w:hint="eastAsia" w:ascii="宋体" w:hAnsi="宋体" w:eastAsia="宋体" w:cs="宋体"/>
          <w:b/>
          <w:bCs/>
          <w:color w:val="auto"/>
          <w:kern w:val="0"/>
          <w:sz w:val="21"/>
          <w:szCs w:val="21"/>
          <w:highlight w:val="none"/>
          <w:lang w:val="en-US" w:eastAsia="zh-CN" w:bidi="ar-SA"/>
        </w:rPr>
        <w:t>注：</w:t>
      </w:r>
      <w:bookmarkEnd w:id="401"/>
      <w:bookmarkEnd w:id="402"/>
      <w:r>
        <w:rPr>
          <w:rFonts w:hint="eastAsia" w:ascii="宋体" w:hAnsi="宋体" w:cs="宋体"/>
          <w:b/>
          <w:bCs/>
          <w:color w:val="auto"/>
          <w:kern w:val="0"/>
          <w:sz w:val="21"/>
          <w:szCs w:val="21"/>
          <w:highlight w:val="none"/>
          <w:lang w:val="en-US" w:eastAsia="zh-CN" w:bidi="ar-SA"/>
        </w:rPr>
        <w:t>1.</w:t>
      </w:r>
      <w:r>
        <w:rPr>
          <w:rFonts w:hint="eastAsia" w:ascii="宋体" w:hAnsi="宋体" w:eastAsia="宋体" w:cs="宋体"/>
          <w:b/>
          <w:bCs/>
          <w:color w:val="auto"/>
          <w:kern w:val="0"/>
          <w:sz w:val="21"/>
          <w:szCs w:val="21"/>
          <w:highlight w:val="none"/>
          <w:lang w:val="en-US" w:eastAsia="zh-CN" w:bidi="ar-SA"/>
        </w:rPr>
        <w:t>按评分标准提供相关证明材料。</w:t>
      </w:r>
      <w:bookmarkEnd w:id="403"/>
      <w:bookmarkEnd w:id="404"/>
      <w:bookmarkEnd w:id="405"/>
      <w:bookmarkEnd w:id="406"/>
      <w:bookmarkEnd w:id="407"/>
      <w:bookmarkEnd w:id="408"/>
      <w:bookmarkEnd w:id="409"/>
      <w:bookmarkEnd w:id="410"/>
      <w:bookmarkEnd w:id="411"/>
    </w:p>
    <w:p w14:paraId="1496E620">
      <w:pPr>
        <w:pStyle w:val="33"/>
        <w:ind w:firstLine="3614" w:firstLineChars="1000"/>
        <w:rPr>
          <w:b/>
          <w:bCs/>
          <w:color w:val="auto"/>
          <w:sz w:val="36"/>
          <w:szCs w:val="36"/>
          <w:highlight w:val="none"/>
        </w:rPr>
      </w:pPr>
    </w:p>
    <w:p w14:paraId="203D8151">
      <w:pPr>
        <w:widowControl/>
        <w:spacing w:line="360" w:lineRule="auto"/>
        <w:jc w:val="left"/>
        <w:rPr>
          <w:rFonts w:ascii="仿宋" w:hAnsi="仿宋" w:eastAsia="仿宋" w:cs="宋体"/>
          <w:b/>
          <w:color w:val="auto"/>
          <w:kern w:val="0"/>
          <w:sz w:val="24"/>
          <w:szCs w:val="32"/>
          <w:highlight w:val="none"/>
        </w:rPr>
        <w:sectPr>
          <w:pgSz w:w="11906" w:h="16838"/>
          <w:pgMar w:top="1134" w:right="1134" w:bottom="850" w:left="1134" w:header="851" w:footer="992" w:gutter="0"/>
          <w:pgBorders>
            <w:top w:val="none" w:sz="0" w:space="0"/>
            <w:left w:val="none" w:sz="0" w:space="0"/>
            <w:bottom w:val="none" w:sz="0" w:space="0"/>
            <w:right w:val="none" w:sz="0" w:space="0"/>
          </w:pgBorders>
          <w:pgNumType w:fmt="decimal"/>
          <w:cols w:space="720" w:num="1"/>
          <w:docGrid w:linePitch="312" w:charSpace="0"/>
        </w:sectPr>
      </w:pPr>
      <w:bookmarkStart w:id="412" w:name="_Toc9749"/>
      <w:bookmarkStart w:id="413" w:name="_Toc40776119"/>
      <w:bookmarkStart w:id="414" w:name="_Toc27180"/>
      <w:bookmarkStart w:id="415" w:name="_Toc17929"/>
      <w:bookmarkStart w:id="416" w:name="_Toc16505"/>
      <w:bookmarkStart w:id="417" w:name="_Toc23732"/>
      <w:bookmarkStart w:id="418" w:name="_Toc24877"/>
      <w:bookmarkStart w:id="419" w:name="_Toc21435"/>
      <w:bookmarkStart w:id="420" w:name="_Toc20164"/>
      <w:bookmarkStart w:id="421" w:name="_Toc40346226"/>
      <w:bookmarkStart w:id="422" w:name="_Toc30558"/>
      <w:bookmarkStart w:id="423" w:name="_Toc40346385"/>
    </w:p>
    <w:bookmarkEnd w:id="412"/>
    <w:bookmarkEnd w:id="413"/>
    <w:bookmarkEnd w:id="414"/>
    <w:bookmarkEnd w:id="415"/>
    <w:bookmarkEnd w:id="416"/>
    <w:bookmarkEnd w:id="417"/>
    <w:bookmarkEnd w:id="418"/>
    <w:bookmarkEnd w:id="419"/>
    <w:bookmarkEnd w:id="420"/>
    <w:bookmarkEnd w:id="421"/>
    <w:bookmarkEnd w:id="422"/>
    <w:bookmarkEnd w:id="423"/>
    <w:p w14:paraId="4CD1B0A1">
      <w:pPr>
        <w:pStyle w:val="2"/>
        <w:rPr>
          <w:rFonts w:hint="default"/>
          <w:color w:val="auto"/>
          <w:highlight w:val="none"/>
          <w:lang w:val="en-US"/>
        </w:rPr>
      </w:pPr>
      <w:bookmarkStart w:id="424" w:name="_Toc27262"/>
      <w:bookmarkStart w:id="425" w:name="_Toc19039"/>
      <w:bookmarkStart w:id="426" w:name="_Toc2005"/>
      <w:bookmarkStart w:id="427" w:name="_Toc14463"/>
      <w:bookmarkStart w:id="428" w:name="_Toc32422"/>
      <w:bookmarkStart w:id="429" w:name="_Toc30135"/>
      <w:bookmarkStart w:id="430" w:name="_Toc1241"/>
      <w:bookmarkStart w:id="431" w:name="_Toc30531"/>
      <w:bookmarkStart w:id="432" w:name="_Toc2855"/>
      <w:bookmarkStart w:id="433" w:name="_Toc5396"/>
      <w:bookmarkStart w:id="434" w:name="_Toc24705"/>
      <w:bookmarkStart w:id="435" w:name="_Toc16816"/>
      <w:bookmarkStart w:id="436" w:name="_Toc19803"/>
      <w:bookmarkStart w:id="437" w:name="_Toc27834"/>
      <w:bookmarkStart w:id="438" w:name="_Toc14321"/>
      <w:bookmarkStart w:id="439" w:name="_Toc2196"/>
      <w:bookmarkStart w:id="440" w:name="_Toc17932"/>
      <w:bookmarkStart w:id="441" w:name="_Toc25012"/>
      <w:bookmarkStart w:id="442" w:name="_Toc14093"/>
      <w:bookmarkStart w:id="443" w:name="_Toc1521"/>
      <w:r>
        <w:rPr>
          <w:rFonts w:hint="eastAsia"/>
          <w:b/>
          <w:color w:val="auto"/>
          <w:sz w:val="24"/>
          <w:highlight w:val="none"/>
          <w:lang w:val="en-US" w:eastAsia="zh-CN"/>
        </w:rPr>
        <w:t>2.7公平竞争承诺书</w:t>
      </w:r>
      <w:bookmarkEnd w:id="424"/>
      <w:bookmarkEnd w:id="425"/>
      <w:bookmarkEnd w:id="426"/>
      <w:bookmarkEnd w:id="427"/>
      <w:bookmarkEnd w:id="428"/>
      <w:bookmarkEnd w:id="429"/>
      <w:bookmarkEnd w:id="430"/>
      <w:bookmarkEnd w:id="431"/>
      <w:bookmarkEnd w:id="432"/>
    </w:p>
    <w:p w14:paraId="41872051">
      <w:pPr>
        <w:pStyle w:val="36"/>
        <w:spacing w:line="360" w:lineRule="auto"/>
        <w:jc w:val="center"/>
        <w:outlineLvl w:val="0"/>
        <w:rPr>
          <w:rFonts w:hint="eastAsia"/>
          <w:b/>
          <w:bCs/>
          <w:color w:val="auto"/>
          <w:sz w:val="32"/>
          <w:szCs w:val="32"/>
          <w:highlight w:val="none"/>
        </w:rPr>
      </w:pPr>
      <w:bookmarkStart w:id="444" w:name="_Toc11542"/>
      <w:bookmarkStart w:id="445" w:name="_Toc9778"/>
      <w:bookmarkStart w:id="446" w:name="_Toc2531"/>
      <w:bookmarkStart w:id="447" w:name="_Toc32579"/>
      <w:bookmarkStart w:id="448" w:name="_Toc8233"/>
      <w:bookmarkStart w:id="449" w:name="_Toc21492"/>
      <w:bookmarkStart w:id="450" w:name="_Toc9163"/>
      <w:bookmarkStart w:id="451" w:name="_Toc17911"/>
      <w:bookmarkStart w:id="452" w:name="_Toc18674"/>
      <w:r>
        <w:rPr>
          <w:rFonts w:hint="eastAsia"/>
          <w:b/>
          <w:bCs/>
          <w:color w:val="auto"/>
          <w:sz w:val="32"/>
          <w:szCs w:val="32"/>
          <w:highlight w:val="none"/>
        </w:rPr>
        <w:t>公平竞争承诺书</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14:paraId="2397AD65">
      <w:pPr>
        <w:pStyle w:val="36"/>
        <w:spacing w:line="360" w:lineRule="auto"/>
        <w:jc w:val="both"/>
        <w:outlineLvl w:val="0"/>
        <w:rPr>
          <w:rFonts w:hint="eastAsia" w:ascii="Times New Roman" w:hAnsi="Times New Roman" w:eastAsia="宋体" w:cs="Times New Roman"/>
          <w:color w:val="auto"/>
          <w:kern w:val="2"/>
          <w:sz w:val="21"/>
          <w:szCs w:val="21"/>
          <w:highlight w:val="none"/>
          <w:lang w:val="en-US" w:eastAsia="zh-CN" w:bidi="ar-SA"/>
        </w:rPr>
      </w:pPr>
      <w:bookmarkStart w:id="453" w:name="_Toc25290"/>
      <w:bookmarkStart w:id="454" w:name="_Toc31660"/>
      <w:bookmarkStart w:id="455" w:name="_Toc11498"/>
      <w:bookmarkStart w:id="456" w:name="_Toc16887"/>
      <w:bookmarkStart w:id="457" w:name="_Toc17440"/>
      <w:bookmarkStart w:id="458" w:name="_Toc22057"/>
      <w:bookmarkStart w:id="459" w:name="_Toc4776"/>
      <w:bookmarkStart w:id="460" w:name="_Toc6051"/>
      <w:bookmarkStart w:id="461" w:name="_Toc28837"/>
      <w:r>
        <w:rPr>
          <w:rFonts w:hint="eastAsia" w:ascii="Times New Roman" w:hAnsi="Times New Roman" w:eastAsia="宋体" w:cs="Times New Roman"/>
          <w:color w:val="auto"/>
          <w:kern w:val="2"/>
          <w:sz w:val="21"/>
          <w:szCs w:val="21"/>
          <w:highlight w:val="none"/>
          <w:lang w:val="en-US" w:eastAsia="zh-CN" w:bidi="ar-SA"/>
        </w:rPr>
        <w:t>南方医科大学第五附属医院：</w:t>
      </w:r>
      <w:bookmarkEnd w:id="453"/>
      <w:bookmarkEnd w:id="454"/>
      <w:bookmarkEnd w:id="455"/>
      <w:bookmarkEnd w:id="456"/>
      <w:bookmarkEnd w:id="457"/>
      <w:bookmarkEnd w:id="458"/>
      <w:bookmarkEnd w:id="459"/>
      <w:bookmarkEnd w:id="460"/>
      <w:bookmarkEnd w:id="461"/>
    </w:p>
    <w:p w14:paraId="34F17D0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本公司愿接受贵单位邀请，积极参加</w:t>
      </w:r>
      <w:r>
        <w:rPr>
          <w:rFonts w:hint="eastAsia"/>
          <w:color w:val="auto"/>
          <w:sz w:val="21"/>
          <w:szCs w:val="21"/>
          <w:highlight w:val="none"/>
          <w:u w:val="single"/>
          <w:lang w:val="en-US" w:eastAsia="zh-CN"/>
        </w:rPr>
        <w:t>南方医科大学第五附属医院多媒体分诊导引系统升级项目（项目编号：NYWYF20260014）</w:t>
      </w:r>
      <w:r>
        <w:rPr>
          <w:rFonts w:hint="eastAsia"/>
          <w:color w:val="auto"/>
          <w:sz w:val="21"/>
          <w:szCs w:val="21"/>
          <w:highlight w:val="none"/>
          <w:lang w:val="en-US" w:eastAsia="zh-CN"/>
        </w:rPr>
        <w:t xml:space="preserve"> 的采购活动。为杜绝商业贿赂现象，维护良好管理秩序，共同营造公平、公正的竞争环境，我方郑重承诺：</w:t>
      </w:r>
    </w:p>
    <w:p w14:paraId="5D4240A6">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1.遵守贵单位就项目采购所制定的所有相关流程及要求，并保证所提交《响应文件》中相关资料与描述真实有效。  </w:t>
      </w:r>
    </w:p>
    <w:p w14:paraId="28E9527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2.坚持投标独立性，保证不以任何手段了解或意图了解其他参与人情况及其信息。  </w:t>
      </w:r>
    </w:p>
    <w:p w14:paraId="03BD757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3.保证不私下接触贵单位负责采购组织工作的人员及相关领导。 </w:t>
      </w:r>
    </w:p>
    <w:p w14:paraId="6FE86C6B">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4.保证不对贵单位负责采购组织工作的人员及相关领导进行宴请、招待，或赠送及承诺赠送礼金、礼品、礼券、其他利益。  </w:t>
      </w:r>
    </w:p>
    <w:p w14:paraId="4FC9D77D">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5.除贵院公开渠道获取相关信息外，保证不以其他方式刺探或意图刺探贵司采购信息及其进展。  </w:t>
      </w:r>
    </w:p>
    <w:p w14:paraId="3A708577">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6.保证采取内部约束措施，禁止具体经办人或其他相关人员私自实施前述各项禁止性行为，并对其违规后果承担连带责任。  </w:t>
      </w:r>
    </w:p>
    <w:p w14:paraId="732C6552">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7.保证所提交的相关资质文件和证明材料的真实性，具有良好的历史诚信记录，并将依法参与项目的公平竞争，不以任何不正当行为谋取不当利益，否则愿意承担相应的法律责任。</w:t>
      </w:r>
    </w:p>
    <w:p w14:paraId="232E690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8.如出现违反上述各项承诺情况，自愿接受贵院取消资格等处罚措施，并对贵院因此所受损失进行全额赔偿。  </w:t>
      </w:r>
    </w:p>
    <w:p w14:paraId="6790AE68">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 xml:space="preserve">9.如贵院负责招投标组织工作的人员及相关领导，明示或暗示要求宴请、招待，或索取礼金、礼品、礼券、其他利益，或故意刁难、显失公平的，保证立即向贵院监察部门进行举报。  </w:t>
      </w:r>
    </w:p>
    <w:p w14:paraId="0AEEC590">
      <w:pPr>
        <w:pStyle w:val="5"/>
        <w:spacing w:line="360" w:lineRule="auto"/>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特此承诺。                                     </w:t>
      </w:r>
    </w:p>
    <w:p w14:paraId="5431ADFB">
      <w:pPr>
        <w:pStyle w:val="32"/>
        <w:rPr>
          <w:rFonts w:hint="eastAsia"/>
          <w:color w:val="auto"/>
          <w:sz w:val="21"/>
          <w:szCs w:val="21"/>
          <w:highlight w:val="none"/>
        </w:rPr>
      </w:pPr>
    </w:p>
    <w:p w14:paraId="0709F2AB">
      <w:pPr>
        <w:pStyle w:val="32"/>
        <w:spacing w:line="360"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 xml:space="preserve">                           供应商名称</w:t>
      </w:r>
      <w:r>
        <w:rPr>
          <w:rFonts w:hint="eastAsia"/>
          <w:color w:val="auto"/>
          <w:sz w:val="21"/>
          <w:szCs w:val="21"/>
          <w:highlight w:val="none"/>
        </w:rPr>
        <w:t xml:space="preserve">（盖章）： </w:t>
      </w:r>
      <w:r>
        <w:rPr>
          <w:rFonts w:hint="eastAsia"/>
          <w:color w:val="auto"/>
          <w:sz w:val="21"/>
          <w:szCs w:val="21"/>
          <w:highlight w:val="none"/>
          <w:lang w:val="en-US" w:eastAsia="zh-CN"/>
        </w:rPr>
        <w:t>****公司</w:t>
      </w:r>
    </w:p>
    <w:p w14:paraId="0A5456B6">
      <w:pPr>
        <w:pStyle w:val="32"/>
        <w:spacing w:line="360" w:lineRule="auto"/>
        <w:jc w:val="left"/>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495D70D6">
      <w:pPr>
        <w:pStyle w:val="32"/>
        <w:spacing w:line="360" w:lineRule="auto"/>
        <w:ind w:firstLine="1260" w:firstLineChars="600"/>
        <w:jc w:val="left"/>
        <w:rPr>
          <w:rFonts w:hint="eastAsia"/>
          <w:color w:val="auto"/>
          <w:sz w:val="21"/>
          <w:szCs w:val="21"/>
          <w:highlight w:val="none"/>
        </w:rPr>
      </w:pPr>
      <w:r>
        <w:rPr>
          <w:rFonts w:hint="eastAsia"/>
          <w:color w:val="auto"/>
          <w:sz w:val="21"/>
          <w:szCs w:val="21"/>
          <w:highlight w:val="none"/>
          <w:lang w:val="en-US" w:eastAsia="zh-CN"/>
        </w:rPr>
        <w:t>供应商法定代表人（或法定代表人授权代表）（签字或签章）</w:t>
      </w:r>
      <w:r>
        <w:rPr>
          <w:rFonts w:hint="eastAsia"/>
          <w:color w:val="auto"/>
          <w:sz w:val="21"/>
          <w:szCs w:val="21"/>
          <w:highlight w:val="none"/>
        </w:rPr>
        <w:t>：</w:t>
      </w:r>
    </w:p>
    <w:p w14:paraId="56F88860">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7C5E9B8">
      <w:pPr>
        <w:pStyle w:val="32"/>
        <w:spacing w:line="36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 xml:space="preserve">                                                               </w:t>
      </w:r>
    </w:p>
    <w:p w14:paraId="23875432">
      <w:pPr>
        <w:pStyle w:val="32"/>
        <w:spacing w:line="360" w:lineRule="auto"/>
        <w:jc w:val="center"/>
        <w:rPr>
          <w:color w:val="auto"/>
          <w:sz w:val="21"/>
          <w:szCs w:val="21"/>
          <w:highlight w:val="none"/>
        </w:rPr>
      </w:pPr>
      <w:r>
        <w:rPr>
          <w:rFonts w:hint="eastAsia"/>
          <w:color w:val="auto"/>
          <w:sz w:val="21"/>
          <w:szCs w:val="21"/>
          <w:highlight w:val="none"/>
          <w:lang w:val="en-US" w:eastAsia="zh-CN"/>
        </w:rPr>
        <w:t xml:space="preserve">                                              日 期：     </w:t>
      </w:r>
      <w:r>
        <w:rPr>
          <w:rFonts w:hint="eastAsia"/>
          <w:color w:val="auto"/>
          <w:sz w:val="21"/>
          <w:szCs w:val="21"/>
          <w:highlight w:val="none"/>
        </w:rPr>
        <w:t>年</w:t>
      </w:r>
      <w:r>
        <w:rPr>
          <w:rFonts w:hint="eastAsia"/>
          <w:color w:val="auto"/>
          <w:sz w:val="21"/>
          <w:szCs w:val="21"/>
          <w:highlight w:val="none"/>
          <w:lang w:val="en-US" w:eastAsia="zh-CN"/>
        </w:rPr>
        <w:t xml:space="preserve">    </w:t>
      </w:r>
      <w:r>
        <w:rPr>
          <w:rFonts w:hint="eastAsia"/>
          <w:color w:val="auto"/>
          <w:sz w:val="21"/>
          <w:szCs w:val="21"/>
          <w:highlight w:val="none"/>
        </w:rPr>
        <w:t>月</w:t>
      </w:r>
      <w:r>
        <w:rPr>
          <w:rFonts w:hint="eastAsia"/>
          <w:color w:val="auto"/>
          <w:sz w:val="21"/>
          <w:szCs w:val="21"/>
          <w:highlight w:val="none"/>
          <w:lang w:val="en-US" w:eastAsia="zh-CN"/>
        </w:rPr>
        <w:t xml:space="preserve">    </w:t>
      </w:r>
      <w:r>
        <w:rPr>
          <w:rFonts w:hint="eastAsia"/>
          <w:color w:val="auto"/>
          <w:sz w:val="21"/>
          <w:szCs w:val="21"/>
          <w:highlight w:val="none"/>
        </w:rPr>
        <w:t>日</w:t>
      </w:r>
    </w:p>
    <w:p w14:paraId="45149330">
      <w:pPr>
        <w:widowControl/>
        <w:spacing w:line="500" w:lineRule="atLeast"/>
        <w:rPr>
          <w:rFonts w:hint="eastAsia" w:ascii="仿宋" w:hAnsi="仿宋" w:eastAsia="仿宋" w:cs="宋体"/>
          <w:b/>
          <w:color w:val="auto"/>
          <w:kern w:val="0"/>
          <w:sz w:val="24"/>
          <w:szCs w:val="32"/>
          <w:highlight w:val="none"/>
        </w:rPr>
      </w:pPr>
    </w:p>
    <w:p w14:paraId="0BF490FE">
      <w:pPr>
        <w:widowControl/>
        <w:spacing w:line="500" w:lineRule="atLeast"/>
        <w:rPr>
          <w:rFonts w:hint="eastAsia" w:ascii="仿宋" w:hAnsi="仿宋" w:eastAsia="仿宋" w:cs="宋体"/>
          <w:b/>
          <w:color w:val="auto"/>
          <w:kern w:val="0"/>
          <w:sz w:val="24"/>
          <w:szCs w:val="32"/>
          <w:highlight w:val="none"/>
          <w:lang w:val="en-US" w:eastAsia="zh-CN"/>
        </w:rPr>
      </w:pPr>
    </w:p>
    <w:p w14:paraId="0FD4A9DE">
      <w:pPr>
        <w:widowControl/>
        <w:spacing w:line="500" w:lineRule="atLeast"/>
        <w:rPr>
          <w:rFonts w:hint="default" w:ascii="宋体" w:hAnsi="宋体" w:eastAsia="宋体" w:cs="宋体"/>
          <w:b/>
          <w:bCs/>
          <w:color w:val="auto"/>
          <w:kern w:val="36"/>
          <w:sz w:val="24"/>
          <w:szCs w:val="48"/>
          <w:highlight w:val="none"/>
          <w:lang w:val="en-US" w:eastAsia="zh-CN" w:bidi="ar-SA"/>
        </w:rPr>
      </w:pPr>
      <w:r>
        <w:rPr>
          <w:rFonts w:hint="eastAsia" w:ascii="仿宋" w:hAnsi="仿宋" w:eastAsia="仿宋" w:cs="宋体"/>
          <w:b/>
          <w:color w:val="auto"/>
          <w:kern w:val="0"/>
          <w:sz w:val="24"/>
          <w:szCs w:val="32"/>
          <w:highlight w:val="none"/>
          <w:lang w:val="en-US" w:eastAsia="zh-CN"/>
        </w:rPr>
        <w:t>2.8</w:t>
      </w:r>
      <w:r>
        <w:rPr>
          <w:rFonts w:hint="eastAsia" w:ascii="宋体" w:hAnsi="宋体" w:eastAsia="宋体" w:cs="宋体"/>
          <w:b/>
          <w:bCs/>
          <w:color w:val="auto"/>
          <w:kern w:val="36"/>
          <w:sz w:val="24"/>
          <w:szCs w:val="48"/>
          <w:highlight w:val="none"/>
          <w:lang w:val="en-US" w:eastAsia="zh-CN" w:bidi="ar-SA"/>
        </w:rPr>
        <w:t>关于资格和响应文件的声明函</w:t>
      </w:r>
    </w:p>
    <w:p w14:paraId="08F6C836">
      <w:pPr>
        <w:pStyle w:val="36"/>
        <w:spacing w:line="360" w:lineRule="auto"/>
        <w:jc w:val="center"/>
        <w:outlineLvl w:val="0"/>
        <w:rPr>
          <w:b/>
          <w:bCs/>
          <w:color w:val="auto"/>
          <w:sz w:val="32"/>
          <w:szCs w:val="32"/>
          <w:highlight w:val="none"/>
        </w:rPr>
      </w:pPr>
      <w:bookmarkStart w:id="462" w:name="_Toc5237"/>
      <w:bookmarkStart w:id="463" w:name="_Toc6773"/>
      <w:bookmarkStart w:id="464" w:name="_Toc2162"/>
      <w:bookmarkStart w:id="465" w:name="_Toc4538"/>
      <w:bookmarkStart w:id="466" w:name="_Toc24964"/>
      <w:bookmarkStart w:id="467" w:name="_Toc3968"/>
      <w:bookmarkStart w:id="468" w:name="_Toc9308"/>
      <w:bookmarkStart w:id="469" w:name="_Toc24408"/>
      <w:bookmarkStart w:id="470" w:name="_Toc29986"/>
      <w:bookmarkStart w:id="471" w:name="_Toc12567"/>
      <w:bookmarkStart w:id="472" w:name="_Toc9333"/>
      <w:bookmarkStart w:id="473" w:name="_Toc21003"/>
      <w:bookmarkStart w:id="474" w:name="_Toc12986"/>
      <w:bookmarkStart w:id="475" w:name="_Toc9085"/>
      <w:bookmarkStart w:id="476" w:name="_Toc12210"/>
      <w:bookmarkStart w:id="477" w:name="_Toc22349"/>
      <w:bookmarkStart w:id="478" w:name="_Toc9813"/>
      <w:bookmarkStart w:id="479" w:name="_Toc20949"/>
      <w:bookmarkStart w:id="480" w:name="_Toc32565"/>
      <w:bookmarkStart w:id="481" w:name="_Toc30920"/>
      <w:bookmarkStart w:id="482" w:name="_Toc29038"/>
      <w:r>
        <w:rPr>
          <w:rFonts w:hint="eastAsia"/>
          <w:b/>
          <w:bCs/>
          <w:color w:val="auto"/>
          <w:sz w:val="32"/>
          <w:szCs w:val="32"/>
          <w:highlight w:val="none"/>
        </w:rPr>
        <w:t>关于资格和响应文件的声明函</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14:paraId="5096E615">
      <w:pPr>
        <w:spacing w:line="360" w:lineRule="auto"/>
        <w:rPr>
          <w:rFonts w:ascii="宋体" w:hAnsi="宋体"/>
          <w:color w:val="auto"/>
          <w:sz w:val="21"/>
          <w:szCs w:val="21"/>
          <w:highlight w:val="none"/>
        </w:rPr>
      </w:pPr>
      <w:r>
        <w:rPr>
          <w:rFonts w:hint="eastAsia" w:ascii="宋体" w:hAnsi="宋体"/>
          <w:b/>
          <w:bCs/>
          <w:color w:val="auto"/>
          <w:sz w:val="21"/>
          <w:szCs w:val="21"/>
          <w:highlight w:val="none"/>
        </w:rPr>
        <w:t>致：南方医科大学第五附属医院</w:t>
      </w:r>
    </w:p>
    <w:p w14:paraId="72FD75AD">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rPr>
        <w:t>关于贵方院内采购项目名称：南方医科大学第五附属医院</w:t>
      </w:r>
      <w:r>
        <w:rPr>
          <w:rFonts w:hint="eastAsia" w:ascii="宋体" w:hAnsi="宋体"/>
          <w:color w:val="auto"/>
          <w:sz w:val="21"/>
          <w:szCs w:val="21"/>
          <w:highlight w:val="none"/>
          <w:lang w:eastAsia="zh-CN"/>
        </w:rPr>
        <w:t>多媒体分诊导引系统升级项目（</w:t>
      </w:r>
      <w:r>
        <w:rPr>
          <w:rFonts w:hint="eastAsia" w:ascii="宋体" w:hAnsi="宋体"/>
          <w:color w:val="auto"/>
          <w:sz w:val="21"/>
          <w:szCs w:val="21"/>
          <w:highlight w:val="none"/>
        </w:rPr>
        <w:t>项目编号：</w:t>
      </w:r>
      <w:r>
        <w:rPr>
          <w:rFonts w:hint="eastAsia" w:ascii="宋体" w:hAnsi="宋体"/>
          <w:color w:val="auto"/>
          <w:sz w:val="21"/>
          <w:szCs w:val="21"/>
          <w:highlight w:val="none"/>
          <w:lang w:eastAsia="zh-CN"/>
        </w:rPr>
        <w:t>NYWYF20260014）</w:t>
      </w:r>
      <w:r>
        <w:rPr>
          <w:rFonts w:hint="eastAsia" w:ascii="宋体" w:hAnsi="宋体"/>
          <w:color w:val="auto"/>
          <w:sz w:val="21"/>
          <w:szCs w:val="21"/>
          <w:highlight w:val="none"/>
        </w:rPr>
        <w:t>，本签字人愿意参加本项目的院内采购活动，提供采购文件中规定的货物、工程及服务，并证明提交的下列文件和说明是准确的和真实的，并作出如下声明：</w:t>
      </w:r>
    </w:p>
    <w:p w14:paraId="1EB78B92">
      <w:pPr>
        <w:spacing w:line="360" w:lineRule="auto"/>
        <w:rPr>
          <w:rFonts w:ascii="宋体" w:hAnsi="宋体"/>
          <w:color w:val="auto"/>
          <w:sz w:val="21"/>
          <w:szCs w:val="21"/>
          <w:highlight w:val="none"/>
        </w:rPr>
      </w:pPr>
      <w:r>
        <w:rPr>
          <w:rFonts w:hint="eastAsia" w:ascii="宋体" w:hAnsi="宋体"/>
          <w:color w:val="auto"/>
          <w:sz w:val="21"/>
          <w:szCs w:val="21"/>
          <w:highlight w:val="none"/>
        </w:rPr>
        <w:t>1.我方具有独立承担民事责任的能力；</w:t>
      </w:r>
    </w:p>
    <w:p w14:paraId="5409EBBD">
      <w:pPr>
        <w:spacing w:line="360" w:lineRule="auto"/>
        <w:rPr>
          <w:rFonts w:ascii="宋体" w:hAnsi="宋体"/>
          <w:color w:val="auto"/>
          <w:sz w:val="21"/>
          <w:szCs w:val="21"/>
          <w:highlight w:val="none"/>
        </w:rPr>
      </w:pPr>
      <w:r>
        <w:rPr>
          <w:rFonts w:hint="eastAsia" w:ascii="宋体" w:hAnsi="宋体"/>
          <w:color w:val="auto"/>
          <w:sz w:val="21"/>
          <w:szCs w:val="21"/>
          <w:highlight w:val="none"/>
        </w:rPr>
        <w:t>2.我方具有良好的商业信誉和健全的财务会计制度；</w:t>
      </w:r>
    </w:p>
    <w:p w14:paraId="62C9CC0C">
      <w:pPr>
        <w:spacing w:line="360" w:lineRule="auto"/>
        <w:rPr>
          <w:rFonts w:ascii="宋体" w:hAnsi="宋体"/>
          <w:color w:val="auto"/>
          <w:sz w:val="21"/>
          <w:szCs w:val="21"/>
          <w:highlight w:val="none"/>
        </w:rPr>
      </w:pPr>
      <w:r>
        <w:rPr>
          <w:rFonts w:hint="eastAsia" w:ascii="宋体" w:hAnsi="宋体"/>
          <w:color w:val="auto"/>
          <w:sz w:val="21"/>
          <w:szCs w:val="21"/>
          <w:highlight w:val="none"/>
        </w:rPr>
        <w:t>3.我方有依法缴纳税收和社会保障资金的良好记录；</w:t>
      </w:r>
    </w:p>
    <w:p w14:paraId="51A5D4CD">
      <w:pPr>
        <w:spacing w:line="360" w:lineRule="auto"/>
        <w:rPr>
          <w:rFonts w:ascii="宋体" w:hAnsi="宋体"/>
          <w:color w:val="auto"/>
          <w:sz w:val="21"/>
          <w:szCs w:val="21"/>
          <w:highlight w:val="none"/>
        </w:rPr>
      </w:pPr>
      <w:r>
        <w:rPr>
          <w:rFonts w:hint="eastAsia" w:ascii="宋体" w:hAnsi="宋体"/>
          <w:color w:val="auto"/>
          <w:sz w:val="21"/>
          <w:szCs w:val="21"/>
          <w:highlight w:val="none"/>
        </w:rPr>
        <w:t>4.我方具有履行合同所必需的设备和专业技术能力；</w:t>
      </w:r>
    </w:p>
    <w:p w14:paraId="1706E067">
      <w:pPr>
        <w:spacing w:line="360" w:lineRule="auto"/>
        <w:rPr>
          <w:rFonts w:hint="eastAsia" w:ascii="宋体" w:hAnsi="宋体" w:eastAsia="宋体"/>
          <w:color w:val="auto"/>
          <w:sz w:val="21"/>
          <w:szCs w:val="21"/>
          <w:highlight w:val="none"/>
        </w:rPr>
      </w:pPr>
      <w:r>
        <w:rPr>
          <w:rFonts w:hint="eastAsia" w:ascii="宋体" w:hAnsi="宋体"/>
          <w:color w:val="auto"/>
          <w:sz w:val="21"/>
          <w:szCs w:val="21"/>
          <w:highlight w:val="none"/>
        </w:rPr>
        <w:t>5.我方不存在以下情况：以联</w:t>
      </w:r>
      <w:r>
        <w:rPr>
          <w:rFonts w:hint="eastAsia" w:ascii="宋体" w:hAnsi="宋体" w:eastAsia="宋体"/>
          <w:color w:val="auto"/>
          <w:sz w:val="21"/>
          <w:szCs w:val="21"/>
          <w:highlight w:val="none"/>
        </w:rPr>
        <w:t>合体形式参加本项目院内采购活动；</w:t>
      </w:r>
    </w:p>
    <w:p w14:paraId="19398EA3">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6.我方不存在以下情况：以分包、转包形式参加本项目院内采购活动；</w:t>
      </w:r>
    </w:p>
    <w:p w14:paraId="5B1D90E1">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7.我方在参加采购活动前3年内在经营活动中没有重大违法记录；</w:t>
      </w:r>
    </w:p>
    <w:p w14:paraId="5A9C2DA4">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8.我方不存在以下情况：法定代表人或单位负责人为同一人或者存在直接控股、管理关系的不同供应商，同时参加本采购项目的院内采购活动；</w:t>
      </w:r>
    </w:p>
    <w:p w14:paraId="7510EBDD">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9.我方未被列入“信用中国”网站</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www.creditchina.gov.cn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“记录失信被执行人或重大税收违法失信主体或政府采购严重违法失信行为”记录名单；不处于中国政府采购网</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www.ccgp.gov.cn</w:t>
      </w:r>
      <w:r>
        <w:rPr>
          <w:rFonts w:hint="eastAsia" w:ascii="宋体" w:hAnsi="宋体"/>
          <w:color w:val="auto"/>
          <w:sz w:val="21"/>
          <w:szCs w:val="21"/>
          <w:highlight w:val="none"/>
          <w:lang w:eastAsia="zh-CN"/>
        </w:rPr>
        <w:t>）</w:t>
      </w:r>
      <w:r>
        <w:rPr>
          <w:rFonts w:hint="eastAsia" w:ascii="宋体" w:hAnsi="宋体" w:eastAsia="宋体"/>
          <w:color w:val="auto"/>
          <w:sz w:val="21"/>
          <w:szCs w:val="21"/>
          <w:highlight w:val="none"/>
        </w:rPr>
        <w:t>“政府采购严重违法失信行为信息记录”中的禁止参加政府采购活动期间；</w:t>
      </w:r>
    </w:p>
    <w:p w14:paraId="6F7DC7E5">
      <w:pPr>
        <w:spacing w:line="360" w:lineRule="auto"/>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10.我方为本次磋商所提交的所有证明其合格和资格的文件是真实的和正确的，并愿为其真实性和正确性承担法律责任。</w:t>
      </w:r>
    </w:p>
    <w:p w14:paraId="13E03811">
      <w:pPr>
        <w:spacing w:line="276" w:lineRule="auto"/>
        <w:rPr>
          <w:rFonts w:ascii="宋体" w:hAnsi="宋体"/>
          <w:color w:val="auto"/>
          <w:sz w:val="21"/>
          <w:szCs w:val="21"/>
          <w:highlight w:val="none"/>
        </w:rPr>
      </w:pPr>
    </w:p>
    <w:p w14:paraId="71AC1DB0">
      <w:pPr>
        <w:spacing w:line="360" w:lineRule="auto"/>
        <w:rPr>
          <w:rFonts w:ascii="宋体" w:hAnsi="宋体"/>
          <w:color w:val="auto"/>
          <w:sz w:val="21"/>
          <w:szCs w:val="21"/>
          <w:highlight w:val="none"/>
        </w:rPr>
      </w:pPr>
      <w:r>
        <w:rPr>
          <w:rFonts w:hint="eastAsia" w:ascii="宋体" w:hAnsi="宋体"/>
          <w:color w:val="auto"/>
          <w:sz w:val="21"/>
          <w:szCs w:val="21"/>
          <w:highlight w:val="none"/>
        </w:rPr>
        <w:t>如有违法、违规、弄虚作假行为，所造成的损失、不良后果及法律责任，一律由我方承担。</w:t>
      </w:r>
    </w:p>
    <w:p w14:paraId="2C8A597E">
      <w:pPr>
        <w:spacing w:line="360" w:lineRule="auto"/>
        <w:rPr>
          <w:rFonts w:ascii="宋体" w:hAnsi="宋体"/>
          <w:color w:val="auto"/>
          <w:sz w:val="21"/>
          <w:szCs w:val="21"/>
          <w:highlight w:val="none"/>
        </w:rPr>
      </w:pPr>
      <w:r>
        <w:rPr>
          <w:rFonts w:hint="eastAsia" w:ascii="宋体" w:hAnsi="宋体"/>
          <w:color w:val="auto"/>
          <w:sz w:val="21"/>
          <w:szCs w:val="21"/>
          <w:highlight w:val="none"/>
        </w:rPr>
        <w:t>特此声明！</w:t>
      </w:r>
    </w:p>
    <w:p w14:paraId="5FE61A77">
      <w:pPr>
        <w:spacing w:line="276" w:lineRule="auto"/>
        <w:rPr>
          <w:rFonts w:ascii="宋体" w:hAnsi="宋体"/>
          <w:color w:val="auto"/>
          <w:sz w:val="21"/>
          <w:szCs w:val="21"/>
          <w:highlight w:val="none"/>
        </w:rPr>
      </w:pPr>
    </w:p>
    <w:p w14:paraId="2ECBB9BE">
      <w:pPr>
        <w:spacing w:line="360" w:lineRule="auto"/>
        <w:rPr>
          <w:rFonts w:ascii="宋体" w:hAnsi="宋体"/>
          <w:color w:val="auto"/>
          <w:sz w:val="21"/>
          <w:szCs w:val="21"/>
          <w:highlight w:val="none"/>
        </w:rPr>
      </w:pPr>
    </w:p>
    <w:p w14:paraId="4E1D00D3">
      <w:pPr>
        <w:spacing w:line="360" w:lineRule="auto"/>
        <w:ind w:firstLine="3780" w:firstLineChars="1800"/>
        <w:jc w:val="both"/>
        <w:rPr>
          <w:rFonts w:hint="eastAsia" w:ascii="宋体" w:hAnsi="宋体"/>
          <w:color w:val="auto"/>
          <w:sz w:val="21"/>
          <w:szCs w:val="21"/>
          <w:highlight w:val="none"/>
          <w:lang w:val="en-US" w:eastAsia="zh-CN"/>
        </w:rPr>
      </w:pPr>
    </w:p>
    <w:p w14:paraId="3C413D82">
      <w:pPr>
        <w:spacing w:line="360" w:lineRule="auto"/>
        <w:ind w:firstLine="3780" w:firstLineChars="1800"/>
        <w:jc w:val="both"/>
        <w:rPr>
          <w:rFonts w:hint="eastAsia"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名称（盖章）：</w:t>
      </w:r>
    </w:p>
    <w:p w14:paraId="0D1C96D6">
      <w:pPr>
        <w:spacing w:line="360" w:lineRule="auto"/>
        <w:ind w:firstLine="3780" w:firstLineChars="1800"/>
        <w:jc w:val="both"/>
        <w:rPr>
          <w:rFonts w:hint="eastAsia" w:ascii="宋体" w:hAnsi="宋体"/>
          <w:color w:val="auto"/>
          <w:sz w:val="21"/>
          <w:szCs w:val="21"/>
          <w:highlight w:val="none"/>
        </w:rPr>
      </w:pPr>
    </w:p>
    <w:p w14:paraId="26B7D173">
      <w:pPr>
        <w:spacing w:line="360" w:lineRule="auto"/>
        <w:jc w:val="both"/>
        <w:rPr>
          <w:rFonts w:ascii="宋体" w:hAnsi="宋体"/>
          <w:color w:val="auto"/>
          <w:sz w:val="21"/>
          <w:szCs w:val="21"/>
          <w:highlight w:val="none"/>
        </w:rPr>
      </w:pPr>
      <w:r>
        <w:rPr>
          <w:rFonts w:hint="eastAsia" w:ascii="宋体" w:hAnsi="宋体"/>
          <w:color w:val="auto"/>
          <w:sz w:val="21"/>
          <w:szCs w:val="21"/>
          <w:highlight w:val="none"/>
          <w:lang w:val="en-US" w:eastAsia="zh-CN"/>
        </w:rPr>
        <w:t>供应商</w:t>
      </w:r>
      <w:r>
        <w:rPr>
          <w:rFonts w:hint="eastAsia" w:ascii="宋体" w:hAnsi="宋体"/>
          <w:color w:val="auto"/>
          <w:sz w:val="21"/>
          <w:szCs w:val="21"/>
          <w:highlight w:val="none"/>
        </w:rPr>
        <w:t>法定代表人（或法定代表人授权代表）（签字或</w:t>
      </w:r>
      <w:r>
        <w:rPr>
          <w:rFonts w:hint="eastAsia" w:ascii="宋体" w:hAnsi="宋体"/>
          <w:color w:val="auto"/>
          <w:sz w:val="21"/>
          <w:szCs w:val="21"/>
          <w:highlight w:val="none"/>
          <w:lang w:val="en-US" w:eastAsia="zh-CN"/>
        </w:rPr>
        <w:t>签</w:t>
      </w:r>
      <w:r>
        <w:rPr>
          <w:rFonts w:hint="eastAsia" w:ascii="宋体" w:hAnsi="宋体"/>
          <w:color w:val="auto"/>
          <w:sz w:val="21"/>
          <w:szCs w:val="21"/>
          <w:highlight w:val="none"/>
        </w:rPr>
        <w:t>章）：</w:t>
      </w:r>
    </w:p>
    <w:p w14:paraId="48652C27">
      <w:pPr>
        <w:pStyle w:val="33"/>
        <w:spacing w:line="360" w:lineRule="auto"/>
        <w:jc w:val="left"/>
        <w:rPr>
          <w:color w:val="auto"/>
          <w:highlight w:val="none"/>
        </w:rPr>
      </w:pPr>
    </w:p>
    <w:p w14:paraId="6F25599E">
      <w:pPr>
        <w:spacing w:line="360" w:lineRule="auto"/>
        <w:jc w:val="center"/>
        <w:rPr>
          <w:rFonts w:hint="eastAsia" w:ascii="宋体" w:hAnsi="宋体" w:eastAsia="宋体" w:cs="Times New Roman"/>
          <w:color w:val="auto"/>
          <w:sz w:val="21"/>
          <w:szCs w:val="21"/>
          <w:highlight w:val="none"/>
          <w:lang w:eastAsia="zh-CN"/>
        </w:rPr>
      </w:pPr>
      <w:r>
        <w:rPr>
          <w:rFonts w:hint="eastAsia" w:ascii="宋体" w:hAnsi="宋体" w:eastAsia="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日期：</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年</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月</w:t>
      </w:r>
      <w:r>
        <w:rPr>
          <w:rFonts w:hint="eastAsia" w:ascii="宋体" w:hAnsi="宋体" w:cs="Times New Roman"/>
          <w:color w:val="auto"/>
          <w:sz w:val="21"/>
          <w:szCs w:val="21"/>
          <w:highlight w:val="none"/>
          <w:lang w:val="en-US" w:eastAsia="zh-CN"/>
        </w:rPr>
        <w:t xml:space="preserve">  </w:t>
      </w:r>
      <w:r>
        <w:rPr>
          <w:rFonts w:hint="eastAsia" w:ascii="宋体" w:hAnsi="宋体" w:eastAsia="宋体" w:cs="Times New Roman"/>
          <w:color w:val="auto"/>
          <w:sz w:val="21"/>
          <w:szCs w:val="21"/>
          <w:highlight w:val="none"/>
          <w:lang w:eastAsia="zh-CN"/>
        </w:rPr>
        <w:t xml:space="preserve">  日</w:t>
      </w:r>
    </w:p>
    <w:p w14:paraId="2EA19368">
      <w:pPr>
        <w:pStyle w:val="33"/>
        <w:rPr>
          <w:rFonts w:hint="eastAsia" w:ascii="宋体" w:hAnsi="宋体"/>
          <w:color w:val="auto"/>
          <w:sz w:val="24"/>
          <w:highlight w:val="none"/>
        </w:rPr>
      </w:pPr>
    </w:p>
    <w:p w14:paraId="148001B0">
      <w:pPr>
        <w:pStyle w:val="33"/>
        <w:rPr>
          <w:rFonts w:hint="eastAsia" w:ascii="宋体" w:hAnsi="宋体"/>
          <w:color w:val="auto"/>
          <w:sz w:val="24"/>
          <w:highlight w:val="none"/>
        </w:rPr>
      </w:pPr>
    </w:p>
    <w:p w14:paraId="013E4714">
      <w:pPr>
        <w:pStyle w:val="33"/>
        <w:rPr>
          <w:rFonts w:hint="eastAsia" w:ascii="宋体" w:hAnsi="宋体"/>
          <w:color w:val="auto"/>
          <w:sz w:val="24"/>
          <w:highlight w:val="none"/>
        </w:rPr>
      </w:pPr>
    </w:p>
    <w:p w14:paraId="3144ED16">
      <w:pPr>
        <w:spacing w:line="360" w:lineRule="auto"/>
        <w:rPr>
          <w:rFonts w:hint="eastAsia" w:asciiTheme="minorEastAsia" w:hAnsiTheme="minorEastAsia" w:eastAsiaTheme="minorEastAsia" w:cstheme="minorEastAsia"/>
          <w:b/>
          <w:bCs/>
          <w:color w:val="auto"/>
          <w:sz w:val="24"/>
          <w:szCs w:val="24"/>
          <w:highlight w:val="none"/>
        </w:rPr>
      </w:pPr>
      <w:bookmarkStart w:id="483" w:name="_Toc25323"/>
      <w:r>
        <w:rPr>
          <w:rStyle w:val="52"/>
          <w:rFonts w:hint="eastAsia" w:asciiTheme="minorEastAsia" w:hAnsiTheme="minorEastAsia" w:eastAsiaTheme="minorEastAsia" w:cstheme="minorEastAsia"/>
          <w:b/>
          <w:bCs/>
          <w:color w:val="auto"/>
          <w:sz w:val="24"/>
          <w:szCs w:val="24"/>
          <w:highlight w:val="none"/>
          <w:lang w:val="en-US" w:eastAsia="zh-CN"/>
        </w:rPr>
        <w:t>2.9其他重要</w:t>
      </w:r>
      <w:r>
        <w:rPr>
          <w:rStyle w:val="52"/>
          <w:rFonts w:hint="eastAsia" w:asciiTheme="minorEastAsia" w:hAnsiTheme="minorEastAsia" w:eastAsiaTheme="minorEastAsia" w:cstheme="minorEastAsia"/>
          <w:b/>
          <w:bCs/>
          <w:color w:val="auto"/>
          <w:sz w:val="24"/>
          <w:szCs w:val="24"/>
          <w:highlight w:val="none"/>
        </w:rPr>
        <w:t>事项说明及承诺（如有，请扼要叙述）</w:t>
      </w:r>
      <w:bookmarkEnd w:id="483"/>
      <w:r>
        <w:rPr>
          <w:rFonts w:hint="eastAsia" w:asciiTheme="minorEastAsia" w:hAnsiTheme="minorEastAsia" w:eastAsiaTheme="minorEastAsia" w:cstheme="minorEastAsia"/>
          <w:b/>
          <w:bCs/>
          <w:color w:val="auto"/>
          <w:sz w:val="24"/>
          <w:szCs w:val="24"/>
          <w:highlight w:val="none"/>
        </w:rPr>
        <w:t>（格式自拟）</w:t>
      </w:r>
    </w:p>
    <w:p w14:paraId="020949BA">
      <w:pPr>
        <w:pStyle w:val="33"/>
        <w:rPr>
          <w:rFonts w:hint="eastAsia" w:asciiTheme="minorEastAsia" w:hAnsiTheme="minorEastAsia" w:eastAsiaTheme="minorEastAsia" w:cstheme="minorEastAsia"/>
          <w:b/>
          <w:bCs/>
          <w:color w:val="auto"/>
          <w:sz w:val="24"/>
          <w:szCs w:val="24"/>
          <w:highlight w:val="none"/>
          <w:lang w:val="en-US" w:eastAsia="zh-CN"/>
        </w:rPr>
      </w:pPr>
    </w:p>
    <w:p w14:paraId="4391EB3C">
      <w:pPr>
        <w:spacing w:line="360" w:lineRule="auto"/>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2.10</w:t>
      </w:r>
      <w:r>
        <w:rPr>
          <w:rFonts w:hint="eastAsia" w:asciiTheme="minorEastAsia" w:hAnsiTheme="minorEastAsia" w:eastAsiaTheme="minorEastAsia" w:cstheme="minorEastAsia"/>
          <w:b/>
          <w:bCs/>
          <w:color w:val="auto"/>
          <w:sz w:val="24"/>
          <w:szCs w:val="24"/>
          <w:highlight w:val="none"/>
        </w:rPr>
        <w:t>针对</w:t>
      </w:r>
      <w:r>
        <w:rPr>
          <w:rFonts w:hint="eastAsia" w:asciiTheme="minorEastAsia" w:hAnsiTheme="minorEastAsia" w:eastAsiaTheme="minorEastAsia" w:cstheme="minorEastAsia"/>
          <w:b/>
          <w:bCs/>
          <w:color w:val="auto"/>
          <w:sz w:val="24"/>
          <w:szCs w:val="24"/>
          <w:highlight w:val="none"/>
          <w:lang w:eastAsia="zh-CN"/>
        </w:rPr>
        <w:t>本项目供应商认为需提供的说明或资料。</w:t>
      </w:r>
      <w:r>
        <w:rPr>
          <w:rFonts w:hint="eastAsia" w:asciiTheme="minorEastAsia" w:hAnsiTheme="minorEastAsia" w:eastAsiaTheme="minorEastAsia" w:cstheme="minorEastAsia"/>
          <w:b/>
          <w:bCs/>
          <w:color w:val="auto"/>
          <w:sz w:val="24"/>
          <w:szCs w:val="24"/>
          <w:highlight w:val="none"/>
        </w:rPr>
        <w:t>（格式自拟）</w:t>
      </w:r>
    </w:p>
    <w:p w14:paraId="7B2CD515">
      <w:pPr>
        <w:pStyle w:val="2"/>
        <w:rPr>
          <w:rFonts w:hint="default" w:eastAsiaTheme="minorEastAsia"/>
          <w:color w:val="auto"/>
          <w:highlight w:val="none"/>
          <w:lang w:val="en-US" w:eastAsia="zh-CN"/>
        </w:rPr>
      </w:pPr>
      <w:bookmarkStart w:id="484" w:name="_Toc9456"/>
      <w:bookmarkStart w:id="485" w:name="_Toc29810"/>
      <w:bookmarkStart w:id="486" w:name="_Toc30483"/>
      <w:bookmarkStart w:id="487" w:name="_Toc13483"/>
      <w:bookmarkStart w:id="488" w:name="_Toc29898"/>
      <w:bookmarkStart w:id="489" w:name="_Toc29100"/>
      <w:bookmarkStart w:id="490" w:name="_Toc27851"/>
      <w:bookmarkStart w:id="491" w:name="_Toc6025"/>
      <w:bookmarkStart w:id="492" w:name="_Toc14094"/>
      <w:r>
        <w:rPr>
          <w:rFonts w:hint="eastAsia" w:asciiTheme="minorEastAsia" w:hAnsiTheme="minorEastAsia" w:eastAsiaTheme="minorEastAsia" w:cstheme="minorEastAsia"/>
          <w:b/>
          <w:bCs/>
          <w:color w:val="auto"/>
          <w:sz w:val="24"/>
          <w:szCs w:val="24"/>
          <w:highlight w:val="none"/>
          <w:lang w:val="en-US" w:eastAsia="zh-CN"/>
        </w:rPr>
        <w:t>2.11根据评分标准需提供的佐证资料。</w:t>
      </w:r>
      <w:r>
        <w:rPr>
          <w:rFonts w:hint="eastAsia" w:asciiTheme="minorEastAsia" w:hAnsiTheme="minorEastAsia" w:eastAsiaTheme="minorEastAsia" w:cstheme="minorEastAsia"/>
          <w:b/>
          <w:bCs/>
          <w:color w:val="auto"/>
          <w:sz w:val="24"/>
          <w:szCs w:val="24"/>
          <w:highlight w:val="none"/>
        </w:rPr>
        <w:t>（格式自拟）</w:t>
      </w:r>
      <w:bookmarkEnd w:id="484"/>
      <w:bookmarkEnd w:id="485"/>
      <w:bookmarkEnd w:id="486"/>
      <w:bookmarkEnd w:id="487"/>
      <w:bookmarkEnd w:id="488"/>
      <w:bookmarkEnd w:id="489"/>
      <w:bookmarkEnd w:id="490"/>
      <w:bookmarkEnd w:id="491"/>
      <w:bookmarkEnd w:id="492"/>
    </w:p>
    <w:p w14:paraId="2BBCB10A">
      <w:pPr>
        <w:pStyle w:val="33"/>
        <w:rPr>
          <w:rFonts w:hint="eastAsia" w:asciiTheme="minorEastAsia" w:hAnsiTheme="minorEastAsia" w:eastAsiaTheme="minorEastAsia" w:cstheme="minorEastAsia"/>
          <w:b/>
          <w:bCs/>
          <w:color w:val="auto"/>
          <w:sz w:val="24"/>
          <w:szCs w:val="24"/>
          <w:highlight w:val="none"/>
          <w:lang w:eastAsia="zh-CN"/>
        </w:rPr>
      </w:pPr>
    </w:p>
    <w:p w14:paraId="17735CAE">
      <w:pPr>
        <w:pStyle w:val="33"/>
        <w:rPr>
          <w:rFonts w:hint="eastAsia" w:ascii="宋体" w:hAnsi="宋体"/>
          <w:color w:val="auto"/>
          <w:sz w:val="24"/>
          <w:highlight w:val="none"/>
        </w:rPr>
      </w:pPr>
    </w:p>
    <w:p w14:paraId="7659A08A">
      <w:pPr>
        <w:pStyle w:val="33"/>
        <w:rPr>
          <w:rFonts w:hint="eastAsia" w:ascii="宋体" w:hAnsi="宋体"/>
          <w:color w:val="auto"/>
          <w:sz w:val="24"/>
          <w:highlight w:val="none"/>
        </w:rPr>
      </w:pPr>
    </w:p>
    <w:p w14:paraId="1BF3983D">
      <w:pPr>
        <w:pStyle w:val="33"/>
        <w:rPr>
          <w:rFonts w:hint="eastAsia" w:ascii="宋体" w:hAnsi="宋体"/>
          <w:color w:val="auto"/>
          <w:sz w:val="24"/>
          <w:highlight w:val="none"/>
        </w:rPr>
      </w:pPr>
    </w:p>
    <w:p w14:paraId="51885393">
      <w:pPr>
        <w:pStyle w:val="33"/>
        <w:rPr>
          <w:rFonts w:hint="eastAsia" w:ascii="宋体" w:hAnsi="宋体"/>
          <w:color w:val="auto"/>
          <w:sz w:val="24"/>
          <w:highlight w:val="none"/>
        </w:rPr>
      </w:pPr>
    </w:p>
    <w:p w14:paraId="0F82E334">
      <w:pPr>
        <w:pStyle w:val="33"/>
        <w:rPr>
          <w:rFonts w:hint="eastAsia" w:ascii="宋体" w:hAnsi="宋体"/>
          <w:color w:val="auto"/>
          <w:sz w:val="24"/>
          <w:highlight w:val="none"/>
        </w:rPr>
      </w:pPr>
    </w:p>
    <w:p w14:paraId="1A44BF95">
      <w:pPr>
        <w:pStyle w:val="33"/>
        <w:rPr>
          <w:rFonts w:hint="eastAsia" w:ascii="宋体" w:hAnsi="宋体"/>
          <w:color w:val="auto"/>
          <w:sz w:val="24"/>
          <w:highlight w:val="none"/>
        </w:rPr>
      </w:pPr>
    </w:p>
    <w:p w14:paraId="64DC080E">
      <w:pPr>
        <w:pStyle w:val="33"/>
        <w:rPr>
          <w:rFonts w:hint="eastAsia" w:ascii="宋体" w:hAnsi="宋体"/>
          <w:color w:val="auto"/>
          <w:sz w:val="24"/>
          <w:highlight w:val="none"/>
        </w:rPr>
      </w:pPr>
    </w:p>
    <w:p w14:paraId="40CBFC86">
      <w:pPr>
        <w:pStyle w:val="33"/>
        <w:rPr>
          <w:rFonts w:hint="eastAsia" w:ascii="宋体" w:hAnsi="宋体"/>
          <w:color w:val="auto"/>
          <w:sz w:val="24"/>
          <w:highlight w:val="none"/>
        </w:rPr>
      </w:pPr>
    </w:p>
    <w:p w14:paraId="634DFD4D">
      <w:pPr>
        <w:pStyle w:val="33"/>
        <w:rPr>
          <w:rFonts w:hint="eastAsia" w:ascii="宋体" w:hAnsi="宋体"/>
          <w:color w:val="auto"/>
          <w:sz w:val="24"/>
          <w:highlight w:val="none"/>
        </w:rPr>
      </w:pPr>
    </w:p>
    <w:p w14:paraId="009AE202">
      <w:pPr>
        <w:pStyle w:val="33"/>
        <w:rPr>
          <w:rFonts w:hint="eastAsia" w:ascii="宋体" w:hAnsi="宋体"/>
          <w:color w:val="auto"/>
          <w:sz w:val="24"/>
          <w:highlight w:val="none"/>
        </w:rPr>
      </w:pPr>
    </w:p>
    <w:p w14:paraId="11DA17BB">
      <w:pPr>
        <w:pStyle w:val="33"/>
        <w:rPr>
          <w:rFonts w:hint="eastAsia" w:ascii="宋体" w:hAnsi="宋体"/>
          <w:color w:val="auto"/>
          <w:sz w:val="24"/>
          <w:highlight w:val="none"/>
        </w:rPr>
      </w:pPr>
    </w:p>
    <w:p w14:paraId="39DC24BF">
      <w:pPr>
        <w:pStyle w:val="33"/>
        <w:rPr>
          <w:rFonts w:hint="eastAsia" w:ascii="宋体" w:hAnsi="宋体"/>
          <w:color w:val="auto"/>
          <w:sz w:val="24"/>
          <w:highlight w:val="none"/>
        </w:rPr>
      </w:pPr>
    </w:p>
    <w:p w14:paraId="160D49AE">
      <w:pPr>
        <w:pStyle w:val="33"/>
        <w:rPr>
          <w:rFonts w:hint="eastAsia" w:ascii="宋体" w:hAnsi="宋体"/>
          <w:color w:val="auto"/>
          <w:sz w:val="24"/>
          <w:highlight w:val="none"/>
        </w:rPr>
      </w:pPr>
    </w:p>
    <w:p w14:paraId="73865A1C">
      <w:pPr>
        <w:pStyle w:val="33"/>
        <w:rPr>
          <w:rFonts w:hint="eastAsia" w:ascii="宋体" w:hAnsi="宋体"/>
          <w:color w:val="auto"/>
          <w:sz w:val="24"/>
          <w:highlight w:val="none"/>
        </w:rPr>
      </w:pPr>
    </w:p>
    <w:p w14:paraId="75FDE87A">
      <w:pPr>
        <w:pStyle w:val="33"/>
        <w:rPr>
          <w:rFonts w:hint="eastAsia" w:ascii="宋体" w:hAnsi="宋体"/>
          <w:color w:val="auto"/>
          <w:sz w:val="24"/>
          <w:highlight w:val="none"/>
        </w:rPr>
      </w:pPr>
    </w:p>
    <w:p w14:paraId="538F6EAC">
      <w:pPr>
        <w:rPr>
          <w:color w:val="auto"/>
          <w:highlight w:val="none"/>
        </w:rPr>
      </w:pPr>
    </w:p>
    <w:p w14:paraId="442AF6FE">
      <w:pPr>
        <w:pStyle w:val="32"/>
        <w:rPr>
          <w:color w:val="auto"/>
          <w:highlight w:val="none"/>
        </w:rPr>
      </w:pPr>
    </w:p>
    <w:p w14:paraId="0F11627E">
      <w:pPr>
        <w:pStyle w:val="32"/>
        <w:rPr>
          <w:color w:val="auto"/>
          <w:highlight w:val="none"/>
        </w:rPr>
      </w:pPr>
    </w:p>
    <w:p w14:paraId="7E2D96BA">
      <w:pPr>
        <w:pStyle w:val="32"/>
        <w:rPr>
          <w:color w:val="auto"/>
          <w:highlight w:val="none"/>
        </w:rPr>
      </w:pPr>
    </w:p>
    <w:p w14:paraId="79836E8E">
      <w:pPr>
        <w:pStyle w:val="32"/>
        <w:rPr>
          <w:color w:val="auto"/>
          <w:highlight w:val="none"/>
        </w:rPr>
      </w:pPr>
    </w:p>
    <w:p w14:paraId="6868A2BF">
      <w:pPr>
        <w:pStyle w:val="32"/>
        <w:rPr>
          <w:color w:val="auto"/>
          <w:highlight w:val="none"/>
        </w:rPr>
      </w:pPr>
    </w:p>
    <w:p w14:paraId="3073BCC6">
      <w:pPr>
        <w:pStyle w:val="32"/>
        <w:rPr>
          <w:color w:val="auto"/>
          <w:highlight w:val="none"/>
        </w:rPr>
      </w:pPr>
    </w:p>
    <w:p w14:paraId="71AF29CE">
      <w:pPr>
        <w:pStyle w:val="33"/>
        <w:rPr>
          <w:rFonts w:hint="eastAsia"/>
          <w:color w:val="auto"/>
          <w:highlight w:val="none"/>
          <w:lang w:eastAsia="zh-CN"/>
        </w:rPr>
      </w:pPr>
    </w:p>
    <w:p w14:paraId="27CAFE0B">
      <w:pPr>
        <w:pStyle w:val="33"/>
        <w:rPr>
          <w:rFonts w:hint="eastAsia"/>
          <w:color w:val="auto"/>
          <w:highlight w:val="none"/>
          <w:lang w:eastAsia="zh-CN"/>
        </w:rPr>
      </w:pPr>
    </w:p>
    <w:p w14:paraId="4803DC0F">
      <w:pPr>
        <w:pStyle w:val="33"/>
        <w:rPr>
          <w:rFonts w:hint="eastAsia"/>
          <w:color w:val="auto"/>
          <w:highlight w:val="none"/>
          <w:lang w:eastAsia="zh-CN"/>
        </w:rPr>
      </w:pPr>
    </w:p>
    <w:p w14:paraId="4F963B7B">
      <w:pPr>
        <w:pStyle w:val="33"/>
        <w:rPr>
          <w:rFonts w:hint="eastAsia"/>
          <w:color w:val="auto"/>
          <w:highlight w:val="none"/>
          <w:lang w:eastAsia="zh-CN"/>
        </w:rPr>
      </w:pPr>
    </w:p>
    <w:p w14:paraId="77350F74">
      <w:pPr>
        <w:pStyle w:val="33"/>
        <w:rPr>
          <w:rFonts w:hint="eastAsia"/>
          <w:color w:val="auto"/>
          <w:highlight w:val="none"/>
          <w:lang w:eastAsia="zh-CN"/>
        </w:rPr>
      </w:pPr>
    </w:p>
    <w:p w14:paraId="757A5AE9">
      <w:pPr>
        <w:pStyle w:val="33"/>
        <w:rPr>
          <w:rFonts w:hint="eastAsia"/>
          <w:color w:val="auto"/>
          <w:highlight w:val="none"/>
          <w:lang w:eastAsia="zh-CN"/>
        </w:rPr>
      </w:pPr>
    </w:p>
    <w:p w14:paraId="6250965F">
      <w:pPr>
        <w:pStyle w:val="33"/>
        <w:rPr>
          <w:rFonts w:hint="eastAsia"/>
          <w:color w:val="auto"/>
          <w:highlight w:val="none"/>
          <w:lang w:eastAsia="zh-CN"/>
        </w:rPr>
      </w:pPr>
    </w:p>
    <w:sectPr>
      <w:headerReference r:id="rId14" w:type="default"/>
      <w:pgSz w:w="11906" w:h="16838"/>
      <w:pgMar w:top="1440" w:right="1134" w:bottom="1440" w:left="1134" w:header="851" w:footer="992" w:gutter="0"/>
      <w:pgBorders>
        <w:top w:val="none" w:sz="0" w:space="0"/>
        <w:left w:val="none" w:sz="0" w:space="0"/>
        <w:bottom w:val="none" w:sz="0" w:space="0"/>
        <w:right w:val="none" w:sz="0" w:space="0"/>
      </w:pgBorders>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EE2011F-6DED-4641-BDA6-837F0EC02831}"/>
  </w:font>
  <w:font w:name="黑体">
    <w:panose1 w:val="02010609060101010101"/>
    <w:charset w:val="86"/>
    <w:family w:val="auto"/>
    <w:pitch w:val="default"/>
    <w:sig w:usb0="800002BF" w:usb1="38CF7CFA" w:usb2="00000016" w:usb3="00000000" w:csb0="00040001" w:csb1="00000000"/>
    <w:embedRegular r:id="rId2" w:fontKey="{67693863-EE41-4130-BBCE-92E214B8BFF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88410E5-7E95-44E2-85F9-272A44BB8BD9}"/>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EB781F5B-9DC5-4007-9C35-DB1CE178EBFA}"/>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00000001" w:usb1="08000000" w:usb2="00000000" w:usb3="00000000" w:csb0="00040000" w:csb1="00000000"/>
    <w:embedRegular r:id="rId5" w:fontKey="{70CA076F-0ADB-4AFC-98B2-2A63D807D5B6}"/>
  </w:font>
  <w:font w:name="Helvetica">
    <w:altName w:val="Arial"/>
    <w:panose1 w:val="020B0604020202020204"/>
    <w:charset w:val="00"/>
    <w:family w:val="swiss"/>
    <w:pitch w:val="default"/>
    <w:sig w:usb0="00000000" w:usb1="00000000" w:usb2="00000000" w:usb3="00000000" w:csb0="00000001" w:csb1="00000000"/>
    <w:embedRegular r:id="rId6" w:fontKey="{58DCA87A-3855-48F4-8530-C34202B49E08}"/>
  </w:font>
  <w:font w:name="新宋体">
    <w:panose1 w:val="02010609030101010101"/>
    <w:charset w:val="86"/>
    <w:family w:val="modern"/>
    <w:pitch w:val="default"/>
    <w:sig w:usb0="00000203" w:usb1="288F0000" w:usb2="00000006" w:usb3="00000000" w:csb0="00040001" w:csb1="00000000"/>
    <w:embedRegular r:id="rId7" w:fontKey="{4D87823F-0D24-4C3F-8B1E-E0299E42143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7FF3E">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0F1D0">
    <w:pPr>
      <w:pStyle w:val="13"/>
      <w:framePr w:wrap="around" w:vAnchor="text" w:hAnchor="margin" w:xAlign="center" w:y="1"/>
      <w:rPr>
        <w:rStyle w:val="27"/>
      </w:rPr>
    </w:pPr>
    <w:r>
      <w:fldChar w:fldCharType="begin"/>
    </w:r>
    <w:r>
      <w:rPr>
        <w:rStyle w:val="27"/>
      </w:rPr>
      <w:instrText xml:space="preserve">PAGE  </w:instrText>
    </w:r>
    <w:r>
      <w:fldChar w:fldCharType="end"/>
    </w:r>
  </w:p>
  <w:p w14:paraId="196A8B8C">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DB371">
    <w:pPr>
      <w:pStyle w:val="13"/>
      <w:jc w:val="center"/>
    </w:pPr>
  </w:p>
  <w:p w14:paraId="1BB0A62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60422">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36E91AA">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6728B">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3FAEE">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277E">
    <w:pPr>
      <w:pStyle w:val="13"/>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25534D">
                    <w:pPr>
                      <w:pStyle w:val="13"/>
                    </w:pPr>
                    <w:r>
                      <w:t xml:space="preserve">第 </w:t>
                    </w:r>
                    <w:r>
                      <w:fldChar w:fldCharType="begin"/>
                    </w:r>
                    <w:r>
                      <w:instrText xml:space="preserve"> PAGE  \* MERGEFORMAT </w:instrText>
                    </w:r>
                    <w:r>
                      <w:fldChar w:fldCharType="separate"/>
                    </w:r>
                    <w:r>
                      <w:t>27</w:t>
                    </w:r>
                    <w:r>
                      <w:fldChar w:fldCharType="end"/>
                    </w:r>
                    <w:r>
                      <w:t xml:space="preserve"> 页</w:t>
                    </w:r>
                  </w:p>
                </w:txbxContent>
              </v:textbox>
            </v:shape>
          </w:pict>
        </mc:Fallback>
      </mc:AlternateContent>
    </w:r>
  </w:p>
  <w:p w14:paraId="4F69E705"/>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7F115">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F814">
    <w:pPr>
      <w:pStyle w:val="14"/>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40DD">
    <w:pPr>
      <w:pStyle w:val="14"/>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664D7">
    <w:pPr>
      <w:pStyle w:val="1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D9E26">
    <w:pPr>
      <w:pStyle w:val="14"/>
      <w:pBdr>
        <w:top w:val="none" w:color="auto" w:sz="0" w:space="0"/>
        <w:left w:val="none" w:color="auto" w:sz="0" w:space="0"/>
        <w:bottom w:val="none" w:color="auto" w:sz="0" w:space="1"/>
        <w:right w:val="none" w:color="auto" w:sz="0" w:space="0"/>
        <w:between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D86AA">
    <w:pPr>
      <w:pStyle w:val="14"/>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abstractNum w:abstractNumId="3">
    <w:nsid w:val="7FFC5B4C"/>
    <w:multiLevelType w:val="singleLevel"/>
    <w:tmpl w:val="7FFC5B4C"/>
    <w:lvl w:ilvl="0" w:tentative="0">
      <w:start w:val="1"/>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570FF"/>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00D3"/>
    <w:rsid w:val="002A4E6C"/>
    <w:rsid w:val="002B4AD3"/>
    <w:rsid w:val="002C3CEE"/>
    <w:rsid w:val="002C4449"/>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B5B92"/>
    <w:rsid w:val="008C3ECF"/>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5347"/>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60284"/>
    <w:rsid w:val="00F63149"/>
    <w:rsid w:val="00F7528E"/>
    <w:rsid w:val="00F86E2B"/>
    <w:rsid w:val="00F870B6"/>
    <w:rsid w:val="00FA3158"/>
    <w:rsid w:val="00FB37B4"/>
    <w:rsid w:val="00FB4E2C"/>
    <w:rsid w:val="00FC406A"/>
    <w:rsid w:val="00FD0E67"/>
    <w:rsid w:val="00FD66F8"/>
    <w:rsid w:val="012651AE"/>
    <w:rsid w:val="01590320"/>
    <w:rsid w:val="01A231BD"/>
    <w:rsid w:val="01A7647D"/>
    <w:rsid w:val="01AE423C"/>
    <w:rsid w:val="01C472C9"/>
    <w:rsid w:val="02953EA8"/>
    <w:rsid w:val="02C64EB8"/>
    <w:rsid w:val="02DD3694"/>
    <w:rsid w:val="02DE7DB6"/>
    <w:rsid w:val="030161AF"/>
    <w:rsid w:val="031E58B1"/>
    <w:rsid w:val="032337B5"/>
    <w:rsid w:val="034404CF"/>
    <w:rsid w:val="039B179B"/>
    <w:rsid w:val="03A951F3"/>
    <w:rsid w:val="03D270B5"/>
    <w:rsid w:val="03D9450E"/>
    <w:rsid w:val="03EA43FF"/>
    <w:rsid w:val="03EF1A15"/>
    <w:rsid w:val="03F72EF0"/>
    <w:rsid w:val="04131BA8"/>
    <w:rsid w:val="04350A9E"/>
    <w:rsid w:val="04874344"/>
    <w:rsid w:val="04A411A7"/>
    <w:rsid w:val="04AE6D35"/>
    <w:rsid w:val="04EE7118"/>
    <w:rsid w:val="052C5F7D"/>
    <w:rsid w:val="054E169D"/>
    <w:rsid w:val="055E3016"/>
    <w:rsid w:val="05907E7A"/>
    <w:rsid w:val="05A056BD"/>
    <w:rsid w:val="05A40877"/>
    <w:rsid w:val="066F5ED2"/>
    <w:rsid w:val="0675328B"/>
    <w:rsid w:val="06D33870"/>
    <w:rsid w:val="06F814E9"/>
    <w:rsid w:val="070D3824"/>
    <w:rsid w:val="07230354"/>
    <w:rsid w:val="073F1A33"/>
    <w:rsid w:val="077A1CE0"/>
    <w:rsid w:val="077B3E26"/>
    <w:rsid w:val="07862043"/>
    <w:rsid w:val="07990616"/>
    <w:rsid w:val="079C2FAC"/>
    <w:rsid w:val="07A84EFF"/>
    <w:rsid w:val="07BE4292"/>
    <w:rsid w:val="07BE48F0"/>
    <w:rsid w:val="07D21D7A"/>
    <w:rsid w:val="07EA18BC"/>
    <w:rsid w:val="07ED5D2D"/>
    <w:rsid w:val="07F876A6"/>
    <w:rsid w:val="08113D1D"/>
    <w:rsid w:val="0837277F"/>
    <w:rsid w:val="083B7A54"/>
    <w:rsid w:val="083B7B3F"/>
    <w:rsid w:val="083C3E90"/>
    <w:rsid w:val="08880B4F"/>
    <w:rsid w:val="08B6198D"/>
    <w:rsid w:val="08C711B3"/>
    <w:rsid w:val="090A11DE"/>
    <w:rsid w:val="0966427E"/>
    <w:rsid w:val="097E3F67"/>
    <w:rsid w:val="098350DA"/>
    <w:rsid w:val="09B02342"/>
    <w:rsid w:val="09EA79FA"/>
    <w:rsid w:val="0A146A4B"/>
    <w:rsid w:val="0A2E2D1E"/>
    <w:rsid w:val="0A5922DF"/>
    <w:rsid w:val="0A9C5E28"/>
    <w:rsid w:val="0AA45825"/>
    <w:rsid w:val="0B0A307C"/>
    <w:rsid w:val="0B0A3975"/>
    <w:rsid w:val="0B6E199F"/>
    <w:rsid w:val="0BA56654"/>
    <w:rsid w:val="0BCD2048"/>
    <w:rsid w:val="0BFE313E"/>
    <w:rsid w:val="0C3622D5"/>
    <w:rsid w:val="0C5D6F25"/>
    <w:rsid w:val="0C705246"/>
    <w:rsid w:val="0C923042"/>
    <w:rsid w:val="0CA05EF5"/>
    <w:rsid w:val="0CAD27D4"/>
    <w:rsid w:val="0CDB6D52"/>
    <w:rsid w:val="0CE366E9"/>
    <w:rsid w:val="0CFF34DF"/>
    <w:rsid w:val="0D1C720F"/>
    <w:rsid w:val="0D212EBB"/>
    <w:rsid w:val="0DDD2866"/>
    <w:rsid w:val="0DE6032D"/>
    <w:rsid w:val="0DEA3534"/>
    <w:rsid w:val="0DF802D1"/>
    <w:rsid w:val="0DF92677"/>
    <w:rsid w:val="0E21791C"/>
    <w:rsid w:val="0E2B2B11"/>
    <w:rsid w:val="0E2F3F26"/>
    <w:rsid w:val="0E512673"/>
    <w:rsid w:val="0E86496D"/>
    <w:rsid w:val="0EB45115"/>
    <w:rsid w:val="0ED05230"/>
    <w:rsid w:val="0F704352"/>
    <w:rsid w:val="0F9938B7"/>
    <w:rsid w:val="0F9B7CBC"/>
    <w:rsid w:val="0FAF5EA2"/>
    <w:rsid w:val="0FBD187A"/>
    <w:rsid w:val="0FEB5787"/>
    <w:rsid w:val="10014154"/>
    <w:rsid w:val="10277357"/>
    <w:rsid w:val="1031229A"/>
    <w:rsid w:val="105410B9"/>
    <w:rsid w:val="1094250A"/>
    <w:rsid w:val="10FA5F7F"/>
    <w:rsid w:val="112526B4"/>
    <w:rsid w:val="115E45A5"/>
    <w:rsid w:val="116C3A15"/>
    <w:rsid w:val="117621CC"/>
    <w:rsid w:val="11895257"/>
    <w:rsid w:val="11A13229"/>
    <w:rsid w:val="11A27059"/>
    <w:rsid w:val="11F91A8F"/>
    <w:rsid w:val="12353631"/>
    <w:rsid w:val="123F5759"/>
    <w:rsid w:val="12631F4C"/>
    <w:rsid w:val="126F08F1"/>
    <w:rsid w:val="12C80001"/>
    <w:rsid w:val="12D574C5"/>
    <w:rsid w:val="12EB2AD0"/>
    <w:rsid w:val="12FE1A4A"/>
    <w:rsid w:val="13AE71F7"/>
    <w:rsid w:val="13D36C5E"/>
    <w:rsid w:val="13DA397B"/>
    <w:rsid w:val="13EC296F"/>
    <w:rsid w:val="13F14739"/>
    <w:rsid w:val="140F7BE3"/>
    <w:rsid w:val="141F00F5"/>
    <w:rsid w:val="14331D3D"/>
    <w:rsid w:val="14423DE3"/>
    <w:rsid w:val="144931CD"/>
    <w:rsid w:val="144C7DE3"/>
    <w:rsid w:val="147A5AF1"/>
    <w:rsid w:val="1489025A"/>
    <w:rsid w:val="14C74A2E"/>
    <w:rsid w:val="14CB7B2E"/>
    <w:rsid w:val="15325191"/>
    <w:rsid w:val="156E4658"/>
    <w:rsid w:val="15724781"/>
    <w:rsid w:val="157F4BFE"/>
    <w:rsid w:val="15804A33"/>
    <w:rsid w:val="1586383D"/>
    <w:rsid w:val="159863B1"/>
    <w:rsid w:val="159B7FA0"/>
    <w:rsid w:val="15C42D02"/>
    <w:rsid w:val="15D46CBD"/>
    <w:rsid w:val="15FC5BCD"/>
    <w:rsid w:val="160B5F1C"/>
    <w:rsid w:val="16133E5E"/>
    <w:rsid w:val="164C7363"/>
    <w:rsid w:val="165C3D37"/>
    <w:rsid w:val="16A8688B"/>
    <w:rsid w:val="16B65E2B"/>
    <w:rsid w:val="16E021B0"/>
    <w:rsid w:val="16F45DB5"/>
    <w:rsid w:val="17004A3B"/>
    <w:rsid w:val="17066A53"/>
    <w:rsid w:val="17477E85"/>
    <w:rsid w:val="17556C79"/>
    <w:rsid w:val="17562ADF"/>
    <w:rsid w:val="17627D85"/>
    <w:rsid w:val="17895C25"/>
    <w:rsid w:val="178F7B63"/>
    <w:rsid w:val="17BC58AB"/>
    <w:rsid w:val="17E01949"/>
    <w:rsid w:val="17ED4678"/>
    <w:rsid w:val="183A5435"/>
    <w:rsid w:val="184C6FDF"/>
    <w:rsid w:val="187D363C"/>
    <w:rsid w:val="187F5287"/>
    <w:rsid w:val="188E6361"/>
    <w:rsid w:val="18A64941"/>
    <w:rsid w:val="18C82B09"/>
    <w:rsid w:val="190932CF"/>
    <w:rsid w:val="19141BD3"/>
    <w:rsid w:val="19192E05"/>
    <w:rsid w:val="196565AA"/>
    <w:rsid w:val="196F43D6"/>
    <w:rsid w:val="198F7ACB"/>
    <w:rsid w:val="19AB5200"/>
    <w:rsid w:val="19B117EF"/>
    <w:rsid w:val="19BE5CBA"/>
    <w:rsid w:val="1A0602EA"/>
    <w:rsid w:val="1A4F2DB3"/>
    <w:rsid w:val="1A6D5681"/>
    <w:rsid w:val="1A6D7C20"/>
    <w:rsid w:val="1A812401"/>
    <w:rsid w:val="1A9609E5"/>
    <w:rsid w:val="1AC1037E"/>
    <w:rsid w:val="1AC6529E"/>
    <w:rsid w:val="1ACC4407"/>
    <w:rsid w:val="1ADC16AD"/>
    <w:rsid w:val="1AE77A53"/>
    <w:rsid w:val="1AF93CE3"/>
    <w:rsid w:val="1B041DF3"/>
    <w:rsid w:val="1B9875A3"/>
    <w:rsid w:val="1BBE4697"/>
    <w:rsid w:val="1BFC6CC3"/>
    <w:rsid w:val="1C006FCD"/>
    <w:rsid w:val="1C100890"/>
    <w:rsid w:val="1C2E774C"/>
    <w:rsid w:val="1C631DA7"/>
    <w:rsid w:val="1C747261"/>
    <w:rsid w:val="1C7C1EB6"/>
    <w:rsid w:val="1C80194D"/>
    <w:rsid w:val="1C947FA2"/>
    <w:rsid w:val="1C9A597C"/>
    <w:rsid w:val="1CAC7FE6"/>
    <w:rsid w:val="1CDA2B95"/>
    <w:rsid w:val="1D1218AC"/>
    <w:rsid w:val="1D50165E"/>
    <w:rsid w:val="1D7849B0"/>
    <w:rsid w:val="1D8E6C2F"/>
    <w:rsid w:val="1DA90161"/>
    <w:rsid w:val="1DB87967"/>
    <w:rsid w:val="1DC35F95"/>
    <w:rsid w:val="1DE30DB3"/>
    <w:rsid w:val="1E0A7720"/>
    <w:rsid w:val="1E5677A8"/>
    <w:rsid w:val="1EE2244B"/>
    <w:rsid w:val="1F187406"/>
    <w:rsid w:val="1F196DB1"/>
    <w:rsid w:val="1F3C5C35"/>
    <w:rsid w:val="1FC016D2"/>
    <w:rsid w:val="1FC738D0"/>
    <w:rsid w:val="1FC87893"/>
    <w:rsid w:val="1FDE6F20"/>
    <w:rsid w:val="1FEC26BF"/>
    <w:rsid w:val="1FFC5D99"/>
    <w:rsid w:val="203E1903"/>
    <w:rsid w:val="20995391"/>
    <w:rsid w:val="20B81B4B"/>
    <w:rsid w:val="20EE2C7A"/>
    <w:rsid w:val="20F71E99"/>
    <w:rsid w:val="2110329F"/>
    <w:rsid w:val="21222FD3"/>
    <w:rsid w:val="21282075"/>
    <w:rsid w:val="21A571AA"/>
    <w:rsid w:val="21A954A2"/>
    <w:rsid w:val="21D627A8"/>
    <w:rsid w:val="22131441"/>
    <w:rsid w:val="22304FC5"/>
    <w:rsid w:val="224277DF"/>
    <w:rsid w:val="22487F67"/>
    <w:rsid w:val="22627A44"/>
    <w:rsid w:val="22664EDF"/>
    <w:rsid w:val="227B4D2E"/>
    <w:rsid w:val="22A53EBB"/>
    <w:rsid w:val="23715840"/>
    <w:rsid w:val="23AD21E9"/>
    <w:rsid w:val="23FB60A3"/>
    <w:rsid w:val="240A160A"/>
    <w:rsid w:val="242554C8"/>
    <w:rsid w:val="246D44F3"/>
    <w:rsid w:val="24A563F4"/>
    <w:rsid w:val="24E1111B"/>
    <w:rsid w:val="24E25C6F"/>
    <w:rsid w:val="24EE3566"/>
    <w:rsid w:val="255B747B"/>
    <w:rsid w:val="25880798"/>
    <w:rsid w:val="25987D07"/>
    <w:rsid w:val="25F82554"/>
    <w:rsid w:val="260A43E8"/>
    <w:rsid w:val="261F5D33"/>
    <w:rsid w:val="262F2952"/>
    <w:rsid w:val="263611BA"/>
    <w:rsid w:val="266C2DBC"/>
    <w:rsid w:val="26C20E41"/>
    <w:rsid w:val="26C37006"/>
    <w:rsid w:val="26F058DC"/>
    <w:rsid w:val="271909D4"/>
    <w:rsid w:val="274618E3"/>
    <w:rsid w:val="27715F5E"/>
    <w:rsid w:val="277952D7"/>
    <w:rsid w:val="277D6F0B"/>
    <w:rsid w:val="27A765B3"/>
    <w:rsid w:val="27DA6B24"/>
    <w:rsid w:val="27FE61D7"/>
    <w:rsid w:val="28084236"/>
    <w:rsid w:val="28716EFA"/>
    <w:rsid w:val="287B580A"/>
    <w:rsid w:val="289E4744"/>
    <w:rsid w:val="28F7325D"/>
    <w:rsid w:val="291659B2"/>
    <w:rsid w:val="296A68AF"/>
    <w:rsid w:val="296D5007"/>
    <w:rsid w:val="296E036D"/>
    <w:rsid w:val="297840D8"/>
    <w:rsid w:val="298D7034"/>
    <w:rsid w:val="29915199"/>
    <w:rsid w:val="299C04E7"/>
    <w:rsid w:val="29A651BC"/>
    <w:rsid w:val="2A097654"/>
    <w:rsid w:val="2A241B69"/>
    <w:rsid w:val="2A746468"/>
    <w:rsid w:val="2A9067BA"/>
    <w:rsid w:val="2A954815"/>
    <w:rsid w:val="2ABD1DD4"/>
    <w:rsid w:val="2ACD6E12"/>
    <w:rsid w:val="2AF97AD0"/>
    <w:rsid w:val="2B163BA8"/>
    <w:rsid w:val="2B432CB7"/>
    <w:rsid w:val="2B5252AC"/>
    <w:rsid w:val="2B694EC9"/>
    <w:rsid w:val="2B732DA8"/>
    <w:rsid w:val="2B7874B7"/>
    <w:rsid w:val="2BBA09D7"/>
    <w:rsid w:val="2BC8683E"/>
    <w:rsid w:val="2BD8709E"/>
    <w:rsid w:val="2BE11C14"/>
    <w:rsid w:val="2C0E0D23"/>
    <w:rsid w:val="2C1134D3"/>
    <w:rsid w:val="2C22032B"/>
    <w:rsid w:val="2C453FE1"/>
    <w:rsid w:val="2C566B76"/>
    <w:rsid w:val="2CA64B3B"/>
    <w:rsid w:val="2CC51310"/>
    <w:rsid w:val="2CD12FB2"/>
    <w:rsid w:val="2CE35D0C"/>
    <w:rsid w:val="2D07550B"/>
    <w:rsid w:val="2D4227EC"/>
    <w:rsid w:val="2D684463"/>
    <w:rsid w:val="2D884B5E"/>
    <w:rsid w:val="2D9D18B8"/>
    <w:rsid w:val="2D9D49C2"/>
    <w:rsid w:val="2DA7679B"/>
    <w:rsid w:val="2DBF4891"/>
    <w:rsid w:val="2DD3689C"/>
    <w:rsid w:val="2DE318A3"/>
    <w:rsid w:val="2DF41ABE"/>
    <w:rsid w:val="2EF91CCE"/>
    <w:rsid w:val="2F0F4239"/>
    <w:rsid w:val="2F9D0B74"/>
    <w:rsid w:val="2FA84FEB"/>
    <w:rsid w:val="2FD82C2E"/>
    <w:rsid w:val="2FE15A93"/>
    <w:rsid w:val="3017479B"/>
    <w:rsid w:val="30183F1E"/>
    <w:rsid w:val="30C40563"/>
    <w:rsid w:val="30C47B2A"/>
    <w:rsid w:val="30D03C68"/>
    <w:rsid w:val="30FC3C5A"/>
    <w:rsid w:val="310C55BA"/>
    <w:rsid w:val="31120C66"/>
    <w:rsid w:val="31271F3F"/>
    <w:rsid w:val="315D6252"/>
    <w:rsid w:val="316D2048"/>
    <w:rsid w:val="31755CAF"/>
    <w:rsid w:val="31786637"/>
    <w:rsid w:val="31B0547E"/>
    <w:rsid w:val="31EA386E"/>
    <w:rsid w:val="32376215"/>
    <w:rsid w:val="32E15A65"/>
    <w:rsid w:val="32FB0021"/>
    <w:rsid w:val="331C4B10"/>
    <w:rsid w:val="33423060"/>
    <w:rsid w:val="3360076A"/>
    <w:rsid w:val="33691CA7"/>
    <w:rsid w:val="339C09C3"/>
    <w:rsid w:val="34355450"/>
    <w:rsid w:val="345B6AD0"/>
    <w:rsid w:val="34666027"/>
    <w:rsid w:val="347D25A2"/>
    <w:rsid w:val="3481595B"/>
    <w:rsid w:val="34983880"/>
    <w:rsid w:val="35047229"/>
    <w:rsid w:val="35133FF2"/>
    <w:rsid w:val="356642F9"/>
    <w:rsid w:val="35902FF5"/>
    <w:rsid w:val="35CC4F9D"/>
    <w:rsid w:val="35FA1A5A"/>
    <w:rsid w:val="3608021E"/>
    <w:rsid w:val="360A3D0B"/>
    <w:rsid w:val="36320B42"/>
    <w:rsid w:val="36372C24"/>
    <w:rsid w:val="36486245"/>
    <w:rsid w:val="36655515"/>
    <w:rsid w:val="3667350A"/>
    <w:rsid w:val="367D1DCA"/>
    <w:rsid w:val="36B202D7"/>
    <w:rsid w:val="36CC58C2"/>
    <w:rsid w:val="36CD632E"/>
    <w:rsid w:val="36F6488E"/>
    <w:rsid w:val="37016E77"/>
    <w:rsid w:val="37045DA8"/>
    <w:rsid w:val="37114F57"/>
    <w:rsid w:val="37541FBF"/>
    <w:rsid w:val="37796717"/>
    <w:rsid w:val="3790083E"/>
    <w:rsid w:val="37E8067A"/>
    <w:rsid w:val="382E0604"/>
    <w:rsid w:val="387633F7"/>
    <w:rsid w:val="38DD29C9"/>
    <w:rsid w:val="39501943"/>
    <w:rsid w:val="39551D3F"/>
    <w:rsid w:val="39744E8F"/>
    <w:rsid w:val="3974648E"/>
    <w:rsid w:val="397E60B8"/>
    <w:rsid w:val="398954DB"/>
    <w:rsid w:val="3A07719E"/>
    <w:rsid w:val="3A110855"/>
    <w:rsid w:val="3A2F6E3A"/>
    <w:rsid w:val="3A494021"/>
    <w:rsid w:val="3A613565"/>
    <w:rsid w:val="3AAE2615"/>
    <w:rsid w:val="3AAE72D0"/>
    <w:rsid w:val="3B110AC8"/>
    <w:rsid w:val="3B514788"/>
    <w:rsid w:val="3BDB4042"/>
    <w:rsid w:val="3C263095"/>
    <w:rsid w:val="3C331066"/>
    <w:rsid w:val="3C37572C"/>
    <w:rsid w:val="3C642299"/>
    <w:rsid w:val="3C8C1F1C"/>
    <w:rsid w:val="3C9963E7"/>
    <w:rsid w:val="3CC531BB"/>
    <w:rsid w:val="3D12324D"/>
    <w:rsid w:val="3D3750E4"/>
    <w:rsid w:val="3D4A2BD7"/>
    <w:rsid w:val="3D5D2084"/>
    <w:rsid w:val="3D696D70"/>
    <w:rsid w:val="3D8501AF"/>
    <w:rsid w:val="3DBE51F4"/>
    <w:rsid w:val="3E09134A"/>
    <w:rsid w:val="3E311CEF"/>
    <w:rsid w:val="3E364B1F"/>
    <w:rsid w:val="3E41232F"/>
    <w:rsid w:val="3E561EDD"/>
    <w:rsid w:val="3E735E97"/>
    <w:rsid w:val="3E7E15CB"/>
    <w:rsid w:val="3E8F178D"/>
    <w:rsid w:val="3EBA1C45"/>
    <w:rsid w:val="3EE524F5"/>
    <w:rsid w:val="3EF30213"/>
    <w:rsid w:val="3EFF6336"/>
    <w:rsid w:val="3F3B5533"/>
    <w:rsid w:val="3F762A0F"/>
    <w:rsid w:val="3F77274D"/>
    <w:rsid w:val="3F8955E2"/>
    <w:rsid w:val="3F9F48BC"/>
    <w:rsid w:val="3FB11602"/>
    <w:rsid w:val="3FF40D85"/>
    <w:rsid w:val="3FF52FF7"/>
    <w:rsid w:val="403D52DB"/>
    <w:rsid w:val="4065141A"/>
    <w:rsid w:val="40972C3D"/>
    <w:rsid w:val="40A9159E"/>
    <w:rsid w:val="40D6479F"/>
    <w:rsid w:val="40D73989"/>
    <w:rsid w:val="41540B2E"/>
    <w:rsid w:val="416E58B5"/>
    <w:rsid w:val="41713269"/>
    <w:rsid w:val="418C02C8"/>
    <w:rsid w:val="41B60C35"/>
    <w:rsid w:val="41D2693B"/>
    <w:rsid w:val="420E0479"/>
    <w:rsid w:val="42101548"/>
    <w:rsid w:val="42A321BA"/>
    <w:rsid w:val="42AF6223"/>
    <w:rsid w:val="42B40B8D"/>
    <w:rsid w:val="42D552A6"/>
    <w:rsid w:val="42DE76F8"/>
    <w:rsid w:val="43070703"/>
    <w:rsid w:val="432804C5"/>
    <w:rsid w:val="435B5C8B"/>
    <w:rsid w:val="44211D49"/>
    <w:rsid w:val="44395BA8"/>
    <w:rsid w:val="443A18C0"/>
    <w:rsid w:val="44546201"/>
    <w:rsid w:val="44623562"/>
    <w:rsid w:val="446D567D"/>
    <w:rsid w:val="44D52909"/>
    <w:rsid w:val="451E6F60"/>
    <w:rsid w:val="45230F44"/>
    <w:rsid w:val="45244DEA"/>
    <w:rsid w:val="454D267F"/>
    <w:rsid w:val="45561639"/>
    <w:rsid w:val="45A04342"/>
    <w:rsid w:val="45E618D3"/>
    <w:rsid w:val="46006454"/>
    <w:rsid w:val="461A31F0"/>
    <w:rsid w:val="461E293B"/>
    <w:rsid w:val="463759F2"/>
    <w:rsid w:val="464068A5"/>
    <w:rsid w:val="46771714"/>
    <w:rsid w:val="46D069DB"/>
    <w:rsid w:val="478D08F6"/>
    <w:rsid w:val="47B53649"/>
    <w:rsid w:val="47B839DD"/>
    <w:rsid w:val="47C63F1B"/>
    <w:rsid w:val="47C70DC3"/>
    <w:rsid w:val="47D91D8D"/>
    <w:rsid w:val="47F54DD0"/>
    <w:rsid w:val="483B59A8"/>
    <w:rsid w:val="485129D4"/>
    <w:rsid w:val="48635B9B"/>
    <w:rsid w:val="48687F8B"/>
    <w:rsid w:val="486C7D0F"/>
    <w:rsid w:val="48733F90"/>
    <w:rsid w:val="48AF080C"/>
    <w:rsid w:val="48B040AA"/>
    <w:rsid w:val="48BC6F7A"/>
    <w:rsid w:val="48C06AA9"/>
    <w:rsid w:val="48DA41A3"/>
    <w:rsid w:val="48F44CB0"/>
    <w:rsid w:val="4929464F"/>
    <w:rsid w:val="49377E0A"/>
    <w:rsid w:val="49641B2B"/>
    <w:rsid w:val="49705866"/>
    <w:rsid w:val="49A30A84"/>
    <w:rsid w:val="49A719F8"/>
    <w:rsid w:val="49AB21F9"/>
    <w:rsid w:val="49E429BB"/>
    <w:rsid w:val="49F7474D"/>
    <w:rsid w:val="4A2A2D74"/>
    <w:rsid w:val="4A391992"/>
    <w:rsid w:val="4A711A44"/>
    <w:rsid w:val="4A7F1CA4"/>
    <w:rsid w:val="4AA444DD"/>
    <w:rsid w:val="4AD00D02"/>
    <w:rsid w:val="4AD12E84"/>
    <w:rsid w:val="4AEB6C72"/>
    <w:rsid w:val="4B062C02"/>
    <w:rsid w:val="4B5A0DFF"/>
    <w:rsid w:val="4B5D4915"/>
    <w:rsid w:val="4B607D5D"/>
    <w:rsid w:val="4B666EF2"/>
    <w:rsid w:val="4B72175D"/>
    <w:rsid w:val="4BA744DE"/>
    <w:rsid w:val="4BBA6B91"/>
    <w:rsid w:val="4BCB4F4F"/>
    <w:rsid w:val="4BE56F53"/>
    <w:rsid w:val="4C113007"/>
    <w:rsid w:val="4C1534EB"/>
    <w:rsid w:val="4C3A3DFC"/>
    <w:rsid w:val="4C4F7938"/>
    <w:rsid w:val="4C7171D6"/>
    <w:rsid w:val="4C981BA5"/>
    <w:rsid w:val="4CA76874"/>
    <w:rsid w:val="4CAA5AA7"/>
    <w:rsid w:val="4CCB3C0C"/>
    <w:rsid w:val="4CD65FA1"/>
    <w:rsid w:val="4CE72AA2"/>
    <w:rsid w:val="4D1933A8"/>
    <w:rsid w:val="4D1D07EB"/>
    <w:rsid w:val="4D415C44"/>
    <w:rsid w:val="4D422183"/>
    <w:rsid w:val="4D534390"/>
    <w:rsid w:val="4D72553A"/>
    <w:rsid w:val="4D752F5C"/>
    <w:rsid w:val="4DDA05B4"/>
    <w:rsid w:val="4DDF729F"/>
    <w:rsid w:val="4DF15B8B"/>
    <w:rsid w:val="4E2E5C98"/>
    <w:rsid w:val="4E361CE8"/>
    <w:rsid w:val="4E4C452A"/>
    <w:rsid w:val="4E5E5E11"/>
    <w:rsid w:val="4E98699E"/>
    <w:rsid w:val="4EC56BC8"/>
    <w:rsid w:val="4ED23FAB"/>
    <w:rsid w:val="4ED4505D"/>
    <w:rsid w:val="4F035942"/>
    <w:rsid w:val="4F184107"/>
    <w:rsid w:val="4F277882"/>
    <w:rsid w:val="4F2C6C47"/>
    <w:rsid w:val="4F391364"/>
    <w:rsid w:val="4FEC4D9A"/>
    <w:rsid w:val="4FF363B3"/>
    <w:rsid w:val="4FFA0C09"/>
    <w:rsid w:val="50146059"/>
    <w:rsid w:val="50221520"/>
    <w:rsid w:val="503448AC"/>
    <w:rsid w:val="50542452"/>
    <w:rsid w:val="50CC6933"/>
    <w:rsid w:val="513444D8"/>
    <w:rsid w:val="515C73AB"/>
    <w:rsid w:val="517D392F"/>
    <w:rsid w:val="51A4105B"/>
    <w:rsid w:val="51A73BDA"/>
    <w:rsid w:val="51BF1745"/>
    <w:rsid w:val="51BF53BC"/>
    <w:rsid w:val="51F24178"/>
    <w:rsid w:val="521248BB"/>
    <w:rsid w:val="521A3F9A"/>
    <w:rsid w:val="521E6D6F"/>
    <w:rsid w:val="52726854"/>
    <w:rsid w:val="52892D63"/>
    <w:rsid w:val="52943808"/>
    <w:rsid w:val="52AD4542"/>
    <w:rsid w:val="52AF0E96"/>
    <w:rsid w:val="52B15DE1"/>
    <w:rsid w:val="530A7B81"/>
    <w:rsid w:val="5311062D"/>
    <w:rsid w:val="53201D9E"/>
    <w:rsid w:val="53582DD5"/>
    <w:rsid w:val="537A5AB3"/>
    <w:rsid w:val="53810C3C"/>
    <w:rsid w:val="538A7402"/>
    <w:rsid w:val="539D0697"/>
    <w:rsid w:val="53A776AF"/>
    <w:rsid w:val="53BD5A86"/>
    <w:rsid w:val="5422686A"/>
    <w:rsid w:val="54674D33"/>
    <w:rsid w:val="54905ECA"/>
    <w:rsid w:val="54D67173"/>
    <w:rsid w:val="54E44444"/>
    <w:rsid w:val="54E96FFA"/>
    <w:rsid w:val="55082CF1"/>
    <w:rsid w:val="5565727A"/>
    <w:rsid w:val="558C6691"/>
    <w:rsid w:val="55C16D48"/>
    <w:rsid w:val="55F93E70"/>
    <w:rsid w:val="5623033B"/>
    <w:rsid w:val="562F16B5"/>
    <w:rsid w:val="5658445F"/>
    <w:rsid w:val="567416FD"/>
    <w:rsid w:val="568F6108"/>
    <w:rsid w:val="56C17E88"/>
    <w:rsid w:val="56E85B49"/>
    <w:rsid w:val="572F19CA"/>
    <w:rsid w:val="573C7C43"/>
    <w:rsid w:val="577613A7"/>
    <w:rsid w:val="578053C5"/>
    <w:rsid w:val="5796247D"/>
    <w:rsid w:val="57AB3143"/>
    <w:rsid w:val="57B45C61"/>
    <w:rsid w:val="57D23373"/>
    <w:rsid w:val="58200405"/>
    <w:rsid w:val="5841508C"/>
    <w:rsid w:val="584D6A47"/>
    <w:rsid w:val="58617CCB"/>
    <w:rsid w:val="58710A75"/>
    <w:rsid w:val="587713FD"/>
    <w:rsid w:val="587F35E9"/>
    <w:rsid w:val="58873381"/>
    <w:rsid w:val="588D53BE"/>
    <w:rsid w:val="58A321B7"/>
    <w:rsid w:val="58A758D2"/>
    <w:rsid w:val="58B8779D"/>
    <w:rsid w:val="58D76A1B"/>
    <w:rsid w:val="58EA6DB5"/>
    <w:rsid w:val="59076B22"/>
    <w:rsid w:val="59232E69"/>
    <w:rsid w:val="59814033"/>
    <w:rsid w:val="59913E02"/>
    <w:rsid w:val="59C82464"/>
    <w:rsid w:val="59D406CA"/>
    <w:rsid w:val="59D606DD"/>
    <w:rsid w:val="59E9425F"/>
    <w:rsid w:val="5A1678B4"/>
    <w:rsid w:val="5A3B68D8"/>
    <w:rsid w:val="5A4B59E1"/>
    <w:rsid w:val="5A6E3589"/>
    <w:rsid w:val="5A8E2EAB"/>
    <w:rsid w:val="5A9009D2"/>
    <w:rsid w:val="5A9647D7"/>
    <w:rsid w:val="5A9814EF"/>
    <w:rsid w:val="5AA575EE"/>
    <w:rsid w:val="5B070568"/>
    <w:rsid w:val="5B240D2B"/>
    <w:rsid w:val="5B245060"/>
    <w:rsid w:val="5B2D4472"/>
    <w:rsid w:val="5B940065"/>
    <w:rsid w:val="5BA934CB"/>
    <w:rsid w:val="5BDC6BC1"/>
    <w:rsid w:val="5C001B87"/>
    <w:rsid w:val="5C440F79"/>
    <w:rsid w:val="5C4A5A4E"/>
    <w:rsid w:val="5C583771"/>
    <w:rsid w:val="5C58551F"/>
    <w:rsid w:val="5C8E6CC1"/>
    <w:rsid w:val="5C9D50BA"/>
    <w:rsid w:val="5C9F1CE6"/>
    <w:rsid w:val="5CC937C3"/>
    <w:rsid w:val="5CE41D02"/>
    <w:rsid w:val="5D453D32"/>
    <w:rsid w:val="5D585F58"/>
    <w:rsid w:val="5D5F61D4"/>
    <w:rsid w:val="5D6F1865"/>
    <w:rsid w:val="5D80551E"/>
    <w:rsid w:val="5DAA5341"/>
    <w:rsid w:val="5DC65EB1"/>
    <w:rsid w:val="5DD36402"/>
    <w:rsid w:val="5E0C4652"/>
    <w:rsid w:val="5E55246A"/>
    <w:rsid w:val="5E6350B6"/>
    <w:rsid w:val="5E7578B9"/>
    <w:rsid w:val="5EB6652D"/>
    <w:rsid w:val="5ECA1FD8"/>
    <w:rsid w:val="5F0B7BE8"/>
    <w:rsid w:val="5F0E774B"/>
    <w:rsid w:val="5F143DCA"/>
    <w:rsid w:val="5F166FCB"/>
    <w:rsid w:val="5F6707AE"/>
    <w:rsid w:val="5FA32AF4"/>
    <w:rsid w:val="5FA82935"/>
    <w:rsid w:val="5FE62E42"/>
    <w:rsid w:val="5FF60218"/>
    <w:rsid w:val="60194FC5"/>
    <w:rsid w:val="603C7BC2"/>
    <w:rsid w:val="60423FDD"/>
    <w:rsid w:val="607C7302"/>
    <w:rsid w:val="60A65ACE"/>
    <w:rsid w:val="60B45C03"/>
    <w:rsid w:val="60CC0E5E"/>
    <w:rsid w:val="60E84351"/>
    <w:rsid w:val="610775F2"/>
    <w:rsid w:val="613850FE"/>
    <w:rsid w:val="614B10EF"/>
    <w:rsid w:val="61695AD8"/>
    <w:rsid w:val="616A6FEE"/>
    <w:rsid w:val="617040BA"/>
    <w:rsid w:val="61CB7501"/>
    <w:rsid w:val="61E13DED"/>
    <w:rsid w:val="61F84AAE"/>
    <w:rsid w:val="623205C0"/>
    <w:rsid w:val="62A23DBC"/>
    <w:rsid w:val="62D00E2B"/>
    <w:rsid w:val="63007C6E"/>
    <w:rsid w:val="63162A0E"/>
    <w:rsid w:val="635941B3"/>
    <w:rsid w:val="636E73D6"/>
    <w:rsid w:val="63727074"/>
    <w:rsid w:val="63B82D47"/>
    <w:rsid w:val="6429050D"/>
    <w:rsid w:val="64722EF6"/>
    <w:rsid w:val="6482125C"/>
    <w:rsid w:val="649317EA"/>
    <w:rsid w:val="649B244D"/>
    <w:rsid w:val="649E2C2E"/>
    <w:rsid w:val="64A305A4"/>
    <w:rsid w:val="64C02086"/>
    <w:rsid w:val="64D464F7"/>
    <w:rsid w:val="658925AF"/>
    <w:rsid w:val="658A6077"/>
    <w:rsid w:val="65A16D5B"/>
    <w:rsid w:val="65AC3028"/>
    <w:rsid w:val="65B131D7"/>
    <w:rsid w:val="65C221ED"/>
    <w:rsid w:val="65C77271"/>
    <w:rsid w:val="65CF790C"/>
    <w:rsid w:val="6610648F"/>
    <w:rsid w:val="662F72F1"/>
    <w:rsid w:val="66CB2AEA"/>
    <w:rsid w:val="66F347C2"/>
    <w:rsid w:val="66F9345B"/>
    <w:rsid w:val="67346EF9"/>
    <w:rsid w:val="6772399F"/>
    <w:rsid w:val="6780006F"/>
    <w:rsid w:val="68064782"/>
    <w:rsid w:val="682E182A"/>
    <w:rsid w:val="683D1261"/>
    <w:rsid w:val="684D2239"/>
    <w:rsid w:val="689C77C3"/>
    <w:rsid w:val="689D146A"/>
    <w:rsid w:val="68AD274F"/>
    <w:rsid w:val="68B72DD1"/>
    <w:rsid w:val="68C87588"/>
    <w:rsid w:val="68E3749B"/>
    <w:rsid w:val="68F44821"/>
    <w:rsid w:val="691B0000"/>
    <w:rsid w:val="69915E00"/>
    <w:rsid w:val="69B30DDE"/>
    <w:rsid w:val="69BE6F9C"/>
    <w:rsid w:val="69FE2F40"/>
    <w:rsid w:val="6A274C05"/>
    <w:rsid w:val="6A3570B4"/>
    <w:rsid w:val="6A9B6E5E"/>
    <w:rsid w:val="6ACC3AEE"/>
    <w:rsid w:val="6AE54422"/>
    <w:rsid w:val="6B5415A7"/>
    <w:rsid w:val="6B6F7D47"/>
    <w:rsid w:val="6B9122C0"/>
    <w:rsid w:val="6BC77FCB"/>
    <w:rsid w:val="6BDE1D04"/>
    <w:rsid w:val="6BEE02A6"/>
    <w:rsid w:val="6C255848"/>
    <w:rsid w:val="6C2D4552"/>
    <w:rsid w:val="6C7A7724"/>
    <w:rsid w:val="6CBA2914"/>
    <w:rsid w:val="6CD77CDB"/>
    <w:rsid w:val="6D211C97"/>
    <w:rsid w:val="6D526662"/>
    <w:rsid w:val="6D5E25D6"/>
    <w:rsid w:val="6D6F26C8"/>
    <w:rsid w:val="6D971A88"/>
    <w:rsid w:val="6DA07690"/>
    <w:rsid w:val="6DB629AF"/>
    <w:rsid w:val="6DF56252"/>
    <w:rsid w:val="6E4C0C5C"/>
    <w:rsid w:val="6E557B10"/>
    <w:rsid w:val="6E7F2BD8"/>
    <w:rsid w:val="6E86573A"/>
    <w:rsid w:val="6EB82A9C"/>
    <w:rsid w:val="6EC425A0"/>
    <w:rsid w:val="6ECD3B4B"/>
    <w:rsid w:val="6EFB13D7"/>
    <w:rsid w:val="6F32730A"/>
    <w:rsid w:val="6F647730"/>
    <w:rsid w:val="6FAA2C9A"/>
    <w:rsid w:val="6FE34182"/>
    <w:rsid w:val="702E15A7"/>
    <w:rsid w:val="70391C75"/>
    <w:rsid w:val="70466C1E"/>
    <w:rsid w:val="705C256B"/>
    <w:rsid w:val="709F46F4"/>
    <w:rsid w:val="70A72179"/>
    <w:rsid w:val="70AD3BBF"/>
    <w:rsid w:val="70C15F93"/>
    <w:rsid w:val="70C62A07"/>
    <w:rsid w:val="70F742B6"/>
    <w:rsid w:val="7139323E"/>
    <w:rsid w:val="717A73C6"/>
    <w:rsid w:val="71905F08"/>
    <w:rsid w:val="71947E7C"/>
    <w:rsid w:val="71C54519"/>
    <w:rsid w:val="722A12B4"/>
    <w:rsid w:val="723C4228"/>
    <w:rsid w:val="723D59A0"/>
    <w:rsid w:val="723E08BB"/>
    <w:rsid w:val="72783DCD"/>
    <w:rsid w:val="72E87B77"/>
    <w:rsid w:val="72E91A28"/>
    <w:rsid w:val="73682094"/>
    <w:rsid w:val="739E7864"/>
    <w:rsid w:val="73D6524F"/>
    <w:rsid w:val="74334785"/>
    <w:rsid w:val="74382034"/>
    <w:rsid w:val="743D52CE"/>
    <w:rsid w:val="7453486F"/>
    <w:rsid w:val="745A4405"/>
    <w:rsid w:val="74624D35"/>
    <w:rsid w:val="74A120DE"/>
    <w:rsid w:val="74B01238"/>
    <w:rsid w:val="74B775E4"/>
    <w:rsid w:val="74F636CF"/>
    <w:rsid w:val="750B1640"/>
    <w:rsid w:val="752E6281"/>
    <w:rsid w:val="75630D65"/>
    <w:rsid w:val="75916DBA"/>
    <w:rsid w:val="759C2B4E"/>
    <w:rsid w:val="75B41093"/>
    <w:rsid w:val="75ED4AD2"/>
    <w:rsid w:val="76235AB3"/>
    <w:rsid w:val="769D3E02"/>
    <w:rsid w:val="76CE06C3"/>
    <w:rsid w:val="76E67008"/>
    <w:rsid w:val="76EA428A"/>
    <w:rsid w:val="76FD5BC9"/>
    <w:rsid w:val="77967EC6"/>
    <w:rsid w:val="77B36564"/>
    <w:rsid w:val="77C91904"/>
    <w:rsid w:val="77DD61A7"/>
    <w:rsid w:val="77E13C28"/>
    <w:rsid w:val="783919C4"/>
    <w:rsid w:val="78686692"/>
    <w:rsid w:val="7886232A"/>
    <w:rsid w:val="78CE3C59"/>
    <w:rsid w:val="78D00495"/>
    <w:rsid w:val="78D84E70"/>
    <w:rsid w:val="78FA1F51"/>
    <w:rsid w:val="790B2F23"/>
    <w:rsid w:val="790F0BA1"/>
    <w:rsid w:val="792C5912"/>
    <w:rsid w:val="792C5A3B"/>
    <w:rsid w:val="795067BF"/>
    <w:rsid w:val="797D7F1B"/>
    <w:rsid w:val="79983CE7"/>
    <w:rsid w:val="799F62BB"/>
    <w:rsid w:val="79FA6E97"/>
    <w:rsid w:val="7A146AD1"/>
    <w:rsid w:val="7A597865"/>
    <w:rsid w:val="7A806576"/>
    <w:rsid w:val="7AB145C7"/>
    <w:rsid w:val="7ABC137E"/>
    <w:rsid w:val="7ACA3634"/>
    <w:rsid w:val="7B15298F"/>
    <w:rsid w:val="7B1665E7"/>
    <w:rsid w:val="7B1C5653"/>
    <w:rsid w:val="7B3F380D"/>
    <w:rsid w:val="7B7E06B1"/>
    <w:rsid w:val="7B986019"/>
    <w:rsid w:val="7BC06797"/>
    <w:rsid w:val="7BC57FE0"/>
    <w:rsid w:val="7BE73FF9"/>
    <w:rsid w:val="7BEB3862"/>
    <w:rsid w:val="7BFE5B74"/>
    <w:rsid w:val="7C3A173F"/>
    <w:rsid w:val="7C4A0BE1"/>
    <w:rsid w:val="7C55517F"/>
    <w:rsid w:val="7C6106D5"/>
    <w:rsid w:val="7C6737CC"/>
    <w:rsid w:val="7CA8537C"/>
    <w:rsid w:val="7CB83DD0"/>
    <w:rsid w:val="7CC01DE0"/>
    <w:rsid w:val="7CC66242"/>
    <w:rsid w:val="7CE16335"/>
    <w:rsid w:val="7D337B48"/>
    <w:rsid w:val="7D7178C9"/>
    <w:rsid w:val="7D8A3184"/>
    <w:rsid w:val="7D9B4E14"/>
    <w:rsid w:val="7DB879AC"/>
    <w:rsid w:val="7DD30733"/>
    <w:rsid w:val="7DE06EA2"/>
    <w:rsid w:val="7DF369FE"/>
    <w:rsid w:val="7E0C7ECD"/>
    <w:rsid w:val="7E4B3379"/>
    <w:rsid w:val="7E68201D"/>
    <w:rsid w:val="7E69680B"/>
    <w:rsid w:val="7E7976F3"/>
    <w:rsid w:val="7E7B76A5"/>
    <w:rsid w:val="7E9006F1"/>
    <w:rsid w:val="7F0059D4"/>
    <w:rsid w:val="7F3B58F3"/>
    <w:rsid w:val="7F4D74FA"/>
    <w:rsid w:val="7F6A7154"/>
    <w:rsid w:val="7F963AE5"/>
    <w:rsid w:val="7F9E4F0B"/>
    <w:rsid w:val="7FB421BD"/>
    <w:rsid w:val="7FC91006"/>
    <w:rsid w:val="7FDE4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5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1"/>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link w:val="48"/>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0"/>
    <w:qFormat/>
    <w:uiPriority w:val="0"/>
    <w:rPr>
      <w:sz w:val="18"/>
      <w:szCs w:val="18"/>
    </w:rPr>
  </w:style>
  <w:style w:type="paragraph" w:styleId="13">
    <w:name w:val="footer"/>
    <w:basedOn w:val="1"/>
    <w:link w:val="46"/>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footnote text"/>
    <w:basedOn w:val="1"/>
    <w:next w:val="17"/>
    <w:qFormat/>
    <w:uiPriority w:val="0"/>
    <w:pPr>
      <w:widowControl/>
      <w:tabs>
        <w:tab w:val="left" w:pos="420"/>
      </w:tabs>
      <w:snapToGrid w:val="0"/>
      <w:jc w:val="left"/>
    </w:pPr>
    <w:rPr>
      <w:rFonts w:ascii="Calibri"/>
      <w:sz w:val="18"/>
      <w:szCs w:val="18"/>
    </w:rPr>
  </w:style>
  <w:style w:type="paragraph" w:styleId="17">
    <w:name w:val="Body Text First Indent 2"/>
    <w:basedOn w:val="8"/>
    <w:qFormat/>
    <w:uiPriority w:val="0"/>
    <w:pPr>
      <w:tabs>
        <w:tab w:val="left" w:pos="420"/>
      </w:tabs>
    </w:pPr>
  </w:style>
  <w:style w:type="paragraph" w:styleId="18">
    <w:name w:val="Body Text Indent 3"/>
    <w:basedOn w:val="1"/>
    <w:qFormat/>
    <w:uiPriority w:val="0"/>
    <w:pPr>
      <w:spacing w:after="120"/>
      <w:ind w:left="420" w:leftChars="200"/>
    </w:pPr>
    <w:rPr>
      <w:sz w:val="16"/>
      <w:szCs w:val="16"/>
    </w:rPr>
  </w:style>
  <w:style w:type="paragraph" w:styleId="19">
    <w:name w:val="toc 2"/>
    <w:basedOn w:val="1"/>
    <w:next w:val="1"/>
    <w:qFormat/>
    <w:uiPriority w:val="0"/>
    <w:pPr>
      <w:ind w:left="420" w:leftChars="200"/>
    </w:pPr>
  </w:style>
  <w:style w:type="paragraph" w:styleId="20">
    <w:name w:val="Normal (Web)"/>
    <w:basedOn w:val="1"/>
    <w:qFormat/>
    <w:uiPriority w:val="0"/>
    <w:pPr>
      <w:widowControl/>
      <w:spacing w:before="100" w:beforeAutospacing="1" w:after="100" w:afterAutospacing="1"/>
      <w:jc w:val="left"/>
    </w:pPr>
    <w:rPr>
      <w:rFonts w:ascii="宋体" w:hAnsi="宋体"/>
      <w:color w:val="000000"/>
      <w:kern w:val="0"/>
      <w:sz w:val="24"/>
    </w:rPr>
  </w:style>
  <w:style w:type="paragraph" w:styleId="21">
    <w:name w:val="Title"/>
    <w:basedOn w:val="1"/>
    <w:next w:val="1"/>
    <w:qFormat/>
    <w:uiPriority w:val="0"/>
    <w:pPr>
      <w:spacing w:before="240" w:after="60"/>
      <w:jc w:val="center"/>
      <w:outlineLvl w:val="0"/>
    </w:pPr>
    <w:rPr>
      <w:rFonts w:asciiTheme="majorHAnsi" w:hAnsiTheme="majorHAnsi" w:cstheme="majorBidi"/>
      <w:b/>
      <w:bCs/>
      <w:sz w:val="32"/>
      <w:szCs w:val="32"/>
    </w:rPr>
  </w:style>
  <w:style w:type="paragraph" w:styleId="22">
    <w:name w:val="Body Text First Indent"/>
    <w:basedOn w:val="7"/>
    <w:qFormat/>
    <w:uiPriority w:val="0"/>
    <w:pPr>
      <w:ind w:firstLine="420" w:firstLineChars="100"/>
    </w:pPr>
    <w:rPr>
      <w:sz w:val="20"/>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32">
    <w:name w:val="_Style 3"/>
    <w:next w:val="1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List Paragraph"/>
    <w:basedOn w:val="1"/>
    <w:qFormat/>
    <w:uiPriority w:val="0"/>
    <w:pPr>
      <w:ind w:firstLine="420" w:firstLineChars="200"/>
    </w:pPr>
    <w:rPr>
      <w:rFonts w:ascii="Calibri" w:hAnsi="Calibri"/>
      <w:szCs w:val="22"/>
    </w:rPr>
  </w:style>
  <w:style w:type="paragraph" w:customStyle="1" w:styleId="3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7">
    <w:name w:val="p16"/>
    <w:basedOn w:val="1"/>
    <w:qFormat/>
    <w:uiPriority w:val="0"/>
    <w:pPr>
      <w:widowControl/>
    </w:pPr>
    <w:rPr>
      <w:rFonts w:ascii="宋体" w:hAnsi="宋体" w:cs="宋体"/>
      <w:kern w:val="0"/>
      <w:szCs w:val="21"/>
    </w:rPr>
  </w:style>
  <w:style w:type="paragraph" w:customStyle="1" w:styleId="38">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NormalCharacter"/>
    <w:qFormat/>
    <w:uiPriority w:val="0"/>
  </w:style>
  <w:style w:type="character" w:customStyle="1" w:styleId="40">
    <w:name w:val="批注框文本 Char"/>
    <w:basedOn w:val="25"/>
    <w:link w:val="12"/>
    <w:qFormat/>
    <w:uiPriority w:val="0"/>
    <w:rPr>
      <w:rFonts w:ascii="Times New Roman" w:hAnsi="Times New Roman" w:eastAsia="宋体" w:cs="Times New Roman"/>
      <w:kern w:val="2"/>
      <w:sz w:val="18"/>
      <w:szCs w:val="18"/>
    </w:rPr>
  </w:style>
  <w:style w:type="character" w:customStyle="1" w:styleId="41">
    <w:name w:val="标题 3 Char"/>
    <w:basedOn w:val="25"/>
    <w:link w:val="4"/>
    <w:semiHidden/>
    <w:qFormat/>
    <w:uiPriority w:val="0"/>
    <w:rPr>
      <w:rFonts w:ascii="Times New Roman" w:hAnsi="Times New Roman" w:eastAsia="宋体" w:cs="Times New Roman"/>
      <w:b/>
      <w:bCs/>
      <w:kern w:val="2"/>
      <w:sz w:val="32"/>
      <w:szCs w:val="32"/>
    </w:rPr>
  </w:style>
  <w:style w:type="paragraph" w:customStyle="1" w:styleId="42">
    <w:name w:val="--规划正文"/>
    <w:basedOn w:val="1"/>
    <w:qFormat/>
    <w:uiPriority w:val="0"/>
    <w:pPr>
      <w:spacing w:line="360" w:lineRule="auto"/>
      <w:ind w:firstLine="200" w:firstLineChars="200"/>
    </w:pPr>
    <w:rPr>
      <w:rFonts w:ascii="宋体"/>
      <w:kern w:val="0"/>
      <w:sz w:val="24"/>
      <w:szCs w:val="20"/>
    </w:rPr>
  </w:style>
  <w:style w:type="paragraph" w:customStyle="1" w:styleId="43">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4">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6">
    <w:name w:val="页脚 Char"/>
    <w:basedOn w:val="25"/>
    <w:link w:val="13"/>
    <w:qFormat/>
    <w:uiPriority w:val="99"/>
    <w:rPr>
      <w:rFonts w:ascii="Times New Roman" w:hAnsi="Times New Roman" w:eastAsia="宋体" w:cs="Times New Roman"/>
      <w:kern w:val="2"/>
      <w:sz w:val="18"/>
      <w:szCs w:val="18"/>
    </w:rPr>
  </w:style>
  <w:style w:type="paragraph" w:customStyle="1" w:styleId="47">
    <w:name w:val="Table Paragraph"/>
    <w:basedOn w:val="1"/>
    <w:qFormat/>
    <w:uiPriority w:val="1"/>
    <w:pPr>
      <w:spacing w:before="58"/>
    </w:pPr>
    <w:rPr>
      <w:rFonts w:ascii="华文仿宋" w:hAnsi="华文仿宋" w:eastAsia="华文仿宋" w:cs="华文仿宋"/>
      <w:lang w:val="zh-CN" w:bidi="zh-CN"/>
    </w:rPr>
  </w:style>
  <w:style w:type="character" w:customStyle="1" w:styleId="48">
    <w:name w:val="正文文本 Char"/>
    <w:basedOn w:val="25"/>
    <w:link w:val="7"/>
    <w:qFormat/>
    <w:uiPriority w:val="0"/>
    <w:rPr>
      <w:rFonts w:ascii="Times New Roman" w:hAnsi="Times New Roman" w:eastAsia="宋体" w:cs="Times New Roman"/>
      <w:kern w:val="2"/>
      <w:sz w:val="21"/>
      <w:szCs w:val="24"/>
    </w:rPr>
  </w:style>
  <w:style w:type="paragraph" w:customStyle="1" w:styleId="49">
    <w:name w:val="正文文本_0"/>
    <w:basedOn w:val="1"/>
    <w:qFormat/>
    <w:uiPriority w:val="0"/>
    <w:pPr>
      <w:spacing w:after="120" w:line="276" w:lineRule="auto"/>
    </w:pPr>
    <w:rPr>
      <w:rFonts w:ascii="Tahoma" w:hAnsi="Tahoma"/>
      <w:kern w:val="0"/>
      <w:sz w:val="20"/>
      <w:szCs w:val="20"/>
    </w:rPr>
  </w:style>
  <w:style w:type="paragraph" w:customStyle="1" w:styleId="50">
    <w:name w:val="普通(网站)1"/>
    <w:basedOn w:val="1"/>
    <w:qFormat/>
    <w:uiPriority w:val="0"/>
    <w:pPr>
      <w:widowControl/>
    </w:pPr>
    <w:rPr>
      <w:rFonts w:hAnsi="宋体"/>
      <w:sz w:val="15"/>
      <w:szCs w:val="15"/>
    </w:rPr>
  </w:style>
  <w:style w:type="character" w:customStyle="1" w:styleId="51">
    <w:name w:val="p141"/>
    <w:qFormat/>
    <w:uiPriority w:val="99"/>
    <w:rPr>
      <w:sz w:val="21"/>
    </w:rPr>
  </w:style>
  <w:style w:type="character" w:customStyle="1" w:styleId="52">
    <w:name w:val="标题 2 Char1"/>
    <w:link w:val="3"/>
    <w:qFormat/>
    <w:locked/>
    <w:uiPriority w:val="0"/>
    <w:rPr>
      <w:rFonts w:ascii="Arial" w:hAnsi="Arial" w:eastAsia="黑体"/>
      <w:b/>
      <w:bCs/>
      <w:sz w:val="32"/>
      <w:szCs w:val="32"/>
    </w:rPr>
  </w:style>
  <w:style w:type="paragraph" w:customStyle="1" w:styleId="53">
    <w:name w:val="表格文字"/>
    <w:basedOn w:val="1"/>
    <w:qFormat/>
    <w:uiPriority w:val="0"/>
    <w:pPr>
      <w:spacing w:before="25" w:after="25"/>
    </w:pPr>
    <w:rPr>
      <w:bCs/>
      <w:spacing w:val="10"/>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paragraph" w:customStyle="1" w:styleId="59">
    <w:name w:val="方案正文"/>
    <w:basedOn w:val="1"/>
    <w:qFormat/>
    <w:uiPriority w:val="0"/>
    <w:pPr>
      <w:spacing w:line="360" w:lineRule="auto"/>
      <w:ind w:firstLine="200" w:firstLineChars="200"/>
    </w:pPr>
    <w:rPr>
      <w:rFonts w:ascii="仿宋_GB2312" w:hAnsi="仿宋_GB2312"/>
      <w:sz w:val="24"/>
    </w:rPr>
  </w:style>
  <w:style w:type="paragraph" w:customStyle="1" w:styleId="60">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46</Pages>
  <Words>14312</Words>
  <Characters>14775</Characters>
  <Lines>93</Lines>
  <Paragraphs>26</Paragraphs>
  <TotalTime>2</TotalTime>
  <ScaleCrop>false</ScaleCrop>
  <LinksUpToDate>false</LinksUpToDate>
  <CharactersWithSpaces>14850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鱼仔「He－R」</cp:lastModifiedBy>
  <cp:lastPrinted>2023-02-16T02:52:00Z</cp:lastPrinted>
  <dcterms:modified xsi:type="dcterms:W3CDTF">2026-09-30T07:37:56Z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CA5D52E984A64F6AB4CB898AA9572531_13</vt:lpwstr>
  </property>
  <property fmtid="{D5CDD505-2E9C-101B-9397-08002B2CF9AE}" pid="4" name="KSOTemplateDocerSaveRecord">
    <vt:lpwstr>eyJoZGlkIjoiZDgyNjdjMzRjYzgyMWQwYjU1ZWJhNTg4NWQ1MjlmZGYiLCJ1c2VySWQiOiI0Mjc4NDMwNDgifQ==</vt:lpwstr>
  </property>
</Properties>
</file>