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F4525">
      <w:pPr>
        <w:jc w:val="center"/>
        <w:rPr>
          <w:rFonts w:ascii="宋体" w:hAnsi="宋体"/>
          <w:b/>
          <w:color w:val="auto"/>
          <w:kern w:val="0"/>
          <w:sz w:val="48"/>
          <w:szCs w:val="48"/>
        </w:rPr>
      </w:pPr>
    </w:p>
    <w:p w14:paraId="7F78D485">
      <w:pPr>
        <w:jc w:val="center"/>
        <w:rPr>
          <w:rFonts w:ascii="宋体" w:hAnsi="宋体"/>
          <w:b/>
          <w:color w:val="auto"/>
          <w:kern w:val="0"/>
          <w:sz w:val="48"/>
          <w:szCs w:val="48"/>
        </w:rPr>
      </w:pPr>
    </w:p>
    <w:p w14:paraId="2262CEB0">
      <w:pPr>
        <w:jc w:val="center"/>
        <w:rPr>
          <w:rFonts w:ascii="宋体" w:hAnsi="宋体"/>
          <w:b/>
          <w:color w:val="auto"/>
          <w:kern w:val="0"/>
          <w:sz w:val="48"/>
          <w:szCs w:val="48"/>
        </w:rPr>
      </w:pPr>
    </w:p>
    <w:p w14:paraId="577E7287">
      <w:pPr>
        <w:spacing w:line="720" w:lineRule="auto"/>
        <w:jc w:val="center"/>
        <w:outlineLvl w:val="0"/>
        <w:rPr>
          <w:rFonts w:ascii="宋体" w:hAnsi="宋体"/>
          <w:b/>
          <w:color w:val="auto"/>
          <w:kern w:val="0"/>
          <w:sz w:val="52"/>
          <w:szCs w:val="52"/>
        </w:rPr>
      </w:pPr>
      <w:bookmarkStart w:id="0" w:name="_Toc21682"/>
      <w:bookmarkStart w:id="1" w:name="_Toc15440"/>
      <w:bookmarkStart w:id="2" w:name="_Toc7500"/>
      <w:bookmarkStart w:id="3" w:name="_Toc28462"/>
      <w:bookmarkStart w:id="4" w:name="_Toc32384"/>
      <w:bookmarkStart w:id="5" w:name="_Toc27889"/>
      <w:bookmarkStart w:id="6" w:name="_Toc7601"/>
      <w:bookmarkStart w:id="7" w:name="_Toc8692"/>
      <w:bookmarkStart w:id="8" w:name="_Toc27377"/>
      <w:bookmarkStart w:id="9" w:name="_Toc2082"/>
      <w:bookmarkStart w:id="10" w:name="_Toc7317"/>
      <w:bookmarkStart w:id="11" w:name="_Toc11537"/>
      <w:r>
        <w:rPr>
          <w:rFonts w:hint="eastAsia" w:ascii="宋体" w:hAnsi="宋体"/>
          <w:b/>
          <w:color w:val="auto"/>
          <w:kern w:val="0"/>
          <w:sz w:val="52"/>
          <w:szCs w:val="52"/>
        </w:rPr>
        <w:t>南方医科大学第五附属医院</w:t>
      </w:r>
      <w:bookmarkEnd w:id="0"/>
      <w:bookmarkEnd w:id="1"/>
      <w:bookmarkEnd w:id="2"/>
      <w:bookmarkEnd w:id="3"/>
      <w:bookmarkEnd w:id="4"/>
      <w:bookmarkEnd w:id="5"/>
      <w:bookmarkEnd w:id="6"/>
      <w:bookmarkEnd w:id="7"/>
      <w:bookmarkEnd w:id="8"/>
      <w:bookmarkEnd w:id="9"/>
      <w:bookmarkEnd w:id="10"/>
      <w:bookmarkEnd w:id="11"/>
    </w:p>
    <w:p w14:paraId="100D9515">
      <w:pPr>
        <w:numPr>
          <w:ilvl w:val="255"/>
          <w:numId w:val="0"/>
        </w:numPr>
        <w:spacing w:line="720" w:lineRule="auto"/>
        <w:jc w:val="center"/>
        <w:outlineLvl w:val="0"/>
        <w:rPr>
          <w:rFonts w:ascii="宋体" w:hAnsi="宋体"/>
          <w:b/>
          <w:color w:val="auto"/>
          <w:kern w:val="0"/>
          <w:sz w:val="52"/>
          <w:szCs w:val="52"/>
        </w:rPr>
      </w:pPr>
      <w:bookmarkStart w:id="12" w:name="_Toc13536"/>
      <w:bookmarkStart w:id="13" w:name="_Toc20719"/>
      <w:bookmarkStart w:id="14" w:name="_Toc5223"/>
      <w:bookmarkStart w:id="15" w:name="_Toc16504"/>
      <w:bookmarkStart w:id="16" w:name="_Toc1392"/>
      <w:bookmarkStart w:id="17" w:name="_Toc9543"/>
      <w:bookmarkStart w:id="18" w:name="_Toc17289"/>
      <w:bookmarkStart w:id="19" w:name="_Toc6352"/>
      <w:bookmarkStart w:id="20" w:name="_Toc21588"/>
      <w:bookmarkStart w:id="21" w:name="_Toc8689"/>
      <w:r>
        <w:rPr>
          <w:rFonts w:hint="eastAsia" w:ascii="宋体" w:hAnsi="宋体"/>
          <w:b/>
          <w:color w:val="auto"/>
          <w:kern w:val="0"/>
          <w:sz w:val="52"/>
          <w:szCs w:val="52"/>
        </w:rPr>
        <w:t>污水处理系统维护保养服务项目</w:t>
      </w:r>
      <w:bookmarkEnd w:id="12"/>
      <w:bookmarkEnd w:id="13"/>
    </w:p>
    <w:bookmarkEnd w:id="14"/>
    <w:bookmarkEnd w:id="15"/>
    <w:p w14:paraId="67F3CD93">
      <w:pPr>
        <w:spacing w:line="480" w:lineRule="auto"/>
        <w:jc w:val="center"/>
        <w:outlineLvl w:val="0"/>
        <w:rPr>
          <w:rFonts w:ascii="宋体" w:hAnsi="宋体"/>
          <w:b/>
          <w:bCs/>
          <w:color w:val="auto"/>
          <w:sz w:val="44"/>
          <w:szCs w:val="44"/>
        </w:rPr>
      </w:pPr>
      <w:bookmarkStart w:id="22" w:name="_Toc6913"/>
      <w:bookmarkStart w:id="23" w:name="_Toc405"/>
    </w:p>
    <w:p w14:paraId="39C598BD">
      <w:pPr>
        <w:spacing w:line="480" w:lineRule="auto"/>
        <w:jc w:val="center"/>
        <w:outlineLvl w:val="0"/>
        <w:rPr>
          <w:rFonts w:ascii="宋体" w:hAnsi="宋体"/>
          <w:b/>
          <w:bCs/>
          <w:color w:val="auto"/>
          <w:sz w:val="44"/>
          <w:szCs w:val="44"/>
        </w:rPr>
      </w:pPr>
      <w:bookmarkStart w:id="24" w:name="_Toc23398"/>
      <w:bookmarkStart w:id="25" w:name="_Toc19822"/>
      <w:bookmarkStart w:id="26" w:name="_Toc23596"/>
      <w:bookmarkStart w:id="27" w:name="_Toc31297"/>
      <w:r>
        <w:rPr>
          <w:rFonts w:hint="eastAsia" w:ascii="宋体" w:hAnsi="宋体"/>
          <w:b/>
          <w:bCs/>
          <w:color w:val="auto"/>
          <w:sz w:val="44"/>
          <w:szCs w:val="44"/>
        </w:rPr>
        <w:t>院内采购文件</w:t>
      </w:r>
      <w:bookmarkEnd w:id="16"/>
      <w:bookmarkEnd w:id="17"/>
      <w:bookmarkEnd w:id="18"/>
      <w:bookmarkEnd w:id="19"/>
      <w:bookmarkEnd w:id="20"/>
      <w:bookmarkEnd w:id="21"/>
      <w:bookmarkEnd w:id="22"/>
      <w:bookmarkEnd w:id="23"/>
      <w:bookmarkEnd w:id="24"/>
      <w:bookmarkEnd w:id="25"/>
      <w:bookmarkEnd w:id="26"/>
      <w:bookmarkEnd w:id="27"/>
    </w:p>
    <w:p w14:paraId="5FCEABE4">
      <w:pPr>
        <w:spacing w:line="480" w:lineRule="auto"/>
        <w:ind w:firstLine="843" w:firstLineChars="300"/>
        <w:jc w:val="center"/>
        <w:rPr>
          <w:rFonts w:ascii="宋体" w:hAnsi="宋体"/>
          <w:b/>
          <w:bCs/>
          <w:color w:val="auto"/>
          <w:sz w:val="28"/>
          <w:szCs w:val="28"/>
        </w:rPr>
      </w:pPr>
    </w:p>
    <w:p w14:paraId="22D537E6">
      <w:pPr>
        <w:pStyle w:val="33"/>
        <w:rPr>
          <w:color w:val="auto"/>
        </w:rPr>
      </w:pPr>
    </w:p>
    <w:p w14:paraId="416FEF81">
      <w:pPr>
        <w:pStyle w:val="33"/>
        <w:rPr>
          <w:color w:val="auto"/>
        </w:rPr>
      </w:pPr>
    </w:p>
    <w:p w14:paraId="49489CB4">
      <w:pPr>
        <w:pStyle w:val="33"/>
        <w:rPr>
          <w:color w:val="auto"/>
        </w:rPr>
      </w:pPr>
    </w:p>
    <w:p w14:paraId="4866157A">
      <w:pPr>
        <w:pStyle w:val="33"/>
        <w:rPr>
          <w:color w:val="auto"/>
        </w:rPr>
      </w:pPr>
    </w:p>
    <w:p w14:paraId="2640B51D">
      <w:pPr>
        <w:pStyle w:val="33"/>
        <w:rPr>
          <w:color w:val="auto"/>
        </w:rPr>
      </w:pPr>
    </w:p>
    <w:p w14:paraId="1067DB5F">
      <w:pPr>
        <w:pStyle w:val="33"/>
        <w:spacing w:line="360" w:lineRule="auto"/>
        <w:rPr>
          <w:rFonts w:ascii="方正小标宋简体" w:hAnsi="宋体" w:eastAsia="方正小标宋简体"/>
          <w:color w:val="auto"/>
          <w:sz w:val="32"/>
        </w:rPr>
      </w:pPr>
    </w:p>
    <w:p w14:paraId="6ABAE812">
      <w:pPr>
        <w:adjustRightInd w:val="0"/>
        <w:snapToGrid w:val="0"/>
        <w:spacing w:line="360" w:lineRule="auto"/>
        <w:ind w:firstLine="2530" w:firstLineChars="700"/>
        <w:outlineLvl w:val="0"/>
        <w:rPr>
          <w:rFonts w:ascii="宋体" w:hAnsi="宋体"/>
          <w:b/>
          <w:bCs/>
          <w:color w:val="auto"/>
          <w:sz w:val="36"/>
          <w:szCs w:val="36"/>
        </w:rPr>
      </w:pPr>
      <w:bookmarkStart w:id="28" w:name="_Toc14397"/>
      <w:bookmarkStart w:id="29" w:name="_Toc4265"/>
      <w:bookmarkStart w:id="30" w:name="_Toc25591"/>
      <w:bookmarkStart w:id="31" w:name="_Toc21404"/>
      <w:bookmarkStart w:id="32" w:name="_Toc26438"/>
      <w:bookmarkStart w:id="33" w:name="_Toc28008"/>
      <w:bookmarkStart w:id="34" w:name="_Toc32671"/>
      <w:bookmarkStart w:id="35" w:name="_Toc27237"/>
      <w:bookmarkStart w:id="36" w:name="_Toc26366"/>
      <w:bookmarkStart w:id="37" w:name="_Toc19230"/>
      <w:bookmarkStart w:id="38" w:name="_Toc27491"/>
      <w:bookmarkStart w:id="39" w:name="_Toc10444"/>
      <w:r>
        <w:rPr>
          <w:rFonts w:hint="eastAsia" w:ascii="宋体" w:hAnsi="宋体"/>
          <w:b/>
          <w:bCs/>
          <w:color w:val="auto"/>
          <w:sz w:val="36"/>
          <w:szCs w:val="36"/>
        </w:rPr>
        <w:t>项目编号：</w:t>
      </w:r>
      <w:bookmarkEnd w:id="28"/>
      <w:bookmarkEnd w:id="29"/>
      <w:bookmarkEnd w:id="30"/>
      <w:bookmarkEnd w:id="31"/>
      <w:bookmarkEnd w:id="32"/>
      <w:r>
        <w:rPr>
          <w:rFonts w:hint="eastAsia" w:ascii="宋体" w:hAnsi="宋体"/>
          <w:b/>
          <w:bCs/>
          <w:color w:val="auto"/>
          <w:sz w:val="36"/>
          <w:szCs w:val="36"/>
        </w:rPr>
        <w:t>NYWYF20260006</w:t>
      </w:r>
      <w:bookmarkEnd w:id="33"/>
      <w:bookmarkEnd w:id="34"/>
      <w:bookmarkEnd w:id="35"/>
      <w:bookmarkEnd w:id="36"/>
      <w:bookmarkEnd w:id="37"/>
      <w:bookmarkEnd w:id="38"/>
      <w:bookmarkEnd w:id="39"/>
    </w:p>
    <w:p w14:paraId="7656507F">
      <w:pPr>
        <w:pStyle w:val="33"/>
        <w:spacing w:line="360" w:lineRule="auto"/>
        <w:ind w:firstLine="2530" w:firstLineChars="700"/>
        <w:rPr>
          <w:rFonts w:ascii="宋体" w:hAnsi="宋体"/>
          <w:b/>
          <w:bCs/>
          <w:color w:val="auto"/>
          <w:sz w:val="36"/>
          <w:szCs w:val="36"/>
        </w:rPr>
      </w:pPr>
    </w:p>
    <w:p w14:paraId="3C55843E">
      <w:pPr>
        <w:widowControl/>
        <w:ind w:right="-26"/>
        <w:jc w:val="center"/>
        <w:textAlignment w:val="bottom"/>
        <w:rPr>
          <w:rFonts w:ascii="方正小标宋简体" w:hAnsi="宋体" w:eastAsia="方正小标宋简体"/>
          <w:color w:val="auto"/>
          <w:sz w:val="32"/>
        </w:rPr>
      </w:pPr>
    </w:p>
    <w:p w14:paraId="34F73A9D">
      <w:pPr>
        <w:adjustRightInd w:val="0"/>
        <w:snapToGrid w:val="0"/>
        <w:spacing w:line="360" w:lineRule="auto"/>
        <w:rPr>
          <w:rFonts w:ascii="宋体" w:hAnsi="宋体"/>
          <w:b/>
          <w:bCs/>
          <w:color w:val="auto"/>
          <w:sz w:val="28"/>
          <w:szCs w:val="28"/>
        </w:rPr>
      </w:pPr>
    </w:p>
    <w:p w14:paraId="4C4CAB5F">
      <w:pPr>
        <w:spacing w:line="360" w:lineRule="auto"/>
        <w:rPr>
          <w:rFonts w:ascii="宋体" w:hAnsi="宋体"/>
          <w:b/>
          <w:bCs/>
          <w:color w:val="auto"/>
          <w:sz w:val="28"/>
          <w:szCs w:val="28"/>
        </w:rPr>
      </w:pPr>
    </w:p>
    <w:p w14:paraId="19D82A3E">
      <w:pPr>
        <w:spacing w:line="360" w:lineRule="auto"/>
        <w:jc w:val="center"/>
        <w:outlineLvl w:val="0"/>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40" w:name="_Toc16844"/>
      <w:bookmarkStart w:id="41" w:name="_Toc8029"/>
      <w:bookmarkStart w:id="42" w:name="_Toc20513"/>
      <w:bookmarkStart w:id="43" w:name="_Toc17775"/>
      <w:bookmarkStart w:id="44" w:name="_Toc23851"/>
      <w:bookmarkStart w:id="45" w:name="_Toc16418"/>
      <w:bookmarkStart w:id="46" w:name="_Toc2813"/>
      <w:bookmarkStart w:id="47" w:name="_Toc18768"/>
      <w:bookmarkStart w:id="48" w:name="_Toc24090"/>
      <w:bookmarkStart w:id="49" w:name="_Toc21516"/>
      <w:bookmarkStart w:id="50" w:name="_Toc17298"/>
      <w:bookmarkStart w:id="51" w:name="_Toc12871"/>
      <w:r>
        <w:rPr>
          <w:rFonts w:hint="eastAsia" w:ascii="宋体" w:hAnsi="宋体"/>
          <w:b/>
          <w:bCs/>
          <w:color w:val="auto"/>
          <w:sz w:val="32"/>
          <w:szCs w:val="32"/>
        </w:rPr>
        <w:t>日 期：2026年5月</w:t>
      </w:r>
      <w:bookmarkEnd w:id="40"/>
      <w:bookmarkEnd w:id="41"/>
      <w:bookmarkEnd w:id="42"/>
      <w:bookmarkEnd w:id="43"/>
      <w:bookmarkEnd w:id="44"/>
      <w:bookmarkEnd w:id="45"/>
      <w:bookmarkEnd w:id="46"/>
      <w:bookmarkEnd w:id="47"/>
      <w:bookmarkEnd w:id="48"/>
      <w:bookmarkEnd w:id="49"/>
      <w:bookmarkEnd w:id="50"/>
      <w:bookmarkEnd w:id="51"/>
    </w:p>
    <w:p w14:paraId="26B095D3">
      <w:pPr>
        <w:rPr>
          <w:color w:val="auto"/>
        </w:rPr>
      </w:pPr>
    </w:p>
    <w:sdt>
      <w:sdtPr>
        <w:rPr>
          <w:rFonts w:ascii="宋体" w:hAnsi="宋体" w:eastAsia="宋体" w:cs="Times New Roman"/>
          <w:color w:val="auto"/>
          <w:kern w:val="2"/>
          <w:sz w:val="21"/>
          <w:szCs w:val="24"/>
          <w:lang w:val="en-US" w:eastAsia="zh-CN" w:bidi="ar-SA"/>
        </w:rPr>
        <w:id w:val="147471294"/>
        <w15:color w:val="DBDBDB"/>
        <w:docPartObj>
          <w:docPartGallery w:val="Table of Contents"/>
          <w:docPartUnique/>
        </w:docPartObj>
      </w:sdtPr>
      <w:sdtEndPr>
        <w:rPr>
          <w:rFonts w:ascii="Times New Roman" w:hAnsi="Times New Roman" w:eastAsia="宋体" w:cs="Times New Roman"/>
          <w:color w:val="auto"/>
          <w:kern w:val="2"/>
          <w:sz w:val="21"/>
          <w:szCs w:val="24"/>
          <w:lang w:val="en-US" w:eastAsia="zh-CN" w:bidi="ar-SA"/>
        </w:rPr>
      </w:sdtEndPr>
      <w:sdtContent>
        <w:p w14:paraId="0B8B58D7">
          <w:pPr>
            <w:spacing w:before="0" w:beforeLines="0" w:after="0" w:afterLines="0" w:line="240" w:lineRule="auto"/>
            <w:ind w:left="0" w:leftChars="0" w:right="0" w:rightChars="0" w:firstLine="0" w:firstLineChars="0"/>
            <w:jc w:val="center"/>
            <w:rPr>
              <w:b/>
              <w:bCs/>
              <w:color w:val="auto"/>
              <w:sz w:val="36"/>
              <w:szCs w:val="36"/>
            </w:rPr>
          </w:pPr>
          <w:r>
            <w:rPr>
              <w:rFonts w:ascii="宋体" w:hAnsi="宋体" w:eastAsia="宋体"/>
              <w:b/>
              <w:bCs/>
              <w:color w:val="auto"/>
              <w:sz w:val="36"/>
              <w:szCs w:val="36"/>
            </w:rPr>
            <w:t>目</w:t>
          </w:r>
          <w:r>
            <w:rPr>
              <w:rFonts w:hint="eastAsia" w:ascii="宋体" w:hAnsi="宋体" w:eastAsia="宋体"/>
              <w:b/>
              <w:bCs/>
              <w:color w:val="auto"/>
              <w:sz w:val="36"/>
              <w:szCs w:val="36"/>
              <w:lang w:val="en-US" w:eastAsia="zh-CN"/>
            </w:rPr>
            <w:t xml:space="preserve">  </w:t>
          </w:r>
          <w:r>
            <w:rPr>
              <w:rFonts w:ascii="宋体" w:hAnsi="宋体" w:eastAsia="宋体"/>
              <w:b/>
              <w:bCs/>
              <w:color w:val="auto"/>
              <w:sz w:val="36"/>
              <w:szCs w:val="36"/>
            </w:rPr>
            <w:t>录</w:t>
          </w:r>
        </w:p>
        <w:p w14:paraId="62F6003E">
          <w:pPr>
            <w:pStyle w:val="17"/>
            <w:tabs>
              <w:tab w:val="right" w:leader="dot" w:pos="9638"/>
            </w:tabs>
            <w:rPr>
              <w:color w:val="auto"/>
            </w:rPr>
          </w:pPr>
          <w:r>
            <w:rPr>
              <w:rFonts w:ascii="Times New Roman" w:hAnsi="Times New Roman" w:eastAsia="宋体" w:cs="Times New Roman"/>
              <w:color w:val="auto"/>
              <w:kern w:val="2"/>
              <w:sz w:val="21"/>
              <w:szCs w:val="24"/>
              <w:lang w:val="en-US" w:eastAsia="zh-CN" w:bidi="ar-SA"/>
            </w:rPr>
            <w:fldChar w:fldCharType="begin"/>
          </w:r>
          <w:r>
            <w:rPr>
              <w:rFonts w:ascii="Times New Roman" w:hAnsi="Times New Roman" w:eastAsia="宋体" w:cs="Times New Roman"/>
              <w:color w:val="auto"/>
              <w:kern w:val="2"/>
              <w:sz w:val="21"/>
              <w:szCs w:val="24"/>
              <w:lang w:val="en-US" w:eastAsia="zh-CN" w:bidi="ar-SA"/>
            </w:rPr>
            <w:instrText xml:space="preserve">TOC \o "1-2" \h \u </w:instrText>
          </w:r>
          <w:r>
            <w:rPr>
              <w:rFonts w:ascii="Times New Roman" w:hAnsi="Times New Roman" w:eastAsia="宋体" w:cs="Times New Roman"/>
              <w:color w:val="auto"/>
              <w:kern w:val="2"/>
              <w:sz w:val="21"/>
              <w:szCs w:val="24"/>
              <w:lang w:val="en-US" w:eastAsia="zh-CN" w:bidi="ar-SA"/>
            </w:rPr>
            <w:fldChar w:fldCharType="separate"/>
          </w:r>
        </w:p>
        <w:p w14:paraId="1213FB39">
          <w:pPr>
            <w:pStyle w:val="17"/>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lang w:val="en-US" w:eastAsia="zh-CN" w:bidi="ar-SA"/>
            </w:rPr>
            <w:fldChar w:fldCharType="begin"/>
          </w:r>
          <w:r>
            <w:rPr>
              <w:rFonts w:hint="eastAsia" w:ascii="宋体" w:hAnsi="宋体" w:eastAsia="宋体" w:cs="宋体"/>
              <w:b/>
              <w:bCs/>
              <w:color w:val="auto"/>
              <w:kern w:val="2"/>
              <w:sz w:val="28"/>
              <w:szCs w:val="28"/>
              <w:lang w:val="en-US" w:eastAsia="zh-CN" w:bidi="ar-SA"/>
            </w:rPr>
            <w:instrText xml:space="preserve"> HYPERLINK \l _Toc18505 </w:instrText>
          </w:r>
          <w:r>
            <w:rPr>
              <w:rFonts w:hint="eastAsia" w:ascii="宋体" w:hAnsi="宋体" w:eastAsia="宋体" w:cs="宋体"/>
              <w:b/>
              <w:bCs/>
              <w:color w:val="auto"/>
              <w:kern w:val="2"/>
              <w:sz w:val="28"/>
              <w:szCs w:val="28"/>
              <w:lang w:val="en-US" w:eastAsia="zh-CN" w:bidi="ar-SA"/>
            </w:rPr>
            <w:fldChar w:fldCharType="separate"/>
          </w:r>
          <w:r>
            <w:rPr>
              <w:rFonts w:hint="eastAsia" w:ascii="宋体" w:hAnsi="宋体" w:eastAsia="宋体" w:cs="宋体"/>
              <w:b/>
              <w:bCs/>
              <w:color w:val="auto"/>
              <w:sz w:val="28"/>
              <w:szCs w:val="28"/>
            </w:rPr>
            <w:t>第一部分 报名邀请函</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_Toc18505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lang w:val="en-US" w:eastAsia="zh-CN" w:bidi="ar-SA"/>
            </w:rPr>
            <w:fldChar w:fldCharType="end"/>
          </w:r>
        </w:p>
        <w:p w14:paraId="0D5CBE97">
          <w:pPr>
            <w:pStyle w:val="17"/>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lang w:val="en-US" w:eastAsia="zh-CN" w:bidi="ar-SA"/>
            </w:rPr>
            <w:fldChar w:fldCharType="begin"/>
          </w:r>
          <w:r>
            <w:rPr>
              <w:rFonts w:hint="eastAsia" w:ascii="宋体" w:hAnsi="宋体" w:eastAsia="宋体" w:cs="宋体"/>
              <w:b/>
              <w:bCs/>
              <w:color w:val="auto"/>
              <w:kern w:val="2"/>
              <w:sz w:val="28"/>
              <w:szCs w:val="28"/>
              <w:lang w:val="en-US" w:eastAsia="zh-CN" w:bidi="ar-SA"/>
            </w:rPr>
            <w:instrText xml:space="preserve"> HYPERLINK \l _Toc6278 </w:instrText>
          </w:r>
          <w:r>
            <w:rPr>
              <w:rFonts w:hint="eastAsia" w:ascii="宋体" w:hAnsi="宋体" w:eastAsia="宋体" w:cs="宋体"/>
              <w:b/>
              <w:bCs/>
              <w:color w:val="auto"/>
              <w:kern w:val="2"/>
              <w:sz w:val="28"/>
              <w:szCs w:val="28"/>
              <w:lang w:val="en-US" w:eastAsia="zh-CN" w:bidi="ar-SA"/>
            </w:rPr>
            <w:fldChar w:fldCharType="separate"/>
          </w:r>
          <w:r>
            <w:rPr>
              <w:rFonts w:hint="eastAsia" w:ascii="宋体" w:hAnsi="宋体" w:eastAsia="宋体" w:cs="宋体"/>
              <w:b/>
              <w:bCs/>
              <w:color w:val="auto"/>
              <w:sz w:val="28"/>
              <w:szCs w:val="28"/>
            </w:rPr>
            <w:t>第二部分 采购需求</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_Toc6278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3</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lang w:val="en-US" w:eastAsia="zh-CN" w:bidi="ar-SA"/>
            </w:rPr>
            <w:fldChar w:fldCharType="end"/>
          </w:r>
        </w:p>
        <w:p w14:paraId="5F587923">
          <w:pPr>
            <w:pStyle w:val="17"/>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lang w:val="en-US" w:eastAsia="zh-CN" w:bidi="ar-SA"/>
            </w:rPr>
            <w:fldChar w:fldCharType="begin"/>
          </w:r>
          <w:r>
            <w:rPr>
              <w:rFonts w:hint="eastAsia" w:ascii="宋体" w:hAnsi="宋体" w:eastAsia="宋体" w:cs="宋体"/>
              <w:b/>
              <w:bCs/>
              <w:color w:val="auto"/>
              <w:kern w:val="2"/>
              <w:sz w:val="28"/>
              <w:szCs w:val="28"/>
              <w:lang w:val="en-US" w:eastAsia="zh-CN" w:bidi="ar-SA"/>
            </w:rPr>
            <w:instrText xml:space="preserve"> HYPERLINK \l _Toc23665 </w:instrText>
          </w:r>
          <w:r>
            <w:rPr>
              <w:rFonts w:hint="eastAsia" w:ascii="宋体" w:hAnsi="宋体" w:eastAsia="宋体" w:cs="宋体"/>
              <w:b/>
              <w:bCs/>
              <w:color w:val="auto"/>
              <w:kern w:val="2"/>
              <w:sz w:val="28"/>
              <w:szCs w:val="28"/>
              <w:lang w:val="en-US" w:eastAsia="zh-CN" w:bidi="ar-SA"/>
            </w:rPr>
            <w:fldChar w:fldCharType="separate"/>
          </w:r>
          <w:r>
            <w:rPr>
              <w:rFonts w:hint="eastAsia" w:ascii="宋体" w:hAnsi="宋体" w:eastAsia="宋体" w:cs="宋体"/>
              <w:b/>
              <w:bCs/>
              <w:color w:val="auto"/>
              <w:kern w:val="0"/>
              <w:sz w:val="28"/>
              <w:szCs w:val="28"/>
            </w:rPr>
            <w:t>第三部分 评分标准</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_Toc23665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13</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lang w:val="en-US" w:eastAsia="zh-CN" w:bidi="ar-SA"/>
            </w:rPr>
            <w:fldChar w:fldCharType="end"/>
          </w:r>
        </w:p>
        <w:p w14:paraId="5E3970A4">
          <w:pPr>
            <w:pStyle w:val="17"/>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lang w:val="en-US" w:eastAsia="zh-CN" w:bidi="ar-SA"/>
            </w:rPr>
            <w:fldChar w:fldCharType="begin"/>
          </w:r>
          <w:r>
            <w:rPr>
              <w:rFonts w:hint="eastAsia" w:ascii="宋体" w:hAnsi="宋体" w:eastAsia="宋体" w:cs="宋体"/>
              <w:b/>
              <w:bCs/>
              <w:color w:val="auto"/>
              <w:kern w:val="2"/>
              <w:sz w:val="28"/>
              <w:szCs w:val="28"/>
              <w:lang w:val="en-US" w:eastAsia="zh-CN" w:bidi="ar-SA"/>
            </w:rPr>
            <w:instrText xml:space="preserve"> HYPERLINK \l _Toc28790 </w:instrText>
          </w:r>
          <w:r>
            <w:rPr>
              <w:rFonts w:hint="eastAsia" w:ascii="宋体" w:hAnsi="宋体" w:eastAsia="宋体" w:cs="宋体"/>
              <w:b/>
              <w:bCs/>
              <w:color w:val="auto"/>
              <w:kern w:val="2"/>
              <w:sz w:val="28"/>
              <w:szCs w:val="28"/>
              <w:lang w:val="en-US" w:eastAsia="zh-CN" w:bidi="ar-SA"/>
            </w:rPr>
            <w:fldChar w:fldCharType="separate"/>
          </w:r>
          <w:r>
            <w:rPr>
              <w:rFonts w:hint="eastAsia" w:ascii="宋体" w:hAnsi="宋体" w:eastAsia="宋体" w:cs="宋体"/>
              <w:b/>
              <w:bCs/>
              <w:color w:val="auto"/>
              <w:sz w:val="28"/>
              <w:szCs w:val="28"/>
            </w:rPr>
            <w:t>第四部分 合同模板</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_Toc28790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15</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lang w:val="en-US" w:eastAsia="zh-CN" w:bidi="ar-SA"/>
            </w:rPr>
            <w:fldChar w:fldCharType="end"/>
          </w:r>
        </w:p>
        <w:p w14:paraId="0474C3DF">
          <w:pPr>
            <w:pStyle w:val="17"/>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lang w:val="en-US" w:eastAsia="zh-CN" w:bidi="ar-SA"/>
            </w:rPr>
            <w:fldChar w:fldCharType="begin"/>
          </w:r>
          <w:r>
            <w:rPr>
              <w:rFonts w:hint="eastAsia" w:ascii="宋体" w:hAnsi="宋体" w:eastAsia="宋体" w:cs="宋体"/>
              <w:b/>
              <w:bCs/>
              <w:color w:val="auto"/>
              <w:kern w:val="2"/>
              <w:sz w:val="28"/>
              <w:szCs w:val="28"/>
              <w:lang w:val="en-US" w:eastAsia="zh-CN" w:bidi="ar-SA"/>
            </w:rPr>
            <w:instrText xml:space="preserve"> HYPERLINK \l _Toc3483 </w:instrText>
          </w:r>
          <w:r>
            <w:rPr>
              <w:rFonts w:hint="eastAsia" w:ascii="宋体" w:hAnsi="宋体" w:eastAsia="宋体" w:cs="宋体"/>
              <w:b/>
              <w:bCs/>
              <w:color w:val="auto"/>
              <w:kern w:val="2"/>
              <w:sz w:val="28"/>
              <w:szCs w:val="28"/>
              <w:lang w:val="en-US" w:eastAsia="zh-CN" w:bidi="ar-SA"/>
            </w:rPr>
            <w:fldChar w:fldCharType="separate"/>
          </w:r>
          <w:r>
            <w:rPr>
              <w:rFonts w:hint="eastAsia" w:ascii="宋体" w:hAnsi="宋体" w:eastAsia="宋体" w:cs="宋体"/>
              <w:b/>
              <w:bCs/>
              <w:color w:val="auto"/>
              <w:sz w:val="28"/>
              <w:szCs w:val="28"/>
            </w:rPr>
            <w:t>第五部分 供应商须知</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_Toc3483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26</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lang w:val="en-US" w:eastAsia="zh-CN" w:bidi="ar-SA"/>
            </w:rPr>
            <w:fldChar w:fldCharType="end"/>
          </w:r>
        </w:p>
        <w:p w14:paraId="74025C82">
          <w:pPr>
            <w:pStyle w:val="17"/>
            <w:tabs>
              <w:tab w:val="right" w:leader="dot" w:pos="9638"/>
            </w:tabs>
            <w:spacing w:line="360" w:lineRule="auto"/>
            <w:rPr>
              <w:b/>
              <w:bCs/>
              <w:color w:val="auto"/>
            </w:rPr>
          </w:pPr>
          <w:r>
            <w:rPr>
              <w:rFonts w:hint="eastAsia" w:ascii="宋体" w:hAnsi="宋体" w:eastAsia="宋体" w:cs="宋体"/>
              <w:b/>
              <w:bCs/>
              <w:color w:val="auto"/>
              <w:kern w:val="2"/>
              <w:sz w:val="28"/>
              <w:szCs w:val="28"/>
              <w:lang w:val="en-US" w:eastAsia="zh-CN" w:bidi="ar-SA"/>
            </w:rPr>
            <w:fldChar w:fldCharType="begin"/>
          </w:r>
          <w:r>
            <w:rPr>
              <w:rFonts w:hint="eastAsia" w:ascii="宋体" w:hAnsi="宋体" w:eastAsia="宋体" w:cs="宋体"/>
              <w:b/>
              <w:bCs/>
              <w:color w:val="auto"/>
              <w:kern w:val="2"/>
              <w:sz w:val="28"/>
              <w:szCs w:val="28"/>
              <w:lang w:val="en-US" w:eastAsia="zh-CN" w:bidi="ar-SA"/>
            </w:rPr>
            <w:instrText xml:space="preserve"> HYPERLINK \l _Toc6767 </w:instrText>
          </w:r>
          <w:r>
            <w:rPr>
              <w:rFonts w:hint="eastAsia" w:ascii="宋体" w:hAnsi="宋体" w:eastAsia="宋体" w:cs="宋体"/>
              <w:b/>
              <w:bCs/>
              <w:color w:val="auto"/>
              <w:kern w:val="2"/>
              <w:sz w:val="28"/>
              <w:szCs w:val="28"/>
              <w:lang w:val="en-US" w:eastAsia="zh-CN" w:bidi="ar-SA"/>
            </w:rPr>
            <w:fldChar w:fldCharType="separate"/>
          </w:r>
          <w:r>
            <w:rPr>
              <w:rFonts w:hint="eastAsia" w:ascii="宋体" w:hAnsi="宋体" w:eastAsia="宋体" w:cs="宋体"/>
              <w:b/>
              <w:bCs/>
              <w:color w:val="auto"/>
              <w:sz w:val="28"/>
              <w:szCs w:val="28"/>
            </w:rPr>
            <w:t>第六部分  相关格式文件</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_Toc6767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29</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lang w:val="en-US" w:eastAsia="zh-CN" w:bidi="ar-SA"/>
            </w:rPr>
            <w:fldChar w:fldCharType="end"/>
          </w:r>
        </w:p>
        <w:p w14:paraId="63ED0DB8">
          <w:pPr>
            <w:pStyle w:val="17"/>
            <w:tabs>
              <w:tab w:val="right" w:leader="dot" w:pos="9638"/>
            </w:tabs>
            <w:rPr>
              <w:color w:val="auto"/>
            </w:rPr>
          </w:pPr>
        </w:p>
        <w:p w14:paraId="6E7DBE21">
          <w:pPr>
            <w:rPr>
              <w:rFonts w:ascii="Times New Roman" w:hAnsi="Times New Roman" w:eastAsia="宋体" w:cs="Times New Roman"/>
              <w:color w:val="auto"/>
              <w:kern w:val="2"/>
              <w:sz w:val="21"/>
              <w:szCs w:val="24"/>
              <w:lang w:val="en-US" w:eastAsia="zh-CN" w:bidi="ar-SA"/>
            </w:rPr>
          </w:pPr>
          <w:r>
            <w:rPr>
              <w:rFonts w:ascii="Times New Roman" w:hAnsi="Times New Roman" w:eastAsia="宋体" w:cs="Times New Roman"/>
              <w:color w:val="auto"/>
              <w:kern w:val="2"/>
              <w:szCs w:val="24"/>
              <w:lang w:val="en-US" w:eastAsia="zh-CN" w:bidi="ar-SA"/>
            </w:rPr>
            <w:fldChar w:fldCharType="end"/>
          </w:r>
        </w:p>
      </w:sdtContent>
    </w:sdt>
    <w:p w14:paraId="6CBE8F86">
      <w:pPr>
        <w:rPr>
          <w:rFonts w:ascii="Times New Roman" w:hAnsi="Times New Roman" w:eastAsia="宋体" w:cs="Times New Roman"/>
          <w:color w:val="auto"/>
          <w:kern w:val="2"/>
          <w:sz w:val="21"/>
          <w:szCs w:val="24"/>
          <w:lang w:val="en-US" w:eastAsia="zh-CN" w:bidi="ar-SA"/>
        </w:rPr>
      </w:pPr>
    </w:p>
    <w:p w14:paraId="5A6E0A24">
      <w:pPr>
        <w:rPr>
          <w:color w:val="auto"/>
        </w:rPr>
      </w:pPr>
    </w:p>
    <w:p w14:paraId="5D0104F2">
      <w:pPr>
        <w:rPr>
          <w:color w:val="auto"/>
        </w:rPr>
      </w:pPr>
    </w:p>
    <w:p w14:paraId="38C112E1">
      <w:pPr>
        <w:rPr>
          <w:color w:val="auto"/>
        </w:rPr>
      </w:pPr>
    </w:p>
    <w:p w14:paraId="588478E6">
      <w:pPr>
        <w:rPr>
          <w:color w:val="auto"/>
        </w:rPr>
      </w:pPr>
    </w:p>
    <w:p w14:paraId="34B2DDB7">
      <w:pPr>
        <w:rPr>
          <w:color w:val="auto"/>
        </w:rPr>
      </w:pPr>
    </w:p>
    <w:p w14:paraId="050AA698">
      <w:pPr>
        <w:rPr>
          <w:color w:val="auto"/>
        </w:rPr>
      </w:pPr>
    </w:p>
    <w:p w14:paraId="275D6719">
      <w:pPr>
        <w:tabs>
          <w:tab w:val="left" w:pos="7969"/>
        </w:tabs>
        <w:jc w:val="left"/>
        <w:rPr>
          <w:color w:val="auto"/>
        </w:rPr>
      </w:pPr>
      <w:r>
        <w:rPr>
          <w:rFonts w:hint="eastAsia"/>
          <w:color w:val="auto"/>
        </w:rPr>
        <w:tab/>
      </w:r>
    </w:p>
    <w:p w14:paraId="39AAACFF">
      <w:pPr>
        <w:rPr>
          <w:color w:val="auto"/>
        </w:rPr>
      </w:pPr>
    </w:p>
    <w:p w14:paraId="0A5DB8F8">
      <w:pPr>
        <w:rPr>
          <w:color w:val="auto"/>
        </w:rPr>
      </w:pPr>
    </w:p>
    <w:p w14:paraId="6202A438">
      <w:pPr>
        <w:rPr>
          <w:color w:val="auto"/>
        </w:rPr>
      </w:pPr>
    </w:p>
    <w:p w14:paraId="302EF81B">
      <w:pPr>
        <w:rPr>
          <w:color w:val="auto"/>
        </w:rPr>
      </w:pPr>
    </w:p>
    <w:p w14:paraId="59CCDB44">
      <w:pPr>
        <w:tabs>
          <w:tab w:val="center" w:pos="4819"/>
        </w:tabs>
        <w:jc w:val="left"/>
        <w:rPr>
          <w:rFonts w:hint="eastAsia"/>
          <w:color w:val="auto"/>
        </w:rPr>
      </w:pPr>
      <w:r>
        <w:rPr>
          <w:rFonts w:hint="eastAsia"/>
          <w:color w:val="auto"/>
        </w:rPr>
        <w:tab/>
      </w:r>
    </w:p>
    <w:p w14:paraId="17014848">
      <w:pPr>
        <w:jc w:val="left"/>
        <w:rPr>
          <w:rFonts w:hint="eastAsia" w:ascii="Times New Roman" w:hAnsi="Times New Roman" w:eastAsia="宋体" w:cs="Times New Roman"/>
          <w:color w:val="auto"/>
          <w:kern w:val="2"/>
          <w:sz w:val="21"/>
          <w:szCs w:val="24"/>
          <w:lang w:val="en-US" w:eastAsia="zh-CN" w:bidi="ar-SA"/>
        </w:rPr>
      </w:pPr>
    </w:p>
    <w:p w14:paraId="3A90BA37">
      <w:pPr>
        <w:jc w:val="left"/>
        <w:rPr>
          <w:rFonts w:hint="eastAsia"/>
          <w:color w:val="auto"/>
          <w:lang w:val="en-US" w:eastAsia="zh-CN"/>
        </w:rPr>
      </w:pPr>
    </w:p>
    <w:p w14:paraId="789B0B79">
      <w:pPr>
        <w:jc w:val="left"/>
        <w:rPr>
          <w:rFonts w:hint="eastAsia"/>
          <w:color w:val="auto"/>
          <w:lang w:val="en-US" w:eastAsia="zh-CN"/>
        </w:rPr>
      </w:pPr>
    </w:p>
    <w:p w14:paraId="35EE4419">
      <w:pPr>
        <w:jc w:val="left"/>
        <w:rPr>
          <w:rFonts w:hint="eastAsia"/>
          <w:color w:val="auto"/>
          <w:lang w:val="en-US" w:eastAsia="zh-CN"/>
        </w:rPr>
      </w:pPr>
    </w:p>
    <w:p w14:paraId="3224981B">
      <w:pPr>
        <w:jc w:val="left"/>
        <w:rPr>
          <w:rFonts w:hint="eastAsia"/>
          <w:color w:val="auto"/>
          <w:lang w:val="en-US" w:eastAsia="zh-CN"/>
        </w:rPr>
      </w:pPr>
    </w:p>
    <w:p w14:paraId="78D72E22">
      <w:pPr>
        <w:tabs>
          <w:tab w:val="left" w:pos="6903"/>
        </w:tabs>
        <w:jc w:val="left"/>
        <w:rPr>
          <w:rFonts w:hint="eastAsia"/>
          <w:color w:val="auto"/>
          <w:lang w:val="en-US" w:eastAsia="zh-CN"/>
        </w:rPr>
        <w:sectPr>
          <w:headerReference r:id="rId7" w:type="default"/>
          <w:footerReference r:id="rId8" w:type="default"/>
          <w:pgSz w:w="11906" w:h="16838"/>
          <w:pgMar w:top="1440" w:right="1134" w:bottom="1440" w:left="1134" w:header="851" w:footer="992" w:gutter="0"/>
          <w:cols w:space="720" w:num="1"/>
          <w:docGrid w:linePitch="312" w:charSpace="0"/>
        </w:sectPr>
      </w:pPr>
      <w:r>
        <w:rPr>
          <w:rFonts w:hint="eastAsia"/>
          <w:color w:val="auto"/>
          <w:lang w:val="en-US" w:eastAsia="zh-CN"/>
        </w:rPr>
        <w:tab/>
      </w:r>
    </w:p>
    <w:p w14:paraId="6B2B8773">
      <w:pPr>
        <w:spacing w:line="360" w:lineRule="auto"/>
        <w:jc w:val="center"/>
        <w:outlineLvl w:val="0"/>
        <w:rPr>
          <w:rFonts w:ascii="仿宋" w:hAnsi="仿宋" w:eastAsia="仿宋" w:cs="Helvetica"/>
          <w:color w:val="auto"/>
          <w:sz w:val="33"/>
          <w:szCs w:val="33"/>
        </w:rPr>
      </w:pPr>
      <w:bookmarkStart w:id="52" w:name="_Toc19885"/>
      <w:bookmarkStart w:id="53" w:name="_Toc18505"/>
      <w:bookmarkStart w:id="54" w:name="_Toc20707"/>
      <w:bookmarkStart w:id="55" w:name="_Toc16951"/>
      <w:r>
        <w:rPr>
          <w:rFonts w:hint="eastAsia" w:ascii="宋体" w:hAnsi="宋体"/>
          <w:b/>
          <w:bCs/>
          <w:color w:val="auto"/>
          <w:sz w:val="28"/>
          <w:szCs w:val="28"/>
        </w:rPr>
        <w:fldChar w:fldCharType="begin"/>
      </w:r>
      <w:r>
        <w:rPr>
          <w:rFonts w:hint="eastAsia" w:ascii="宋体" w:hAnsi="宋体"/>
          <w:b/>
          <w:bCs/>
          <w:color w:val="auto"/>
          <w:sz w:val="28"/>
          <w:szCs w:val="28"/>
        </w:rPr>
        <w:instrText xml:space="preserve"> HYPERLINK \l "_Toc17950" </w:instrText>
      </w:r>
      <w:r>
        <w:rPr>
          <w:rFonts w:hint="eastAsia" w:ascii="宋体" w:hAnsi="宋体"/>
          <w:b/>
          <w:bCs/>
          <w:color w:val="auto"/>
          <w:sz w:val="28"/>
          <w:szCs w:val="28"/>
        </w:rPr>
        <w:fldChar w:fldCharType="separate"/>
      </w:r>
      <w:r>
        <w:rPr>
          <w:rFonts w:hint="eastAsia" w:ascii="宋体" w:hAnsi="宋体"/>
          <w:b/>
          <w:bCs/>
          <w:color w:val="auto"/>
          <w:sz w:val="28"/>
          <w:szCs w:val="28"/>
        </w:rPr>
        <w:t>第一部分 报名邀请函</w:t>
      </w:r>
      <w:r>
        <w:rPr>
          <w:rFonts w:hint="eastAsia" w:ascii="宋体" w:hAnsi="宋体"/>
          <w:b/>
          <w:bCs/>
          <w:color w:val="auto"/>
          <w:sz w:val="28"/>
          <w:szCs w:val="28"/>
        </w:rPr>
        <w:fldChar w:fldCharType="end"/>
      </w:r>
      <w:bookmarkEnd w:id="52"/>
      <w:bookmarkEnd w:id="53"/>
      <w:bookmarkEnd w:id="54"/>
      <w:bookmarkEnd w:id="55"/>
    </w:p>
    <w:p w14:paraId="19269468">
      <w:pPr>
        <w:spacing w:line="360" w:lineRule="auto"/>
        <w:ind w:firstLine="420" w:firstLineChars="200"/>
        <w:rPr>
          <w:rFonts w:ascii="宋体" w:hAnsi="宋体" w:cs="宋体"/>
          <w:bCs/>
          <w:color w:val="auto"/>
          <w:kern w:val="0"/>
          <w:szCs w:val="21"/>
        </w:rPr>
      </w:pPr>
      <w:bookmarkStart w:id="56" w:name="_Toc11230"/>
      <w:bookmarkStart w:id="57" w:name="_Toc31562"/>
      <w:r>
        <w:rPr>
          <w:rFonts w:hint="eastAsia" w:ascii="宋体" w:hAnsi="宋体" w:cs="宋体"/>
          <w:bCs/>
          <w:color w:val="auto"/>
          <w:kern w:val="0"/>
          <w:szCs w:val="21"/>
        </w:rPr>
        <w:t>根据我院业务发展需要，近期拟对污水处理系统维保服务项目进行采购，现根据相关规定特此公告，欢迎符合条件的供应商参加。</w:t>
      </w:r>
    </w:p>
    <w:p w14:paraId="59875C45">
      <w:pPr>
        <w:numPr>
          <w:ilvl w:val="0"/>
          <w:numId w:val="2"/>
        </w:numPr>
        <w:tabs>
          <w:tab w:val="left" w:pos="0"/>
          <w:tab w:val="left" w:pos="7174"/>
        </w:tabs>
        <w:spacing w:line="360" w:lineRule="auto"/>
        <w:ind w:firstLine="422" w:firstLineChars="200"/>
        <w:rPr>
          <w:rFonts w:ascii="宋体" w:hAnsi="宋体" w:cs="宋体"/>
          <w:color w:val="auto"/>
          <w:kern w:val="0"/>
          <w:szCs w:val="21"/>
        </w:rPr>
      </w:pPr>
      <w:r>
        <w:rPr>
          <w:rFonts w:hint="eastAsia" w:ascii="宋体" w:hAnsi="宋体" w:cs="宋体"/>
          <w:b/>
          <w:color w:val="auto"/>
          <w:kern w:val="0"/>
          <w:szCs w:val="21"/>
        </w:rPr>
        <w:t>采购需求</w:t>
      </w:r>
    </w:p>
    <w:p w14:paraId="45C49234">
      <w:pPr>
        <w:autoSpaceDE w:val="0"/>
        <w:autoSpaceDN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1.项目编号：</w:t>
      </w:r>
      <w:r>
        <w:rPr>
          <w:rFonts w:hint="eastAsia" w:ascii="宋体" w:hAnsi="宋体" w:cs="宋体"/>
          <w:color w:val="auto"/>
          <w:szCs w:val="21"/>
        </w:rPr>
        <w:t>NYWYF20260006</w:t>
      </w:r>
    </w:p>
    <w:p w14:paraId="29E34B65">
      <w:pPr>
        <w:autoSpaceDE w:val="0"/>
        <w:autoSpaceDN w:val="0"/>
        <w:spacing w:line="360" w:lineRule="auto"/>
        <w:ind w:firstLine="422" w:firstLineChars="200"/>
        <w:rPr>
          <w:rFonts w:ascii="宋体" w:hAnsi="宋体" w:cs="宋体"/>
          <w:color w:val="auto"/>
          <w:szCs w:val="21"/>
        </w:rPr>
      </w:pPr>
      <w:r>
        <w:rPr>
          <w:rFonts w:hint="eastAsia" w:ascii="宋体" w:hAnsi="宋体" w:cs="宋体"/>
          <w:b/>
          <w:bCs/>
          <w:color w:val="auto"/>
          <w:szCs w:val="21"/>
        </w:rPr>
        <w:t>2.项目名称：</w:t>
      </w:r>
      <w:r>
        <w:rPr>
          <w:rFonts w:hint="eastAsia" w:ascii="宋体" w:hAnsi="宋体" w:cs="宋体"/>
          <w:color w:val="auto"/>
          <w:szCs w:val="21"/>
        </w:rPr>
        <w:t>南方医科大学第五附属医院污水处理系统维护保养服务项目</w:t>
      </w:r>
    </w:p>
    <w:p w14:paraId="330EEF11">
      <w:pPr>
        <w:pStyle w:val="33"/>
        <w:spacing w:line="360" w:lineRule="auto"/>
        <w:ind w:firstLine="422" w:firstLineChars="200"/>
        <w:rPr>
          <w:rFonts w:ascii="宋体" w:hAnsi="宋体" w:cs="宋体"/>
          <w:color w:val="auto"/>
          <w:szCs w:val="21"/>
        </w:rPr>
      </w:pPr>
      <w:r>
        <w:rPr>
          <w:rFonts w:hint="eastAsia" w:ascii="宋体" w:hAnsi="宋体" w:cs="宋体"/>
          <w:b/>
          <w:bCs/>
          <w:color w:val="auto"/>
          <w:szCs w:val="21"/>
        </w:rPr>
        <w:t>3.项目限价:</w:t>
      </w:r>
      <w:r>
        <w:rPr>
          <w:rFonts w:hint="eastAsia" w:ascii="宋体" w:hAnsi="宋体" w:cs="宋体"/>
          <w:color w:val="auto"/>
          <w:szCs w:val="21"/>
        </w:rPr>
        <w:t>14.8万元/年，两年总合计29.6万元/两年（不含超过3000元零配件与设备费用）。</w:t>
      </w:r>
    </w:p>
    <w:p w14:paraId="3079EFCC">
      <w:pPr>
        <w:spacing w:line="360" w:lineRule="auto"/>
        <w:ind w:left="0" w:leftChars="0" w:firstLine="422" w:firstLineChars="200"/>
        <w:contextualSpacing/>
        <w:rPr>
          <w:rFonts w:ascii="宋体" w:hAnsi="宋体" w:cs="宋体"/>
          <w:b/>
          <w:bCs/>
          <w:color w:val="auto"/>
          <w:szCs w:val="21"/>
        </w:rPr>
      </w:pPr>
      <w:r>
        <w:rPr>
          <w:rFonts w:hint="eastAsia" w:ascii="宋体" w:hAnsi="宋体" w:cs="宋体"/>
          <w:b/>
          <w:bCs/>
          <w:color w:val="auto"/>
          <w:szCs w:val="21"/>
        </w:rPr>
        <w:t>4.服务期：</w:t>
      </w:r>
      <w:r>
        <w:rPr>
          <w:rFonts w:hint="eastAsia" w:ascii="宋体" w:hAnsi="宋体" w:eastAsia="宋体" w:cs="宋体"/>
          <w:color w:val="auto"/>
          <w:sz w:val="21"/>
          <w:szCs w:val="21"/>
          <w:highlight w:val="none"/>
          <w:u w:val="none"/>
        </w:rPr>
        <w:t>本项目服务期限实行1+1模式，首期服务周期为1年(自</w:t>
      </w:r>
      <w:r>
        <w:rPr>
          <w:rFonts w:hint="eastAsia" w:ascii="宋体" w:hAnsi="宋体" w:cs="宋体"/>
          <w:color w:val="auto"/>
          <w:sz w:val="21"/>
          <w:szCs w:val="21"/>
          <w:highlight w:val="none"/>
          <w:u w:val="none"/>
          <w:lang w:val="en-US" w:eastAsia="zh-CN"/>
        </w:rPr>
        <w:t>采购人书面通知之日起</w:t>
      </w:r>
      <w:r>
        <w:rPr>
          <w:rFonts w:hint="eastAsia" w:ascii="宋体" w:hAnsi="宋体" w:eastAsia="宋体" w:cs="宋体"/>
          <w:color w:val="auto"/>
          <w:sz w:val="21"/>
          <w:szCs w:val="21"/>
          <w:highlight w:val="none"/>
          <w:u w:val="none"/>
        </w:rPr>
        <w:t>开始计算)。首期服务期满，采购人对中标服务商开展年度综合考核。考核≥80 分可顺延续签第二年；考核＜80 分，采购人有权终止续期，另行采购。</w:t>
      </w:r>
    </w:p>
    <w:p w14:paraId="443DE8CC">
      <w:pPr>
        <w:pStyle w:val="33"/>
        <w:spacing w:line="360" w:lineRule="auto"/>
        <w:ind w:firstLine="422" w:firstLineChars="200"/>
        <w:rPr>
          <w:rFonts w:ascii="宋体" w:hAnsi="宋体" w:cs="宋体"/>
          <w:b/>
          <w:bCs/>
          <w:color w:val="auto"/>
          <w:szCs w:val="21"/>
        </w:rPr>
      </w:pPr>
      <w:r>
        <w:rPr>
          <w:rFonts w:hint="eastAsia" w:ascii="宋体" w:hAnsi="宋体" w:cs="宋体"/>
          <w:b/>
          <w:bCs/>
          <w:color w:val="auto"/>
          <w:szCs w:val="21"/>
        </w:rPr>
        <w:t>5.采购内容及要求：</w:t>
      </w:r>
      <w:r>
        <w:rPr>
          <w:rFonts w:hint="eastAsia" w:ascii="宋体" w:hAnsi="宋体" w:cs="宋体"/>
          <w:color w:val="auto"/>
          <w:szCs w:val="21"/>
        </w:rPr>
        <w:t>详见采购文件第二部分用户需求书</w:t>
      </w:r>
    </w:p>
    <w:p w14:paraId="45816263">
      <w:pPr>
        <w:widowControl/>
        <w:spacing w:line="360" w:lineRule="auto"/>
        <w:ind w:firstLine="422" w:firstLineChars="200"/>
        <w:jc w:val="left"/>
        <w:rPr>
          <w:rFonts w:ascii="宋体" w:hAnsi="宋体" w:cs="宋体"/>
          <w:b/>
          <w:bCs/>
          <w:color w:val="auto"/>
          <w:kern w:val="0"/>
          <w:szCs w:val="21"/>
        </w:rPr>
      </w:pPr>
      <w:r>
        <w:rPr>
          <w:rFonts w:hint="eastAsia" w:ascii="宋体" w:hAnsi="宋体" w:cs="宋体"/>
          <w:b/>
          <w:bCs/>
          <w:color w:val="auto"/>
          <w:kern w:val="0"/>
          <w:szCs w:val="21"/>
        </w:rPr>
        <w:t>二、提供资料相关事项</w:t>
      </w:r>
    </w:p>
    <w:p w14:paraId="1F00BFED">
      <w:pPr>
        <w:adjustRightInd w:val="0"/>
        <w:snapToGrid w:val="0"/>
        <w:spacing w:line="360" w:lineRule="auto"/>
        <w:ind w:firstLine="422" w:firstLineChars="200"/>
        <w:rPr>
          <w:rFonts w:ascii="宋体" w:hAnsi="宋体" w:cs="宋体"/>
          <w:color w:val="auto"/>
          <w:szCs w:val="21"/>
        </w:rPr>
      </w:pPr>
      <w:r>
        <w:rPr>
          <w:rFonts w:hint="eastAsia" w:ascii="宋体" w:hAnsi="宋体" w:cs="宋体"/>
          <w:b/>
          <w:bCs/>
          <w:color w:val="auto"/>
          <w:szCs w:val="21"/>
        </w:rPr>
        <w:t>1.报名截止时间：</w:t>
      </w:r>
      <w:r>
        <w:rPr>
          <w:rFonts w:hint="eastAsia" w:ascii="宋体" w:hAnsi="宋体" w:cs="宋体"/>
          <w:color w:val="auto"/>
          <w:szCs w:val="21"/>
        </w:rPr>
        <w:t>2026年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3</w:t>
      </w:r>
      <w:r>
        <w:rPr>
          <w:rFonts w:hint="eastAsia" w:ascii="宋体" w:hAnsi="宋体" w:cs="宋体"/>
          <w:color w:val="auto"/>
          <w:szCs w:val="21"/>
        </w:rPr>
        <w:t>日17点30分</w:t>
      </w:r>
    </w:p>
    <w:p w14:paraId="464827F3">
      <w:pPr>
        <w:adjustRightInd w:val="0"/>
        <w:snapToGrid w:val="0"/>
        <w:spacing w:line="360" w:lineRule="auto"/>
        <w:ind w:firstLine="422" w:firstLineChars="200"/>
        <w:rPr>
          <w:rFonts w:ascii="宋体" w:hAnsi="宋体" w:cs="宋体"/>
          <w:color w:val="auto"/>
          <w:szCs w:val="21"/>
        </w:rPr>
      </w:pPr>
      <w:r>
        <w:rPr>
          <w:rFonts w:hint="eastAsia" w:ascii="宋体" w:hAnsi="宋体" w:cs="宋体"/>
          <w:b/>
          <w:bCs/>
          <w:color w:val="auto"/>
          <w:szCs w:val="21"/>
        </w:rPr>
        <w:t>2.报名方式：</w:t>
      </w:r>
      <w:r>
        <w:rPr>
          <w:rFonts w:hint="eastAsia" w:ascii="宋体" w:hAnsi="宋体" w:cs="宋体"/>
          <w:color w:val="auto"/>
          <w:szCs w:val="21"/>
        </w:rPr>
        <w:t>电子邮件报名</w:t>
      </w:r>
    </w:p>
    <w:p w14:paraId="5A7205BD">
      <w:pPr>
        <w:adjustRightInd w:val="0"/>
        <w:snapToGrid w:val="0"/>
        <w:spacing w:line="360" w:lineRule="auto"/>
        <w:ind w:firstLine="422" w:firstLineChars="200"/>
        <w:rPr>
          <w:rFonts w:ascii="宋体" w:hAnsi="宋体" w:cs="宋体"/>
          <w:color w:val="auto"/>
          <w:szCs w:val="21"/>
        </w:rPr>
      </w:pPr>
      <w:r>
        <w:rPr>
          <w:rFonts w:hint="eastAsia" w:ascii="宋体" w:hAnsi="宋体" w:cs="宋体"/>
          <w:b/>
          <w:color w:val="auto"/>
          <w:szCs w:val="21"/>
        </w:rPr>
        <w:t>3.报名所需提供资料及要求</w:t>
      </w:r>
      <w:r>
        <w:rPr>
          <w:rFonts w:hint="eastAsia" w:ascii="宋体" w:hAnsi="宋体" w:cs="宋体"/>
          <w:color w:val="auto"/>
          <w:szCs w:val="21"/>
        </w:rPr>
        <w:t>：详见附件3报名资料</w:t>
      </w:r>
    </w:p>
    <w:p w14:paraId="4259B355">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温馨告知：报名资料除封面外，其他材料须双面打印，打印出来的资料盖章后，扫描成PDF版。各报名供应商应确保所提供报名资料真实、完整、清晰可辨，报名资料模糊不清、难以辨认的，视为未提供，由此造成报名不成功、不能进入评审环节等严重后果由供应商自行负责。</w:t>
      </w:r>
    </w:p>
    <w:p w14:paraId="2AAAA20C">
      <w:pPr>
        <w:adjustRightInd w:val="0"/>
        <w:snapToGrid w:val="0"/>
        <w:spacing w:line="360" w:lineRule="auto"/>
        <w:ind w:firstLine="422" w:firstLineChars="200"/>
        <w:rPr>
          <w:rFonts w:ascii="宋体" w:hAnsi="宋体" w:cs="宋体"/>
          <w:color w:val="auto"/>
          <w:szCs w:val="21"/>
        </w:rPr>
      </w:pPr>
      <w:r>
        <w:rPr>
          <w:rFonts w:hint="eastAsia" w:ascii="宋体" w:hAnsi="宋体" w:cs="宋体"/>
          <w:b/>
          <w:bCs/>
          <w:color w:val="auto"/>
          <w:szCs w:val="21"/>
        </w:rPr>
        <w:t>4.评审时间及地点：</w:t>
      </w:r>
      <w:r>
        <w:rPr>
          <w:rFonts w:hint="eastAsia" w:ascii="宋体" w:hAnsi="宋体" w:cs="宋体"/>
          <w:color w:val="auto"/>
          <w:szCs w:val="21"/>
        </w:rPr>
        <w:t>待定（根据医院工作安排通知符合要求报名公司）</w:t>
      </w:r>
    </w:p>
    <w:p w14:paraId="1221AA02">
      <w:pPr>
        <w:widowControl/>
        <w:spacing w:line="360" w:lineRule="auto"/>
        <w:ind w:firstLine="422" w:firstLineChars="200"/>
        <w:jc w:val="left"/>
        <w:rPr>
          <w:rFonts w:ascii="宋体" w:hAnsi="宋体" w:cs="宋体"/>
          <w:b/>
          <w:color w:val="auto"/>
          <w:kern w:val="0"/>
          <w:szCs w:val="21"/>
        </w:rPr>
      </w:pPr>
      <w:r>
        <w:rPr>
          <w:rFonts w:hint="eastAsia" w:ascii="宋体" w:hAnsi="宋体" w:cs="宋体"/>
          <w:b/>
          <w:bCs/>
          <w:color w:val="auto"/>
          <w:szCs w:val="21"/>
        </w:rPr>
        <w:t>5.</w:t>
      </w:r>
      <w:r>
        <w:rPr>
          <w:rFonts w:hint="eastAsia" w:ascii="宋体" w:hAnsi="宋体" w:cs="宋体"/>
          <w:b/>
          <w:color w:val="auto"/>
          <w:kern w:val="0"/>
          <w:szCs w:val="21"/>
        </w:rPr>
        <w:t>报名注意事项：</w:t>
      </w:r>
    </w:p>
    <w:p w14:paraId="213D7630">
      <w:pPr>
        <w:widowControl/>
        <w:spacing w:line="360" w:lineRule="auto"/>
        <w:ind w:firstLine="420" w:firstLineChars="200"/>
        <w:jc w:val="left"/>
        <w:rPr>
          <w:rFonts w:ascii="宋体" w:hAnsi="宋体" w:cs="宋体"/>
          <w:bCs/>
          <w:color w:val="auto"/>
          <w:kern w:val="0"/>
          <w:szCs w:val="21"/>
        </w:rPr>
      </w:pPr>
      <w:r>
        <w:rPr>
          <w:rFonts w:hint="eastAsia" w:ascii="宋体" w:hAnsi="宋体" w:cs="宋体"/>
          <w:bCs/>
          <w:color w:val="auto"/>
          <w:kern w:val="0"/>
          <w:szCs w:val="21"/>
        </w:rPr>
        <w:t>（1）请各报名供应商在报名截止时间前，按照报名资料要求整理好整套报名资料，发送至指定邮箱，报名时间截止后，由相关人员统一审核。</w:t>
      </w:r>
    </w:p>
    <w:p w14:paraId="3364B5A1">
      <w:pPr>
        <w:widowControl/>
        <w:spacing w:line="360" w:lineRule="auto"/>
        <w:ind w:firstLine="420" w:firstLineChars="200"/>
        <w:jc w:val="left"/>
        <w:rPr>
          <w:rFonts w:ascii="宋体" w:hAnsi="宋体" w:cs="宋体"/>
          <w:bCs/>
          <w:color w:val="auto"/>
          <w:kern w:val="0"/>
          <w:szCs w:val="21"/>
        </w:rPr>
      </w:pPr>
      <w:r>
        <w:rPr>
          <w:rFonts w:hint="eastAsia" w:ascii="宋体" w:hAnsi="宋体" w:cs="宋体"/>
          <w:bCs/>
          <w:color w:val="auto"/>
          <w:kern w:val="0"/>
          <w:szCs w:val="21"/>
        </w:rPr>
        <w:t>（2）各报名供应商应确保所提供报名资料真实、完整、清晰可辨，报名资料模糊不清、难以辨认，视为未提供处理，由此造成报名不成功、不能进入评审环节等严重后果由供应商自行负责。</w:t>
      </w:r>
    </w:p>
    <w:p w14:paraId="596BF244">
      <w:pPr>
        <w:widowControl/>
        <w:spacing w:line="360" w:lineRule="auto"/>
        <w:ind w:firstLine="420" w:firstLineChars="200"/>
        <w:jc w:val="left"/>
        <w:rPr>
          <w:rFonts w:ascii="宋体" w:hAnsi="宋体" w:cs="宋体"/>
          <w:bCs/>
          <w:color w:val="auto"/>
          <w:kern w:val="0"/>
          <w:szCs w:val="21"/>
        </w:rPr>
      </w:pPr>
      <w:r>
        <w:rPr>
          <w:rFonts w:hint="eastAsia" w:ascii="宋体" w:hAnsi="宋体" w:cs="宋体"/>
          <w:bCs/>
          <w:color w:val="auto"/>
          <w:kern w:val="0"/>
          <w:szCs w:val="21"/>
        </w:rPr>
        <w:t>（3）报名时间截止后不再受理报名或资料变更和补充，报名时间截止后所接收的任何邮件视为无效邮件。</w:t>
      </w:r>
    </w:p>
    <w:p w14:paraId="538E247A">
      <w:pPr>
        <w:widowControl/>
        <w:spacing w:line="360" w:lineRule="auto"/>
        <w:ind w:firstLine="422" w:firstLineChars="200"/>
        <w:jc w:val="left"/>
        <w:rPr>
          <w:rFonts w:ascii="宋体" w:hAnsi="宋体" w:cs="宋体"/>
          <w:bCs/>
          <w:color w:val="auto"/>
          <w:kern w:val="0"/>
          <w:szCs w:val="21"/>
        </w:rPr>
      </w:pPr>
      <w:r>
        <w:rPr>
          <w:rFonts w:hint="eastAsia" w:ascii="宋体" w:hAnsi="宋体" w:cs="宋体"/>
          <w:b/>
          <w:color w:val="auto"/>
          <w:kern w:val="0"/>
          <w:szCs w:val="21"/>
        </w:rPr>
        <w:t>三、报名供应商资格要求</w:t>
      </w:r>
    </w:p>
    <w:p w14:paraId="496E170B">
      <w:pPr>
        <w:spacing w:line="360" w:lineRule="auto"/>
        <w:ind w:firstLine="420"/>
        <w:rPr>
          <w:rFonts w:ascii="宋体" w:hAnsi="宋体" w:cs="宋体"/>
          <w:b/>
          <w:color w:val="auto"/>
          <w:kern w:val="0"/>
          <w:szCs w:val="21"/>
        </w:rPr>
      </w:pPr>
      <w:r>
        <w:rPr>
          <w:rFonts w:hint="eastAsia" w:ascii="宋体" w:hAnsi="宋体" w:cs="宋体"/>
          <w:b/>
          <w:color w:val="auto"/>
          <w:kern w:val="0"/>
          <w:szCs w:val="21"/>
        </w:rPr>
        <w:t>1.</w:t>
      </w:r>
      <w:r>
        <w:rPr>
          <w:rFonts w:hint="eastAsia" w:ascii="宋体" w:hAnsi="宋体" w:cs="宋体"/>
          <w:bCs/>
          <w:color w:val="auto"/>
          <w:kern w:val="0"/>
          <w:szCs w:val="21"/>
        </w:rPr>
        <w:t>具有独立承担民事责任的能力：</w:t>
      </w:r>
      <w:r>
        <w:rPr>
          <w:rFonts w:hint="eastAsia" w:ascii="宋体" w:hAnsi="宋体" w:cs="宋体"/>
          <w:b/>
          <w:color w:val="auto"/>
          <w:kern w:val="0"/>
          <w:szCs w:val="21"/>
        </w:rPr>
        <w:t>在中华人民共和国境内注册的法人或其他组织或自然人，响应时提交有效的营业执照（或事业法人登记证或身份证等相关证明）副本复印件，并加盖公章。（如分支机构投标，须取得总公司（总所）出具给分支机构的授权书，并提供总公司（总所）和分支机构的营业执照（执业许可证）复印件，并加盖供应商公章。已由总公司（总所）授权的，总公司（总所）取得的相关资质证书对分支机构有效，法律法规或者行业另有规定的除外。如国家另有规定的，则从其规定）</w:t>
      </w:r>
    </w:p>
    <w:p w14:paraId="3FD4296C">
      <w:pPr>
        <w:widowControl/>
        <w:spacing w:line="360" w:lineRule="auto"/>
        <w:ind w:firstLine="420" w:firstLineChars="200"/>
        <w:jc w:val="left"/>
        <w:rPr>
          <w:rFonts w:ascii="宋体" w:hAnsi="宋体" w:cs="宋体"/>
          <w:b/>
          <w:color w:val="auto"/>
          <w:kern w:val="0"/>
          <w:szCs w:val="21"/>
        </w:rPr>
      </w:pPr>
      <w:r>
        <w:rPr>
          <w:rFonts w:hint="eastAsia" w:ascii="宋体" w:hAnsi="宋体" w:cs="宋体"/>
          <w:bCs/>
          <w:color w:val="auto"/>
          <w:kern w:val="0"/>
          <w:szCs w:val="21"/>
        </w:rPr>
        <w:t>2.参加采购活动前3年内，在经营活动中没有重大违法记录。</w:t>
      </w:r>
      <w:r>
        <w:rPr>
          <w:rFonts w:hint="eastAsia" w:ascii="宋体" w:hAnsi="宋体" w:cs="宋体"/>
          <w:b/>
          <w:color w:val="auto"/>
          <w:kern w:val="0"/>
          <w:szCs w:val="21"/>
        </w:rPr>
        <w:t>提供书面声明函或承诺函，格式自拟，并加盖供应商公章。</w:t>
      </w:r>
    </w:p>
    <w:p w14:paraId="1B4E7266">
      <w:pPr>
        <w:widowControl/>
        <w:spacing w:line="360" w:lineRule="auto"/>
        <w:ind w:firstLine="420" w:firstLineChars="200"/>
        <w:jc w:val="left"/>
        <w:rPr>
          <w:rFonts w:ascii="宋体" w:hAnsi="宋体" w:cs="宋体"/>
          <w:strike/>
          <w:color w:val="auto"/>
          <w:szCs w:val="21"/>
        </w:rPr>
      </w:pPr>
      <w:r>
        <w:rPr>
          <w:rFonts w:hint="eastAsia" w:ascii="宋体" w:hAnsi="宋体" w:cs="宋体"/>
          <w:color w:val="auto"/>
          <w:szCs w:val="21"/>
        </w:rPr>
        <w:t>3.本项目不接受联合体投标、分包、转包。</w:t>
      </w:r>
      <w:r>
        <w:rPr>
          <w:rFonts w:hint="eastAsia" w:ascii="宋体" w:hAnsi="宋体" w:cs="宋体"/>
          <w:b/>
          <w:color w:val="auto"/>
          <w:kern w:val="0"/>
          <w:szCs w:val="21"/>
        </w:rPr>
        <w:t>提供书面声明函或承诺函，格式自拟，并加盖供应商公章。</w:t>
      </w:r>
    </w:p>
    <w:p w14:paraId="683C3787">
      <w:pPr>
        <w:widowControl/>
        <w:spacing w:line="360" w:lineRule="auto"/>
        <w:ind w:firstLine="420" w:firstLineChars="200"/>
        <w:jc w:val="left"/>
        <w:rPr>
          <w:rFonts w:ascii="宋体" w:hAnsi="宋体" w:cs="宋体"/>
          <w:b/>
          <w:color w:val="auto"/>
          <w:kern w:val="0"/>
          <w:szCs w:val="21"/>
          <w:highlight w:val="yellow"/>
        </w:rPr>
      </w:pPr>
      <w:r>
        <w:rPr>
          <w:rFonts w:hint="eastAsia" w:ascii="宋体" w:hAnsi="宋体" w:cs="宋体"/>
          <w:bCs/>
          <w:color w:val="auto"/>
          <w:kern w:val="0"/>
          <w:szCs w:val="21"/>
        </w:rPr>
        <w:t>4.单位负责人为同一人或者存在直接控股、管理关系的不同供应商，不得同时参加本采购项目。</w:t>
      </w:r>
      <w:r>
        <w:rPr>
          <w:rFonts w:hint="eastAsia" w:ascii="宋体" w:hAnsi="宋体" w:cs="宋体"/>
          <w:b/>
          <w:color w:val="auto"/>
          <w:kern w:val="0"/>
          <w:szCs w:val="21"/>
        </w:rPr>
        <w:t>提供书面声明函或承诺函，格式自拟，并加盖供应商公章。</w:t>
      </w:r>
    </w:p>
    <w:p w14:paraId="49A7B8A6">
      <w:pPr>
        <w:widowControl/>
        <w:spacing w:line="360" w:lineRule="auto"/>
        <w:ind w:firstLine="316" w:firstLineChars="150"/>
        <w:jc w:val="left"/>
        <w:rPr>
          <w:rFonts w:ascii="宋体" w:hAnsi="宋体" w:cs="宋体"/>
          <w:b/>
          <w:color w:val="auto"/>
          <w:kern w:val="0"/>
          <w:szCs w:val="21"/>
        </w:rPr>
      </w:pPr>
      <w:r>
        <w:rPr>
          <w:rFonts w:hint="eastAsia" w:ascii="宋体" w:hAnsi="宋体" w:cs="宋体"/>
          <w:b/>
          <w:color w:val="auto"/>
          <w:kern w:val="0"/>
          <w:szCs w:val="21"/>
        </w:rPr>
        <w:t>四、联系方式：</w:t>
      </w:r>
    </w:p>
    <w:p w14:paraId="1B042EA5">
      <w:pPr>
        <w:widowControl/>
        <w:spacing w:line="360" w:lineRule="auto"/>
        <w:ind w:firstLine="315" w:firstLineChars="150"/>
        <w:jc w:val="left"/>
        <w:rPr>
          <w:rFonts w:ascii="宋体" w:hAnsi="宋体" w:cs="宋体"/>
          <w:color w:val="auto"/>
          <w:kern w:val="0"/>
          <w:szCs w:val="21"/>
        </w:rPr>
      </w:pPr>
      <w:r>
        <w:rPr>
          <w:rFonts w:hint="eastAsia" w:ascii="宋体" w:hAnsi="宋体" w:cs="宋体"/>
          <w:color w:val="auto"/>
          <w:kern w:val="0"/>
          <w:szCs w:val="21"/>
        </w:rPr>
        <w:t>冯老师：020-62236261（采购业务咨询）  邮箱：nywycgb@126.com</w:t>
      </w:r>
    </w:p>
    <w:p w14:paraId="6D57F241">
      <w:pPr>
        <w:widowControl/>
        <w:spacing w:line="360" w:lineRule="auto"/>
        <w:ind w:firstLine="315" w:firstLineChars="150"/>
        <w:jc w:val="left"/>
        <w:rPr>
          <w:rFonts w:ascii="宋体" w:hAnsi="宋体" w:cs="宋体"/>
          <w:color w:val="auto"/>
          <w:kern w:val="0"/>
          <w:szCs w:val="21"/>
        </w:rPr>
      </w:pPr>
      <w:r>
        <w:rPr>
          <w:rFonts w:hint="eastAsia" w:ascii="宋体" w:hAnsi="宋体" w:cs="宋体"/>
          <w:color w:val="auto"/>
          <w:kern w:val="0"/>
          <w:szCs w:val="21"/>
        </w:rPr>
        <w:t>徐老师：020-62236148（项目需求咨询）</w:t>
      </w:r>
    </w:p>
    <w:p w14:paraId="5EF353B8">
      <w:pPr>
        <w:widowControl/>
        <w:spacing w:line="360" w:lineRule="auto"/>
        <w:ind w:firstLine="315" w:firstLineChars="150"/>
        <w:jc w:val="left"/>
        <w:rPr>
          <w:rFonts w:ascii="宋体" w:hAnsi="宋体" w:cs="宋体"/>
          <w:color w:val="auto"/>
          <w:kern w:val="0"/>
          <w:szCs w:val="21"/>
        </w:rPr>
      </w:pPr>
      <w:r>
        <w:rPr>
          <w:rFonts w:hint="eastAsia" w:ascii="宋体" w:hAnsi="宋体" w:cs="宋体"/>
          <w:color w:val="auto"/>
          <w:kern w:val="0"/>
          <w:szCs w:val="21"/>
        </w:rPr>
        <w:t>黄老师：020-62236105（投诉举报电话）</w:t>
      </w:r>
    </w:p>
    <w:p w14:paraId="2206C54D">
      <w:pPr>
        <w:widowControl/>
        <w:spacing w:line="360" w:lineRule="auto"/>
        <w:ind w:firstLine="315" w:firstLineChars="150"/>
        <w:jc w:val="left"/>
        <w:rPr>
          <w:rFonts w:ascii="宋体" w:hAnsi="宋体" w:cs="宋体"/>
          <w:color w:val="auto"/>
          <w:kern w:val="0"/>
          <w:szCs w:val="21"/>
        </w:rPr>
      </w:pPr>
      <w:r>
        <w:rPr>
          <w:rFonts w:hint="eastAsia" w:ascii="宋体" w:hAnsi="宋体" w:cs="宋体"/>
          <w:color w:val="auto"/>
          <w:kern w:val="0"/>
          <w:szCs w:val="21"/>
        </w:rPr>
        <w:t>联系时间（工作日）：8:30-12:00，14:30-17:30</w:t>
      </w:r>
    </w:p>
    <w:p w14:paraId="401C0D23">
      <w:pPr>
        <w:widowControl/>
        <w:spacing w:line="360" w:lineRule="auto"/>
        <w:ind w:firstLine="1050" w:firstLineChars="500"/>
        <w:jc w:val="right"/>
        <w:rPr>
          <w:rFonts w:ascii="宋体" w:hAnsi="宋体" w:cs="宋体"/>
          <w:color w:val="auto"/>
          <w:kern w:val="0"/>
          <w:szCs w:val="21"/>
        </w:rPr>
      </w:pPr>
    </w:p>
    <w:p w14:paraId="0D8D4DDE">
      <w:pPr>
        <w:widowControl/>
        <w:spacing w:line="360" w:lineRule="auto"/>
        <w:ind w:firstLine="1050" w:firstLineChars="500"/>
        <w:jc w:val="right"/>
        <w:rPr>
          <w:rFonts w:ascii="宋体" w:hAnsi="宋体" w:cs="宋体"/>
          <w:color w:val="auto"/>
          <w:kern w:val="0"/>
          <w:szCs w:val="21"/>
        </w:rPr>
      </w:pPr>
    </w:p>
    <w:p w14:paraId="3BB505AC">
      <w:pPr>
        <w:widowControl/>
        <w:spacing w:line="360" w:lineRule="auto"/>
        <w:ind w:firstLine="1050" w:firstLineChars="500"/>
        <w:jc w:val="right"/>
        <w:rPr>
          <w:rFonts w:ascii="宋体" w:hAnsi="宋体" w:cs="宋体"/>
          <w:color w:val="auto"/>
          <w:kern w:val="0"/>
          <w:szCs w:val="21"/>
        </w:rPr>
      </w:pPr>
      <w:r>
        <w:rPr>
          <w:rFonts w:hint="eastAsia" w:ascii="宋体" w:hAnsi="宋体" w:cs="宋体"/>
          <w:color w:val="auto"/>
          <w:kern w:val="0"/>
          <w:szCs w:val="21"/>
        </w:rPr>
        <w:t>南方医科大学第五附属医院</w:t>
      </w:r>
    </w:p>
    <w:p w14:paraId="28443888">
      <w:pPr>
        <w:widowControl/>
        <w:spacing w:line="360" w:lineRule="auto"/>
        <w:jc w:val="right"/>
        <w:rPr>
          <w:color w:val="auto"/>
          <w:szCs w:val="21"/>
        </w:rPr>
      </w:pPr>
      <w:r>
        <w:rPr>
          <w:rFonts w:hint="eastAsia" w:ascii="宋体" w:hAnsi="宋体" w:cs="宋体"/>
          <w:color w:val="auto"/>
          <w:kern w:val="0"/>
          <w:szCs w:val="21"/>
        </w:rPr>
        <w:t>2026年5月</w:t>
      </w:r>
      <w:r>
        <w:rPr>
          <w:rFonts w:hint="eastAsia" w:ascii="宋体" w:hAnsi="宋体" w:cs="宋体"/>
          <w:color w:val="auto"/>
          <w:kern w:val="0"/>
          <w:szCs w:val="21"/>
          <w:lang w:val="en-US" w:eastAsia="zh-CN"/>
        </w:rPr>
        <w:t>29</w:t>
      </w:r>
      <w:r>
        <w:rPr>
          <w:rFonts w:hint="eastAsia" w:ascii="宋体" w:hAnsi="宋体" w:cs="宋体"/>
          <w:color w:val="auto"/>
          <w:kern w:val="0"/>
          <w:szCs w:val="21"/>
        </w:rPr>
        <w:t>日</w:t>
      </w:r>
    </w:p>
    <w:p w14:paraId="59D3F912">
      <w:pPr>
        <w:widowControl/>
        <w:spacing w:line="320" w:lineRule="exact"/>
        <w:jc w:val="right"/>
        <w:rPr>
          <w:rFonts w:ascii="宋体" w:hAnsi="宋体" w:cs="宋体"/>
          <w:color w:val="auto"/>
          <w:kern w:val="0"/>
          <w:szCs w:val="21"/>
        </w:rPr>
      </w:pPr>
    </w:p>
    <w:p w14:paraId="7C6C1627">
      <w:pPr>
        <w:widowControl/>
        <w:spacing w:line="320" w:lineRule="exact"/>
        <w:jc w:val="right"/>
        <w:rPr>
          <w:rFonts w:ascii="宋体" w:hAnsi="宋体" w:cs="宋体"/>
          <w:color w:val="auto"/>
          <w:kern w:val="0"/>
          <w:szCs w:val="21"/>
        </w:rPr>
      </w:pPr>
    </w:p>
    <w:p w14:paraId="17C1919D">
      <w:pPr>
        <w:widowControl/>
        <w:spacing w:line="320" w:lineRule="exact"/>
        <w:jc w:val="right"/>
        <w:rPr>
          <w:rFonts w:ascii="宋体" w:hAnsi="宋体" w:cs="宋体"/>
          <w:color w:val="auto"/>
          <w:kern w:val="0"/>
          <w:szCs w:val="21"/>
        </w:rPr>
      </w:pPr>
    </w:p>
    <w:p w14:paraId="51CE2B9B">
      <w:pPr>
        <w:widowControl/>
        <w:spacing w:line="320" w:lineRule="exact"/>
        <w:jc w:val="right"/>
        <w:rPr>
          <w:rFonts w:ascii="宋体" w:hAnsi="宋体" w:cs="宋体"/>
          <w:color w:val="auto"/>
          <w:kern w:val="0"/>
          <w:szCs w:val="21"/>
        </w:rPr>
      </w:pPr>
    </w:p>
    <w:p w14:paraId="209DB930">
      <w:pPr>
        <w:widowControl/>
        <w:spacing w:line="320" w:lineRule="exact"/>
        <w:jc w:val="right"/>
        <w:rPr>
          <w:rFonts w:ascii="宋体" w:hAnsi="宋体" w:cs="宋体"/>
          <w:color w:val="auto"/>
          <w:kern w:val="0"/>
          <w:szCs w:val="21"/>
        </w:rPr>
      </w:pPr>
      <w:bookmarkStart w:id="584" w:name="_GoBack"/>
      <w:bookmarkEnd w:id="584"/>
    </w:p>
    <w:p w14:paraId="45900014">
      <w:pPr>
        <w:widowControl/>
        <w:spacing w:line="320" w:lineRule="exact"/>
        <w:jc w:val="right"/>
        <w:rPr>
          <w:rFonts w:ascii="宋体" w:hAnsi="宋体" w:cs="宋体"/>
          <w:color w:val="auto"/>
          <w:kern w:val="0"/>
          <w:szCs w:val="21"/>
        </w:rPr>
      </w:pPr>
    </w:p>
    <w:p w14:paraId="393B9A34">
      <w:pPr>
        <w:widowControl/>
        <w:spacing w:line="320" w:lineRule="exact"/>
        <w:jc w:val="right"/>
        <w:rPr>
          <w:rFonts w:ascii="宋体" w:hAnsi="宋体" w:cs="宋体"/>
          <w:color w:val="auto"/>
          <w:kern w:val="0"/>
          <w:szCs w:val="21"/>
        </w:rPr>
      </w:pPr>
    </w:p>
    <w:p w14:paraId="559FBDCD">
      <w:pPr>
        <w:widowControl/>
        <w:spacing w:line="320" w:lineRule="exact"/>
        <w:jc w:val="right"/>
        <w:rPr>
          <w:rFonts w:ascii="宋体" w:hAnsi="宋体" w:cs="宋体"/>
          <w:color w:val="auto"/>
          <w:kern w:val="0"/>
          <w:szCs w:val="21"/>
        </w:rPr>
      </w:pPr>
    </w:p>
    <w:p w14:paraId="60A5D3CF">
      <w:pPr>
        <w:widowControl/>
        <w:spacing w:line="320" w:lineRule="exact"/>
        <w:jc w:val="right"/>
        <w:rPr>
          <w:rFonts w:ascii="宋体" w:hAnsi="宋体" w:cs="宋体"/>
          <w:color w:val="auto"/>
          <w:kern w:val="0"/>
          <w:szCs w:val="21"/>
        </w:rPr>
      </w:pPr>
    </w:p>
    <w:p w14:paraId="27F56942">
      <w:pPr>
        <w:widowControl/>
        <w:spacing w:line="320" w:lineRule="exact"/>
        <w:jc w:val="right"/>
        <w:rPr>
          <w:rFonts w:ascii="宋体" w:hAnsi="宋体" w:cs="宋体"/>
          <w:color w:val="auto"/>
          <w:kern w:val="0"/>
          <w:szCs w:val="21"/>
        </w:rPr>
      </w:pPr>
    </w:p>
    <w:p w14:paraId="00082824">
      <w:pPr>
        <w:widowControl/>
        <w:spacing w:line="320" w:lineRule="exact"/>
        <w:jc w:val="right"/>
        <w:rPr>
          <w:rFonts w:ascii="宋体" w:hAnsi="宋体" w:cs="宋体"/>
          <w:color w:val="auto"/>
          <w:kern w:val="0"/>
          <w:szCs w:val="21"/>
        </w:rPr>
      </w:pPr>
    </w:p>
    <w:p w14:paraId="25364363">
      <w:pPr>
        <w:widowControl/>
        <w:spacing w:line="320" w:lineRule="exact"/>
        <w:jc w:val="right"/>
        <w:rPr>
          <w:rFonts w:ascii="宋体" w:hAnsi="宋体" w:cs="宋体"/>
          <w:color w:val="auto"/>
          <w:kern w:val="0"/>
          <w:szCs w:val="21"/>
        </w:rPr>
      </w:pPr>
    </w:p>
    <w:p w14:paraId="41C90BEA">
      <w:pPr>
        <w:widowControl/>
        <w:spacing w:line="320" w:lineRule="exact"/>
        <w:jc w:val="right"/>
        <w:rPr>
          <w:rFonts w:ascii="宋体" w:hAnsi="宋体" w:cs="宋体"/>
          <w:color w:val="auto"/>
          <w:kern w:val="0"/>
          <w:szCs w:val="21"/>
        </w:rPr>
      </w:pPr>
    </w:p>
    <w:p w14:paraId="3CA70BC6">
      <w:pPr>
        <w:widowControl/>
        <w:spacing w:line="320" w:lineRule="exact"/>
        <w:jc w:val="right"/>
        <w:rPr>
          <w:rFonts w:ascii="宋体" w:hAnsi="宋体" w:cs="宋体"/>
          <w:color w:val="auto"/>
          <w:kern w:val="0"/>
          <w:szCs w:val="21"/>
        </w:rPr>
      </w:pPr>
    </w:p>
    <w:p w14:paraId="222003C2">
      <w:pPr>
        <w:widowControl/>
        <w:spacing w:line="320" w:lineRule="exact"/>
        <w:jc w:val="right"/>
        <w:rPr>
          <w:rFonts w:ascii="宋体" w:hAnsi="宋体" w:cs="宋体"/>
          <w:color w:val="auto"/>
          <w:kern w:val="0"/>
          <w:szCs w:val="21"/>
        </w:rPr>
      </w:pPr>
    </w:p>
    <w:p w14:paraId="6A9C6F04">
      <w:pPr>
        <w:widowControl/>
        <w:spacing w:line="320" w:lineRule="exact"/>
        <w:jc w:val="right"/>
        <w:rPr>
          <w:rFonts w:ascii="宋体" w:hAnsi="宋体" w:cs="宋体"/>
          <w:color w:val="auto"/>
          <w:kern w:val="0"/>
          <w:szCs w:val="21"/>
        </w:rPr>
      </w:pPr>
    </w:p>
    <w:p w14:paraId="4FC28875">
      <w:pPr>
        <w:widowControl/>
        <w:spacing w:line="320" w:lineRule="exact"/>
        <w:jc w:val="right"/>
        <w:rPr>
          <w:rFonts w:ascii="宋体" w:hAnsi="宋体" w:cs="宋体"/>
          <w:color w:val="auto"/>
          <w:kern w:val="0"/>
          <w:szCs w:val="21"/>
        </w:rPr>
      </w:pPr>
    </w:p>
    <w:p w14:paraId="50BD4B3E">
      <w:pPr>
        <w:widowControl/>
        <w:spacing w:line="320" w:lineRule="exact"/>
        <w:jc w:val="right"/>
        <w:rPr>
          <w:rFonts w:ascii="宋体" w:hAnsi="宋体" w:cs="宋体"/>
          <w:color w:val="auto"/>
          <w:kern w:val="0"/>
          <w:szCs w:val="21"/>
        </w:rPr>
      </w:pPr>
    </w:p>
    <w:p w14:paraId="63E92C45">
      <w:pPr>
        <w:widowControl/>
        <w:spacing w:line="320" w:lineRule="exact"/>
        <w:jc w:val="right"/>
        <w:rPr>
          <w:rFonts w:ascii="宋体" w:hAnsi="宋体" w:cs="宋体"/>
          <w:color w:val="auto"/>
          <w:kern w:val="0"/>
          <w:szCs w:val="21"/>
        </w:rPr>
      </w:pPr>
    </w:p>
    <w:p w14:paraId="77A0A34C">
      <w:pPr>
        <w:widowControl/>
        <w:spacing w:line="320" w:lineRule="exact"/>
        <w:jc w:val="right"/>
        <w:rPr>
          <w:rFonts w:ascii="宋体" w:hAnsi="宋体" w:cs="宋体"/>
          <w:color w:val="auto"/>
          <w:kern w:val="0"/>
          <w:szCs w:val="21"/>
        </w:rPr>
      </w:pPr>
    </w:p>
    <w:p w14:paraId="54286709">
      <w:pPr>
        <w:numPr>
          <w:ilvl w:val="0"/>
          <w:numId w:val="3"/>
        </w:numPr>
        <w:spacing w:line="360" w:lineRule="auto"/>
        <w:ind w:firstLine="422" w:firstLineChars="150"/>
        <w:jc w:val="center"/>
        <w:outlineLvl w:val="0"/>
        <w:rPr>
          <w:rFonts w:ascii="宋体" w:hAnsi="宋体"/>
          <w:b/>
          <w:bCs/>
          <w:color w:val="auto"/>
          <w:sz w:val="28"/>
          <w:szCs w:val="28"/>
        </w:rPr>
      </w:pPr>
      <w:bookmarkStart w:id="58" w:name="_Toc23261"/>
      <w:bookmarkStart w:id="59" w:name="_Toc6278"/>
      <w:bookmarkStart w:id="60" w:name="_Toc29094"/>
      <w:r>
        <w:rPr>
          <w:rFonts w:hint="eastAsia" w:ascii="宋体" w:hAnsi="宋体"/>
          <w:b/>
          <w:bCs/>
          <w:color w:val="auto"/>
          <w:sz w:val="28"/>
          <w:szCs w:val="28"/>
        </w:rPr>
        <w:t>采购需求</w:t>
      </w:r>
      <w:bookmarkEnd w:id="56"/>
      <w:bookmarkEnd w:id="57"/>
      <w:bookmarkEnd w:id="58"/>
      <w:bookmarkEnd w:id="59"/>
      <w:bookmarkEnd w:id="60"/>
    </w:p>
    <w:p w14:paraId="7D409F60">
      <w:pPr>
        <w:pStyle w:val="13"/>
        <w:tabs>
          <w:tab w:val="left" w:pos="2340"/>
        </w:tabs>
        <w:adjustRightInd w:val="0"/>
        <w:snapToGrid w:val="0"/>
        <w:spacing w:line="360" w:lineRule="auto"/>
        <w:ind w:firstLine="422" w:firstLineChars="200"/>
        <w:rPr>
          <w:rFonts w:hAnsi="宋体" w:cs="宋体"/>
          <w:b/>
          <w:bCs/>
          <w:color w:val="auto"/>
        </w:rPr>
      </w:pPr>
      <w:bookmarkStart w:id="61" w:name="_Toc10636"/>
      <w:bookmarkStart w:id="62" w:name="_Toc12178"/>
      <w:bookmarkStart w:id="63" w:name="_Toc20420"/>
      <w:bookmarkStart w:id="64" w:name="_Toc4236"/>
      <w:bookmarkStart w:id="65" w:name="_Toc32106"/>
      <w:bookmarkStart w:id="66" w:name="_Toc20762"/>
      <w:bookmarkStart w:id="67" w:name="_Toc27614"/>
      <w:bookmarkStart w:id="68" w:name="_Toc26796"/>
      <w:bookmarkStart w:id="69" w:name="_Toc8122"/>
      <w:bookmarkStart w:id="70" w:name="_Toc6416"/>
      <w:bookmarkStart w:id="71" w:name="_Toc28850"/>
      <w:bookmarkStart w:id="72" w:name="_Toc20606"/>
      <w:r>
        <w:rPr>
          <w:rFonts w:hint="eastAsia" w:hAnsi="宋体" w:cs="宋体"/>
          <w:b/>
          <w:bCs/>
          <w:color w:val="auto"/>
        </w:rPr>
        <w:t>一、项目概况</w:t>
      </w:r>
    </w:p>
    <w:p w14:paraId="0FB07CF9">
      <w:pPr>
        <w:pStyle w:val="13"/>
        <w:tabs>
          <w:tab w:val="left" w:pos="2340"/>
        </w:tabs>
        <w:adjustRightInd w:val="0"/>
        <w:snapToGrid w:val="0"/>
        <w:spacing w:line="360" w:lineRule="auto"/>
        <w:ind w:firstLine="420" w:firstLineChars="200"/>
        <w:rPr>
          <w:rFonts w:hAnsi="宋体" w:cs="宋体"/>
          <w:color w:val="auto"/>
        </w:rPr>
      </w:pPr>
      <w:r>
        <w:rPr>
          <w:rFonts w:hint="eastAsia" w:hAnsi="宋体" w:cs="宋体"/>
          <w:color w:val="auto"/>
          <w:lang w:eastAsia="zh-CN"/>
        </w:rPr>
        <w:t>（</w:t>
      </w:r>
      <w:r>
        <w:rPr>
          <w:rFonts w:hint="eastAsia" w:hAnsi="宋体" w:cs="宋体"/>
          <w:color w:val="auto"/>
          <w:lang w:val="en-US" w:eastAsia="zh-CN"/>
        </w:rPr>
        <w:t>一</w:t>
      </w:r>
      <w:r>
        <w:rPr>
          <w:rFonts w:hint="eastAsia" w:hAnsi="宋体" w:cs="宋体"/>
          <w:color w:val="auto"/>
          <w:lang w:eastAsia="zh-CN"/>
        </w:rPr>
        <w:t>）</w:t>
      </w:r>
      <w:r>
        <w:rPr>
          <w:rFonts w:hint="eastAsia" w:hAnsi="宋体" w:cs="宋体"/>
          <w:color w:val="auto"/>
        </w:rPr>
        <w:t>项目名称：南方医科大学第五附属医院污水处理系统维护保养服务项目</w:t>
      </w:r>
    </w:p>
    <w:p w14:paraId="453A8ACB">
      <w:pPr>
        <w:pStyle w:val="13"/>
        <w:tabs>
          <w:tab w:val="left" w:pos="2340"/>
        </w:tabs>
        <w:adjustRightInd w:val="0"/>
        <w:snapToGrid w:val="0"/>
        <w:spacing w:line="360" w:lineRule="auto"/>
        <w:ind w:firstLine="420" w:firstLineChars="200"/>
        <w:rPr>
          <w:rFonts w:hAnsi="宋体" w:cs="宋体"/>
          <w:color w:val="auto"/>
        </w:rPr>
      </w:pPr>
      <w:r>
        <w:rPr>
          <w:rFonts w:hint="eastAsia" w:hAnsi="宋体" w:cs="宋体"/>
          <w:color w:val="auto"/>
          <w:lang w:eastAsia="zh-CN"/>
        </w:rPr>
        <w:t>（</w:t>
      </w:r>
      <w:r>
        <w:rPr>
          <w:rFonts w:hint="eastAsia" w:hAnsi="宋体" w:cs="宋体"/>
          <w:color w:val="auto"/>
          <w:lang w:val="en-US" w:eastAsia="zh-CN"/>
        </w:rPr>
        <w:t>二</w:t>
      </w:r>
      <w:r>
        <w:rPr>
          <w:rFonts w:hint="eastAsia" w:hAnsi="宋体" w:cs="宋体"/>
          <w:color w:val="auto"/>
          <w:lang w:eastAsia="zh-CN"/>
        </w:rPr>
        <w:t>）</w:t>
      </w:r>
      <w:r>
        <w:rPr>
          <w:rFonts w:hint="eastAsia" w:hAnsi="宋体" w:cs="宋体"/>
          <w:color w:val="auto"/>
        </w:rPr>
        <w:t>项目类别：服务类</w:t>
      </w:r>
    </w:p>
    <w:p w14:paraId="4448EC5D">
      <w:pPr>
        <w:pStyle w:val="13"/>
        <w:tabs>
          <w:tab w:val="left" w:pos="2340"/>
        </w:tabs>
        <w:adjustRightInd w:val="0"/>
        <w:snapToGrid w:val="0"/>
        <w:spacing w:line="360" w:lineRule="auto"/>
        <w:ind w:firstLine="420" w:firstLineChars="200"/>
        <w:rPr>
          <w:rFonts w:hAnsi="宋体" w:cs="宋体"/>
          <w:color w:val="auto"/>
        </w:rPr>
      </w:pPr>
      <w:r>
        <w:rPr>
          <w:rFonts w:hint="eastAsia" w:hAnsi="宋体" w:cs="宋体"/>
          <w:color w:val="auto"/>
          <w:lang w:eastAsia="zh-CN"/>
        </w:rPr>
        <w:t>（</w:t>
      </w:r>
      <w:r>
        <w:rPr>
          <w:rFonts w:hint="eastAsia" w:hAnsi="宋体" w:cs="宋体"/>
          <w:color w:val="auto"/>
          <w:lang w:val="en-US" w:eastAsia="zh-CN"/>
        </w:rPr>
        <w:t>三</w:t>
      </w:r>
      <w:r>
        <w:rPr>
          <w:rFonts w:hint="eastAsia" w:hAnsi="宋体" w:cs="宋体"/>
          <w:color w:val="auto"/>
          <w:lang w:eastAsia="zh-CN"/>
        </w:rPr>
        <w:t>）</w:t>
      </w:r>
      <w:r>
        <w:rPr>
          <w:rFonts w:hint="eastAsia" w:hAnsi="宋体" w:cs="宋体"/>
          <w:color w:val="auto"/>
        </w:rPr>
        <w:t>采购内容及用途：确定1家成交供应商为南方医科大学第五附属医院提供污水处理系统维护保养服务。</w:t>
      </w:r>
    </w:p>
    <w:p w14:paraId="0A32F202">
      <w:pPr>
        <w:pStyle w:val="13"/>
        <w:tabs>
          <w:tab w:val="left" w:pos="2340"/>
        </w:tabs>
        <w:adjustRightInd w:val="0"/>
        <w:snapToGrid w:val="0"/>
        <w:spacing w:line="360" w:lineRule="auto"/>
        <w:ind w:firstLine="420" w:firstLineChars="200"/>
        <w:rPr>
          <w:rFonts w:hAnsi="宋体" w:cs="宋体"/>
          <w:color w:val="auto"/>
        </w:rPr>
      </w:pPr>
      <w:r>
        <w:rPr>
          <w:rFonts w:hint="eastAsia" w:hAnsi="宋体" w:cs="宋体"/>
          <w:color w:val="auto"/>
          <w:lang w:eastAsia="zh-CN"/>
        </w:rPr>
        <w:t>（</w:t>
      </w:r>
      <w:r>
        <w:rPr>
          <w:rFonts w:hint="eastAsia" w:hAnsi="宋体" w:cs="宋体"/>
          <w:color w:val="auto"/>
          <w:lang w:val="en-US" w:eastAsia="zh-CN"/>
        </w:rPr>
        <w:t>四</w:t>
      </w:r>
      <w:r>
        <w:rPr>
          <w:rFonts w:hint="eastAsia" w:hAnsi="宋体" w:cs="宋体"/>
          <w:color w:val="auto"/>
          <w:lang w:eastAsia="zh-CN"/>
        </w:rPr>
        <w:t>）</w:t>
      </w:r>
      <w:r>
        <w:rPr>
          <w:rFonts w:hint="eastAsia" w:hAnsi="宋体" w:cs="宋体"/>
          <w:color w:val="auto"/>
        </w:rPr>
        <w:t>项目预算：14.8万元/年，29.6万元/两年（不含超过3000元零配件与设备费用）。</w:t>
      </w:r>
    </w:p>
    <w:p w14:paraId="3A372370">
      <w:pPr>
        <w:spacing w:line="360" w:lineRule="auto"/>
        <w:ind w:left="0" w:leftChars="0" w:firstLine="420" w:firstLineChars="200"/>
        <w:contextualSpacing/>
        <w:rPr>
          <w:rFonts w:hint="eastAsia" w:ascii="宋体" w:hAnsi="宋体" w:eastAsia="宋体" w:cs="宋体"/>
          <w:color w:val="auto"/>
          <w:szCs w:val="21"/>
          <w:highlight w:val="none"/>
          <w:u w:val="none"/>
        </w:rPr>
      </w:pPr>
      <w:r>
        <w:rPr>
          <w:rFonts w:hint="eastAsia" w:ascii="宋体" w:hAnsi="宋体" w:cs="宋体"/>
          <w:color w:val="auto"/>
          <w:szCs w:val="21"/>
          <w:lang w:eastAsia="zh-CN"/>
        </w:rPr>
        <w:t>（</w:t>
      </w:r>
      <w:r>
        <w:rPr>
          <w:rFonts w:hint="eastAsia" w:ascii="宋体" w:hAnsi="宋体" w:cs="宋体"/>
          <w:color w:val="auto"/>
          <w:szCs w:val="21"/>
          <w:lang w:val="en-US" w:eastAsia="zh-CN"/>
        </w:rPr>
        <w:t>五</w:t>
      </w:r>
      <w:r>
        <w:rPr>
          <w:rFonts w:hint="eastAsia" w:ascii="宋体" w:hAnsi="宋体" w:cs="宋体"/>
          <w:color w:val="auto"/>
          <w:szCs w:val="21"/>
          <w:lang w:eastAsia="zh-CN"/>
        </w:rPr>
        <w:t>）</w:t>
      </w:r>
      <w:r>
        <w:rPr>
          <w:rFonts w:hint="eastAsia" w:ascii="宋体" w:hAnsi="宋体" w:cs="宋体"/>
          <w:color w:val="auto"/>
          <w:szCs w:val="21"/>
        </w:rPr>
        <w:t>服务期限：</w:t>
      </w:r>
      <w:r>
        <w:rPr>
          <w:rFonts w:hint="eastAsia" w:ascii="宋体" w:hAnsi="宋体" w:eastAsia="宋体" w:cs="宋体"/>
          <w:color w:val="auto"/>
          <w:sz w:val="21"/>
          <w:szCs w:val="21"/>
          <w:highlight w:val="none"/>
          <w:u w:val="none"/>
        </w:rPr>
        <w:t>本项目服务期限实行1+1模式，首期服务周期为1年(自</w:t>
      </w:r>
      <w:r>
        <w:rPr>
          <w:rFonts w:hint="eastAsia" w:ascii="宋体" w:hAnsi="宋体" w:cs="宋体"/>
          <w:color w:val="auto"/>
          <w:sz w:val="21"/>
          <w:szCs w:val="21"/>
          <w:highlight w:val="none"/>
          <w:u w:val="none"/>
          <w:lang w:val="en-US" w:eastAsia="zh-CN"/>
        </w:rPr>
        <w:t>采购人书面通知之日起</w:t>
      </w:r>
      <w:r>
        <w:rPr>
          <w:rFonts w:hint="eastAsia" w:ascii="宋体" w:hAnsi="宋体" w:eastAsia="宋体" w:cs="宋体"/>
          <w:color w:val="auto"/>
          <w:sz w:val="21"/>
          <w:szCs w:val="21"/>
          <w:highlight w:val="none"/>
          <w:u w:val="none"/>
        </w:rPr>
        <w:t>开始计算)。首期服务期满，采购人对中标服务商开展年度综合考核。考核≥80 分可顺延续签第二年；考核＜80 分，采购人有权终止续期，另行采购。</w:t>
      </w:r>
      <w:r>
        <w:rPr>
          <w:rFonts w:hint="eastAsia" w:ascii="宋体" w:hAnsi="宋体" w:eastAsia="宋体" w:cs="宋体"/>
          <w:b w:val="0"/>
          <w:bCs w:val="0"/>
          <w:strike w:val="0"/>
          <w:dstrike w:val="0"/>
          <w:color w:val="auto"/>
          <w:szCs w:val="21"/>
          <w:highlight w:val="none"/>
          <w:u w:val="none"/>
          <w:lang w:val="en-US" w:eastAsia="zh-CN"/>
        </w:rPr>
        <w:t>（考核标准详见九、</w:t>
      </w:r>
      <w:r>
        <w:rPr>
          <w:rFonts w:hint="eastAsia" w:ascii="宋体" w:hAnsi="宋体" w:eastAsia="宋体" w:cs="宋体"/>
          <w:b w:val="0"/>
          <w:bCs w:val="0"/>
          <w:color w:val="auto"/>
          <w:szCs w:val="21"/>
          <w:highlight w:val="none"/>
          <w:u w:val="none"/>
        </w:rPr>
        <w:t>项目考核表</w:t>
      </w:r>
      <w:r>
        <w:rPr>
          <w:rFonts w:hint="eastAsia" w:ascii="宋体" w:hAnsi="宋体" w:eastAsia="宋体" w:cs="宋体"/>
          <w:b w:val="0"/>
          <w:bCs w:val="0"/>
          <w:color w:val="auto"/>
          <w:szCs w:val="21"/>
          <w:highlight w:val="none"/>
          <w:u w:val="none"/>
          <w:lang w:eastAsia="zh-CN"/>
        </w:rPr>
        <w:t>）</w:t>
      </w:r>
    </w:p>
    <w:p w14:paraId="3B4F3706">
      <w:pPr>
        <w:spacing w:line="360" w:lineRule="auto"/>
        <w:ind w:left="0" w:leftChars="0" w:firstLine="420" w:firstLineChars="200"/>
        <w:contextualSpacing/>
        <w:rPr>
          <w:rFonts w:hAnsi="宋体" w:cs="宋体"/>
          <w:color w:val="auto"/>
        </w:rPr>
      </w:pPr>
      <w:r>
        <w:rPr>
          <w:rFonts w:hint="eastAsia" w:hAnsi="宋体" w:cs="宋体"/>
          <w:color w:val="auto"/>
          <w:lang w:eastAsia="zh-CN"/>
        </w:rPr>
        <w:t>（</w:t>
      </w:r>
      <w:r>
        <w:rPr>
          <w:rFonts w:hint="eastAsia" w:hAnsi="宋体" w:cs="宋体"/>
          <w:color w:val="auto"/>
          <w:lang w:val="en-US" w:eastAsia="zh-CN"/>
        </w:rPr>
        <w:t>六</w:t>
      </w:r>
      <w:r>
        <w:rPr>
          <w:rFonts w:hint="eastAsia" w:hAnsi="宋体" w:cs="宋体"/>
          <w:color w:val="auto"/>
          <w:lang w:eastAsia="zh-CN"/>
        </w:rPr>
        <w:t>）</w:t>
      </w:r>
      <w:r>
        <w:rPr>
          <w:rFonts w:hint="eastAsia" w:hAnsi="宋体" w:cs="宋体"/>
          <w:color w:val="auto"/>
        </w:rPr>
        <w:t>服务地点：南方医科大学第五附属医院。</w:t>
      </w:r>
    </w:p>
    <w:p w14:paraId="1374F351">
      <w:pPr>
        <w:pStyle w:val="13"/>
        <w:tabs>
          <w:tab w:val="left" w:pos="2340"/>
        </w:tabs>
        <w:adjustRightInd w:val="0"/>
        <w:snapToGrid w:val="0"/>
        <w:spacing w:line="360" w:lineRule="auto"/>
        <w:ind w:firstLine="420" w:firstLineChars="200"/>
        <w:rPr>
          <w:rFonts w:hAnsi="宋体" w:cs="宋体"/>
          <w:color w:val="auto"/>
        </w:rPr>
      </w:pPr>
      <w:r>
        <w:rPr>
          <w:rFonts w:hint="eastAsia" w:hAnsi="宋体" w:cs="宋体"/>
          <w:color w:val="auto"/>
          <w:lang w:eastAsia="zh-CN"/>
        </w:rPr>
        <w:t>（</w:t>
      </w:r>
      <w:r>
        <w:rPr>
          <w:rFonts w:hint="eastAsia" w:hAnsi="宋体" w:cs="宋体"/>
          <w:color w:val="auto"/>
          <w:lang w:val="en-US" w:eastAsia="zh-CN"/>
        </w:rPr>
        <w:t>七</w:t>
      </w:r>
      <w:r>
        <w:rPr>
          <w:rFonts w:hint="eastAsia" w:hAnsi="宋体" w:cs="宋体"/>
          <w:color w:val="auto"/>
          <w:lang w:eastAsia="zh-CN"/>
        </w:rPr>
        <w:t>）</w:t>
      </w:r>
      <w:r>
        <w:rPr>
          <w:rFonts w:hint="eastAsia" w:hAnsi="宋体" w:cs="宋体"/>
          <w:color w:val="auto"/>
        </w:rPr>
        <w:t>报价要求：价格包含但不限于污水处理系统设备维护保养费用、</w:t>
      </w:r>
      <w:r>
        <w:rPr>
          <w:rFonts w:hint="eastAsia" w:hAnsi="宋体" w:cs="宋体"/>
          <w:color w:val="auto"/>
          <w:highlight w:val="none"/>
        </w:rPr>
        <w:t>环保管家、</w:t>
      </w:r>
      <w:r>
        <w:rPr>
          <w:rFonts w:hint="eastAsia" w:hAnsi="宋体" w:cs="宋体"/>
          <w:color w:val="auto"/>
        </w:rPr>
        <w:t>在线监测设备所需的药剂、人工费、单次维修或更换3000元以下（含3000元）零配件费用、调试、各种税费等一切费用。</w:t>
      </w:r>
    </w:p>
    <w:p w14:paraId="0B3A447C">
      <w:pPr>
        <w:pStyle w:val="13"/>
        <w:tabs>
          <w:tab w:val="left" w:pos="540"/>
        </w:tabs>
        <w:adjustRightInd w:val="0"/>
        <w:snapToGrid w:val="0"/>
        <w:spacing w:line="360" w:lineRule="auto"/>
        <w:ind w:firstLine="422" w:firstLineChars="200"/>
        <w:rPr>
          <w:rFonts w:hAnsi="宋体" w:cs="宋体"/>
          <w:b/>
          <w:color w:val="auto"/>
        </w:rPr>
      </w:pPr>
      <w:r>
        <w:rPr>
          <w:rFonts w:hint="eastAsia" w:hAnsi="宋体" w:cs="宋体"/>
          <w:b/>
          <w:color w:val="auto"/>
        </w:rPr>
        <w:t>二、服务要求</w:t>
      </w:r>
    </w:p>
    <w:p w14:paraId="21274B54">
      <w:pPr>
        <w:spacing w:line="360" w:lineRule="auto"/>
        <w:ind w:firstLine="422" w:firstLineChars="200"/>
        <w:rPr>
          <w:rFonts w:ascii="宋体" w:hAnsi="宋体" w:cs="宋体"/>
          <w:b/>
          <w:color w:val="auto"/>
          <w:szCs w:val="21"/>
        </w:rPr>
      </w:pPr>
      <w:r>
        <w:rPr>
          <w:rFonts w:hint="eastAsia" w:ascii="宋体" w:hAnsi="宋体" w:cs="宋体"/>
          <w:b/>
          <w:color w:val="auto"/>
          <w:szCs w:val="21"/>
        </w:rPr>
        <w:t>（一）管家服务项</w:t>
      </w:r>
    </w:p>
    <w:p w14:paraId="7C8DF3DD">
      <w:pPr>
        <w:pStyle w:val="36"/>
        <w:spacing w:line="360" w:lineRule="auto"/>
        <w:ind w:firstLine="422"/>
        <w:rPr>
          <w:rFonts w:ascii="宋体" w:hAnsi="宋体" w:cs="宋体"/>
          <w:b/>
          <w:color w:val="auto"/>
          <w:szCs w:val="21"/>
        </w:rPr>
      </w:pPr>
      <w:r>
        <w:rPr>
          <w:rFonts w:hint="eastAsia" w:ascii="宋体" w:hAnsi="宋体" w:cs="宋体"/>
          <w:b/>
          <w:color w:val="auto"/>
          <w:szCs w:val="21"/>
        </w:rPr>
        <w:t>1.日常巡查和指导服务</w:t>
      </w:r>
    </w:p>
    <w:p w14:paraId="1716B724">
      <w:pPr>
        <w:pStyle w:val="36"/>
        <w:spacing w:line="360" w:lineRule="auto"/>
        <w:rPr>
          <w:rFonts w:ascii="宋体" w:hAnsi="宋体" w:cs="宋体"/>
          <w:color w:val="auto"/>
          <w:szCs w:val="21"/>
        </w:rPr>
      </w:pPr>
      <w:r>
        <w:rPr>
          <w:rFonts w:hint="eastAsia" w:ascii="宋体" w:hAnsi="宋体" w:cs="宋体"/>
          <w:color w:val="auto"/>
          <w:szCs w:val="21"/>
          <w:lang w:val="en-US" w:eastAsia="zh-CN"/>
        </w:rPr>
        <w:t xml:space="preserve">1.1 </w:t>
      </w:r>
      <w:r>
        <w:rPr>
          <w:rFonts w:hint="eastAsia" w:ascii="宋体" w:hAnsi="宋体" w:cs="宋体"/>
          <w:color w:val="auto"/>
          <w:szCs w:val="21"/>
        </w:rPr>
        <w:t>每周至少1 次对采购人污水处理站进行巡检，排查场地存在的环保问题，并提出整改建议与处理。</w:t>
      </w:r>
    </w:p>
    <w:p w14:paraId="0C5073A0">
      <w:pPr>
        <w:pStyle w:val="36"/>
        <w:spacing w:line="360" w:lineRule="auto"/>
        <w:rPr>
          <w:rFonts w:ascii="宋体" w:hAnsi="宋体" w:cs="宋体"/>
          <w:color w:val="auto"/>
          <w:szCs w:val="21"/>
        </w:rPr>
      </w:pPr>
      <w:r>
        <w:rPr>
          <w:rFonts w:hint="eastAsia" w:ascii="宋体" w:hAnsi="宋体" w:cs="宋体"/>
          <w:color w:val="auto"/>
          <w:szCs w:val="21"/>
          <w:lang w:val="en-US" w:eastAsia="zh-CN"/>
        </w:rPr>
        <w:t>1.2</w:t>
      </w:r>
      <w:r>
        <w:rPr>
          <w:rFonts w:hint="eastAsia" w:ascii="宋体" w:hAnsi="宋体" w:cs="宋体"/>
          <w:color w:val="auto"/>
          <w:szCs w:val="21"/>
        </w:rPr>
        <w:t>每周至少1 次巡查采购人废水、废气治理设施运行情况（运行是否正常、台账记录是否完善、投药量是否正常、耗材是否定期更换等）。</w:t>
      </w:r>
    </w:p>
    <w:p w14:paraId="700E4557">
      <w:pPr>
        <w:pStyle w:val="36"/>
        <w:spacing w:line="360" w:lineRule="auto"/>
        <w:rPr>
          <w:rFonts w:ascii="宋体" w:hAnsi="宋体" w:cs="宋体"/>
          <w:color w:val="auto"/>
          <w:szCs w:val="21"/>
        </w:rPr>
      </w:pPr>
      <w:r>
        <w:rPr>
          <w:rFonts w:hint="eastAsia" w:ascii="宋体" w:hAnsi="宋体" w:cs="宋体"/>
          <w:color w:val="auto"/>
          <w:szCs w:val="21"/>
          <w:lang w:val="en-US" w:eastAsia="zh-CN"/>
        </w:rPr>
        <w:t>1.3</w:t>
      </w:r>
      <w:r>
        <w:rPr>
          <w:rFonts w:hint="eastAsia" w:ascii="宋体" w:hAnsi="宋体" w:cs="宋体"/>
          <w:color w:val="auto"/>
          <w:szCs w:val="21"/>
        </w:rPr>
        <w:t>每周至少1 次巡查危险废物（废液、污泥、废渣等）的储存、转移、申报、台账的情况，并向环保平台申报。</w:t>
      </w:r>
    </w:p>
    <w:p w14:paraId="143649F9">
      <w:pPr>
        <w:pStyle w:val="36"/>
        <w:spacing w:line="360" w:lineRule="auto"/>
        <w:rPr>
          <w:rFonts w:ascii="宋体" w:hAnsi="宋体" w:cs="宋体"/>
          <w:color w:val="auto"/>
          <w:szCs w:val="21"/>
        </w:rPr>
      </w:pPr>
      <w:r>
        <w:rPr>
          <w:rFonts w:hint="eastAsia" w:ascii="宋体" w:hAnsi="宋体" w:cs="宋体"/>
          <w:color w:val="auto"/>
          <w:szCs w:val="21"/>
          <w:lang w:val="en-US" w:eastAsia="zh-CN"/>
        </w:rPr>
        <w:t>1.4</w:t>
      </w:r>
      <w:r>
        <w:rPr>
          <w:rFonts w:hint="eastAsia" w:ascii="宋体" w:hAnsi="宋体" w:cs="宋体"/>
          <w:color w:val="auto"/>
          <w:szCs w:val="21"/>
        </w:rPr>
        <w:t>协助采购人做好环保及其他部门的检查，配合落实有关文件通知要求。</w:t>
      </w:r>
    </w:p>
    <w:p w14:paraId="46BBA049">
      <w:pPr>
        <w:pStyle w:val="36"/>
        <w:spacing w:line="360" w:lineRule="auto"/>
        <w:rPr>
          <w:rFonts w:ascii="宋体" w:hAnsi="宋体" w:cs="宋体"/>
          <w:color w:val="auto"/>
          <w:szCs w:val="21"/>
        </w:rPr>
      </w:pPr>
      <w:r>
        <w:rPr>
          <w:rFonts w:hint="eastAsia" w:ascii="宋体" w:hAnsi="宋体" w:cs="宋体"/>
          <w:color w:val="auto"/>
          <w:szCs w:val="21"/>
          <w:lang w:val="en-US" w:eastAsia="zh-CN"/>
        </w:rPr>
        <w:t>1.5</w:t>
      </w:r>
      <w:r>
        <w:rPr>
          <w:rFonts w:hint="eastAsia" w:ascii="宋体" w:hAnsi="宋体" w:cs="宋体"/>
          <w:color w:val="auto"/>
          <w:szCs w:val="21"/>
        </w:rPr>
        <w:t>根据环保部门要求指导采购人落实各类自行监测任务，每天查看在线监测设备后台监测数据是否正常，次数不少于2次。如果数据异常超过24小时，供应商还没有发现，每次扣除采购人1000元作为违约金，供应商超过三次未能发现，采购人有权终止合同，造成的损失由供应商承担。</w:t>
      </w:r>
    </w:p>
    <w:p w14:paraId="54BC2621">
      <w:pPr>
        <w:adjustRightInd w:val="0"/>
        <w:spacing w:line="360" w:lineRule="auto"/>
        <w:ind w:firstLine="420" w:firstLineChars="200"/>
        <w:jc w:val="left"/>
        <w:textAlignment w:val="baseline"/>
        <w:rPr>
          <w:rFonts w:hint="eastAsia" w:ascii="宋体" w:hAnsi="宋体" w:eastAsia="宋体" w:cs="宋体"/>
          <w:strike w:val="0"/>
          <w:color w:val="auto"/>
          <w:szCs w:val="21"/>
          <w:lang w:eastAsia="zh-CN"/>
        </w:rPr>
      </w:pPr>
      <w:r>
        <w:rPr>
          <w:rFonts w:hint="eastAsia" w:ascii="宋体" w:hAnsi="宋体" w:cs="宋体"/>
          <w:strike w:val="0"/>
          <w:color w:val="auto"/>
          <w:szCs w:val="21"/>
          <w:lang w:val="en-US" w:eastAsia="zh-CN"/>
        </w:rPr>
        <w:t>1.6</w:t>
      </w:r>
      <w:r>
        <w:rPr>
          <w:rFonts w:hint="eastAsia" w:ascii="宋体" w:hAnsi="宋体" w:cs="宋体"/>
          <w:strike w:val="0"/>
          <w:color w:val="auto"/>
          <w:szCs w:val="21"/>
        </w:rPr>
        <w:t>服务期内，维修所需的零配件价值在3000元（含3000元）以内由供应商能提供并更换。</w:t>
      </w:r>
    </w:p>
    <w:p w14:paraId="6062C5D2">
      <w:pPr>
        <w:spacing w:line="360" w:lineRule="auto"/>
        <w:ind w:firstLine="420"/>
        <w:rPr>
          <w:rFonts w:ascii="宋体" w:hAnsi="宋体" w:cs="宋体"/>
          <w:b/>
          <w:bCs/>
          <w:color w:val="auto"/>
          <w:szCs w:val="21"/>
        </w:rPr>
      </w:pPr>
      <w:r>
        <w:rPr>
          <w:rFonts w:hint="eastAsia" w:ascii="宋体" w:hAnsi="宋体" w:cs="宋体"/>
          <w:b/>
          <w:bCs/>
          <w:color w:val="auto"/>
          <w:szCs w:val="21"/>
        </w:rPr>
        <w:t>2.环保部门各类台账及执行报告申报服务</w:t>
      </w:r>
    </w:p>
    <w:p w14:paraId="26D2C47D">
      <w:pPr>
        <w:pStyle w:val="36"/>
        <w:spacing w:line="360" w:lineRule="auto"/>
        <w:rPr>
          <w:rFonts w:ascii="宋体" w:hAnsi="宋体" w:cs="宋体"/>
          <w:color w:val="auto"/>
          <w:szCs w:val="21"/>
        </w:rPr>
      </w:pPr>
      <w:r>
        <w:rPr>
          <w:rFonts w:hint="eastAsia" w:ascii="宋体" w:hAnsi="宋体" w:cs="宋体"/>
          <w:color w:val="auto"/>
          <w:szCs w:val="21"/>
          <w:lang w:val="en-US" w:eastAsia="zh-CN"/>
        </w:rPr>
        <w:t>2.1</w:t>
      </w:r>
      <w:r>
        <w:rPr>
          <w:rFonts w:hint="eastAsia" w:ascii="宋体" w:hAnsi="宋体" w:cs="宋体"/>
          <w:color w:val="auto"/>
          <w:szCs w:val="21"/>
        </w:rPr>
        <w:t>供应商指导协助采购人按照环保部门要求，做好各类环保管理网上平台填报工作。</w:t>
      </w:r>
    </w:p>
    <w:p w14:paraId="37436221">
      <w:pPr>
        <w:pStyle w:val="36"/>
        <w:spacing w:line="360" w:lineRule="auto"/>
        <w:rPr>
          <w:rFonts w:ascii="宋体" w:hAnsi="宋体" w:cs="宋体"/>
          <w:color w:val="auto"/>
          <w:szCs w:val="21"/>
        </w:rPr>
      </w:pPr>
      <w:r>
        <w:rPr>
          <w:rFonts w:hint="eastAsia" w:ascii="宋体" w:hAnsi="宋体" w:cs="宋体"/>
          <w:color w:val="auto"/>
          <w:szCs w:val="21"/>
          <w:lang w:val="en-US" w:eastAsia="zh-CN"/>
        </w:rPr>
        <w:t>2.2</w:t>
      </w:r>
      <w:r>
        <w:rPr>
          <w:rFonts w:hint="eastAsia" w:ascii="宋体" w:hAnsi="宋体" w:cs="宋体"/>
          <w:color w:val="auto"/>
          <w:szCs w:val="21"/>
        </w:rPr>
        <w:t>供应商整理记录各个平台上报资料的台账，以备环保部门检查。</w:t>
      </w:r>
    </w:p>
    <w:p w14:paraId="1C8C278A">
      <w:pPr>
        <w:pStyle w:val="36"/>
        <w:spacing w:line="360" w:lineRule="auto"/>
        <w:rPr>
          <w:rFonts w:ascii="宋体" w:hAnsi="宋体" w:cs="宋体"/>
          <w:b/>
          <w:bCs/>
          <w:color w:val="auto"/>
          <w:szCs w:val="21"/>
        </w:rPr>
      </w:pPr>
      <w:r>
        <w:rPr>
          <w:rFonts w:hint="eastAsia" w:ascii="宋体" w:hAnsi="宋体" w:cs="宋体"/>
          <w:color w:val="auto"/>
          <w:szCs w:val="21"/>
          <w:lang w:val="en-US" w:eastAsia="zh-CN"/>
        </w:rPr>
        <w:t>2.3</w:t>
      </w:r>
      <w:r>
        <w:rPr>
          <w:rFonts w:hint="eastAsia" w:ascii="宋体" w:hAnsi="宋体" w:cs="宋体"/>
          <w:color w:val="auto"/>
          <w:szCs w:val="21"/>
        </w:rPr>
        <w:t>供应商办理网上填报检测数据收集（采购人各相关部门已有检测数据）、新增检测项目，协助采购人做好第三方检测落实、督查。</w:t>
      </w:r>
    </w:p>
    <w:p w14:paraId="0F20C1EF">
      <w:pPr>
        <w:pStyle w:val="36"/>
        <w:spacing w:line="360" w:lineRule="auto"/>
        <w:ind w:firstLine="422"/>
        <w:rPr>
          <w:rFonts w:ascii="宋体" w:hAnsi="宋体" w:cs="宋体"/>
          <w:b/>
          <w:bCs/>
          <w:color w:val="auto"/>
          <w:szCs w:val="21"/>
        </w:rPr>
      </w:pPr>
      <w:r>
        <w:rPr>
          <w:rFonts w:hint="eastAsia" w:ascii="宋体" w:hAnsi="宋体" w:cs="宋体"/>
          <w:b/>
          <w:bCs/>
          <w:color w:val="auto"/>
          <w:szCs w:val="21"/>
        </w:rPr>
        <w:t>3.生态环境统计及医院环境信用网上填报服务</w:t>
      </w:r>
    </w:p>
    <w:p w14:paraId="11856303">
      <w:pPr>
        <w:pStyle w:val="36"/>
        <w:spacing w:line="360" w:lineRule="auto"/>
        <w:rPr>
          <w:rFonts w:ascii="宋体" w:hAnsi="宋体" w:cs="宋体"/>
          <w:color w:val="auto"/>
          <w:szCs w:val="21"/>
        </w:rPr>
      </w:pPr>
      <w:r>
        <w:rPr>
          <w:rFonts w:hint="eastAsia" w:ascii="宋体" w:hAnsi="宋体" w:cs="宋体"/>
          <w:color w:val="auto"/>
          <w:szCs w:val="21"/>
        </w:rPr>
        <w:t>供应商协助采购人完成每年的生态环境统计业务和医院环境信用评价的平台填报工作。</w:t>
      </w:r>
    </w:p>
    <w:p w14:paraId="343B76E6">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4.国家排污证证后管理服务：</w:t>
      </w:r>
    </w:p>
    <w:p w14:paraId="6481FA18">
      <w:pPr>
        <w:spacing w:line="360" w:lineRule="auto"/>
        <w:ind w:firstLine="420" w:firstLineChars="200"/>
        <w:rPr>
          <w:rFonts w:ascii="宋体" w:hAnsi="宋体" w:cs="宋体"/>
          <w:color w:val="auto"/>
          <w:szCs w:val="21"/>
        </w:rPr>
      </w:pPr>
      <w:r>
        <w:rPr>
          <w:rFonts w:hint="eastAsia" w:ascii="宋体" w:hAnsi="宋体" w:cs="宋体"/>
          <w:color w:val="auto"/>
          <w:szCs w:val="21"/>
        </w:rPr>
        <w:t>供应商办理排污许可证管理信息平台填报和申报执行报告（按国家排污许可证要求完成月度、季度、年度执行报告及排污证变更等工作）。</w:t>
      </w:r>
    </w:p>
    <w:p w14:paraId="6B722E75">
      <w:pPr>
        <w:spacing w:line="360" w:lineRule="auto"/>
        <w:ind w:firstLine="422" w:firstLineChars="200"/>
        <w:rPr>
          <w:rFonts w:ascii="宋体" w:hAnsi="宋体" w:cs="宋体"/>
          <w:b/>
          <w:color w:val="auto"/>
          <w:szCs w:val="21"/>
        </w:rPr>
      </w:pPr>
      <w:r>
        <w:rPr>
          <w:rFonts w:hint="eastAsia" w:ascii="宋体" w:hAnsi="宋体" w:cs="宋体"/>
          <w:b/>
          <w:color w:val="auto"/>
          <w:szCs w:val="21"/>
        </w:rPr>
        <w:t>（二）水质在线监测项</w:t>
      </w:r>
    </w:p>
    <w:p w14:paraId="3D67826F">
      <w:pPr>
        <w:spacing w:line="360" w:lineRule="auto"/>
        <w:ind w:firstLine="422" w:firstLineChars="200"/>
        <w:rPr>
          <w:rFonts w:ascii="宋体" w:hAnsi="宋体" w:cs="宋体"/>
          <w:b/>
          <w:color w:val="auto"/>
          <w:szCs w:val="21"/>
        </w:rPr>
      </w:pPr>
      <w:r>
        <w:rPr>
          <w:rFonts w:hint="eastAsia" w:ascii="宋体" w:hAnsi="宋体" w:cs="宋体"/>
          <w:b/>
          <w:color w:val="auto"/>
          <w:szCs w:val="21"/>
        </w:rPr>
        <w:t>1.在线监测设备明细</w:t>
      </w:r>
    </w:p>
    <w:tbl>
      <w:tblPr>
        <w:tblStyle w:val="24"/>
        <w:tblW w:w="483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2"/>
        <w:gridCol w:w="2314"/>
        <w:gridCol w:w="4145"/>
        <w:gridCol w:w="922"/>
        <w:gridCol w:w="1084"/>
      </w:tblGrid>
      <w:tr w14:paraId="55E63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vAlign w:val="center"/>
          </w:tcPr>
          <w:p w14:paraId="02461902">
            <w:pPr>
              <w:widowControl/>
              <w:spacing w:line="240" w:lineRule="exact"/>
              <w:jc w:val="center"/>
              <w:textAlignment w:val="center"/>
              <w:rPr>
                <w:rFonts w:ascii="宋体" w:hAnsi="宋体" w:cs="宋体"/>
                <w:b/>
                <w:bCs/>
                <w:color w:val="auto"/>
                <w:szCs w:val="21"/>
              </w:rPr>
            </w:pPr>
            <w:r>
              <w:rPr>
                <w:rFonts w:hint="eastAsia" w:ascii="宋体" w:hAnsi="宋体" w:cs="宋体"/>
                <w:b/>
                <w:bCs/>
                <w:color w:val="auto"/>
                <w:kern w:val="0"/>
                <w:szCs w:val="21"/>
                <w:lang w:bidi="ar"/>
              </w:rPr>
              <w:t>序号</w:t>
            </w:r>
          </w:p>
        </w:tc>
        <w:tc>
          <w:tcPr>
            <w:tcW w:w="1244" w:type="pct"/>
            <w:tcBorders>
              <w:tl2br w:val="nil"/>
              <w:tr2bl w:val="nil"/>
            </w:tcBorders>
            <w:vAlign w:val="center"/>
          </w:tcPr>
          <w:p w14:paraId="7BF3E603">
            <w:pPr>
              <w:widowControl/>
              <w:spacing w:line="240" w:lineRule="exact"/>
              <w:jc w:val="center"/>
              <w:textAlignment w:val="center"/>
              <w:rPr>
                <w:rFonts w:ascii="宋体" w:hAnsi="宋体" w:cs="宋体"/>
                <w:b/>
                <w:bCs/>
                <w:color w:val="auto"/>
                <w:szCs w:val="21"/>
              </w:rPr>
            </w:pPr>
            <w:r>
              <w:rPr>
                <w:rFonts w:hint="eastAsia" w:ascii="宋体" w:hAnsi="宋体" w:cs="宋体"/>
                <w:b/>
                <w:bCs/>
                <w:color w:val="auto"/>
                <w:kern w:val="0"/>
                <w:szCs w:val="21"/>
                <w:lang w:bidi="ar"/>
              </w:rPr>
              <w:t>名称</w:t>
            </w:r>
          </w:p>
        </w:tc>
        <w:tc>
          <w:tcPr>
            <w:tcW w:w="2228" w:type="pct"/>
            <w:tcBorders>
              <w:tl2br w:val="nil"/>
              <w:tr2bl w:val="nil"/>
            </w:tcBorders>
            <w:vAlign w:val="center"/>
          </w:tcPr>
          <w:p w14:paraId="3DB29E77">
            <w:pPr>
              <w:widowControl/>
              <w:spacing w:line="240" w:lineRule="exact"/>
              <w:jc w:val="center"/>
              <w:textAlignment w:val="center"/>
              <w:rPr>
                <w:rFonts w:ascii="宋体" w:hAnsi="宋体" w:cs="宋体"/>
                <w:b/>
                <w:bCs/>
                <w:color w:val="auto"/>
                <w:szCs w:val="21"/>
              </w:rPr>
            </w:pPr>
            <w:r>
              <w:rPr>
                <w:rFonts w:hint="eastAsia" w:ascii="宋体" w:hAnsi="宋体" w:cs="宋体"/>
                <w:b/>
                <w:bCs/>
                <w:color w:val="auto"/>
                <w:kern w:val="0"/>
                <w:szCs w:val="21"/>
                <w:lang w:bidi="ar"/>
              </w:rPr>
              <w:t>型号规格</w:t>
            </w:r>
          </w:p>
        </w:tc>
        <w:tc>
          <w:tcPr>
            <w:tcW w:w="496" w:type="pct"/>
            <w:tcBorders>
              <w:tl2br w:val="nil"/>
              <w:tr2bl w:val="nil"/>
            </w:tcBorders>
            <w:vAlign w:val="center"/>
          </w:tcPr>
          <w:p w14:paraId="6750B404">
            <w:pPr>
              <w:widowControl/>
              <w:spacing w:line="240" w:lineRule="exact"/>
              <w:jc w:val="center"/>
              <w:textAlignment w:val="center"/>
              <w:rPr>
                <w:rFonts w:ascii="宋体" w:hAnsi="宋体" w:cs="宋体"/>
                <w:b/>
                <w:bCs/>
                <w:color w:val="auto"/>
                <w:szCs w:val="21"/>
              </w:rPr>
            </w:pPr>
            <w:r>
              <w:rPr>
                <w:rFonts w:hint="eastAsia" w:ascii="宋体" w:hAnsi="宋体" w:cs="宋体"/>
                <w:b/>
                <w:bCs/>
                <w:color w:val="auto"/>
                <w:kern w:val="0"/>
                <w:szCs w:val="21"/>
                <w:lang w:bidi="ar"/>
              </w:rPr>
              <w:t>单位</w:t>
            </w:r>
          </w:p>
        </w:tc>
        <w:tc>
          <w:tcPr>
            <w:tcW w:w="583" w:type="pct"/>
            <w:tcBorders>
              <w:tl2br w:val="nil"/>
              <w:tr2bl w:val="nil"/>
            </w:tcBorders>
            <w:vAlign w:val="center"/>
          </w:tcPr>
          <w:p w14:paraId="4C50CC64">
            <w:pPr>
              <w:widowControl/>
              <w:spacing w:line="240" w:lineRule="exact"/>
              <w:jc w:val="center"/>
              <w:textAlignment w:val="center"/>
              <w:rPr>
                <w:rFonts w:ascii="宋体" w:hAnsi="宋体" w:cs="宋体"/>
                <w:b/>
                <w:bCs/>
                <w:color w:val="auto"/>
                <w:szCs w:val="21"/>
              </w:rPr>
            </w:pPr>
            <w:r>
              <w:rPr>
                <w:rFonts w:hint="eastAsia" w:ascii="宋体" w:hAnsi="宋体" w:cs="宋体"/>
                <w:b/>
                <w:bCs/>
                <w:color w:val="auto"/>
                <w:kern w:val="0"/>
                <w:szCs w:val="21"/>
                <w:lang w:bidi="ar"/>
              </w:rPr>
              <w:t>数量</w:t>
            </w:r>
          </w:p>
        </w:tc>
      </w:tr>
      <w:tr w14:paraId="6B518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163B9CBF">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1 </w:t>
            </w:r>
          </w:p>
        </w:tc>
        <w:tc>
          <w:tcPr>
            <w:tcW w:w="1244" w:type="pct"/>
            <w:tcBorders>
              <w:tl2br w:val="nil"/>
              <w:tr2bl w:val="nil"/>
            </w:tcBorders>
            <w:shd w:val="clear" w:color="auto" w:fill="FFFFFF"/>
            <w:noWrap/>
            <w:vAlign w:val="center"/>
          </w:tcPr>
          <w:p w14:paraId="3F57D252">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提升泵</w:t>
            </w:r>
          </w:p>
        </w:tc>
        <w:tc>
          <w:tcPr>
            <w:tcW w:w="2228" w:type="pct"/>
            <w:tcBorders>
              <w:tl2br w:val="nil"/>
              <w:tr2bl w:val="nil"/>
            </w:tcBorders>
            <w:shd w:val="clear" w:color="auto" w:fill="auto"/>
            <w:noWrap/>
            <w:vAlign w:val="center"/>
          </w:tcPr>
          <w:p w14:paraId="0B2BE181">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WQD100-13-5.5KW</w:t>
            </w:r>
          </w:p>
        </w:tc>
        <w:tc>
          <w:tcPr>
            <w:tcW w:w="496" w:type="pct"/>
            <w:tcBorders>
              <w:tl2br w:val="nil"/>
              <w:tr2bl w:val="nil"/>
            </w:tcBorders>
            <w:shd w:val="clear" w:color="auto" w:fill="FFFFFF"/>
            <w:noWrap/>
            <w:vAlign w:val="center"/>
          </w:tcPr>
          <w:p w14:paraId="4F7A1E7E">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7F31EC80">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w:t>
            </w:r>
          </w:p>
        </w:tc>
      </w:tr>
      <w:tr w14:paraId="4A93D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3FC02632">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2 </w:t>
            </w:r>
          </w:p>
        </w:tc>
        <w:tc>
          <w:tcPr>
            <w:tcW w:w="1244" w:type="pct"/>
            <w:tcBorders>
              <w:tl2br w:val="nil"/>
              <w:tr2bl w:val="nil"/>
            </w:tcBorders>
            <w:shd w:val="clear" w:color="auto" w:fill="FFFFFF"/>
            <w:noWrap/>
            <w:vAlign w:val="center"/>
          </w:tcPr>
          <w:p w14:paraId="0414E54A">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电磁流量计</w:t>
            </w:r>
          </w:p>
        </w:tc>
        <w:tc>
          <w:tcPr>
            <w:tcW w:w="2228" w:type="pct"/>
            <w:tcBorders>
              <w:tl2br w:val="nil"/>
              <w:tr2bl w:val="nil"/>
            </w:tcBorders>
            <w:shd w:val="clear" w:color="auto" w:fill="auto"/>
            <w:noWrap/>
            <w:vAlign w:val="center"/>
          </w:tcPr>
          <w:p w14:paraId="5F9106F4">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DN100</w:t>
            </w:r>
          </w:p>
        </w:tc>
        <w:tc>
          <w:tcPr>
            <w:tcW w:w="496" w:type="pct"/>
            <w:tcBorders>
              <w:tl2br w:val="nil"/>
              <w:tr2bl w:val="nil"/>
            </w:tcBorders>
            <w:shd w:val="clear" w:color="auto" w:fill="FFFFFF"/>
            <w:noWrap/>
            <w:vAlign w:val="center"/>
          </w:tcPr>
          <w:p w14:paraId="17C0AD8A">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17F4351F">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w:t>
            </w:r>
          </w:p>
        </w:tc>
      </w:tr>
      <w:tr w14:paraId="5AF3B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76B69848">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3 </w:t>
            </w:r>
          </w:p>
        </w:tc>
        <w:tc>
          <w:tcPr>
            <w:tcW w:w="1244" w:type="pct"/>
            <w:tcBorders>
              <w:tl2br w:val="nil"/>
              <w:tr2bl w:val="nil"/>
            </w:tcBorders>
            <w:shd w:val="clear" w:color="auto" w:fill="FFFFFF"/>
            <w:noWrap/>
            <w:vAlign w:val="center"/>
          </w:tcPr>
          <w:p w14:paraId="2A1E023C">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机械格栅</w:t>
            </w:r>
          </w:p>
        </w:tc>
        <w:tc>
          <w:tcPr>
            <w:tcW w:w="2228" w:type="pct"/>
            <w:tcBorders>
              <w:tl2br w:val="nil"/>
              <w:tr2bl w:val="nil"/>
            </w:tcBorders>
            <w:shd w:val="clear" w:color="auto" w:fill="auto"/>
            <w:vAlign w:val="center"/>
          </w:tcPr>
          <w:p w14:paraId="74696F9A">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5-10mm</w:t>
            </w:r>
          </w:p>
        </w:tc>
        <w:tc>
          <w:tcPr>
            <w:tcW w:w="496" w:type="pct"/>
            <w:tcBorders>
              <w:tl2br w:val="nil"/>
              <w:tr2bl w:val="nil"/>
            </w:tcBorders>
            <w:shd w:val="clear" w:color="auto" w:fill="FFFFFF"/>
            <w:noWrap/>
            <w:vAlign w:val="center"/>
          </w:tcPr>
          <w:p w14:paraId="00DCBBC9">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3462E5A0">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758EA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011F9AD3">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4 </w:t>
            </w:r>
          </w:p>
        </w:tc>
        <w:tc>
          <w:tcPr>
            <w:tcW w:w="1244" w:type="pct"/>
            <w:tcBorders>
              <w:tl2br w:val="nil"/>
              <w:tr2bl w:val="nil"/>
            </w:tcBorders>
            <w:shd w:val="clear" w:color="auto" w:fill="FFFFFF"/>
            <w:noWrap/>
            <w:vAlign w:val="center"/>
          </w:tcPr>
          <w:p w14:paraId="5B7F0AF7">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罗茨风机</w:t>
            </w:r>
          </w:p>
        </w:tc>
        <w:tc>
          <w:tcPr>
            <w:tcW w:w="2228" w:type="pct"/>
            <w:tcBorders>
              <w:tl2br w:val="nil"/>
              <w:tr2bl w:val="nil"/>
            </w:tcBorders>
            <w:shd w:val="clear" w:color="auto" w:fill="auto"/>
            <w:vAlign w:val="center"/>
          </w:tcPr>
          <w:p w14:paraId="4E19CDBC">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Q=11m³/min,58.8Kpa,N=18.5kw</w:t>
            </w:r>
          </w:p>
        </w:tc>
        <w:tc>
          <w:tcPr>
            <w:tcW w:w="496" w:type="pct"/>
            <w:tcBorders>
              <w:tl2br w:val="nil"/>
              <w:tr2bl w:val="nil"/>
            </w:tcBorders>
            <w:shd w:val="clear" w:color="auto" w:fill="FFFFFF"/>
            <w:noWrap/>
            <w:vAlign w:val="center"/>
          </w:tcPr>
          <w:p w14:paraId="3484F654">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4EF412DF">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2 </w:t>
            </w:r>
          </w:p>
        </w:tc>
      </w:tr>
      <w:tr w14:paraId="4BFDE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17A54F07">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5 </w:t>
            </w:r>
          </w:p>
        </w:tc>
        <w:tc>
          <w:tcPr>
            <w:tcW w:w="1244" w:type="pct"/>
            <w:tcBorders>
              <w:tl2br w:val="nil"/>
              <w:tr2bl w:val="nil"/>
            </w:tcBorders>
            <w:shd w:val="clear" w:color="auto" w:fill="auto"/>
            <w:vAlign w:val="center"/>
          </w:tcPr>
          <w:p w14:paraId="664C65F9">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曝气管网</w:t>
            </w:r>
          </w:p>
        </w:tc>
        <w:tc>
          <w:tcPr>
            <w:tcW w:w="2228" w:type="pct"/>
            <w:tcBorders>
              <w:tl2br w:val="nil"/>
              <w:tr2bl w:val="nil"/>
            </w:tcBorders>
            <w:shd w:val="clear" w:color="auto" w:fill="auto"/>
            <w:vAlign w:val="center"/>
          </w:tcPr>
          <w:p w14:paraId="097C0EEC">
            <w:pPr>
              <w:spacing w:line="240" w:lineRule="exact"/>
              <w:jc w:val="center"/>
              <w:rPr>
                <w:rFonts w:ascii="宋体" w:hAnsi="宋体" w:cs="宋体"/>
                <w:color w:val="auto"/>
                <w:szCs w:val="21"/>
              </w:rPr>
            </w:pPr>
            <w:r>
              <w:rPr>
                <w:rFonts w:hint="eastAsia" w:ascii="宋体" w:hAnsi="宋体" w:cs="宋体"/>
                <w:color w:val="auto"/>
                <w:szCs w:val="21"/>
              </w:rPr>
              <w:t>国标</w:t>
            </w:r>
          </w:p>
        </w:tc>
        <w:tc>
          <w:tcPr>
            <w:tcW w:w="496" w:type="pct"/>
            <w:tcBorders>
              <w:tl2br w:val="nil"/>
              <w:tr2bl w:val="nil"/>
            </w:tcBorders>
            <w:shd w:val="clear" w:color="auto" w:fill="FFFFFF"/>
            <w:noWrap/>
            <w:vAlign w:val="center"/>
          </w:tcPr>
          <w:p w14:paraId="569E267F">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583" w:type="pct"/>
            <w:tcBorders>
              <w:tl2br w:val="nil"/>
              <w:tr2bl w:val="nil"/>
            </w:tcBorders>
            <w:shd w:val="clear" w:color="auto" w:fill="FFFFFF"/>
            <w:noWrap/>
            <w:vAlign w:val="center"/>
          </w:tcPr>
          <w:p w14:paraId="4EC6E889">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19912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4DEBCEFD">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6 </w:t>
            </w:r>
          </w:p>
        </w:tc>
        <w:tc>
          <w:tcPr>
            <w:tcW w:w="1244" w:type="pct"/>
            <w:tcBorders>
              <w:tl2br w:val="nil"/>
              <w:tr2bl w:val="nil"/>
            </w:tcBorders>
            <w:shd w:val="clear" w:color="auto" w:fill="FFFFFF"/>
            <w:noWrap/>
            <w:vAlign w:val="center"/>
          </w:tcPr>
          <w:p w14:paraId="38D14D11">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提升泵(增加）</w:t>
            </w:r>
          </w:p>
        </w:tc>
        <w:tc>
          <w:tcPr>
            <w:tcW w:w="2228" w:type="pct"/>
            <w:tcBorders>
              <w:tl2br w:val="nil"/>
              <w:tr2bl w:val="nil"/>
            </w:tcBorders>
            <w:shd w:val="clear" w:color="auto" w:fill="auto"/>
            <w:vAlign w:val="center"/>
          </w:tcPr>
          <w:p w14:paraId="5235729B">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WQD100-13-5.5KW</w:t>
            </w:r>
          </w:p>
        </w:tc>
        <w:tc>
          <w:tcPr>
            <w:tcW w:w="496" w:type="pct"/>
            <w:tcBorders>
              <w:tl2br w:val="nil"/>
              <w:tr2bl w:val="nil"/>
            </w:tcBorders>
            <w:shd w:val="clear" w:color="auto" w:fill="FFFFFF"/>
            <w:noWrap/>
            <w:vAlign w:val="center"/>
          </w:tcPr>
          <w:p w14:paraId="03646927">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3A9BD0B6">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2 </w:t>
            </w:r>
          </w:p>
        </w:tc>
      </w:tr>
      <w:tr w14:paraId="2081A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3A13264A">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7 </w:t>
            </w:r>
          </w:p>
        </w:tc>
        <w:tc>
          <w:tcPr>
            <w:tcW w:w="1244" w:type="pct"/>
            <w:tcBorders>
              <w:tl2br w:val="nil"/>
              <w:tr2bl w:val="nil"/>
            </w:tcBorders>
            <w:shd w:val="clear" w:color="auto" w:fill="FFFFFF"/>
            <w:noWrap/>
            <w:vAlign w:val="center"/>
          </w:tcPr>
          <w:p w14:paraId="716D1A66">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污泥泵</w:t>
            </w:r>
          </w:p>
        </w:tc>
        <w:tc>
          <w:tcPr>
            <w:tcW w:w="2228" w:type="pct"/>
            <w:tcBorders>
              <w:tl2br w:val="nil"/>
              <w:tr2bl w:val="nil"/>
            </w:tcBorders>
            <w:shd w:val="clear" w:color="auto" w:fill="auto"/>
            <w:vAlign w:val="center"/>
          </w:tcPr>
          <w:p w14:paraId="085E4EB7">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50/63WQ40-16-4KW</w:t>
            </w:r>
          </w:p>
        </w:tc>
        <w:tc>
          <w:tcPr>
            <w:tcW w:w="496" w:type="pct"/>
            <w:tcBorders>
              <w:tl2br w:val="nil"/>
              <w:tr2bl w:val="nil"/>
            </w:tcBorders>
            <w:shd w:val="clear" w:color="auto" w:fill="FFFFFF"/>
            <w:noWrap/>
            <w:vAlign w:val="center"/>
          </w:tcPr>
          <w:p w14:paraId="5D3557A2">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208CBC1B">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2 </w:t>
            </w:r>
          </w:p>
        </w:tc>
      </w:tr>
      <w:tr w14:paraId="40456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1CB7B713">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8 </w:t>
            </w:r>
          </w:p>
        </w:tc>
        <w:tc>
          <w:tcPr>
            <w:tcW w:w="1244" w:type="pct"/>
            <w:tcBorders>
              <w:tl2br w:val="nil"/>
              <w:tr2bl w:val="nil"/>
            </w:tcBorders>
            <w:shd w:val="clear" w:color="auto" w:fill="FFFFFF"/>
            <w:noWrap/>
            <w:vAlign w:val="center"/>
          </w:tcPr>
          <w:p w14:paraId="01DAE62A">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消毒配药装置</w:t>
            </w:r>
          </w:p>
        </w:tc>
        <w:tc>
          <w:tcPr>
            <w:tcW w:w="2228" w:type="pct"/>
            <w:tcBorders>
              <w:tl2br w:val="nil"/>
              <w:tr2bl w:val="nil"/>
            </w:tcBorders>
            <w:shd w:val="clear" w:color="auto" w:fill="auto"/>
            <w:noWrap/>
            <w:vAlign w:val="center"/>
          </w:tcPr>
          <w:p w14:paraId="6AA2FFB6">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1500L，1KW</w:t>
            </w:r>
          </w:p>
        </w:tc>
        <w:tc>
          <w:tcPr>
            <w:tcW w:w="496" w:type="pct"/>
            <w:tcBorders>
              <w:tl2br w:val="nil"/>
              <w:tr2bl w:val="nil"/>
            </w:tcBorders>
            <w:shd w:val="clear" w:color="auto" w:fill="FFFFFF"/>
            <w:noWrap/>
            <w:vAlign w:val="center"/>
          </w:tcPr>
          <w:p w14:paraId="3AA1A293">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583" w:type="pct"/>
            <w:tcBorders>
              <w:tl2br w:val="nil"/>
              <w:tr2bl w:val="nil"/>
            </w:tcBorders>
            <w:shd w:val="clear" w:color="auto" w:fill="FFFFFF"/>
            <w:noWrap/>
            <w:vAlign w:val="center"/>
          </w:tcPr>
          <w:p w14:paraId="12302E21">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2 </w:t>
            </w:r>
          </w:p>
        </w:tc>
      </w:tr>
      <w:tr w14:paraId="2F4FB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520845D3">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9 </w:t>
            </w:r>
          </w:p>
        </w:tc>
        <w:tc>
          <w:tcPr>
            <w:tcW w:w="1244" w:type="pct"/>
            <w:tcBorders>
              <w:tl2br w:val="nil"/>
              <w:tr2bl w:val="nil"/>
            </w:tcBorders>
            <w:shd w:val="clear" w:color="auto" w:fill="FFFFFF"/>
            <w:noWrap/>
            <w:vAlign w:val="center"/>
          </w:tcPr>
          <w:p w14:paraId="2C95C6C4">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计量泵</w:t>
            </w:r>
          </w:p>
        </w:tc>
        <w:tc>
          <w:tcPr>
            <w:tcW w:w="2228" w:type="pct"/>
            <w:tcBorders>
              <w:tl2br w:val="nil"/>
              <w:tr2bl w:val="nil"/>
            </w:tcBorders>
            <w:shd w:val="clear" w:color="auto" w:fill="auto"/>
            <w:vAlign w:val="center"/>
          </w:tcPr>
          <w:p w14:paraId="2FBAB128">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200L/H,0.37KW</w:t>
            </w:r>
          </w:p>
        </w:tc>
        <w:tc>
          <w:tcPr>
            <w:tcW w:w="496" w:type="pct"/>
            <w:tcBorders>
              <w:tl2br w:val="nil"/>
              <w:tr2bl w:val="nil"/>
            </w:tcBorders>
            <w:shd w:val="clear" w:color="auto" w:fill="FFFFFF"/>
            <w:noWrap/>
            <w:vAlign w:val="center"/>
          </w:tcPr>
          <w:p w14:paraId="2D74B4C7">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070F1B6E">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4 </w:t>
            </w:r>
          </w:p>
        </w:tc>
      </w:tr>
      <w:tr w14:paraId="568D8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29F55255">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10 </w:t>
            </w:r>
          </w:p>
        </w:tc>
        <w:tc>
          <w:tcPr>
            <w:tcW w:w="1244" w:type="pct"/>
            <w:tcBorders>
              <w:tl2br w:val="nil"/>
              <w:tr2bl w:val="nil"/>
            </w:tcBorders>
            <w:shd w:val="clear" w:color="auto" w:fill="FFFFFF"/>
            <w:noWrap/>
            <w:vAlign w:val="center"/>
          </w:tcPr>
          <w:p w14:paraId="09F9CBAA">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应急泵</w:t>
            </w:r>
          </w:p>
        </w:tc>
        <w:tc>
          <w:tcPr>
            <w:tcW w:w="2228" w:type="pct"/>
            <w:tcBorders>
              <w:tl2br w:val="nil"/>
              <w:tr2bl w:val="nil"/>
            </w:tcBorders>
            <w:shd w:val="clear" w:color="auto" w:fill="auto"/>
            <w:noWrap/>
            <w:vAlign w:val="center"/>
          </w:tcPr>
          <w:p w14:paraId="4574AEE8">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50/63WQ40-16-4KW</w:t>
            </w:r>
          </w:p>
        </w:tc>
        <w:tc>
          <w:tcPr>
            <w:tcW w:w="496" w:type="pct"/>
            <w:tcBorders>
              <w:tl2br w:val="nil"/>
              <w:tr2bl w:val="nil"/>
            </w:tcBorders>
            <w:shd w:val="clear" w:color="auto" w:fill="FFFFFF"/>
            <w:noWrap/>
            <w:vAlign w:val="center"/>
          </w:tcPr>
          <w:p w14:paraId="112C4291">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147263B2">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2 </w:t>
            </w:r>
          </w:p>
        </w:tc>
      </w:tr>
      <w:tr w14:paraId="58197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757228E8">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11 </w:t>
            </w:r>
          </w:p>
        </w:tc>
        <w:tc>
          <w:tcPr>
            <w:tcW w:w="1244" w:type="pct"/>
            <w:tcBorders>
              <w:tl2br w:val="nil"/>
              <w:tr2bl w:val="nil"/>
            </w:tcBorders>
            <w:shd w:val="clear" w:color="auto" w:fill="FFFFFF"/>
            <w:noWrap/>
            <w:vAlign w:val="center"/>
          </w:tcPr>
          <w:p w14:paraId="6B5CFBE7">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巴氏槽</w:t>
            </w:r>
          </w:p>
        </w:tc>
        <w:tc>
          <w:tcPr>
            <w:tcW w:w="2228" w:type="pct"/>
            <w:tcBorders>
              <w:tl2br w:val="nil"/>
              <w:tr2bl w:val="nil"/>
            </w:tcBorders>
            <w:shd w:val="clear" w:color="auto" w:fill="auto"/>
            <w:noWrap/>
            <w:vAlign w:val="center"/>
          </w:tcPr>
          <w:p w14:paraId="04018CCC">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120m³/h</w:t>
            </w:r>
          </w:p>
        </w:tc>
        <w:tc>
          <w:tcPr>
            <w:tcW w:w="496" w:type="pct"/>
            <w:tcBorders>
              <w:tl2br w:val="nil"/>
              <w:tr2bl w:val="nil"/>
            </w:tcBorders>
            <w:shd w:val="clear" w:color="auto" w:fill="FFFFFF"/>
            <w:noWrap/>
            <w:vAlign w:val="center"/>
          </w:tcPr>
          <w:p w14:paraId="208C2750">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583" w:type="pct"/>
            <w:tcBorders>
              <w:tl2br w:val="nil"/>
              <w:tr2bl w:val="nil"/>
            </w:tcBorders>
            <w:shd w:val="clear" w:color="auto" w:fill="FFFFFF"/>
            <w:noWrap/>
            <w:vAlign w:val="center"/>
          </w:tcPr>
          <w:p w14:paraId="4A293629">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39567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5DFC2E0F">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12 </w:t>
            </w:r>
          </w:p>
        </w:tc>
        <w:tc>
          <w:tcPr>
            <w:tcW w:w="1244" w:type="pct"/>
            <w:tcBorders>
              <w:tl2br w:val="nil"/>
              <w:tr2bl w:val="nil"/>
            </w:tcBorders>
            <w:shd w:val="clear" w:color="auto" w:fill="FFFFFF"/>
            <w:vAlign w:val="center"/>
          </w:tcPr>
          <w:p w14:paraId="64B79979">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巴氏槽超声波流量计</w:t>
            </w:r>
          </w:p>
        </w:tc>
        <w:tc>
          <w:tcPr>
            <w:tcW w:w="2228" w:type="pct"/>
            <w:tcBorders>
              <w:tl2br w:val="nil"/>
              <w:tr2bl w:val="nil"/>
            </w:tcBorders>
            <w:shd w:val="clear" w:color="auto" w:fill="auto"/>
            <w:noWrap/>
            <w:vAlign w:val="center"/>
          </w:tcPr>
          <w:p w14:paraId="605D3B48">
            <w:pPr>
              <w:spacing w:line="240" w:lineRule="exact"/>
              <w:jc w:val="center"/>
              <w:rPr>
                <w:rFonts w:ascii="宋体" w:hAnsi="宋体" w:cs="宋体"/>
                <w:color w:val="auto"/>
                <w:szCs w:val="21"/>
              </w:rPr>
            </w:pPr>
            <w:r>
              <w:rPr>
                <w:rFonts w:hint="eastAsia" w:ascii="宋体" w:hAnsi="宋体" w:cs="宋体"/>
                <w:color w:val="auto"/>
                <w:szCs w:val="21"/>
              </w:rPr>
              <w:t>国标</w:t>
            </w:r>
          </w:p>
        </w:tc>
        <w:tc>
          <w:tcPr>
            <w:tcW w:w="496" w:type="pct"/>
            <w:tcBorders>
              <w:tl2br w:val="nil"/>
              <w:tr2bl w:val="nil"/>
            </w:tcBorders>
            <w:shd w:val="clear" w:color="auto" w:fill="FFFFFF"/>
            <w:noWrap/>
            <w:vAlign w:val="center"/>
          </w:tcPr>
          <w:p w14:paraId="13A6B380">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5BF70594">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51123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3383F9E3">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13 </w:t>
            </w:r>
          </w:p>
        </w:tc>
        <w:tc>
          <w:tcPr>
            <w:tcW w:w="1244" w:type="pct"/>
            <w:tcBorders>
              <w:tl2br w:val="nil"/>
              <w:tr2bl w:val="nil"/>
            </w:tcBorders>
            <w:shd w:val="clear" w:color="auto" w:fill="FFFFFF"/>
            <w:noWrap/>
            <w:vAlign w:val="center"/>
          </w:tcPr>
          <w:p w14:paraId="2A29ECD3">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污泥压滤机</w:t>
            </w:r>
          </w:p>
        </w:tc>
        <w:tc>
          <w:tcPr>
            <w:tcW w:w="2228" w:type="pct"/>
            <w:tcBorders>
              <w:tl2br w:val="nil"/>
              <w:tr2bl w:val="nil"/>
            </w:tcBorders>
            <w:shd w:val="clear" w:color="auto" w:fill="auto"/>
            <w:noWrap/>
            <w:vAlign w:val="center"/>
          </w:tcPr>
          <w:p w14:paraId="700437FA">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80㎡，3.0KW</w:t>
            </w:r>
          </w:p>
        </w:tc>
        <w:tc>
          <w:tcPr>
            <w:tcW w:w="496" w:type="pct"/>
            <w:tcBorders>
              <w:tl2br w:val="nil"/>
              <w:tr2bl w:val="nil"/>
            </w:tcBorders>
            <w:shd w:val="clear" w:color="auto" w:fill="FFFFFF"/>
            <w:noWrap/>
            <w:vAlign w:val="center"/>
          </w:tcPr>
          <w:p w14:paraId="7D54D1D1">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7FFD0DB1">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48798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7EC82E63">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14 </w:t>
            </w:r>
          </w:p>
        </w:tc>
        <w:tc>
          <w:tcPr>
            <w:tcW w:w="1244" w:type="pct"/>
            <w:tcBorders>
              <w:tl2br w:val="nil"/>
              <w:tr2bl w:val="nil"/>
            </w:tcBorders>
            <w:shd w:val="clear" w:color="auto" w:fill="FFFFFF"/>
            <w:noWrap/>
            <w:vAlign w:val="center"/>
          </w:tcPr>
          <w:p w14:paraId="36F2A9E7">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气动隔膜泵</w:t>
            </w:r>
          </w:p>
        </w:tc>
        <w:tc>
          <w:tcPr>
            <w:tcW w:w="2228" w:type="pct"/>
            <w:tcBorders>
              <w:tl2br w:val="nil"/>
              <w:tr2bl w:val="nil"/>
            </w:tcBorders>
            <w:shd w:val="clear" w:color="auto" w:fill="auto"/>
            <w:noWrap/>
            <w:vAlign w:val="center"/>
          </w:tcPr>
          <w:p w14:paraId="0C31193A">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QBY-65</w:t>
            </w:r>
          </w:p>
        </w:tc>
        <w:tc>
          <w:tcPr>
            <w:tcW w:w="496" w:type="pct"/>
            <w:tcBorders>
              <w:tl2br w:val="nil"/>
              <w:tr2bl w:val="nil"/>
            </w:tcBorders>
            <w:shd w:val="clear" w:color="auto" w:fill="FFFFFF"/>
            <w:noWrap/>
            <w:vAlign w:val="center"/>
          </w:tcPr>
          <w:p w14:paraId="153DAF5A">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5EF2D3B0">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2 </w:t>
            </w:r>
          </w:p>
        </w:tc>
      </w:tr>
      <w:tr w14:paraId="7D784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7DB80ABB">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15 </w:t>
            </w:r>
          </w:p>
        </w:tc>
        <w:tc>
          <w:tcPr>
            <w:tcW w:w="1244" w:type="pct"/>
            <w:tcBorders>
              <w:tl2br w:val="nil"/>
              <w:tr2bl w:val="nil"/>
            </w:tcBorders>
            <w:shd w:val="clear" w:color="auto" w:fill="FFFFFF"/>
            <w:noWrap/>
            <w:vAlign w:val="center"/>
          </w:tcPr>
          <w:p w14:paraId="04B4A744">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空压机</w:t>
            </w:r>
          </w:p>
        </w:tc>
        <w:tc>
          <w:tcPr>
            <w:tcW w:w="2228" w:type="pct"/>
            <w:tcBorders>
              <w:tl2br w:val="nil"/>
              <w:tr2bl w:val="nil"/>
            </w:tcBorders>
            <w:shd w:val="clear" w:color="auto" w:fill="auto"/>
            <w:noWrap/>
            <w:vAlign w:val="center"/>
          </w:tcPr>
          <w:p w14:paraId="4D8F6C9A">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7.5KW</w:t>
            </w:r>
          </w:p>
        </w:tc>
        <w:tc>
          <w:tcPr>
            <w:tcW w:w="496" w:type="pct"/>
            <w:tcBorders>
              <w:tl2br w:val="nil"/>
              <w:tr2bl w:val="nil"/>
            </w:tcBorders>
            <w:shd w:val="clear" w:color="auto" w:fill="FFFFFF"/>
            <w:noWrap/>
            <w:vAlign w:val="center"/>
          </w:tcPr>
          <w:p w14:paraId="030CC978">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38952EAD">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20627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447" w:type="pct"/>
            <w:tcBorders>
              <w:tl2br w:val="nil"/>
              <w:tr2bl w:val="nil"/>
            </w:tcBorders>
            <w:shd w:val="clear" w:color="auto" w:fill="auto"/>
            <w:noWrap/>
            <w:vAlign w:val="center"/>
          </w:tcPr>
          <w:p w14:paraId="29F5E0EE">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16 </w:t>
            </w:r>
          </w:p>
        </w:tc>
        <w:tc>
          <w:tcPr>
            <w:tcW w:w="1244" w:type="pct"/>
            <w:tcBorders>
              <w:tl2br w:val="nil"/>
              <w:tr2bl w:val="nil"/>
            </w:tcBorders>
            <w:shd w:val="clear" w:color="auto" w:fill="FFFFFF"/>
            <w:vAlign w:val="center"/>
          </w:tcPr>
          <w:p w14:paraId="7329BDFD">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COD在线监测分析仪</w:t>
            </w:r>
          </w:p>
        </w:tc>
        <w:tc>
          <w:tcPr>
            <w:tcW w:w="2228" w:type="pct"/>
            <w:tcBorders>
              <w:tl2br w:val="nil"/>
              <w:tr2bl w:val="nil"/>
            </w:tcBorders>
            <w:shd w:val="clear" w:color="auto" w:fill="auto"/>
            <w:vAlign w:val="center"/>
          </w:tcPr>
          <w:p w14:paraId="697A79DF">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测量范围0~1000mg/L，重铬酸钾测定法，带modbusRS485数字接口</w:t>
            </w:r>
          </w:p>
        </w:tc>
        <w:tc>
          <w:tcPr>
            <w:tcW w:w="496" w:type="pct"/>
            <w:tcBorders>
              <w:tl2br w:val="nil"/>
              <w:tr2bl w:val="nil"/>
            </w:tcBorders>
            <w:shd w:val="clear" w:color="auto" w:fill="FFFFFF"/>
            <w:noWrap/>
            <w:vAlign w:val="center"/>
          </w:tcPr>
          <w:p w14:paraId="3E184CF7">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4018CBA8">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6E2CC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48AB6C97">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17 </w:t>
            </w:r>
          </w:p>
        </w:tc>
        <w:tc>
          <w:tcPr>
            <w:tcW w:w="1244" w:type="pct"/>
            <w:tcBorders>
              <w:tl2br w:val="nil"/>
              <w:tr2bl w:val="nil"/>
            </w:tcBorders>
            <w:shd w:val="clear" w:color="auto" w:fill="FFFFFF"/>
            <w:vAlign w:val="center"/>
          </w:tcPr>
          <w:p w14:paraId="26B54A9B">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BOD5在线监测分析仪</w:t>
            </w:r>
          </w:p>
        </w:tc>
        <w:tc>
          <w:tcPr>
            <w:tcW w:w="2228" w:type="pct"/>
            <w:tcBorders>
              <w:tl2br w:val="nil"/>
              <w:tr2bl w:val="nil"/>
            </w:tcBorders>
            <w:shd w:val="clear" w:color="auto" w:fill="auto"/>
            <w:noWrap/>
            <w:vAlign w:val="center"/>
          </w:tcPr>
          <w:p w14:paraId="785CBF26">
            <w:pPr>
              <w:spacing w:line="240" w:lineRule="exact"/>
              <w:jc w:val="center"/>
              <w:rPr>
                <w:rFonts w:ascii="宋体" w:hAnsi="宋体" w:cs="宋体"/>
                <w:color w:val="auto"/>
                <w:szCs w:val="21"/>
              </w:rPr>
            </w:pPr>
            <w:r>
              <w:rPr>
                <w:rFonts w:hint="eastAsia" w:ascii="宋体" w:hAnsi="宋体" w:cs="宋体"/>
                <w:color w:val="auto"/>
                <w:szCs w:val="21"/>
              </w:rPr>
              <w:t>国标</w:t>
            </w:r>
          </w:p>
        </w:tc>
        <w:tc>
          <w:tcPr>
            <w:tcW w:w="496" w:type="pct"/>
            <w:tcBorders>
              <w:tl2br w:val="nil"/>
              <w:tr2bl w:val="nil"/>
            </w:tcBorders>
            <w:shd w:val="clear" w:color="auto" w:fill="FFFFFF"/>
            <w:noWrap/>
            <w:vAlign w:val="center"/>
          </w:tcPr>
          <w:p w14:paraId="0B334178">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53F42AA8">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62AE6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223972F6">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18 </w:t>
            </w:r>
          </w:p>
        </w:tc>
        <w:tc>
          <w:tcPr>
            <w:tcW w:w="1244" w:type="pct"/>
            <w:tcBorders>
              <w:tl2br w:val="nil"/>
              <w:tr2bl w:val="nil"/>
            </w:tcBorders>
            <w:shd w:val="clear" w:color="auto" w:fill="FFFFFF"/>
            <w:noWrap/>
            <w:vAlign w:val="center"/>
          </w:tcPr>
          <w:p w14:paraId="54F4B8DC">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氨氮在线分析仪</w:t>
            </w:r>
          </w:p>
        </w:tc>
        <w:tc>
          <w:tcPr>
            <w:tcW w:w="2228" w:type="pct"/>
            <w:tcBorders>
              <w:tl2br w:val="nil"/>
              <w:tr2bl w:val="nil"/>
            </w:tcBorders>
            <w:shd w:val="clear" w:color="auto" w:fill="auto"/>
            <w:vAlign w:val="center"/>
          </w:tcPr>
          <w:p w14:paraId="754AFD19">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测量范围0~100mg/L，带modbusRS485数字接口</w:t>
            </w:r>
          </w:p>
        </w:tc>
        <w:tc>
          <w:tcPr>
            <w:tcW w:w="496" w:type="pct"/>
            <w:tcBorders>
              <w:tl2br w:val="nil"/>
              <w:tr2bl w:val="nil"/>
            </w:tcBorders>
            <w:shd w:val="clear" w:color="auto" w:fill="FFFFFF"/>
            <w:noWrap/>
            <w:vAlign w:val="center"/>
          </w:tcPr>
          <w:p w14:paraId="18ACD26A">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0D02E957">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1C472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51AB425B">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19 </w:t>
            </w:r>
          </w:p>
        </w:tc>
        <w:tc>
          <w:tcPr>
            <w:tcW w:w="1244" w:type="pct"/>
            <w:tcBorders>
              <w:tl2br w:val="nil"/>
              <w:tr2bl w:val="nil"/>
            </w:tcBorders>
            <w:shd w:val="clear" w:color="auto" w:fill="FFFFFF"/>
            <w:noWrap/>
            <w:vAlign w:val="center"/>
          </w:tcPr>
          <w:p w14:paraId="7002F031">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余氯在线检测仪</w:t>
            </w:r>
          </w:p>
        </w:tc>
        <w:tc>
          <w:tcPr>
            <w:tcW w:w="2228" w:type="pct"/>
            <w:tcBorders>
              <w:tl2br w:val="nil"/>
              <w:tr2bl w:val="nil"/>
            </w:tcBorders>
            <w:shd w:val="clear" w:color="auto" w:fill="auto"/>
            <w:noWrap/>
            <w:vAlign w:val="center"/>
          </w:tcPr>
          <w:p w14:paraId="77A7D19A">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试剂法</w:t>
            </w:r>
          </w:p>
        </w:tc>
        <w:tc>
          <w:tcPr>
            <w:tcW w:w="496" w:type="pct"/>
            <w:tcBorders>
              <w:tl2br w:val="nil"/>
              <w:tr2bl w:val="nil"/>
            </w:tcBorders>
            <w:shd w:val="clear" w:color="auto" w:fill="FFFFFF"/>
            <w:noWrap/>
            <w:vAlign w:val="center"/>
          </w:tcPr>
          <w:p w14:paraId="3D3B6C6C">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26FFB7DE">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196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2734F229">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20 </w:t>
            </w:r>
          </w:p>
        </w:tc>
        <w:tc>
          <w:tcPr>
            <w:tcW w:w="1244" w:type="pct"/>
            <w:tcBorders>
              <w:tl2br w:val="nil"/>
              <w:tr2bl w:val="nil"/>
            </w:tcBorders>
            <w:shd w:val="clear" w:color="auto" w:fill="FFFFFF"/>
            <w:noWrap/>
            <w:vAlign w:val="center"/>
          </w:tcPr>
          <w:p w14:paraId="77552B67">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PH在线检测仪</w:t>
            </w:r>
          </w:p>
        </w:tc>
        <w:tc>
          <w:tcPr>
            <w:tcW w:w="2228" w:type="pct"/>
            <w:tcBorders>
              <w:tl2br w:val="nil"/>
              <w:tr2bl w:val="nil"/>
            </w:tcBorders>
            <w:shd w:val="clear" w:color="auto" w:fill="auto"/>
            <w:vAlign w:val="center"/>
          </w:tcPr>
          <w:p w14:paraId="6305ECB7">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带modbusRS485数字接口</w:t>
            </w:r>
          </w:p>
        </w:tc>
        <w:tc>
          <w:tcPr>
            <w:tcW w:w="496" w:type="pct"/>
            <w:tcBorders>
              <w:tl2br w:val="nil"/>
              <w:tr2bl w:val="nil"/>
            </w:tcBorders>
            <w:shd w:val="clear" w:color="auto" w:fill="FFFFFF"/>
            <w:noWrap/>
            <w:vAlign w:val="center"/>
          </w:tcPr>
          <w:p w14:paraId="56AB1289">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52A89A4D">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583F3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1D56E4E2">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21 </w:t>
            </w:r>
          </w:p>
        </w:tc>
        <w:tc>
          <w:tcPr>
            <w:tcW w:w="1244" w:type="pct"/>
            <w:tcBorders>
              <w:tl2br w:val="nil"/>
              <w:tr2bl w:val="nil"/>
            </w:tcBorders>
            <w:shd w:val="clear" w:color="auto" w:fill="FFFFFF"/>
            <w:noWrap/>
            <w:vAlign w:val="center"/>
          </w:tcPr>
          <w:p w14:paraId="75AE6A49">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数据采集仪</w:t>
            </w:r>
          </w:p>
        </w:tc>
        <w:tc>
          <w:tcPr>
            <w:tcW w:w="2228" w:type="pct"/>
            <w:tcBorders>
              <w:tl2br w:val="nil"/>
              <w:tr2bl w:val="nil"/>
            </w:tcBorders>
            <w:shd w:val="clear" w:color="auto" w:fill="auto"/>
            <w:noWrap/>
            <w:vAlign w:val="center"/>
          </w:tcPr>
          <w:p w14:paraId="7EDCF3BF">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 </w:t>
            </w:r>
            <w:r>
              <w:rPr>
                <w:rFonts w:hint="eastAsia" w:ascii="宋体" w:hAnsi="宋体" w:cs="宋体"/>
                <w:color w:val="auto"/>
                <w:szCs w:val="21"/>
              </w:rPr>
              <w:t>国标</w:t>
            </w:r>
          </w:p>
        </w:tc>
        <w:tc>
          <w:tcPr>
            <w:tcW w:w="496" w:type="pct"/>
            <w:tcBorders>
              <w:tl2br w:val="nil"/>
              <w:tr2bl w:val="nil"/>
            </w:tcBorders>
            <w:shd w:val="clear" w:color="auto" w:fill="FFFFFF"/>
            <w:noWrap/>
            <w:vAlign w:val="center"/>
          </w:tcPr>
          <w:p w14:paraId="170CA654">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33978D6D">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301ED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2BB9DA5B">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22 </w:t>
            </w:r>
          </w:p>
        </w:tc>
        <w:tc>
          <w:tcPr>
            <w:tcW w:w="1244" w:type="pct"/>
            <w:tcBorders>
              <w:tl2br w:val="nil"/>
              <w:tr2bl w:val="nil"/>
            </w:tcBorders>
            <w:shd w:val="clear" w:color="auto" w:fill="FFFFFF"/>
            <w:noWrap/>
            <w:vAlign w:val="center"/>
          </w:tcPr>
          <w:p w14:paraId="1F481051">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污水设备控制箱</w:t>
            </w:r>
          </w:p>
        </w:tc>
        <w:tc>
          <w:tcPr>
            <w:tcW w:w="2228" w:type="pct"/>
            <w:tcBorders>
              <w:tl2br w:val="nil"/>
              <w:tr2bl w:val="nil"/>
            </w:tcBorders>
            <w:shd w:val="clear" w:color="auto" w:fill="auto"/>
            <w:noWrap/>
            <w:vAlign w:val="center"/>
          </w:tcPr>
          <w:p w14:paraId="0EC64B7D">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PLC，含风机变频器</w:t>
            </w:r>
          </w:p>
        </w:tc>
        <w:tc>
          <w:tcPr>
            <w:tcW w:w="496" w:type="pct"/>
            <w:tcBorders>
              <w:tl2br w:val="nil"/>
              <w:tr2bl w:val="nil"/>
            </w:tcBorders>
            <w:shd w:val="clear" w:color="auto" w:fill="FFFFFF"/>
            <w:noWrap/>
            <w:vAlign w:val="center"/>
          </w:tcPr>
          <w:p w14:paraId="6C70F973">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583" w:type="pct"/>
            <w:tcBorders>
              <w:tl2br w:val="nil"/>
              <w:tr2bl w:val="nil"/>
            </w:tcBorders>
            <w:shd w:val="clear" w:color="auto" w:fill="FFFFFF"/>
            <w:noWrap/>
            <w:vAlign w:val="center"/>
          </w:tcPr>
          <w:p w14:paraId="4723BA3B">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43DD2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37381325">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23 </w:t>
            </w:r>
          </w:p>
        </w:tc>
        <w:tc>
          <w:tcPr>
            <w:tcW w:w="1244" w:type="pct"/>
            <w:tcBorders>
              <w:tl2br w:val="nil"/>
              <w:tr2bl w:val="nil"/>
            </w:tcBorders>
            <w:shd w:val="clear" w:color="auto" w:fill="FFFFFF"/>
            <w:noWrap/>
            <w:vAlign w:val="center"/>
          </w:tcPr>
          <w:p w14:paraId="140684CB">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轴流风机</w:t>
            </w:r>
          </w:p>
        </w:tc>
        <w:tc>
          <w:tcPr>
            <w:tcW w:w="2228" w:type="pct"/>
            <w:tcBorders>
              <w:tl2br w:val="nil"/>
              <w:tr2bl w:val="nil"/>
            </w:tcBorders>
            <w:shd w:val="clear" w:color="auto" w:fill="auto"/>
            <w:noWrap/>
            <w:vAlign w:val="center"/>
          </w:tcPr>
          <w:p w14:paraId="17BBFB1B">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N=0.37KW</w:t>
            </w:r>
          </w:p>
        </w:tc>
        <w:tc>
          <w:tcPr>
            <w:tcW w:w="496" w:type="pct"/>
            <w:tcBorders>
              <w:tl2br w:val="nil"/>
              <w:tr2bl w:val="nil"/>
            </w:tcBorders>
            <w:shd w:val="clear" w:color="auto" w:fill="FFFFFF"/>
            <w:noWrap/>
            <w:vAlign w:val="center"/>
          </w:tcPr>
          <w:p w14:paraId="6259D42F">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583" w:type="pct"/>
            <w:tcBorders>
              <w:tl2br w:val="nil"/>
              <w:tr2bl w:val="nil"/>
            </w:tcBorders>
            <w:shd w:val="clear" w:color="auto" w:fill="FFFFFF"/>
            <w:noWrap/>
            <w:vAlign w:val="center"/>
          </w:tcPr>
          <w:p w14:paraId="32CC8ADE">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6 </w:t>
            </w:r>
          </w:p>
        </w:tc>
      </w:tr>
      <w:tr w14:paraId="69F0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553FBD99">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24 </w:t>
            </w:r>
          </w:p>
        </w:tc>
        <w:tc>
          <w:tcPr>
            <w:tcW w:w="1244" w:type="pct"/>
            <w:tcBorders>
              <w:tl2br w:val="nil"/>
              <w:tr2bl w:val="nil"/>
            </w:tcBorders>
            <w:shd w:val="clear" w:color="auto" w:fill="FFFFFF"/>
            <w:noWrap/>
            <w:vAlign w:val="center"/>
          </w:tcPr>
          <w:p w14:paraId="632C37BA">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电灯控制弱电箱</w:t>
            </w:r>
          </w:p>
        </w:tc>
        <w:tc>
          <w:tcPr>
            <w:tcW w:w="2228" w:type="pct"/>
            <w:tcBorders>
              <w:tl2br w:val="nil"/>
              <w:tr2bl w:val="nil"/>
            </w:tcBorders>
            <w:shd w:val="clear" w:color="auto" w:fill="auto"/>
            <w:noWrap/>
            <w:vAlign w:val="center"/>
          </w:tcPr>
          <w:p w14:paraId="5050DA7A">
            <w:pPr>
              <w:spacing w:line="240" w:lineRule="exact"/>
              <w:jc w:val="center"/>
              <w:rPr>
                <w:rFonts w:ascii="宋体" w:hAnsi="宋体" w:cs="宋体"/>
                <w:color w:val="auto"/>
                <w:szCs w:val="21"/>
              </w:rPr>
            </w:pPr>
            <w:r>
              <w:rPr>
                <w:rFonts w:hint="eastAsia" w:ascii="宋体" w:hAnsi="宋体" w:cs="宋体"/>
                <w:color w:val="auto"/>
                <w:szCs w:val="21"/>
              </w:rPr>
              <w:t>国标</w:t>
            </w:r>
          </w:p>
        </w:tc>
        <w:tc>
          <w:tcPr>
            <w:tcW w:w="496" w:type="pct"/>
            <w:tcBorders>
              <w:tl2br w:val="nil"/>
              <w:tr2bl w:val="nil"/>
            </w:tcBorders>
            <w:shd w:val="clear" w:color="auto" w:fill="FFFFFF"/>
            <w:noWrap/>
            <w:vAlign w:val="center"/>
          </w:tcPr>
          <w:p w14:paraId="7AB2271D">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583" w:type="pct"/>
            <w:tcBorders>
              <w:tl2br w:val="nil"/>
              <w:tr2bl w:val="nil"/>
            </w:tcBorders>
            <w:shd w:val="clear" w:color="auto" w:fill="FFFFFF"/>
            <w:noWrap/>
            <w:vAlign w:val="center"/>
          </w:tcPr>
          <w:p w14:paraId="5732716A">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33753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7FED053F">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25 </w:t>
            </w:r>
          </w:p>
        </w:tc>
        <w:tc>
          <w:tcPr>
            <w:tcW w:w="1244" w:type="pct"/>
            <w:tcBorders>
              <w:tl2br w:val="nil"/>
              <w:tr2bl w:val="nil"/>
            </w:tcBorders>
            <w:shd w:val="clear" w:color="auto" w:fill="FFFFFF"/>
            <w:noWrap/>
            <w:vAlign w:val="center"/>
          </w:tcPr>
          <w:p w14:paraId="3EADBC64">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总控制箱</w:t>
            </w:r>
          </w:p>
        </w:tc>
        <w:tc>
          <w:tcPr>
            <w:tcW w:w="2228" w:type="pct"/>
            <w:tcBorders>
              <w:tl2br w:val="nil"/>
              <w:tr2bl w:val="nil"/>
            </w:tcBorders>
            <w:shd w:val="clear" w:color="auto" w:fill="auto"/>
            <w:noWrap/>
            <w:vAlign w:val="center"/>
          </w:tcPr>
          <w:p w14:paraId="60201ACE">
            <w:pPr>
              <w:spacing w:line="240" w:lineRule="exact"/>
              <w:jc w:val="center"/>
              <w:rPr>
                <w:rFonts w:ascii="宋体" w:hAnsi="宋体" w:cs="宋体"/>
                <w:color w:val="auto"/>
                <w:szCs w:val="21"/>
              </w:rPr>
            </w:pPr>
            <w:r>
              <w:rPr>
                <w:rFonts w:hint="eastAsia" w:ascii="宋体" w:hAnsi="宋体" w:cs="宋体"/>
                <w:color w:val="auto"/>
                <w:szCs w:val="21"/>
              </w:rPr>
              <w:t>国标</w:t>
            </w:r>
          </w:p>
        </w:tc>
        <w:tc>
          <w:tcPr>
            <w:tcW w:w="496" w:type="pct"/>
            <w:tcBorders>
              <w:tl2br w:val="nil"/>
              <w:tr2bl w:val="nil"/>
            </w:tcBorders>
            <w:shd w:val="clear" w:color="auto" w:fill="FFFFFF"/>
            <w:noWrap/>
            <w:vAlign w:val="center"/>
          </w:tcPr>
          <w:p w14:paraId="5A8EA3ED">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583" w:type="pct"/>
            <w:tcBorders>
              <w:tl2br w:val="nil"/>
              <w:tr2bl w:val="nil"/>
            </w:tcBorders>
            <w:shd w:val="clear" w:color="auto" w:fill="FFFFFF"/>
            <w:noWrap/>
            <w:vAlign w:val="center"/>
          </w:tcPr>
          <w:p w14:paraId="1BF417DD">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255B1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1C9A163F">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26 </w:t>
            </w:r>
          </w:p>
        </w:tc>
        <w:tc>
          <w:tcPr>
            <w:tcW w:w="1244" w:type="pct"/>
            <w:tcBorders>
              <w:tl2br w:val="nil"/>
              <w:tr2bl w:val="nil"/>
            </w:tcBorders>
            <w:shd w:val="clear" w:color="auto" w:fill="FFFFFF"/>
            <w:noWrap/>
            <w:vAlign w:val="center"/>
          </w:tcPr>
          <w:p w14:paraId="6CBC7669">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应急控制箱</w:t>
            </w:r>
          </w:p>
        </w:tc>
        <w:tc>
          <w:tcPr>
            <w:tcW w:w="2228" w:type="pct"/>
            <w:tcBorders>
              <w:tl2br w:val="nil"/>
              <w:tr2bl w:val="nil"/>
            </w:tcBorders>
            <w:shd w:val="clear" w:color="auto" w:fill="auto"/>
            <w:noWrap/>
            <w:vAlign w:val="center"/>
          </w:tcPr>
          <w:p w14:paraId="3A5BAAD0">
            <w:pPr>
              <w:spacing w:line="240" w:lineRule="exact"/>
              <w:jc w:val="center"/>
              <w:rPr>
                <w:rFonts w:ascii="宋体" w:hAnsi="宋体" w:cs="宋体"/>
                <w:color w:val="auto"/>
                <w:szCs w:val="21"/>
              </w:rPr>
            </w:pPr>
            <w:r>
              <w:rPr>
                <w:rFonts w:hint="eastAsia" w:ascii="宋体" w:hAnsi="宋体" w:cs="宋体"/>
                <w:color w:val="auto"/>
                <w:szCs w:val="21"/>
              </w:rPr>
              <w:t>国标</w:t>
            </w:r>
          </w:p>
        </w:tc>
        <w:tc>
          <w:tcPr>
            <w:tcW w:w="496" w:type="pct"/>
            <w:tcBorders>
              <w:tl2br w:val="nil"/>
              <w:tr2bl w:val="nil"/>
            </w:tcBorders>
            <w:shd w:val="clear" w:color="auto" w:fill="FFFFFF"/>
            <w:noWrap/>
            <w:vAlign w:val="center"/>
          </w:tcPr>
          <w:p w14:paraId="0C198EDC">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583" w:type="pct"/>
            <w:tcBorders>
              <w:tl2br w:val="nil"/>
              <w:tr2bl w:val="nil"/>
            </w:tcBorders>
            <w:shd w:val="clear" w:color="auto" w:fill="FFFFFF"/>
            <w:noWrap/>
            <w:vAlign w:val="center"/>
          </w:tcPr>
          <w:p w14:paraId="30F6E9A6">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319F2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2B93E4F5">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27 </w:t>
            </w:r>
          </w:p>
        </w:tc>
        <w:tc>
          <w:tcPr>
            <w:tcW w:w="1244" w:type="pct"/>
            <w:tcBorders>
              <w:tl2br w:val="nil"/>
              <w:tr2bl w:val="nil"/>
            </w:tcBorders>
            <w:shd w:val="clear" w:color="auto" w:fill="FFFFFF"/>
            <w:noWrap/>
            <w:vAlign w:val="center"/>
          </w:tcPr>
          <w:p w14:paraId="0F9DBD46">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风机控制箱</w:t>
            </w:r>
          </w:p>
        </w:tc>
        <w:tc>
          <w:tcPr>
            <w:tcW w:w="2228" w:type="pct"/>
            <w:tcBorders>
              <w:tl2br w:val="nil"/>
              <w:tr2bl w:val="nil"/>
            </w:tcBorders>
            <w:shd w:val="clear" w:color="auto" w:fill="auto"/>
            <w:noWrap/>
            <w:vAlign w:val="center"/>
          </w:tcPr>
          <w:p w14:paraId="075B39FB">
            <w:pPr>
              <w:spacing w:line="240" w:lineRule="exact"/>
              <w:jc w:val="center"/>
              <w:rPr>
                <w:rFonts w:ascii="宋体" w:hAnsi="宋体" w:cs="宋体"/>
                <w:color w:val="auto"/>
                <w:szCs w:val="21"/>
              </w:rPr>
            </w:pPr>
            <w:r>
              <w:rPr>
                <w:rFonts w:hint="eastAsia" w:ascii="宋体" w:hAnsi="宋体" w:cs="宋体"/>
                <w:color w:val="auto"/>
                <w:szCs w:val="21"/>
              </w:rPr>
              <w:t>国标</w:t>
            </w:r>
          </w:p>
        </w:tc>
        <w:tc>
          <w:tcPr>
            <w:tcW w:w="496" w:type="pct"/>
            <w:tcBorders>
              <w:tl2br w:val="nil"/>
              <w:tr2bl w:val="nil"/>
            </w:tcBorders>
            <w:shd w:val="clear" w:color="auto" w:fill="FFFFFF"/>
            <w:noWrap/>
            <w:vAlign w:val="center"/>
          </w:tcPr>
          <w:p w14:paraId="7CB9BED4">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583" w:type="pct"/>
            <w:tcBorders>
              <w:tl2br w:val="nil"/>
              <w:tr2bl w:val="nil"/>
            </w:tcBorders>
            <w:shd w:val="clear" w:color="auto" w:fill="FFFFFF"/>
            <w:noWrap/>
            <w:vAlign w:val="center"/>
          </w:tcPr>
          <w:p w14:paraId="50C07D3B">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4B140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0A1E240A">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28 </w:t>
            </w:r>
          </w:p>
        </w:tc>
        <w:tc>
          <w:tcPr>
            <w:tcW w:w="1244" w:type="pct"/>
            <w:tcBorders>
              <w:tl2br w:val="nil"/>
              <w:tr2bl w:val="nil"/>
            </w:tcBorders>
            <w:shd w:val="clear" w:color="auto" w:fill="FFFFFF"/>
            <w:noWrap/>
            <w:vAlign w:val="center"/>
          </w:tcPr>
          <w:p w14:paraId="30C37A65">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玻璃钢引风机</w:t>
            </w:r>
          </w:p>
        </w:tc>
        <w:tc>
          <w:tcPr>
            <w:tcW w:w="2228" w:type="pct"/>
            <w:tcBorders>
              <w:tl2br w:val="nil"/>
              <w:tr2bl w:val="nil"/>
            </w:tcBorders>
            <w:shd w:val="clear" w:color="auto" w:fill="auto"/>
            <w:noWrap/>
            <w:vAlign w:val="center"/>
          </w:tcPr>
          <w:p w14:paraId="3D31C48A">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11KW</w:t>
            </w:r>
          </w:p>
        </w:tc>
        <w:tc>
          <w:tcPr>
            <w:tcW w:w="496" w:type="pct"/>
            <w:tcBorders>
              <w:tl2br w:val="nil"/>
              <w:tr2bl w:val="nil"/>
            </w:tcBorders>
            <w:shd w:val="clear" w:color="auto" w:fill="FFFFFF"/>
            <w:noWrap/>
            <w:vAlign w:val="center"/>
          </w:tcPr>
          <w:p w14:paraId="53483735">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3FCF634E">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578AD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72A2C719">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29 </w:t>
            </w:r>
          </w:p>
        </w:tc>
        <w:tc>
          <w:tcPr>
            <w:tcW w:w="1244" w:type="pct"/>
            <w:tcBorders>
              <w:tl2br w:val="nil"/>
              <w:tr2bl w:val="nil"/>
            </w:tcBorders>
            <w:shd w:val="clear" w:color="auto" w:fill="FFFFFF"/>
            <w:noWrap/>
            <w:vAlign w:val="center"/>
          </w:tcPr>
          <w:p w14:paraId="43DEB17C">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活性炭吸附箱</w:t>
            </w:r>
          </w:p>
        </w:tc>
        <w:tc>
          <w:tcPr>
            <w:tcW w:w="2228" w:type="pct"/>
            <w:tcBorders>
              <w:tl2br w:val="nil"/>
              <w:tr2bl w:val="nil"/>
            </w:tcBorders>
            <w:shd w:val="clear" w:color="auto" w:fill="auto"/>
            <w:noWrap/>
            <w:vAlign w:val="center"/>
          </w:tcPr>
          <w:p w14:paraId="3FC06F1B">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2500×1100×1300cm</w:t>
            </w:r>
          </w:p>
        </w:tc>
        <w:tc>
          <w:tcPr>
            <w:tcW w:w="496" w:type="pct"/>
            <w:tcBorders>
              <w:tl2br w:val="nil"/>
              <w:tr2bl w:val="nil"/>
            </w:tcBorders>
            <w:shd w:val="clear" w:color="auto" w:fill="FFFFFF"/>
            <w:noWrap/>
            <w:vAlign w:val="center"/>
          </w:tcPr>
          <w:p w14:paraId="071F668E">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1DD41443">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5BAB7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19BC0419">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30 </w:t>
            </w:r>
          </w:p>
        </w:tc>
        <w:tc>
          <w:tcPr>
            <w:tcW w:w="1244" w:type="pct"/>
            <w:tcBorders>
              <w:tl2br w:val="nil"/>
              <w:tr2bl w:val="nil"/>
            </w:tcBorders>
            <w:shd w:val="clear" w:color="auto" w:fill="FFFFFF"/>
            <w:noWrap/>
            <w:vAlign w:val="center"/>
          </w:tcPr>
          <w:p w14:paraId="4AC4059C">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活性炭填料</w:t>
            </w:r>
          </w:p>
        </w:tc>
        <w:tc>
          <w:tcPr>
            <w:tcW w:w="2228" w:type="pct"/>
            <w:tcBorders>
              <w:tl2br w:val="nil"/>
              <w:tr2bl w:val="nil"/>
            </w:tcBorders>
            <w:shd w:val="clear" w:color="auto" w:fill="auto"/>
            <w:noWrap/>
            <w:vAlign w:val="center"/>
          </w:tcPr>
          <w:p w14:paraId="0F0A23F0">
            <w:pPr>
              <w:spacing w:line="240" w:lineRule="exact"/>
              <w:jc w:val="center"/>
              <w:rPr>
                <w:rFonts w:ascii="宋体" w:hAnsi="宋体" w:cs="宋体"/>
                <w:color w:val="auto"/>
                <w:szCs w:val="21"/>
              </w:rPr>
            </w:pPr>
            <w:r>
              <w:rPr>
                <w:rFonts w:hint="eastAsia" w:ascii="宋体" w:hAnsi="宋体" w:cs="宋体"/>
                <w:color w:val="auto"/>
                <w:szCs w:val="21"/>
              </w:rPr>
              <w:t>国标</w:t>
            </w:r>
          </w:p>
        </w:tc>
        <w:tc>
          <w:tcPr>
            <w:tcW w:w="496" w:type="pct"/>
            <w:tcBorders>
              <w:tl2br w:val="nil"/>
              <w:tr2bl w:val="nil"/>
            </w:tcBorders>
            <w:shd w:val="clear" w:color="auto" w:fill="FFFFFF"/>
            <w:noWrap/>
            <w:vAlign w:val="center"/>
          </w:tcPr>
          <w:p w14:paraId="0D83D618">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583" w:type="pct"/>
            <w:tcBorders>
              <w:tl2br w:val="nil"/>
              <w:tr2bl w:val="nil"/>
            </w:tcBorders>
            <w:shd w:val="clear" w:color="auto" w:fill="FFFFFF"/>
            <w:noWrap/>
            <w:vAlign w:val="center"/>
          </w:tcPr>
          <w:p w14:paraId="0D84F993">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0988E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3F8A7695">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31 </w:t>
            </w:r>
          </w:p>
        </w:tc>
        <w:tc>
          <w:tcPr>
            <w:tcW w:w="1244" w:type="pct"/>
            <w:tcBorders>
              <w:tl2br w:val="nil"/>
              <w:tr2bl w:val="nil"/>
            </w:tcBorders>
            <w:shd w:val="clear" w:color="auto" w:fill="FFFFFF"/>
            <w:noWrap/>
            <w:vAlign w:val="center"/>
          </w:tcPr>
          <w:p w14:paraId="08EC29C9">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控制柜</w:t>
            </w:r>
          </w:p>
        </w:tc>
        <w:tc>
          <w:tcPr>
            <w:tcW w:w="2228" w:type="pct"/>
            <w:tcBorders>
              <w:tl2br w:val="nil"/>
              <w:tr2bl w:val="nil"/>
            </w:tcBorders>
            <w:shd w:val="clear" w:color="auto" w:fill="auto"/>
            <w:noWrap/>
            <w:vAlign w:val="center"/>
          </w:tcPr>
          <w:p w14:paraId="5D0D149B">
            <w:pPr>
              <w:spacing w:line="240" w:lineRule="exact"/>
              <w:jc w:val="center"/>
              <w:rPr>
                <w:rFonts w:ascii="宋体" w:hAnsi="宋体" w:cs="宋体"/>
                <w:color w:val="auto"/>
                <w:szCs w:val="21"/>
              </w:rPr>
            </w:pPr>
            <w:r>
              <w:rPr>
                <w:rFonts w:hint="eastAsia" w:ascii="宋体" w:hAnsi="宋体" w:cs="宋体"/>
                <w:color w:val="auto"/>
                <w:szCs w:val="21"/>
              </w:rPr>
              <w:t>国标</w:t>
            </w:r>
          </w:p>
        </w:tc>
        <w:tc>
          <w:tcPr>
            <w:tcW w:w="496" w:type="pct"/>
            <w:tcBorders>
              <w:tl2br w:val="nil"/>
              <w:tr2bl w:val="nil"/>
            </w:tcBorders>
            <w:shd w:val="clear" w:color="auto" w:fill="FFFFFF"/>
            <w:noWrap/>
            <w:vAlign w:val="center"/>
          </w:tcPr>
          <w:p w14:paraId="19D26926">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7E8582BC">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43C6F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24D4B51C">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32</w:t>
            </w:r>
          </w:p>
        </w:tc>
        <w:tc>
          <w:tcPr>
            <w:tcW w:w="1244" w:type="pct"/>
            <w:tcBorders>
              <w:tl2br w:val="nil"/>
              <w:tr2bl w:val="nil"/>
            </w:tcBorders>
            <w:shd w:val="clear" w:color="auto" w:fill="FFFFFF"/>
            <w:noWrap/>
            <w:vAlign w:val="center"/>
          </w:tcPr>
          <w:p w14:paraId="2B8879FA">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提升泵</w:t>
            </w:r>
          </w:p>
        </w:tc>
        <w:tc>
          <w:tcPr>
            <w:tcW w:w="2228" w:type="pct"/>
            <w:tcBorders>
              <w:tl2br w:val="nil"/>
              <w:tr2bl w:val="nil"/>
            </w:tcBorders>
            <w:shd w:val="clear" w:color="auto" w:fill="auto"/>
            <w:noWrap/>
            <w:vAlign w:val="center"/>
          </w:tcPr>
          <w:p w14:paraId="24362570">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WQD6-16-0.75KW</w:t>
            </w:r>
          </w:p>
        </w:tc>
        <w:tc>
          <w:tcPr>
            <w:tcW w:w="496" w:type="pct"/>
            <w:tcBorders>
              <w:tl2br w:val="nil"/>
              <w:tr2bl w:val="nil"/>
            </w:tcBorders>
            <w:shd w:val="clear" w:color="auto" w:fill="FFFFFF"/>
            <w:noWrap/>
            <w:vAlign w:val="center"/>
          </w:tcPr>
          <w:p w14:paraId="06C59C81">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0DB76655">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w:t>
            </w:r>
          </w:p>
        </w:tc>
      </w:tr>
      <w:tr w14:paraId="16D22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0AF2E1BC">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33</w:t>
            </w:r>
          </w:p>
        </w:tc>
        <w:tc>
          <w:tcPr>
            <w:tcW w:w="1244" w:type="pct"/>
            <w:tcBorders>
              <w:tl2br w:val="nil"/>
              <w:tr2bl w:val="nil"/>
            </w:tcBorders>
            <w:shd w:val="clear" w:color="auto" w:fill="FFFFFF"/>
            <w:noWrap/>
            <w:vAlign w:val="center"/>
          </w:tcPr>
          <w:p w14:paraId="76ADCE82">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电磁流量计</w:t>
            </w:r>
          </w:p>
        </w:tc>
        <w:tc>
          <w:tcPr>
            <w:tcW w:w="2228" w:type="pct"/>
            <w:tcBorders>
              <w:tl2br w:val="nil"/>
              <w:tr2bl w:val="nil"/>
            </w:tcBorders>
            <w:shd w:val="clear" w:color="auto" w:fill="auto"/>
            <w:noWrap/>
            <w:vAlign w:val="center"/>
          </w:tcPr>
          <w:p w14:paraId="341A9904">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DN40</w:t>
            </w:r>
          </w:p>
        </w:tc>
        <w:tc>
          <w:tcPr>
            <w:tcW w:w="496" w:type="pct"/>
            <w:tcBorders>
              <w:tl2br w:val="nil"/>
              <w:tr2bl w:val="nil"/>
            </w:tcBorders>
            <w:shd w:val="clear" w:color="auto" w:fill="FFFFFF"/>
            <w:noWrap/>
            <w:vAlign w:val="center"/>
          </w:tcPr>
          <w:p w14:paraId="6E2DD5AF">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1FB3322E">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w:t>
            </w:r>
          </w:p>
        </w:tc>
      </w:tr>
      <w:tr w14:paraId="0096A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0C14ED16">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34</w:t>
            </w:r>
          </w:p>
        </w:tc>
        <w:tc>
          <w:tcPr>
            <w:tcW w:w="1244" w:type="pct"/>
            <w:tcBorders>
              <w:tl2br w:val="nil"/>
              <w:tr2bl w:val="nil"/>
            </w:tcBorders>
            <w:shd w:val="clear" w:color="auto" w:fill="FFFFFF"/>
            <w:noWrap/>
            <w:vAlign w:val="center"/>
          </w:tcPr>
          <w:p w14:paraId="68B6F12A">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浮球液位计</w:t>
            </w:r>
          </w:p>
        </w:tc>
        <w:tc>
          <w:tcPr>
            <w:tcW w:w="2228" w:type="pct"/>
            <w:tcBorders>
              <w:tl2br w:val="nil"/>
              <w:tr2bl w:val="nil"/>
            </w:tcBorders>
            <w:shd w:val="clear" w:color="auto" w:fill="auto"/>
            <w:vAlign w:val="center"/>
          </w:tcPr>
          <w:p w14:paraId="61EEB1D1">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0-6m</w:t>
            </w:r>
          </w:p>
        </w:tc>
        <w:tc>
          <w:tcPr>
            <w:tcW w:w="496" w:type="pct"/>
            <w:tcBorders>
              <w:tl2br w:val="nil"/>
              <w:tr2bl w:val="nil"/>
            </w:tcBorders>
            <w:shd w:val="clear" w:color="auto" w:fill="FFFFFF"/>
            <w:noWrap/>
            <w:vAlign w:val="center"/>
          </w:tcPr>
          <w:p w14:paraId="4717A784">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625BA22E">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2 </w:t>
            </w:r>
          </w:p>
        </w:tc>
      </w:tr>
      <w:tr w14:paraId="68CB2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20B66493">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35</w:t>
            </w:r>
          </w:p>
        </w:tc>
        <w:tc>
          <w:tcPr>
            <w:tcW w:w="1244" w:type="pct"/>
            <w:tcBorders>
              <w:tl2br w:val="nil"/>
              <w:tr2bl w:val="nil"/>
            </w:tcBorders>
            <w:shd w:val="clear" w:color="auto" w:fill="FFFFFF"/>
            <w:noWrap/>
            <w:vAlign w:val="center"/>
          </w:tcPr>
          <w:p w14:paraId="2DBC1C7D">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提升泵</w:t>
            </w:r>
          </w:p>
        </w:tc>
        <w:tc>
          <w:tcPr>
            <w:tcW w:w="2228" w:type="pct"/>
            <w:tcBorders>
              <w:tl2br w:val="nil"/>
              <w:tr2bl w:val="nil"/>
            </w:tcBorders>
            <w:shd w:val="clear" w:color="auto" w:fill="auto"/>
            <w:vAlign w:val="center"/>
          </w:tcPr>
          <w:p w14:paraId="02F299E7">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WQD6-16-0.75KW</w:t>
            </w:r>
          </w:p>
        </w:tc>
        <w:tc>
          <w:tcPr>
            <w:tcW w:w="496" w:type="pct"/>
            <w:tcBorders>
              <w:tl2br w:val="nil"/>
              <w:tr2bl w:val="nil"/>
            </w:tcBorders>
            <w:shd w:val="clear" w:color="auto" w:fill="FFFFFF"/>
            <w:noWrap/>
            <w:vAlign w:val="center"/>
          </w:tcPr>
          <w:p w14:paraId="7D33183B">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508E7520">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2 </w:t>
            </w:r>
          </w:p>
        </w:tc>
      </w:tr>
      <w:tr w14:paraId="15606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7CD605D3">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36</w:t>
            </w:r>
          </w:p>
        </w:tc>
        <w:tc>
          <w:tcPr>
            <w:tcW w:w="1244" w:type="pct"/>
            <w:tcBorders>
              <w:tl2br w:val="nil"/>
              <w:tr2bl w:val="nil"/>
            </w:tcBorders>
            <w:shd w:val="clear" w:color="auto" w:fill="FFFFFF"/>
            <w:noWrap/>
            <w:vAlign w:val="center"/>
          </w:tcPr>
          <w:p w14:paraId="433AAA38">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罗茨风机</w:t>
            </w:r>
          </w:p>
        </w:tc>
        <w:tc>
          <w:tcPr>
            <w:tcW w:w="2228" w:type="pct"/>
            <w:tcBorders>
              <w:tl2br w:val="nil"/>
              <w:tr2bl w:val="nil"/>
            </w:tcBorders>
            <w:shd w:val="clear" w:color="auto" w:fill="auto"/>
            <w:noWrap/>
            <w:vAlign w:val="center"/>
          </w:tcPr>
          <w:p w14:paraId="342B87C9">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ZZR-50 4KW</w:t>
            </w:r>
          </w:p>
        </w:tc>
        <w:tc>
          <w:tcPr>
            <w:tcW w:w="496" w:type="pct"/>
            <w:tcBorders>
              <w:tl2br w:val="nil"/>
              <w:tr2bl w:val="nil"/>
            </w:tcBorders>
            <w:shd w:val="clear" w:color="auto" w:fill="FFFFFF"/>
            <w:noWrap/>
            <w:vAlign w:val="center"/>
          </w:tcPr>
          <w:p w14:paraId="5D6B41D8">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0A86EA0A">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2 </w:t>
            </w:r>
          </w:p>
        </w:tc>
      </w:tr>
      <w:tr w14:paraId="51B57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5DF9E323">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37 </w:t>
            </w:r>
          </w:p>
        </w:tc>
        <w:tc>
          <w:tcPr>
            <w:tcW w:w="1244" w:type="pct"/>
            <w:tcBorders>
              <w:tl2br w:val="nil"/>
              <w:tr2bl w:val="nil"/>
            </w:tcBorders>
            <w:shd w:val="clear" w:color="auto" w:fill="auto"/>
            <w:vAlign w:val="center"/>
          </w:tcPr>
          <w:p w14:paraId="33C01C53">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污泥泵</w:t>
            </w:r>
          </w:p>
        </w:tc>
        <w:tc>
          <w:tcPr>
            <w:tcW w:w="2228" w:type="pct"/>
            <w:tcBorders>
              <w:tl2br w:val="nil"/>
              <w:tr2bl w:val="nil"/>
            </w:tcBorders>
            <w:shd w:val="clear" w:color="auto" w:fill="auto"/>
            <w:vAlign w:val="center"/>
          </w:tcPr>
          <w:p w14:paraId="371A8925">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WQD6-16-0.75KW</w:t>
            </w:r>
          </w:p>
        </w:tc>
        <w:tc>
          <w:tcPr>
            <w:tcW w:w="496" w:type="pct"/>
            <w:tcBorders>
              <w:tl2br w:val="nil"/>
              <w:tr2bl w:val="nil"/>
            </w:tcBorders>
            <w:shd w:val="clear" w:color="auto" w:fill="FFFFFF"/>
            <w:noWrap/>
            <w:vAlign w:val="center"/>
          </w:tcPr>
          <w:p w14:paraId="3B7C1223">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5547166A">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2 </w:t>
            </w:r>
          </w:p>
        </w:tc>
      </w:tr>
      <w:tr w14:paraId="7BB34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1C84CE60">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38 </w:t>
            </w:r>
          </w:p>
        </w:tc>
        <w:tc>
          <w:tcPr>
            <w:tcW w:w="1244" w:type="pct"/>
            <w:tcBorders>
              <w:tl2br w:val="nil"/>
              <w:tr2bl w:val="nil"/>
            </w:tcBorders>
            <w:shd w:val="clear" w:color="auto" w:fill="FFFFFF"/>
            <w:noWrap/>
            <w:vAlign w:val="center"/>
          </w:tcPr>
          <w:p w14:paraId="2C48B7A9">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配药装置</w:t>
            </w:r>
          </w:p>
        </w:tc>
        <w:tc>
          <w:tcPr>
            <w:tcW w:w="2228" w:type="pct"/>
            <w:tcBorders>
              <w:tl2br w:val="nil"/>
              <w:tr2bl w:val="nil"/>
            </w:tcBorders>
            <w:shd w:val="clear" w:color="auto" w:fill="auto"/>
            <w:vAlign w:val="center"/>
          </w:tcPr>
          <w:p w14:paraId="30ACFAB3">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500L,0.3kw</w:t>
            </w:r>
          </w:p>
        </w:tc>
        <w:tc>
          <w:tcPr>
            <w:tcW w:w="496" w:type="pct"/>
            <w:tcBorders>
              <w:tl2br w:val="nil"/>
              <w:tr2bl w:val="nil"/>
            </w:tcBorders>
            <w:shd w:val="clear" w:color="auto" w:fill="FFFFFF"/>
            <w:noWrap/>
            <w:vAlign w:val="center"/>
          </w:tcPr>
          <w:p w14:paraId="46A5C0B5">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5303389A">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732B3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4245000D">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39</w:t>
            </w:r>
          </w:p>
        </w:tc>
        <w:tc>
          <w:tcPr>
            <w:tcW w:w="1244" w:type="pct"/>
            <w:tcBorders>
              <w:tl2br w:val="nil"/>
              <w:tr2bl w:val="nil"/>
            </w:tcBorders>
            <w:shd w:val="clear" w:color="auto" w:fill="FFFFFF"/>
            <w:noWrap/>
            <w:vAlign w:val="center"/>
          </w:tcPr>
          <w:p w14:paraId="03B74E90">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计量泵</w:t>
            </w:r>
          </w:p>
        </w:tc>
        <w:tc>
          <w:tcPr>
            <w:tcW w:w="2228" w:type="pct"/>
            <w:tcBorders>
              <w:tl2br w:val="nil"/>
              <w:tr2bl w:val="nil"/>
            </w:tcBorders>
            <w:shd w:val="clear" w:color="auto" w:fill="auto"/>
            <w:vAlign w:val="center"/>
          </w:tcPr>
          <w:p w14:paraId="522F4F49">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15L/H-0.05KW</w:t>
            </w:r>
          </w:p>
        </w:tc>
        <w:tc>
          <w:tcPr>
            <w:tcW w:w="496" w:type="pct"/>
            <w:tcBorders>
              <w:tl2br w:val="nil"/>
              <w:tr2bl w:val="nil"/>
            </w:tcBorders>
            <w:shd w:val="clear" w:color="auto" w:fill="FFFFFF"/>
            <w:noWrap/>
            <w:vAlign w:val="center"/>
          </w:tcPr>
          <w:p w14:paraId="19BCDA92">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38F9CA88">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4 </w:t>
            </w:r>
          </w:p>
        </w:tc>
      </w:tr>
      <w:tr w14:paraId="326BA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3086B32A">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40 </w:t>
            </w:r>
          </w:p>
        </w:tc>
        <w:tc>
          <w:tcPr>
            <w:tcW w:w="1244" w:type="pct"/>
            <w:tcBorders>
              <w:tl2br w:val="nil"/>
              <w:tr2bl w:val="nil"/>
            </w:tcBorders>
            <w:shd w:val="clear" w:color="auto" w:fill="FFFFFF"/>
            <w:noWrap/>
            <w:vAlign w:val="center"/>
          </w:tcPr>
          <w:p w14:paraId="6CF68A1D">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控制柜</w:t>
            </w:r>
          </w:p>
        </w:tc>
        <w:tc>
          <w:tcPr>
            <w:tcW w:w="2228" w:type="pct"/>
            <w:tcBorders>
              <w:tl2br w:val="nil"/>
              <w:tr2bl w:val="nil"/>
            </w:tcBorders>
            <w:shd w:val="clear" w:color="auto" w:fill="auto"/>
            <w:noWrap/>
            <w:vAlign w:val="center"/>
          </w:tcPr>
          <w:p w14:paraId="52672D76">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PLC</w:t>
            </w:r>
          </w:p>
        </w:tc>
        <w:tc>
          <w:tcPr>
            <w:tcW w:w="496" w:type="pct"/>
            <w:tcBorders>
              <w:tl2br w:val="nil"/>
              <w:tr2bl w:val="nil"/>
            </w:tcBorders>
            <w:shd w:val="clear" w:color="auto" w:fill="FFFFFF"/>
            <w:noWrap/>
            <w:vAlign w:val="center"/>
          </w:tcPr>
          <w:p w14:paraId="39A45935">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583" w:type="pct"/>
            <w:tcBorders>
              <w:tl2br w:val="nil"/>
              <w:tr2bl w:val="nil"/>
            </w:tcBorders>
            <w:shd w:val="clear" w:color="auto" w:fill="FFFFFF"/>
            <w:noWrap/>
            <w:vAlign w:val="center"/>
          </w:tcPr>
          <w:p w14:paraId="499AD9F3">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502B9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58759F76">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41</w:t>
            </w:r>
          </w:p>
        </w:tc>
        <w:tc>
          <w:tcPr>
            <w:tcW w:w="1244" w:type="pct"/>
            <w:tcBorders>
              <w:tl2br w:val="nil"/>
              <w:tr2bl w:val="nil"/>
            </w:tcBorders>
            <w:shd w:val="clear" w:color="auto" w:fill="FFFFFF"/>
            <w:noWrap/>
            <w:vAlign w:val="center"/>
          </w:tcPr>
          <w:p w14:paraId="22810D0C">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气动隔膜泵</w:t>
            </w:r>
          </w:p>
        </w:tc>
        <w:tc>
          <w:tcPr>
            <w:tcW w:w="2228" w:type="pct"/>
            <w:tcBorders>
              <w:tl2br w:val="nil"/>
              <w:tr2bl w:val="nil"/>
            </w:tcBorders>
            <w:shd w:val="clear" w:color="auto" w:fill="auto"/>
            <w:vAlign w:val="center"/>
          </w:tcPr>
          <w:p w14:paraId="29206A09">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QBY-65</w:t>
            </w:r>
          </w:p>
        </w:tc>
        <w:tc>
          <w:tcPr>
            <w:tcW w:w="496" w:type="pct"/>
            <w:tcBorders>
              <w:tl2br w:val="nil"/>
              <w:tr2bl w:val="nil"/>
            </w:tcBorders>
            <w:shd w:val="clear" w:color="auto" w:fill="FFFFFF"/>
            <w:noWrap/>
            <w:vAlign w:val="center"/>
          </w:tcPr>
          <w:p w14:paraId="58135646">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583" w:type="pct"/>
            <w:tcBorders>
              <w:tl2br w:val="nil"/>
              <w:tr2bl w:val="nil"/>
            </w:tcBorders>
            <w:shd w:val="clear" w:color="auto" w:fill="FFFFFF"/>
            <w:noWrap/>
            <w:vAlign w:val="center"/>
          </w:tcPr>
          <w:p w14:paraId="3A23BD4D">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2 </w:t>
            </w:r>
          </w:p>
        </w:tc>
      </w:tr>
      <w:tr w14:paraId="006EC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2304FE39">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42 </w:t>
            </w:r>
          </w:p>
        </w:tc>
        <w:tc>
          <w:tcPr>
            <w:tcW w:w="1244" w:type="pct"/>
            <w:tcBorders>
              <w:tl2br w:val="nil"/>
              <w:tr2bl w:val="nil"/>
            </w:tcBorders>
            <w:shd w:val="clear" w:color="auto" w:fill="FFFFFF"/>
            <w:noWrap/>
            <w:vAlign w:val="center"/>
          </w:tcPr>
          <w:p w14:paraId="4419234D">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厌氧池填料支架</w:t>
            </w:r>
          </w:p>
        </w:tc>
        <w:tc>
          <w:tcPr>
            <w:tcW w:w="2228" w:type="pct"/>
            <w:tcBorders>
              <w:tl2br w:val="nil"/>
              <w:tr2bl w:val="nil"/>
            </w:tcBorders>
            <w:shd w:val="clear" w:color="auto" w:fill="auto"/>
            <w:vAlign w:val="center"/>
          </w:tcPr>
          <w:p w14:paraId="79257ECE">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50×50mm不锈钢角铁，∅12不锈钢圆钢</w:t>
            </w:r>
          </w:p>
        </w:tc>
        <w:tc>
          <w:tcPr>
            <w:tcW w:w="496" w:type="pct"/>
            <w:tcBorders>
              <w:tl2br w:val="nil"/>
              <w:tr2bl w:val="nil"/>
            </w:tcBorders>
            <w:shd w:val="clear" w:color="auto" w:fill="FFFFFF"/>
            <w:noWrap/>
            <w:vAlign w:val="center"/>
          </w:tcPr>
          <w:p w14:paraId="1AB2B4F7">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583" w:type="pct"/>
            <w:tcBorders>
              <w:tl2br w:val="nil"/>
              <w:tr2bl w:val="nil"/>
            </w:tcBorders>
            <w:shd w:val="clear" w:color="auto" w:fill="FFFFFF"/>
            <w:noWrap/>
            <w:vAlign w:val="center"/>
          </w:tcPr>
          <w:p w14:paraId="404E931D">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44932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44B2F3B4">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43 </w:t>
            </w:r>
          </w:p>
        </w:tc>
        <w:tc>
          <w:tcPr>
            <w:tcW w:w="1244" w:type="pct"/>
            <w:tcBorders>
              <w:tl2br w:val="nil"/>
              <w:tr2bl w:val="nil"/>
            </w:tcBorders>
            <w:shd w:val="clear" w:color="auto" w:fill="FFFFFF"/>
            <w:noWrap/>
            <w:vAlign w:val="center"/>
          </w:tcPr>
          <w:p w14:paraId="060235A9">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厌氧池组合填料</w:t>
            </w:r>
          </w:p>
        </w:tc>
        <w:tc>
          <w:tcPr>
            <w:tcW w:w="2228" w:type="pct"/>
            <w:tcBorders>
              <w:tl2br w:val="nil"/>
              <w:tr2bl w:val="nil"/>
            </w:tcBorders>
            <w:shd w:val="clear" w:color="auto" w:fill="auto"/>
            <w:noWrap/>
            <w:vAlign w:val="center"/>
          </w:tcPr>
          <w:p w14:paraId="78572E30">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∅150</w:t>
            </w:r>
          </w:p>
        </w:tc>
        <w:tc>
          <w:tcPr>
            <w:tcW w:w="496" w:type="pct"/>
            <w:tcBorders>
              <w:tl2br w:val="nil"/>
              <w:tr2bl w:val="nil"/>
            </w:tcBorders>
            <w:shd w:val="clear" w:color="auto" w:fill="FFFFFF"/>
            <w:noWrap/>
            <w:vAlign w:val="center"/>
          </w:tcPr>
          <w:p w14:paraId="1E339FFD">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m³</w:t>
            </w:r>
          </w:p>
        </w:tc>
        <w:tc>
          <w:tcPr>
            <w:tcW w:w="583" w:type="pct"/>
            <w:tcBorders>
              <w:tl2br w:val="nil"/>
              <w:tr2bl w:val="nil"/>
            </w:tcBorders>
            <w:shd w:val="clear" w:color="auto" w:fill="FFFFFF"/>
            <w:noWrap/>
            <w:vAlign w:val="center"/>
          </w:tcPr>
          <w:p w14:paraId="4BA7EE13">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330 </w:t>
            </w:r>
          </w:p>
        </w:tc>
      </w:tr>
      <w:tr w14:paraId="27CAA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3E5E1E1A">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44 </w:t>
            </w:r>
          </w:p>
        </w:tc>
        <w:tc>
          <w:tcPr>
            <w:tcW w:w="1244" w:type="pct"/>
            <w:tcBorders>
              <w:tl2br w:val="nil"/>
              <w:tr2bl w:val="nil"/>
            </w:tcBorders>
            <w:shd w:val="clear" w:color="auto" w:fill="FFFFFF"/>
            <w:noWrap/>
            <w:vAlign w:val="center"/>
          </w:tcPr>
          <w:p w14:paraId="3C3A1509">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好氧池填料支架</w:t>
            </w:r>
          </w:p>
        </w:tc>
        <w:tc>
          <w:tcPr>
            <w:tcW w:w="2228" w:type="pct"/>
            <w:tcBorders>
              <w:tl2br w:val="nil"/>
              <w:tr2bl w:val="nil"/>
            </w:tcBorders>
            <w:shd w:val="clear" w:color="auto" w:fill="auto"/>
            <w:vAlign w:val="center"/>
          </w:tcPr>
          <w:p w14:paraId="3677F539">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50×50mm不锈钢角铁，∅12不锈钢圆钢</w:t>
            </w:r>
          </w:p>
        </w:tc>
        <w:tc>
          <w:tcPr>
            <w:tcW w:w="496" w:type="pct"/>
            <w:tcBorders>
              <w:tl2br w:val="nil"/>
              <w:tr2bl w:val="nil"/>
            </w:tcBorders>
            <w:shd w:val="clear" w:color="auto" w:fill="FFFFFF"/>
            <w:noWrap/>
            <w:vAlign w:val="center"/>
          </w:tcPr>
          <w:p w14:paraId="2F22C55D">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583" w:type="pct"/>
            <w:tcBorders>
              <w:tl2br w:val="nil"/>
              <w:tr2bl w:val="nil"/>
            </w:tcBorders>
            <w:shd w:val="clear" w:color="auto" w:fill="FFFFFF"/>
            <w:noWrap/>
            <w:vAlign w:val="center"/>
          </w:tcPr>
          <w:p w14:paraId="722B5FB3">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5D610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6E40B7C8">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45 </w:t>
            </w:r>
          </w:p>
        </w:tc>
        <w:tc>
          <w:tcPr>
            <w:tcW w:w="1244" w:type="pct"/>
            <w:tcBorders>
              <w:tl2br w:val="nil"/>
              <w:tr2bl w:val="nil"/>
            </w:tcBorders>
            <w:shd w:val="clear" w:color="auto" w:fill="FFFFFF"/>
            <w:noWrap/>
            <w:vAlign w:val="center"/>
          </w:tcPr>
          <w:p w14:paraId="3CC8578F">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好氧池组合填料</w:t>
            </w:r>
          </w:p>
        </w:tc>
        <w:tc>
          <w:tcPr>
            <w:tcW w:w="2228" w:type="pct"/>
            <w:tcBorders>
              <w:tl2br w:val="nil"/>
              <w:tr2bl w:val="nil"/>
            </w:tcBorders>
            <w:shd w:val="clear" w:color="auto" w:fill="auto"/>
            <w:noWrap/>
            <w:vAlign w:val="center"/>
          </w:tcPr>
          <w:p w14:paraId="102DAE67">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∅150</w:t>
            </w:r>
          </w:p>
        </w:tc>
        <w:tc>
          <w:tcPr>
            <w:tcW w:w="496" w:type="pct"/>
            <w:tcBorders>
              <w:tl2br w:val="nil"/>
              <w:tr2bl w:val="nil"/>
            </w:tcBorders>
            <w:shd w:val="clear" w:color="auto" w:fill="FFFFFF"/>
            <w:noWrap/>
            <w:vAlign w:val="center"/>
          </w:tcPr>
          <w:p w14:paraId="18156065">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m³</w:t>
            </w:r>
          </w:p>
        </w:tc>
        <w:tc>
          <w:tcPr>
            <w:tcW w:w="583" w:type="pct"/>
            <w:tcBorders>
              <w:tl2br w:val="nil"/>
              <w:tr2bl w:val="nil"/>
            </w:tcBorders>
            <w:shd w:val="clear" w:color="auto" w:fill="FFFFFF"/>
            <w:noWrap/>
            <w:vAlign w:val="center"/>
          </w:tcPr>
          <w:p w14:paraId="7A2A66CC">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500 </w:t>
            </w:r>
          </w:p>
        </w:tc>
      </w:tr>
      <w:tr w14:paraId="0C815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5FE1935B">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46 </w:t>
            </w:r>
          </w:p>
        </w:tc>
        <w:tc>
          <w:tcPr>
            <w:tcW w:w="1244" w:type="pct"/>
            <w:tcBorders>
              <w:tl2br w:val="nil"/>
              <w:tr2bl w:val="nil"/>
            </w:tcBorders>
            <w:shd w:val="clear" w:color="auto" w:fill="FFFFFF"/>
            <w:noWrap/>
            <w:vAlign w:val="center"/>
          </w:tcPr>
          <w:p w14:paraId="0CF65E46">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微孔曝气器</w:t>
            </w:r>
          </w:p>
        </w:tc>
        <w:tc>
          <w:tcPr>
            <w:tcW w:w="2228" w:type="pct"/>
            <w:tcBorders>
              <w:tl2br w:val="nil"/>
              <w:tr2bl w:val="nil"/>
            </w:tcBorders>
            <w:shd w:val="clear" w:color="auto" w:fill="auto"/>
            <w:noWrap/>
            <w:vAlign w:val="center"/>
          </w:tcPr>
          <w:p w14:paraId="22595E53">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∅215</w:t>
            </w:r>
          </w:p>
        </w:tc>
        <w:tc>
          <w:tcPr>
            <w:tcW w:w="496" w:type="pct"/>
            <w:tcBorders>
              <w:tl2br w:val="nil"/>
              <w:tr2bl w:val="nil"/>
            </w:tcBorders>
            <w:shd w:val="clear" w:color="auto" w:fill="FFFFFF"/>
            <w:noWrap/>
            <w:vAlign w:val="center"/>
          </w:tcPr>
          <w:p w14:paraId="295D858A">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583" w:type="pct"/>
            <w:tcBorders>
              <w:tl2br w:val="nil"/>
              <w:tr2bl w:val="nil"/>
            </w:tcBorders>
            <w:shd w:val="clear" w:color="auto" w:fill="FFFFFF"/>
            <w:noWrap/>
            <w:vAlign w:val="center"/>
          </w:tcPr>
          <w:p w14:paraId="1723948D">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330 </w:t>
            </w:r>
          </w:p>
        </w:tc>
      </w:tr>
      <w:tr w14:paraId="17A5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45CB1BE8">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47 </w:t>
            </w:r>
          </w:p>
        </w:tc>
        <w:tc>
          <w:tcPr>
            <w:tcW w:w="1244" w:type="pct"/>
            <w:tcBorders>
              <w:tl2br w:val="nil"/>
              <w:tr2bl w:val="nil"/>
            </w:tcBorders>
            <w:shd w:val="clear" w:color="auto" w:fill="FFFFFF"/>
            <w:noWrap/>
            <w:vAlign w:val="center"/>
          </w:tcPr>
          <w:p w14:paraId="5E04D4B6">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溢流堰</w:t>
            </w:r>
          </w:p>
        </w:tc>
        <w:tc>
          <w:tcPr>
            <w:tcW w:w="2228" w:type="pct"/>
            <w:tcBorders>
              <w:tl2br w:val="nil"/>
              <w:tr2bl w:val="nil"/>
            </w:tcBorders>
            <w:shd w:val="clear" w:color="auto" w:fill="auto"/>
            <w:noWrap/>
            <w:vAlign w:val="center"/>
          </w:tcPr>
          <w:p w14:paraId="3F5CA6C3">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300×250</w:t>
            </w:r>
          </w:p>
        </w:tc>
        <w:tc>
          <w:tcPr>
            <w:tcW w:w="496" w:type="pct"/>
            <w:tcBorders>
              <w:tl2br w:val="nil"/>
              <w:tr2bl w:val="nil"/>
            </w:tcBorders>
            <w:shd w:val="clear" w:color="auto" w:fill="FFFFFF"/>
            <w:noWrap/>
            <w:vAlign w:val="center"/>
          </w:tcPr>
          <w:p w14:paraId="6D6EF5AC">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米</w:t>
            </w:r>
          </w:p>
        </w:tc>
        <w:tc>
          <w:tcPr>
            <w:tcW w:w="583" w:type="pct"/>
            <w:tcBorders>
              <w:tl2br w:val="nil"/>
              <w:tr2bl w:val="nil"/>
            </w:tcBorders>
            <w:shd w:val="clear" w:color="auto" w:fill="FFFFFF"/>
            <w:noWrap/>
            <w:vAlign w:val="center"/>
          </w:tcPr>
          <w:p w14:paraId="3B69D94C">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63 </w:t>
            </w:r>
          </w:p>
        </w:tc>
      </w:tr>
      <w:tr w14:paraId="30E49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2A88D9F5">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48 </w:t>
            </w:r>
          </w:p>
        </w:tc>
        <w:tc>
          <w:tcPr>
            <w:tcW w:w="1244" w:type="pct"/>
            <w:tcBorders>
              <w:tl2br w:val="nil"/>
              <w:tr2bl w:val="nil"/>
            </w:tcBorders>
            <w:shd w:val="clear" w:color="auto" w:fill="FFFFFF"/>
            <w:noWrap/>
            <w:vAlign w:val="center"/>
          </w:tcPr>
          <w:p w14:paraId="6697BCFB">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厌氧池填料支架</w:t>
            </w:r>
          </w:p>
        </w:tc>
        <w:tc>
          <w:tcPr>
            <w:tcW w:w="2228" w:type="pct"/>
            <w:tcBorders>
              <w:tl2br w:val="nil"/>
              <w:tr2bl w:val="nil"/>
            </w:tcBorders>
            <w:shd w:val="clear" w:color="auto" w:fill="auto"/>
            <w:vAlign w:val="center"/>
          </w:tcPr>
          <w:p w14:paraId="0CDF6603">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50×50</w:t>
            </w:r>
            <w:r>
              <w:rPr>
                <w:rFonts w:hint="eastAsia" w:asciiTheme="minorEastAsia" w:hAnsiTheme="minorEastAsia" w:eastAsiaTheme="minorEastAsia" w:cstheme="minorEastAsia"/>
                <w:color w:val="auto"/>
                <w:kern w:val="0"/>
                <w:sz w:val="24"/>
                <w:lang w:bidi="ar"/>
              </w:rPr>
              <w:t>mm</w:t>
            </w:r>
            <w:r>
              <w:rPr>
                <w:rFonts w:hint="eastAsia" w:ascii="宋体" w:hAnsi="宋体" w:cs="宋体"/>
                <w:color w:val="auto"/>
                <w:kern w:val="0"/>
                <w:szCs w:val="21"/>
                <w:lang w:bidi="ar"/>
              </w:rPr>
              <w:t>不锈钢角铁，∅12不锈钢圆钢</w:t>
            </w:r>
          </w:p>
        </w:tc>
        <w:tc>
          <w:tcPr>
            <w:tcW w:w="496" w:type="pct"/>
            <w:tcBorders>
              <w:tl2br w:val="nil"/>
              <w:tr2bl w:val="nil"/>
            </w:tcBorders>
            <w:shd w:val="clear" w:color="auto" w:fill="FFFFFF"/>
            <w:noWrap/>
            <w:vAlign w:val="center"/>
          </w:tcPr>
          <w:p w14:paraId="0D3FDFAE">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583" w:type="pct"/>
            <w:tcBorders>
              <w:tl2br w:val="nil"/>
              <w:tr2bl w:val="nil"/>
            </w:tcBorders>
            <w:shd w:val="clear" w:color="auto" w:fill="FFFFFF"/>
            <w:noWrap/>
            <w:vAlign w:val="center"/>
          </w:tcPr>
          <w:p w14:paraId="574B51CB">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1909C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3A17F11E">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49 </w:t>
            </w:r>
          </w:p>
        </w:tc>
        <w:tc>
          <w:tcPr>
            <w:tcW w:w="1244" w:type="pct"/>
            <w:tcBorders>
              <w:tl2br w:val="nil"/>
              <w:tr2bl w:val="nil"/>
            </w:tcBorders>
            <w:shd w:val="clear" w:color="auto" w:fill="FFFFFF"/>
            <w:noWrap/>
            <w:vAlign w:val="center"/>
          </w:tcPr>
          <w:p w14:paraId="7864A33F">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厌氧池组合填料</w:t>
            </w:r>
          </w:p>
        </w:tc>
        <w:tc>
          <w:tcPr>
            <w:tcW w:w="2228" w:type="pct"/>
            <w:tcBorders>
              <w:tl2br w:val="nil"/>
              <w:tr2bl w:val="nil"/>
            </w:tcBorders>
            <w:shd w:val="clear" w:color="auto" w:fill="auto"/>
            <w:noWrap/>
            <w:vAlign w:val="center"/>
          </w:tcPr>
          <w:p w14:paraId="17D3BCE8">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∅150</w:t>
            </w:r>
          </w:p>
        </w:tc>
        <w:tc>
          <w:tcPr>
            <w:tcW w:w="496" w:type="pct"/>
            <w:tcBorders>
              <w:tl2br w:val="nil"/>
              <w:tr2bl w:val="nil"/>
            </w:tcBorders>
            <w:shd w:val="clear" w:color="auto" w:fill="FFFFFF"/>
            <w:noWrap/>
            <w:vAlign w:val="center"/>
          </w:tcPr>
          <w:p w14:paraId="7FA9D2C9">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m³</w:t>
            </w:r>
          </w:p>
        </w:tc>
        <w:tc>
          <w:tcPr>
            <w:tcW w:w="583" w:type="pct"/>
            <w:tcBorders>
              <w:tl2br w:val="nil"/>
              <w:tr2bl w:val="nil"/>
            </w:tcBorders>
            <w:shd w:val="clear" w:color="auto" w:fill="FFFFFF"/>
            <w:noWrap/>
            <w:vAlign w:val="center"/>
          </w:tcPr>
          <w:p w14:paraId="0E816861">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30 </w:t>
            </w:r>
          </w:p>
        </w:tc>
      </w:tr>
      <w:tr w14:paraId="273FD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7118F946">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50 </w:t>
            </w:r>
          </w:p>
        </w:tc>
        <w:tc>
          <w:tcPr>
            <w:tcW w:w="1244" w:type="pct"/>
            <w:tcBorders>
              <w:tl2br w:val="nil"/>
              <w:tr2bl w:val="nil"/>
            </w:tcBorders>
            <w:shd w:val="clear" w:color="auto" w:fill="FFFFFF"/>
            <w:noWrap/>
            <w:vAlign w:val="center"/>
          </w:tcPr>
          <w:p w14:paraId="6DCA4E1C">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好氧池填料支架</w:t>
            </w:r>
          </w:p>
        </w:tc>
        <w:tc>
          <w:tcPr>
            <w:tcW w:w="2228" w:type="pct"/>
            <w:tcBorders>
              <w:tl2br w:val="nil"/>
              <w:tr2bl w:val="nil"/>
            </w:tcBorders>
            <w:shd w:val="clear" w:color="auto" w:fill="auto"/>
            <w:vAlign w:val="center"/>
          </w:tcPr>
          <w:p w14:paraId="5A975B77">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50×50</w:t>
            </w:r>
            <w:r>
              <w:rPr>
                <w:rFonts w:hint="eastAsia" w:asciiTheme="minorEastAsia" w:hAnsiTheme="minorEastAsia" w:eastAsiaTheme="minorEastAsia" w:cstheme="minorEastAsia"/>
                <w:color w:val="auto"/>
                <w:kern w:val="0"/>
                <w:sz w:val="24"/>
                <w:lang w:bidi="ar"/>
              </w:rPr>
              <w:t>mm</w:t>
            </w:r>
            <w:r>
              <w:rPr>
                <w:rFonts w:hint="eastAsia" w:ascii="宋体" w:hAnsi="宋体" w:cs="宋体"/>
                <w:color w:val="auto"/>
                <w:kern w:val="0"/>
                <w:szCs w:val="21"/>
                <w:lang w:bidi="ar"/>
              </w:rPr>
              <w:t>不锈钢角铁，∅12不锈钢圆钢</w:t>
            </w:r>
          </w:p>
        </w:tc>
        <w:tc>
          <w:tcPr>
            <w:tcW w:w="496" w:type="pct"/>
            <w:tcBorders>
              <w:tl2br w:val="nil"/>
              <w:tr2bl w:val="nil"/>
            </w:tcBorders>
            <w:shd w:val="clear" w:color="auto" w:fill="FFFFFF"/>
            <w:noWrap/>
            <w:vAlign w:val="center"/>
          </w:tcPr>
          <w:p w14:paraId="073C3BDD">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583" w:type="pct"/>
            <w:tcBorders>
              <w:tl2br w:val="nil"/>
              <w:tr2bl w:val="nil"/>
            </w:tcBorders>
            <w:shd w:val="clear" w:color="auto" w:fill="FFFFFF"/>
            <w:noWrap/>
            <w:vAlign w:val="center"/>
          </w:tcPr>
          <w:p w14:paraId="3EFFF2D3">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 </w:t>
            </w:r>
          </w:p>
        </w:tc>
      </w:tr>
      <w:tr w14:paraId="16900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51779580">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51 </w:t>
            </w:r>
          </w:p>
        </w:tc>
        <w:tc>
          <w:tcPr>
            <w:tcW w:w="1244" w:type="pct"/>
            <w:tcBorders>
              <w:tl2br w:val="nil"/>
              <w:tr2bl w:val="nil"/>
            </w:tcBorders>
            <w:shd w:val="clear" w:color="auto" w:fill="FFFFFF"/>
            <w:noWrap/>
            <w:vAlign w:val="center"/>
          </w:tcPr>
          <w:p w14:paraId="5AEA1022">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好氧池组合填料</w:t>
            </w:r>
          </w:p>
        </w:tc>
        <w:tc>
          <w:tcPr>
            <w:tcW w:w="2228" w:type="pct"/>
            <w:tcBorders>
              <w:tl2br w:val="nil"/>
              <w:tr2bl w:val="nil"/>
            </w:tcBorders>
            <w:shd w:val="clear" w:color="auto" w:fill="auto"/>
            <w:noWrap/>
            <w:vAlign w:val="center"/>
          </w:tcPr>
          <w:p w14:paraId="31DCD207">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∅150</w:t>
            </w:r>
          </w:p>
        </w:tc>
        <w:tc>
          <w:tcPr>
            <w:tcW w:w="496" w:type="pct"/>
            <w:tcBorders>
              <w:tl2br w:val="nil"/>
              <w:tr2bl w:val="nil"/>
            </w:tcBorders>
            <w:shd w:val="clear" w:color="auto" w:fill="FFFFFF"/>
            <w:noWrap/>
            <w:vAlign w:val="center"/>
          </w:tcPr>
          <w:p w14:paraId="051B15DF">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m³</w:t>
            </w:r>
          </w:p>
        </w:tc>
        <w:tc>
          <w:tcPr>
            <w:tcW w:w="583" w:type="pct"/>
            <w:tcBorders>
              <w:tl2br w:val="nil"/>
              <w:tr2bl w:val="nil"/>
            </w:tcBorders>
            <w:shd w:val="clear" w:color="auto" w:fill="FFFFFF"/>
            <w:noWrap/>
            <w:vAlign w:val="center"/>
          </w:tcPr>
          <w:p w14:paraId="2902554B">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80 </w:t>
            </w:r>
          </w:p>
        </w:tc>
      </w:tr>
      <w:tr w14:paraId="1595D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134B710F">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 xml:space="preserve">52 </w:t>
            </w:r>
          </w:p>
        </w:tc>
        <w:tc>
          <w:tcPr>
            <w:tcW w:w="1244" w:type="pct"/>
            <w:tcBorders>
              <w:tl2br w:val="nil"/>
              <w:tr2bl w:val="nil"/>
            </w:tcBorders>
            <w:shd w:val="clear" w:color="auto" w:fill="FFFFFF"/>
            <w:noWrap/>
            <w:vAlign w:val="center"/>
          </w:tcPr>
          <w:p w14:paraId="398FB1AB">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微孔曝气器</w:t>
            </w:r>
          </w:p>
        </w:tc>
        <w:tc>
          <w:tcPr>
            <w:tcW w:w="2228" w:type="pct"/>
            <w:tcBorders>
              <w:tl2br w:val="nil"/>
              <w:tr2bl w:val="nil"/>
            </w:tcBorders>
            <w:shd w:val="clear" w:color="auto" w:fill="auto"/>
            <w:noWrap/>
            <w:vAlign w:val="center"/>
          </w:tcPr>
          <w:p w14:paraId="331269BC">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∅215</w:t>
            </w:r>
          </w:p>
        </w:tc>
        <w:tc>
          <w:tcPr>
            <w:tcW w:w="496" w:type="pct"/>
            <w:tcBorders>
              <w:tl2br w:val="nil"/>
              <w:tr2bl w:val="nil"/>
            </w:tcBorders>
            <w:shd w:val="clear" w:color="auto" w:fill="FFFFFF"/>
            <w:noWrap/>
            <w:vAlign w:val="center"/>
          </w:tcPr>
          <w:p w14:paraId="45CB0E2F">
            <w:pPr>
              <w:widowControl/>
              <w:spacing w:line="240" w:lineRule="exact"/>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583" w:type="pct"/>
            <w:tcBorders>
              <w:tl2br w:val="nil"/>
              <w:tr2bl w:val="nil"/>
            </w:tcBorders>
            <w:shd w:val="clear" w:color="auto" w:fill="FFFFFF"/>
            <w:noWrap/>
            <w:vAlign w:val="center"/>
          </w:tcPr>
          <w:p w14:paraId="787F52B9">
            <w:pPr>
              <w:widowControl/>
              <w:spacing w:line="24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48 </w:t>
            </w:r>
          </w:p>
        </w:tc>
      </w:tr>
    </w:tbl>
    <w:p w14:paraId="3529DDB1">
      <w:pPr>
        <w:adjustRightInd w:val="0"/>
        <w:spacing w:line="240" w:lineRule="exact"/>
        <w:ind w:firstLine="422" w:firstLineChars="200"/>
        <w:jc w:val="left"/>
        <w:textAlignment w:val="baseline"/>
        <w:rPr>
          <w:rFonts w:ascii="宋体" w:hAnsi="宋体" w:cs="宋体"/>
          <w:b/>
          <w:color w:val="auto"/>
          <w:szCs w:val="21"/>
        </w:rPr>
      </w:pPr>
      <w:bookmarkStart w:id="73" w:name="_Hlk163659850"/>
    </w:p>
    <w:p w14:paraId="2BC047E3">
      <w:pPr>
        <w:adjustRightInd w:val="0"/>
        <w:spacing w:line="360" w:lineRule="auto"/>
        <w:ind w:firstLine="422" w:firstLineChars="200"/>
        <w:jc w:val="left"/>
        <w:textAlignment w:val="baseline"/>
        <w:rPr>
          <w:rFonts w:ascii="宋体" w:hAnsi="宋体" w:cs="宋体"/>
          <w:b/>
          <w:color w:val="auto"/>
          <w:szCs w:val="21"/>
        </w:rPr>
      </w:pPr>
      <w:r>
        <w:rPr>
          <w:rFonts w:hint="eastAsia" w:ascii="宋体" w:hAnsi="宋体" w:cs="宋体"/>
          <w:b/>
          <w:color w:val="auto"/>
          <w:szCs w:val="21"/>
        </w:rPr>
        <w:t>2.在线监测系统维</w:t>
      </w:r>
      <w:bookmarkEnd w:id="73"/>
      <w:r>
        <w:rPr>
          <w:rFonts w:hint="eastAsia" w:ascii="宋体" w:hAnsi="宋体" w:cs="宋体"/>
          <w:b/>
          <w:color w:val="auto"/>
          <w:szCs w:val="21"/>
        </w:rPr>
        <w:t>护保养内容</w:t>
      </w:r>
    </w:p>
    <w:p w14:paraId="792CD236">
      <w:pPr>
        <w:widowControl/>
        <w:tabs>
          <w:tab w:val="left" w:pos="525"/>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lang w:val="en-US" w:eastAsia="zh-CN"/>
        </w:rPr>
        <w:t>2.1</w:t>
      </w:r>
      <w:r>
        <w:rPr>
          <w:rFonts w:hint="eastAsia" w:ascii="宋体" w:hAnsi="宋体" w:cs="宋体"/>
          <w:color w:val="auto"/>
          <w:szCs w:val="21"/>
        </w:rPr>
        <w:t>按照国家相关规定，供应商应保证在线监测设备正常，提供在线监测设备的试剂并上门安装调试和更换，承担试剂费、运费、安装调试费等，试剂要符合环保部门的要求，并按环保部门要求采样频率进行监测，采购人不再因为提高监测频率后需增加试剂用量和人工而增加相关费用。</w:t>
      </w:r>
      <w:r>
        <w:rPr>
          <w:rFonts w:hint="eastAsia" w:ascii="宋体" w:hAnsi="宋体" w:cs="宋体"/>
          <w:b/>
          <w:color w:val="auto"/>
          <w:szCs w:val="21"/>
          <w:highlight w:val="none"/>
        </w:rPr>
        <w:t>（提供承诺函，格式自拟，并加盖单位公章）</w:t>
      </w:r>
    </w:p>
    <w:p w14:paraId="2FCECFBB">
      <w:pPr>
        <w:widowControl/>
        <w:tabs>
          <w:tab w:val="left" w:pos="525"/>
        </w:tabs>
        <w:spacing w:line="360" w:lineRule="auto"/>
        <w:ind w:firstLine="420" w:firstLineChars="200"/>
        <w:jc w:val="left"/>
        <w:rPr>
          <w:rFonts w:ascii="宋体" w:hAnsi="宋体" w:cs="宋体"/>
          <w:color w:val="auto"/>
          <w:szCs w:val="21"/>
        </w:rPr>
      </w:pPr>
      <w:r>
        <w:rPr>
          <w:rFonts w:hint="eastAsia" w:ascii="宋体" w:hAnsi="宋体" w:cs="宋体"/>
          <w:color w:val="auto"/>
          <w:szCs w:val="21"/>
          <w:lang w:val="en-US" w:eastAsia="zh-CN"/>
        </w:rPr>
        <w:t>2.2</w:t>
      </w:r>
      <w:r>
        <w:rPr>
          <w:rFonts w:hint="eastAsia" w:ascii="宋体" w:hAnsi="宋体" w:cs="宋体"/>
          <w:color w:val="auto"/>
          <w:szCs w:val="21"/>
        </w:rPr>
        <w:t>供应商应制定完善的运营管理和责任制度，建立监测站点设备的日常运营维护管理台帐，并接受环保部门和采购人的监督。</w:t>
      </w:r>
    </w:p>
    <w:p w14:paraId="38965EB2">
      <w:pPr>
        <w:widowControl/>
        <w:tabs>
          <w:tab w:val="left" w:pos="525"/>
        </w:tabs>
        <w:spacing w:line="360" w:lineRule="auto"/>
        <w:ind w:firstLine="420" w:firstLineChars="200"/>
        <w:jc w:val="left"/>
        <w:rPr>
          <w:rFonts w:ascii="宋体" w:hAnsi="宋体" w:cs="宋体"/>
          <w:color w:val="auto"/>
          <w:szCs w:val="21"/>
        </w:rPr>
      </w:pPr>
      <w:r>
        <w:rPr>
          <w:rFonts w:hint="eastAsia" w:ascii="宋体" w:hAnsi="宋体" w:cs="宋体"/>
          <w:color w:val="auto"/>
          <w:szCs w:val="21"/>
          <w:lang w:val="en-US" w:eastAsia="zh-CN"/>
        </w:rPr>
        <w:t>2.3</w:t>
      </w:r>
      <w:r>
        <w:rPr>
          <w:rFonts w:hint="eastAsia" w:ascii="宋体" w:hAnsi="宋体" w:cs="宋体"/>
          <w:color w:val="auto"/>
          <w:szCs w:val="21"/>
        </w:rPr>
        <w:t>供应商对自动监控设备的使用、运行、维护，应符合有关技术规范。</w:t>
      </w:r>
    </w:p>
    <w:p w14:paraId="27011726">
      <w:pPr>
        <w:widowControl/>
        <w:tabs>
          <w:tab w:val="left" w:pos="525"/>
        </w:tabs>
        <w:spacing w:line="360" w:lineRule="auto"/>
        <w:ind w:firstLine="420" w:firstLineChars="200"/>
        <w:jc w:val="left"/>
        <w:rPr>
          <w:rFonts w:ascii="宋体" w:hAnsi="宋体" w:cs="宋体"/>
          <w:color w:val="auto"/>
          <w:szCs w:val="21"/>
        </w:rPr>
      </w:pPr>
      <w:r>
        <w:rPr>
          <w:rFonts w:hint="eastAsia" w:ascii="宋体" w:hAnsi="宋体" w:cs="宋体"/>
          <w:color w:val="auto"/>
          <w:szCs w:val="21"/>
          <w:lang w:val="en-US" w:eastAsia="zh-CN"/>
        </w:rPr>
        <w:t>2.4</w:t>
      </w:r>
      <w:r>
        <w:rPr>
          <w:rFonts w:hint="eastAsia" w:ascii="宋体" w:hAnsi="宋体" w:cs="宋体"/>
          <w:color w:val="auto"/>
          <w:szCs w:val="21"/>
        </w:rPr>
        <w:t>供应商应定期按照运营要求进行巡检、校准、校验、比对监测。</w:t>
      </w:r>
    </w:p>
    <w:p w14:paraId="2A89E1FE">
      <w:pPr>
        <w:widowControl/>
        <w:tabs>
          <w:tab w:val="left" w:pos="525"/>
        </w:tabs>
        <w:spacing w:line="360" w:lineRule="auto"/>
        <w:ind w:firstLine="420" w:firstLineChars="200"/>
        <w:jc w:val="left"/>
        <w:rPr>
          <w:rFonts w:ascii="宋体" w:hAnsi="宋体" w:cs="宋体"/>
          <w:color w:val="auto"/>
          <w:szCs w:val="21"/>
        </w:rPr>
      </w:pPr>
      <w:r>
        <w:rPr>
          <w:rFonts w:hint="eastAsia" w:ascii="宋体" w:hAnsi="宋体" w:cs="宋体"/>
          <w:color w:val="auto"/>
          <w:szCs w:val="21"/>
          <w:lang w:val="en-US" w:eastAsia="zh-CN"/>
        </w:rPr>
        <w:t>2.5</w:t>
      </w:r>
      <w:r>
        <w:rPr>
          <w:rFonts w:hint="eastAsia" w:ascii="宋体" w:hAnsi="宋体" w:cs="宋体"/>
          <w:color w:val="auto"/>
          <w:szCs w:val="21"/>
        </w:rPr>
        <w:t>自动监控设备因故障不能正常采集、传输数据时，供应商应当及时检修并向环境监察机构报告，必要时应当采用人工监测方法报送数据。</w:t>
      </w:r>
    </w:p>
    <w:p w14:paraId="09450C73">
      <w:pPr>
        <w:widowControl/>
        <w:tabs>
          <w:tab w:val="left" w:pos="525"/>
        </w:tabs>
        <w:spacing w:line="360" w:lineRule="auto"/>
        <w:ind w:firstLine="420" w:firstLineChars="200"/>
        <w:jc w:val="left"/>
        <w:rPr>
          <w:rFonts w:ascii="宋体" w:hAnsi="宋体" w:cs="宋体"/>
          <w:color w:val="auto"/>
          <w:szCs w:val="21"/>
        </w:rPr>
      </w:pPr>
      <w:r>
        <w:rPr>
          <w:rFonts w:hint="eastAsia" w:ascii="宋体" w:hAnsi="宋体" w:cs="宋体"/>
          <w:color w:val="auto"/>
          <w:szCs w:val="21"/>
          <w:lang w:val="en-US" w:eastAsia="zh-CN"/>
        </w:rPr>
        <w:t>2.6</w:t>
      </w:r>
      <w:r>
        <w:rPr>
          <w:rFonts w:hint="eastAsia" w:ascii="宋体" w:hAnsi="宋体" w:cs="宋体"/>
          <w:color w:val="auto"/>
          <w:szCs w:val="21"/>
        </w:rPr>
        <w:t>供应商应按照环保部门要求提供在线运营设备的运营汇报材料（报告或报表）。</w:t>
      </w:r>
    </w:p>
    <w:p w14:paraId="0AE821CA">
      <w:pPr>
        <w:widowControl/>
        <w:tabs>
          <w:tab w:val="left" w:pos="525"/>
        </w:tabs>
        <w:spacing w:line="360" w:lineRule="auto"/>
        <w:ind w:firstLine="420" w:firstLineChars="200"/>
        <w:jc w:val="left"/>
        <w:rPr>
          <w:rFonts w:ascii="宋体" w:hAnsi="宋体" w:cs="宋体"/>
          <w:color w:val="auto"/>
          <w:szCs w:val="21"/>
        </w:rPr>
      </w:pPr>
      <w:r>
        <w:rPr>
          <w:rFonts w:hint="eastAsia" w:ascii="宋体" w:hAnsi="宋体" w:cs="宋体"/>
          <w:color w:val="auto"/>
          <w:szCs w:val="21"/>
          <w:lang w:val="en-US" w:eastAsia="zh-CN"/>
        </w:rPr>
        <w:t>2.7</w:t>
      </w:r>
      <w:r>
        <w:rPr>
          <w:rFonts w:hint="eastAsia" w:ascii="宋体" w:hAnsi="宋体" w:cs="宋体"/>
          <w:color w:val="auto"/>
          <w:szCs w:val="21"/>
        </w:rPr>
        <w:t>供应商应配合保障在线监测设施的安全，及时汇报现场的突发事件和紧急情况；设施的维修、更换、停用、拆除等相关工作均须符合国家或地方相关标准的要求，提前汇报。</w:t>
      </w:r>
    </w:p>
    <w:p w14:paraId="0AE29736">
      <w:pPr>
        <w:spacing w:line="360" w:lineRule="auto"/>
        <w:ind w:firstLine="420" w:firstLineChars="200"/>
        <w:jc w:val="left"/>
        <w:rPr>
          <w:rFonts w:ascii="宋体" w:hAnsi="宋体" w:cs="宋体"/>
          <w:color w:val="auto"/>
          <w:szCs w:val="21"/>
        </w:rPr>
      </w:pPr>
      <w:r>
        <w:rPr>
          <w:rFonts w:hint="eastAsia" w:ascii="宋体" w:hAnsi="宋体" w:cs="宋体"/>
          <w:color w:val="auto"/>
          <w:szCs w:val="21"/>
          <w:lang w:val="en-US" w:eastAsia="zh-CN"/>
        </w:rPr>
        <w:t>2.8</w:t>
      </w:r>
      <w:r>
        <w:rPr>
          <w:rFonts w:hint="eastAsia" w:ascii="宋体" w:hAnsi="宋体" w:cs="宋体"/>
          <w:color w:val="auto"/>
          <w:szCs w:val="21"/>
        </w:rPr>
        <w:t>发现故障或接到采购人故障通知，供应商90分钟内到现场对设备进行维修。</w:t>
      </w:r>
    </w:p>
    <w:p w14:paraId="46861AF4">
      <w:pPr>
        <w:spacing w:line="360" w:lineRule="auto"/>
        <w:ind w:firstLine="420" w:firstLineChars="200"/>
        <w:jc w:val="left"/>
        <w:rPr>
          <w:rFonts w:ascii="宋体" w:hAnsi="宋体" w:cs="宋体"/>
          <w:color w:val="auto"/>
          <w:szCs w:val="21"/>
        </w:rPr>
      </w:pPr>
      <w:r>
        <w:rPr>
          <w:rFonts w:hint="eastAsia" w:ascii="宋体" w:hAnsi="宋体" w:cs="宋体"/>
          <w:color w:val="auto"/>
          <w:szCs w:val="21"/>
          <w:lang w:val="en-US" w:eastAsia="zh-CN"/>
        </w:rPr>
        <w:t>2.9</w:t>
      </w:r>
      <w:r>
        <w:rPr>
          <w:rFonts w:hint="eastAsia" w:ascii="宋体" w:hAnsi="宋体" w:cs="宋体"/>
          <w:color w:val="auto"/>
          <w:szCs w:val="21"/>
        </w:rPr>
        <w:t>供应商应指导设备使用单位的工作人员运行、诊断及解决问题等各项工作，及时准确的提出解决方案，确保设备使用单位的工作人员能够对设备有足够的了解和熟悉，能够独立进行设备的日常运营、维护和管理。</w:t>
      </w:r>
    </w:p>
    <w:p w14:paraId="2A5372D3">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val="en-US" w:eastAsia="zh-CN"/>
        </w:rPr>
        <w:t>2.10</w:t>
      </w:r>
      <w:r>
        <w:rPr>
          <w:rFonts w:hint="eastAsia" w:ascii="宋体" w:hAnsi="宋体" w:cs="宋体"/>
          <w:color w:val="auto"/>
          <w:szCs w:val="21"/>
        </w:rPr>
        <w:t>在线监控系统日常巡检。</w:t>
      </w:r>
    </w:p>
    <w:p w14:paraId="50926385">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val="en-US" w:eastAsia="zh-CN"/>
        </w:rPr>
        <w:t>2.11</w:t>
      </w:r>
      <w:r>
        <w:rPr>
          <w:rFonts w:hint="eastAsia" w:ascii="宋体" w:hAnsi="宋体" w:cs="宋体"/>
          <w:color w:val="auto"/>
          <w:szCs w:val="21"/>
        </w:rPr>
        <w:t>定期远程巡检</w:t>
      </w:r>
    </w:p>
    <w:p w14:paraId="55524B4F">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rPr>
        <w:t>定期远程检查仪器运行状态，检查数据传输系统是否正常，如发现数据有持续异常情况，应立即前往站点进行检查。</w:t>
      </w:r>
    </w:p>
    <w:p w14:paraId="2E216179">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val="en-US" w:eastAsia="zh-CN"/>
        </w:rPr>
        <w:t>2.12</w:t>
      </w:r>
      <w:r>
        <w:rPr>
          <w:rFonts w:hint="eastAsia" w:ascii="宋体" w:hAnsi="宋体" w:cs="宋体"/>
          <w:color w:val="auto"/>
          <w:szCs w:val="21"/>
        </w:rPr>
        <w:t>每周定期巡检</w:t>
      </w:r>
    </w:p>
    <w:p w14:paraId="1BB2C0B7">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rPr>
        <w:t>每周最少一次到采购人污水处理站巡查，对设备及辅助设备运行状态进行巡检，排除故障，及时将巡查结果反馈给采购人，并做好相关记录；</w:t>
      </w:r>
    </w:p>
    <w:p w14:paraId="4E32C68C">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lang w:eastAsia="zh-CN"/>
        </w:rPr>
        <w:t>）</w:t>
      </w:r>
      <w:r>
        <w:rPr>
          <w:rFonts w:hint="eastAsia" w:ascii="宋体" w:hAnsi="宋体" w:cs="宋体"/>
          <w:color w:val="auto"/>
          <w:szCs w:val="21"/>
        </w:rPr>
        <w:t>检查污水排放、取样系统、内部管道是否清洁通畅，仪器自动清洗装置是否运行正常，检查各自动分析仪的进样水管和排水管是否清洁，必要时进行清洗，定期清洗水泵和过滤网；</w:t>
      </w:r>
    </w:p>
    <w:p w14:paraId="35C60CEC">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3</w:t>
      </w:r>
      <w:r>
        <w:rPr>
          <w:rFonts w:hint="eastAsia" w:ascii="宋体" w:hAnsi="宋体" w:cs="宋体"/>
          <w:color w:val="auto"/>
          <w:szCs w:val="21"/>
          <w:lang w:eastAsia="zh-CN"/>
        </w:rPr>
        <w:t>）</w:t>
      </w:r>
      <w:r>
        <w:rPr>
          <w:rFonts w:hint="eastAsia" w:ascii="宋体" w:hAnsi="宋体" w:cs="宋体"/>
          <w:color w:val="auto"/>
          <w:szCs w:val="21"/>
        </w:rPr>
        <w:t>检查站房电路、通讯系统、数据存储是否正常；做好数据备份，保证数据不丢失；</w:t>
      </w:r>
    </w:p>
    <w:p w14:paraId="098F785C">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color w:val="auto"/>
          <w:szCs w:val="21"/>
        </w:rPr>
        <w:t>对于用电极法测量的设备，检查标准溶液和电极填充液，进行电极清洗；</w:t>
      </w:r>
    </w:p>
    <w:p w14:paraId="68DC506D">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5</w:t>
      </w:r>
      <w:r>
        <w:rPr>
          <w:rFonts w:hint="eastAsia" w:ascii="宋体" w:hAnsi="宋体" w:cs="宋体"/>
          <w:color w:val="auto"/>
          <w:szCs w:val="21"/>
          <w:lang w:eastAsia="zh-CN"/>
        </w:rPr>
        <w:t>）</w:t>
      </w:r>
      <w:r>
        <w:rPr>
          <w:rFonts w:hint="eastAsia" w:ascii="宋体" w:hAnsi="宋体" w:cs="宋体"/>
          <w:color w:val="auto"/>
          <w:szCs w:val="21"/>
        </w:rPr>
        <w:t>若部分站点使用气体钢瓶的设备，检查气密性、气压是否达到要求；</w:t>
      </w:r>
    </w:p>
    <w:p w14:paraId="3CBC62D8">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6</w:t>
      </w:r>
      <w:r>
        <w:rPr>
          <w:rFonts w:hint="eastAsia" w:ascii="宋体" w:hAnsi="宋体" w:cs="宋体"/>
          <w:color w:val="auto"/>
          <w:szCs w:val="21"/>
          <w:lang w:eastAsia="zh-CN"/>
        </w:rPr>
        <w:t>）</w:t>
      </w:r>
      <w:r>
        <w:rPr>
          <w:rFonts w:hint="eastAsia" w:ascii="宋体" w:hAnsi="宋体" w:cs="宋体"/>
          <w:color w:val="auto"/>
          <w:szCs w:val="21"/>
        </w:rPr>
        <w:t>检查仪器标准液、试剂有效期和余量，及时更换和添加；</w:t>
      </w:r>
    </w:p>
    <w:p w14:paraId="66388705">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7</w:t>
      </w:r>
      <w:r>
        <w:rPr>
          <w:rFonts w:hint="eastAsia" w:ascii="宋体" w:hAnsi="宋体" w:cs="宋体"/>
          <w:color w:val="auto"/>
          <w:szCs w:val="21"/>
          <w:lang w:eastAsia="zh-CN"/>
        </w:rPr>
        <w:t>）</w:t>
      </w:r>
      <w:r>
        <w:rPr>
          <w:rFonts w:hint="eastAsia" w:ascii="宋体" w:hAnsi="宋体" w:cs="宋体"/>
          <w:color w:val="auto"/>
          <w:szCs w:val="21"/>
        </w:rPr>
        <w:t>检查数据传输系统，查看在线数据、在线监测设备、数采系统和上位机是否满足数据传输一致性要求；</w:t>
      </w:r>
    </w:p>
    <w:p w14:paraId="4334F87B">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8</w:t>
      </w:r>
      <w:r>
        <w:rPr>
          <w:rFonts w:hint="eastAsia" w:ascii="宋体" w:hAnsi="宋体" w:cs="宋体"/>
          <w:color w:val="auto"/>
          <w:szCs w:val="21"/>
          <w:lang w:eastAsia="zh-CN"/>
        </w:rPr>
        <w:t>）</w:t>
      </w:r>
      <w:r>
        <w:rPr>
          <w:rFonts w:hint="eastAsia" w:ascii="宋体" w:hAnsi="宋体" w:cs="宋体"/>
          <w:color w:val="auto"/>
          <w:szCs w:val="21"/>
        </w:rPr>
        <w:t>仪器设置定期自动校准，对于没有自动校正功能的设备定期进行手工校正。</w:t>
      </w:r>
    </w:p>
    <w:p w14:paraId="2BB83BA6">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val="en-US" w:eastAsia="zh-CN"/>
        </w:rPr>
        <w:t>2.13月度</w:t>
      </w:r>
      <w:r>
        <w:rPr>
          <w:rFonts w:hint="eastAsia" w:ascii="宋体" w:hAnsi="宋体" w:cs="宋体"/>
          <w:color w:val="auto"/>
          <w:szCs w:val="21"/>
        </w:rPr>
        <w:t>定期维护（次/月）</w:t>
      </w:r>
    </w:p>
    <w:p w14:paraId="24B5D16F">
      <w:pPr>
        <w:widowControl/>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rPr>
        <w:t>清洗取样系统管路、内部管路、各类探头；</w:t>
      </w:r>
    </w:p>
    <w:p w14:paraId="06FB647D">
      <w:pPr>
        <w:widowControl/>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lang w:eastAsia="zh-CN"/>
        </w:rPr>
        <w:t>）</w:t>
      </w:r>
      <w:r>
        <w:rPr>
          <w:rFonts w:hint="eastAsia" w:ascii="宋体" w:hAnsi="宋体" w:cs="宋体"/>
          <w:color w:val="auto"/>
          <w:szCs w:val="21"/>
        </w:rPr>
        <w:t>清洗设备计量单元、反应单元、加热单元、检测单元；</w:t>
      </w:r>
    </w:p>
    <w:p w14:paraId="357D5A00">
      <w:pPr>
        <w:widowControl/>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3</w:t>
      </w:r>
      <w:r>
        <w:rPr>
          <w:rFonts w:hint="eastAsia" w:ascii="宋体" w:hAnsi="宋体" w:cs="宋体"/>
          <w:color w:val="auto"/>
          <w:szCs w:val="21"/>
          <w:lang w:eastAsia="zh-CN"/>
        </w:rPr>
        <w:t>）</w:t>
      </w:r>
      <w:r>
        <w:rPr>
          <w:rFonts w:hint="eastAsia" w:ascii="宋体" w:hAnsi="宋体" w:cs="宋体"/>
          <w:color w:val="auto"/>
          <w:szCs w:val="21"/>
        </w:rPr>
        <w:t>检测各类设备转换系统、曲线是否适用，必要时进行修正；</w:t>
      </w:r>
    </w:p>
    <w:p w14:paraId="22DFCB08">
      <w:pPr>
        <w:widowControl/>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color w:val="auto"/>
          <w:szCs w:val="21"/>
        </w:rPr>
        <w:t>检查设备接地情况、站房防雷措施；</w:t>
      </w:r>
    </w:p>
    <w:p w14:paraId="10F82465">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5</w:t>
      </w:r>
      <w:r>
        <w:rPr>
          <w:rFonts w:hint="eastAsia" w:ascii="宋体" w:hAnsi="宋体" w:cs="宋体"/>
          <w:color w:val="auto"/>
          <w:szCs w:val="21"/>
          <w:lang w:eastAsia="zh-CN"/>
        </w:rPr>
        <w:t>）</w:t>
      </w:r>
      <w:r>
        <w:rPr>
          <w:rFonts w:hint="eastAsia" w:ascii="宋体" w:hAnsi="宋体" w:cs="宋体"/>
          <w:color w:val="auto"/>
          <w:szCs w:val="21"/>
        </w:rPr>
        <w:t>按照设备说明和使用要求，定期更换耗材、试剂等。</w:t>
      </w:r>
    </w:p>
    <w:p w14:paraId="5677B579">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val="en-US" w:eastAsia="zh-CN"/>
        </w:rPr>
        <w:t>2.14</w:t>
      </w:r>
      <w:r>
        <w:rPr>
          <w:rFonts w:hint="eastAsia" w:ascii="宋体" w:hAnsi="宋体" w:cs="宋体"/>
          <w:color w:val="auto"/>
          <w:szCs w:val="21"/>
        </w:rPr>
        <w:t>季度检修（次/季）</w:t>
      </w:r>
    </w:p>
    <w:p w14:paraId="0838715E">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rPr>
        <w:t>检查各类电磁阀、泵、电极、探头工作状态，必要时进行更换；</w:t>
      </w:r>
    </w:p>
    <w:p w14:paraId="5E61E776">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lang w:eastAsia="zh-CN"/>
        </w:rPr>
        <w:t>）</w:t>
      </w:r>
      <w:r>
        <w:rPr>
          <w:rFonts w:hint="eastAsia" w:ascii="宋体" w:hAnsi="宋体" w:cs="宋体"/>
          <w:color w:val="auto"/>
          <w:szCs w:val="21"/>
        </w:rPr>
        <w:t>检查各类活塞、密封圈、内部导管、连接头工作状态，必要时进行更换；</w:t>
      </w:r>
    </w:p>
    <w:p w14:paraId="549522AB">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3</w:t>
      </w:r>
      <w:r>
        <w:rPr>
          <w:rFonts w:hint="eastAsia" w:ascii="宋体" w:hAnsi="宋体" w:cs="宋体"/>
          <w:color w:val="auto"/>
          <w:szCs w:val="21"/>
          <w:lang w:eastAsia="zh-CN"/>
        </w:rPr>
        <w:t>）</w:t>
      </w:r>
      <w:r>
        <w:rPr>
          <w:rFonts w:hint="eastAsia" w:ascii="宋体" w:hAnsi="宋体" w:cs="宋体"/>
          <w:color w:val="auto"/>
          <w:szCs w:val="21"/>
        </w:rPr>
        <w:t>检查设备其它常用易耗品工作状态，进行定期更换；</w:t>
      </w:r>
    </w:p>
    <w:p w14:paraId="59DE9524">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color w:val="auto"/>
          <w:szCs w:val="21"/>
        </w:rPr>
        <w:t>进行一次设备重复性、零点漂移、量程漂移试验，试验结果符合国标HJ/T 355-2007规范要求。</w:t>
      </w:r>
    </w:p>
    <w:p w14:paraId="2A191660">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val="en-US" w:eastAsia="zh-CN"/>
        </w:rPr>
        <w:t>2.15</w:t>
      </w:r>
      <w:r>
        <w:rPr>
          <w:rFonts w:hint="eastAsia" w:ascii="宋体" w:hAnsi="宋体" w:cs="宋体"/>
          <w:color w:val="auto"/>
          <w:szCs w:val="21"/>
        </w:rPr>
        <w:t>年度检查（次/年）</w:t>
      </w:r>
    </w:p>
    <w:p w14:paraId="73B50A8F">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rPr>
        <w:t>每年1次对整体系统进行全面检查、维护，如需停用检查的需事先报环保部门批准；</w:t>
      </w:r>
    </w:p>
    <w:p w14:paraId="5AA65A9F">
      <w:pPr>
        <w:widowControl/>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lang w:eastAsia="zh-CN"/>
        </w:rPr>
        <w:t>）</w:t>
      </w:r>
      <w:r>
        <w:rPr>
          <w:rFonts w:hint="eastAsia" w:ascii="宋体" w:hAnsi="宋体" w:cs="宋体"/>
          <w:color w:val="auto"/>
          <w:szCs w:val="21"/>
        </w:rPr>
        <w:t>配合环保部门，接受有资质的检查机构进行抽检及校验；</w:t>
      </w:r>
    </w:p>
    <w:p w14:paraId="05EFA314">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color w:val="auto"/>
          <w:szCs w:val="21"/>
        </w:rPr>
        <w:t>按照国家和地方相关要求，配合采购人委托的第三方公司对仪器设备进行定期计量检定。</w:t>
      </w:r>
    </w:p>
    <w:p w14:paraId="5561A231">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2.16</w:t>
      </w:r>
      <w:r>
        <w:rPr>
          <w:rFonts w:hint="eastAsia" w:ascii="宋体" w:hAnsi="宋体" w:cs="宋体"/>
          <w:color w:val="auto"/>
          <w:szCs w:val="21"/>
        </w:rPr>
        <w:t>设备维修</w:t>
      </w:r>
    </w:p>
    <w:p w14:paraId="402E0D66">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（1）</w:t>
      </w:r>
      <w:r>
        <w:rPr>
          <w:rFonts w:hint="eastAsia" w:ascii="宋体" w:hAnsi="宋体" w:cs="宋体"/>
          <w:color w:val="auto"/>
          <w:szCs w:val="21"/>
        </w:rPr>
        <w:t>维护保养期内，供应商负责对其提供的设备整机进行维护和维修，不再向采购人收取费用（超过3000元零配件与材料费除外）；</w:t>
      </w:r>
    </w:p>
    <w:p w14:paraId="3568C034">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rPr>
        <w:t>对于不易诊断和维修的设备故障，与设备生产厂家联系，尽快修复；</w:t>
      </w:r>
    </w:p>
    <w:p w14:paraId="1C6BFB3F">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（3）</w:t>
      </w:r>
      <w:r>
        <w:rPr>
          <w:rFonts w:hint="eastAsia" w:ascii="宋体" w:hAnsi="宋体" w:cs="宋体"/>
          <w:color w:val="auto"/>
          <w:szCs w:val="21"/>
        </w:rPr>
        <w:t>设备进行维修后，投入使用和运行前按国家有关技术规定进行校准检查；如设备进行了更换，在使用和运行前配合采购人对设备进行校验和比对；</w:t>
      </w:r>
    </w:p>
    <w:p w14:paraId="284FA420">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（4）</w:t>
      </w:r>
      <w:r>
        <w:rPr>
          <w:rFonts w:hint="eastAsia" w:ascii="宋体" w:hAnsi="宋体" w:cs="宋体"/>
          <w:color w:val="auto"/>
          <w:szCs w:val="21"/>
        </w:rPr>
        <w:t>水质在线设备若有隐患，供应商应做好应急预案；</w:t>
      </w:r>
    </w:p>
    <w:p w14:paraId="019D2A32">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（5）</w:t>
      </w:r>
      <w:r>
        <w:rPr>
          <w:rFonts w:hint="eastAsia" w:ascii="宋体" w:hAnsi="宋体" w:cs="宋体"/>
          <w:color w:val="auto"/>
          <w:szCs w:val="21"/>
        </w:rPr>
        <w:t>水质在线系统出现异常时，供应商应及时启动应急预案，并负责相关方面的协调，确保在线监测系统稳定正常运行；</w:t>
      </w:r>
    </w:p>
    <w:p w14:paraId="01311539">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（6）</w:t>
      </w:r>
      <w:r>
        <w:rPr>
          <w:rFonts w:hint="eastAsia" w:ascii="宋体" w:hAnsi="宋体" w:cs="宋体"/>
          <w:color w:val="auto"/>
          <w:szCs w:val="21"/>
        </w:rPr>
        <w:t>设备维修后，需检测和校验检测合格后方可投入运行；</w:t>
      </w:r>
    </w:p>
    <w:p w14:paraId="0BE88130">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（7）</w:t>
      </w:r>
      <w:r>
        <w:rPr>
          <w:rFonts w:hint="eastAsia" w:ascii="宋体" w:hAnsi="宋体" w:cs="宋体"/>
          <w:color w:val="auto"/>
          <w:szCs w:val="21"/>
        </w:rPr>
        <w:t>设备维修后，应填写设备维修记录，仪器校验记录。</w:t>
      </w:r>
    </w:p>
    <w:p w14:paraId="3C84EDDA">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val="en-US" w:eastAsia="zh-CN"/>
        </w:rPr>
        <w:t>2.17</w:t>
      </w:r>
      <w:r>
        <w:rPr>
          <w:rFonts w:hint="eastAsia" w:ascii="宋体" w:hAnsi="宋体" w:cs="宋体"/>
          <w:color w:val="auto"/>
          <w:szCs w:val="21"/>
        </w:rPr>
        <w:t>重要部件或设备更换</w:t>
      </w:r>
    </w:p>
    <w:p w14:paraId="3F83619E">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（1）</w:t>
      </w:r>
      <w:r>
        <w:rPr>
          <w:rFonts w:hint="eastAsia" w:ascii="宋体" w:hAnsi="宋体" w:cs="宋体"/>
          <w:color w:val="auto"/>
          <w:szCs w:val="21"/>
        </w:rPr>
        <w:t>设备长期使用（已超过设计使用年限或环保部门规定的使用年限），性能严重下降，经常接触不良或多次故障难以修复的，供应商建议采购人更换；</w:t>
      </w:r>
    </w:p>
    <w:p w14:paraId="069FDF32">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rPr>
        <w:t>设备的某些重要性能下降，多次调整修复仍不能达到指标的，供应商提出更换建议；</w:t>
      </w:r>
    </w:p>
    <w:p w14:paraId="41D6DC63">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（3）</w:t>
      </w:r>
      <w:r>
        <w:rPr>
          <w:rFonts w:hint="eastAsia" w:ascii="宋体" w:hAnsi="宋体" w:cs="宋体"/>
          <w:color w:val="auto"/>
          <w:szCs w:val="21"/>
        </w:rPr>
        <w:t>设备技术及性能达不到监测要求的，可由其他技术先进的设备代替的，供应商提出更换建议；</w:t>
      </w:r>
    </w:p>
    <w:p w14:paraId="4C0D54AD">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eastAsia="zh-CN"/>
        </w:rPr>
        <w:t>（4）</w:t>
      </w:r>
      <w:r>
        <w:rPr>
          <w:rFonts w:hint="eastAsia" w:ascii="宋体" w:hAnsi="宋体" w:cs="宋体"/>
          <w:color w:val="auto"/>
          <w:szCs w:val="21"/>
        </w:rPr>
        <w:t>设备更新前，应对设备现状进行详细调查，提出更新的依据和方案，采购人同意后，报当地环境监测主管部门审批；</w:t>
      </w:r>
    </w:p>
    <w:p w14:paraId="2BFFC585">
      <w:pPr>
        <w:adjustRightInd w:val="0"/>
        <w:spacing w:line="360" w:lineRule="auto"/>
        <w:ind w:firstLine="420" w:firstLineChars="200"/>
        <w:jc w:val="left"/>
        <w:textAlignment w:val="baseline"/>
        <w:rPr>
          <w:rFonts w:ascii="宋体" w:hAnsi="宋体" w:cs="宋体"/>
          <w:strike/>
          <w:color w:val="auto"/>
          <w:szCs w:val="21"/>
        </w:rPr>
      </w:pPr>
      <w:r>
        <w:rPr>
          <w:rFonts w:hint="eastAsia" w:ascii="宋体" w:hAnsi="宋体" w:cs="宋体"/>
          <w:color w:val="auto"/>
          <w:szCs w:val="21"/>
          <w:lang w:eastAsia="zh-CN"/>
        </w:rPr>
        <w:t>（5）</w:t>
      </w:r>
      <w:r>
        <w:rPr>
          <w:rFonts w:hint="eastAsia" w:ascii="宋体" w:hAnsi="宋体" w:cs="宋体"/>
          <w:color w:val="auto"/>
          <w:szCs w:val="21"/>
        </w:rPr>
        <w:t>设备更新后，配合采购人进行验收。</w:t>
      </w:r>
    </w:p>
    <w:p w14:paraId="12D06E96">
      <w:pPr>
        <w:adjustRightInd w:val="0"/>
        <w:spacing w:line="360" w:lineRule="auto"/>
        <w:ind w:firstLine="420" w:firstLineChars="200"/>
        <w:jc w:val="left"/>
        <w:textAlignment w:val="baseline"/>
        <w:rPr>
          <w:rFonts w:ascii="宋体" w:hAnsi="宋体" w:cs="宋体"/>
          <w:color w:val="auto"/>
          <w:szCs w:val="21"/>
        </w:rPr>
      </w:pPr>
      <w:r>
        <w:rPr>
          <w:rFonts w:hint="eastAsia" w:ascii="宋体" w:hAnsi="宋体" w:cs="宋体"/>
          <w:color w:val="auto"/>
          <w:szCs w:val="21"/>
          <w:lang w:val="en-US" w:eastAsia="zh-CN"/>
        </w:rPr>
        <w:t>2.18</w:t>
      </w:r>
      <w:r>
        <w:rPr>
          <w:rFonts w:hint="eastAsia" w:ascii="宋体" w:hAnsi="宋体" w:cs="宋体"/>
          <w:color w:val="auto"/>
          <w:szCs w:val="21"/>
        </w:rPr>
        <w:t>维护保养台账记录</w:t>
      </w:r>
    </w:p>
    <w:p w14:paraId="2DE41CC3">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（1）</w:t>
      </w:r>
      <w:r>
        <w:rPr>
          <w:rFonts w:hint="eastAsia" w:ascii="宋体" w:hAnsi="宋体" w:cs="宋体"/>
          <w:color w:val="auto"/>
          <w:szCs w:val="21"/>
        </w:rPr>
        <w:t>监测仪器校准、零点和量程漂移、重复性、实际水样比对和质控样试验的例行记录；</w:t>
      </w:r>
    </w:p>
    <w:p w14:paraId="6CC67E14">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rPr>
        <w:t>监测（监控）仪器的运行报告、例行检查、维护保养记录；</w:t>
      </w:r>
    </w:p>
    <w:p w14:paraId="0455473C">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（3）</w:t>
      </w:r>
      <w:r>
        <w:rPr>
          <w:rFonts w:hint="eastAsia" w:ascii="宋体" w:hAnsi="宋体" w:cs="宋体"/>
          <w:color w:val="auto"/>
          <w:szCs w:val="21"/>
        </w:rPr>
        <w:t>检测机构的检定或校验记录；</w:t>
      </w:r>
    </w:p>
    <w:p w14:paraId="3C8ACFD2">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（4）</w:t>
      </w:r>
      <w:r>
        <w:rPr>
          <w:rFonts w:hint="eastAsia" w:ascii="宋体" w:hAnsi="宋体" w:cs="宋体"/>
          <w:color w:val="auto"/>
          <w:szCs w:val="21"/>
        </w:rPr>
        <w:t>仪器设备的检修、易耗品的定期更换记录；</w:t>
      </w:r>
    </w:p>
    <w:p w14:paraId="3419F1E4">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（5）</w:t>
      </w:r>
      <w:r>
        <w:rPr>
          <w:rFonts w:hint="eastAsia" w:ascii="宋体" w:hAnsi="宋体" w:cs="宋体"/>
          <w:color w:val="auto"/>
          <w:szCs w:val="21"/>
        </w:rPr>
        <w:t>按当地环保部门要求，按时提交所需数据、周报、月报等报告文件；</w:t>
      </w:r>
    </w:p>
    <w:p w14:paraId="670831EE">
      <w:pPr>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eastAsia="zh-CN"/>
        </w:rPr>
        <w:t>（6）</w:t>
      </w:r>
      <w:r>
        <w:rPr>
          <w:rFonts w:hint="eastAsia" w:ascii="宋体" w:hAnsi="宋体" w:cs="宋体"/>
          <w:color w:val="auto"/>
          <w:szCs w:val="21"/>
        </w:rPr>
        <w:t>排污证到期，由供应商协助采购人办理排污证。</w:t>
      </w:r>
    </w:p>
    <w:p w14:paraId="5BE4EB34">
      <w:pPr>
        <w:spacing w:line="360" w:lineRule="auto"/>
        <w:ind w:firstLine="422" w:firstLineChars="200"/>
        <w:rPr>
          <w:rFonts w:ascii="宋体" w:hAnsi="宋体" w:cs="宋体"/>
          <w:b/>
          <w:color w:val="auto"/>
          <w:szCs w:val="21"/>
        </w:rPr>
      </w:pPr>
      <w:r>
        <w:rPr>
          <w:rFonts w:hint="eastAsia" w:ascii="宋体" w:hAnsi="宋体" w:cs="宋体"/>
          <w:b/>
          <w:color w:val="auto"/>
          <w:szCs w:val="21"/>
        </w:rPr>
        <w:t>三、售后服务要求</w:t>
      </w:r>
    </w:p>
    <w:p w14:paraId="349138DB">
      <w:pPr>
        <w:spacing w:line="360" w:lineRule="auto"/>
        <w:ind w:firstLine="420" w:firstLineChars="200"/>
        <w:rPr>
          <w:rFonts w:ascii="宋体" w:hAnsi="宋体" w:cs="宋体"/>
          <w:color w:val="auto"/>
          <w:szCs w:val="21"/>
        </w:rPr>
      </w:pPr>
      <w:r>
        <w:rPr>
          <w:rFonts w:hint="eastAsia" w:ascii="宋体" w:hAnsi="宋体" w:cs="宋体"/>
          <w:color w:val="auto"/>
          <w:szCs w:val="21"/>
        </w:rPr>
        <w:t>（一）在服务期内应当为采购人提供以下技术支持和服务</w:t>
      </w:r>
    </w:p>
    <w:p w14:paraId="2E747F5D">
      <w:pPr>
        <w:spacing w:line="360" w:lineRule="auto"/>
        <w:ind w:firstLine="420" w:firstLineChars="200"/>
        <w:rPr>
          <w:rFonts w:ascii="宋体" w:hAnsi="宋体" w:cs="宋体"/>
          <w:color w:val="auto"/>
          <w:szCs w:val="21"/>
        </w:rPr>
      </w:pPr>
      <w:r>
        <w:rPr>
          <w:rFonts w:hint="eastAsia" w:ascii="宋体" w:hAnsi="宋体" w:cs="宋体"/>
          <w:color w:val="auto"/>
          <w:szCs w:val="21"/>
        </w:rPr>
        <w:t>1.电话咨询：</w:t>
      </w:r>
    </w:p>
    <w:p w14:paraId="00F1C7A9">
      <w:pPr>
        <w:spacing w:line="360" w:lineRule="auto"/>
        <w:ind w:firstLine="420" w:firstLineChars="200"/>
        <w:rPr>
          <w:rFonts w:ascii="宋体" w:hAnsi="宋体" w:cs="宋体"/>
          <w:color w:val="auto"/>
          <w:szCs w:val="21"/>
        </w:rPr>
      </w:pPr>
      <w:r>
        <w:rPr>
          <w:rFonts w:hint="eastAsia" w:ascii="宋体" w:hAnsi="宋体" w:cs="宋体"/>
          <w:color w:val="auto"/>
          <w:szCs w:val="21"/>
        </w:rPr>
        <w:t>为采购人提供跟踪服务电话，解答采购人在环保服务中遇到的问题，及时提供解决问题的建议。</w:t>
      </w:r>
    </w:p>
    <w:p w14:paraId="0859D0F1">
      <w:pPr>
        <w:spacing w:line="360" w:lineRule="auto"/>
        <w:ind w:firstLine="420" w:firstLineChars="200"/>
        <w:rPr>
          <w:rFonts w:ascii="宋体" w:hAnsi="宋体" w:cs="宋体"/>
          <w:color w:val="auto"/>
          <w:szCs w:val="21"/>
        </w:rPr>
      </w:pPr>
      <w:r>
        <w:rPr>
          <w:rFonts w:hint="eastAsia" w:ascii="宋体" w:hAnsi="宋体" w:cs="宋体"/>
          <w:color w:val="auto"/>
          <w:szCs w:val="21"/>
        </w:rPr>
        <w:t>2.现场响应：</w:t>
      </w:r>
    </w:p>
    <w:p w14:paraId="1F77C639">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2.1</w:t>
      </w:r>
      <w:r>
        <w:rPr>
          <w:rFonts w:hint="eastAsia" w:ascii="宋体" w:hAnsi="宋体" w:cs="宋体"/>
          <w:color w:val="auto"/>
          <w:szCs w:val="21"/>
        </w:rPr>
        <w:t>采购人工作人员遇到技术问题时，电话咨询不能解决的，应在24小时内到达现场进行处理。当在线设备发生故障时，维修人员发现或接到通知后在90分钟内到达现场进行排障。</w:t>
      </w:r>
    </w:p>
    <w:p w14:paraId="7439A976">
      <w:pPr>
        <w:pStyle w:val="33"/>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2.2</w:t>
      </w:r>
      <w:r>
        <w:rPr>
          <w:rFonts w:hint="eastAsia" w:ascii="宋体" w:hAnsi="宋体" w:cs="宋体"/>
          <w:color w:val="auto"/>
          <w:szCs w:val="21"/>
        </w:rPr>
        <w:t>供应商须提供在线监测设备的试剂并提供上门安装调试服务，所提供的在线监测设备药剂（cod药剂和氨氮药剂及根据环保部门要求提供配套药剂，费用包含在报价内），均须按环保部门要求的监测频率提供，必须与在线监测设备兼容，监测数据准确无误，试剂要符合环保部门的要求配套。</w:t>
      </w:r>
    </w:p>
    <w:p w14:paraId="018E15A9">
      <w:pPr>
        <w:pStyle w:val="33"/>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2.3</w:t>
      </w:r>
      <w:r>
        <w:rPr>
          <w:rFonts w:hint="eastAsia" w:ascii="宋体" w:hAnsi="宋体" w:cs="宋体"/>
          <w:color w:val="auto"/>
          <w:szCs w:val="21"/>
        </w:rPr>
        <w:t>供应商须安排1名持有污水处理工（员）证书和电工证的固定人员为采购人提供污水站巡查服务。</w:t>
      </w:r>
    </w:p>
    <w:p w14:paraId="6EEBE253">
      <w:pPr>
        <w:pStyle w:val="33"/>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2.4</w:t>
      </w:r>
      <w:r>
        <w:rPr>
          <w:rFonts w:hint="eastAsia" w:ascii="宋体" w:hAnsi="宋体" w:cs="宋体"/>
          <w:color w:val="auto"/>
          <w:szCs w:val="21"/>
        </w:rPr>
        <w:t>供应商每周对采购人污水处理站开展一次现场巡查，排查设备运行状况、排查故障隐患并判定故障原因，巡查结果及时报送采购人；若发现设备异常或故障，由供应商及时到场维修并更换配件。维修及配件更换按以下约定执行：单次维修所需零配件价值3000 元（含）以内，由供应商负责免费提供并安装更换；价值 3000 元以上的零配件，供应商报采购人评估</w:t>
      </w:r>
      <w:r>
        <w:rPr>
          <w:rFonts w:hint="eastAsia" w:ascii="宋体" w:hAnsi="宋体" w:cs="宋体"/>
          <w:color w:val="auto"/>
          <w:szCs w:val="21"/>
          <w:lang w:eastAsia="zh-CN"/>
        </w:rPr>
        <w:t>，</w:t>
      </w:r>
      <w:r>
        <w:rPr>
          <w:rFonts w:hint="eastAsia" w:ascii="宋体" w:hAnsi="宋体" w:cs="宋体"/>
          <w:color w:val="auto"/>
          <w:szCs w:val="21"/>
        </w:rPr>
        <w:t>由采购人另行采购。</w:t>
      </w:r>
    </w:p>
    <w:p w14:paraId="327D79BD">
      <w:pPr>
        <w:pStyle w:val="33"/>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2.5</w:t>
      </w:r>
      <w:r>
        <w:rPr>
          <w:rFonts w:hint="eastAsia" w:ascii="宋体" w:hAnsi="宋体" w:cs="宋体"/>
          <w:color w:val="auto"/>
          <w:szCs w:val="21"/>
        </w:rPr>
        <w:t>为确保污水处理系统正常运行，供应商在接到采购人设备故障通知后90分钟内需到现场对设备进行排查，提出整改意见报告采购人，确保污水处理后出水水质要求达到《医疗机构水污染物排放标准》(GB18466-2005)预处理等相关标准。</w:t>
      </w:r>
    </w:p>
    <w:p w14:paraId="6B528DE9">
      <w:pPr>
        <w:pStyle w:val="13"/>
        <w:tabs>
          <w:tab w:val="left" w:pos="540"/>
        </w:tabs>
        <w:adjustRightInd w:val="0"/>
        <w:snapToGrid w:val="0"/>
        <w:spacing w:line="360" w:lineRule="auto"/>
        <w:ind w:firstLine="422"/>
        <w:rPr>
          <w:rFonts w:hint="eastAsia" w:ascii="宋体" w:hAnsi="宋体" w:eastAsia="宋体" w:cs="宋体"/>
          <w:b/>
          <w:color w:val="auto"/>
          <w:szCs w:val="21"/>
        </w:rPr>
      </w:pPr>
      <w:r>
        <w:rPr>
          <w:rFonts w:hint="eastAsia" w:ascii="宋体" w:hAnsi="宋体" w:eastAsia="宋体" w:cs="宋体"/>
          <w:b/>
          <w:color w:val="auto"/>
          <w:szCs w:val="21"/>
          <w:lang w:val="en-US" w:eastAsia="zh-CN"/>
        </w:rPr>
        <w:t>四、</w:t>
      </w:r>
      <w:r>
        <w:rPr>
          <w:rFonts w:hint="eastAsia" w:ascii="宋体" w:hAnsi="宋体" w:eastAsia="宋体" w:cs="宋体"/>
          <w:b/>
          <w:color w:val="auto"/>
          <w:szCs w:val="21"/>
        </w:rPr>
        <w:t>安全管理与应急处理</w:t>
      </w:r>
    </w:p>
    <w:p w14:paraId="3AE46D32">
      <w:pPr>
        <w:pStyle w:val="33"/>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(一）</w:t>
      </w:r>
      <w:r>
        <w:rPr>
          <w:rFonts w:hint="eastAsia" w:ascii="宋体" w:hAnsi="宋体" w:cs="宋体"/>
          <w:color w:val="auto"/>
          <w:szCs w:val="21"/>
        </w:rPr>
        <w:t>采购人污水处理站位于地下负一、二层，属于有限空间，供应商需制定相关安全生产与防护制度，维保人员工作期间需持证上岗，按要求做好安全防护，落实安全措施及环保管控要求，因维保人员原因发生安全事故，供应商承担全部责任，对采购人造成影响的，采购人有权解除合同，并追究相关损失。</w:t>
      </w:r>
    </w:p>
    <w:p w14:paraId="67C209FC">
      <w:pPr>
        <w:pStyle w:val="33"/>
        <w:spacing w:line="360" w:lineRule="auto"/>
        <w:ind w:firstLine="420" w:firstLineChars="200"/>
        <w:rPr>
          <w:rFonts w:hint="eastAsia" w:hAnsi="宋体" w:cs="宋体"/>
          <w:b/>
          <w:color w:val="auto"/>
        </w:rPr>
      </w:pPr>
      <w:r>
        <w:rPr>
          <w:rFonts w:hint="eastAsia" w:ascii="宋体" w:hAnsi="宋体" w:cs="宋体"/>
          <w:color w:val="auto"/>
          <w:szCs w:val="21"/>
          <w:lang w:eastAsia="zh-CN"/>
        </w:rPr>
        <w:t>（</w:t>
      </w:r>
      <w:r>
        <w:rPr>
          <w:rFonts w:hint="eastAsia" w:ascii="宋体" w:hAnsi="宋体" w:cs="宋体"/>
          <w:color w:val="auto"/>
          <w:szCs w:val="21"/>
          <w:lang w:val="en-US" w:eastAsia="zh-CN"/>
        </w:rPr>
        <w:t>二）</w:t>
      </w:r>
      <w:r>
        <w:rPr>
          <w:rFonts w:hint="eastAsia" w:ascii="宋体" w:hAnsi="宋体" w:cs="宋体"/>
          <w:color w:val="auto"/>
          <w:szCs w:val="21"/>
        </w:rPr>
        <w:t>供应商应针对本项目制定各类应急预案，包括但不限于水质检测异常、污水泄漏、废液泄漏、设备故障、</w:t>
      </w:r>
      <w:r>
        <w:rPr>
          <w:rFonts w:hint="eastAsia" w:ascii="宋体" w:hAnsi="宋体" w:cs="宋体"/>
          <w:color w:val="auto"/>
          <w:kern w:val="0"/>
          <w:szCs w:val="21"/>
          <w:lang w:bidi="ar"/>
        </w:rPr>
        <w:t>暴雨溢流、</w:t>
      </w:r>
      <w:r>
        <w:rPr>
          <w:rFonts w:hint="eastAsia" w:ascii="宋体" w:hAnsi="宋体" w:cs="宋体"/>
          <w:color w:val="auto"/>
          <w:szCs w:val="21"/>
        </w:rPr>
        <w:t>停水停电等，并制定应急演练计划，每年至少一次组织演练。</w:t>
      </w:r>
    </w:p>
    <w:p w14:paraId="55D404F7">
      <w:pPr>
        <w:pStyle w:val="13"/>
        <w:tabs>
          <w:tab w:val="left" w:pos="540"/>
        </w:tabs>
        <w:adjustRightInd w:val="0"/>
        <w:snapToGrid w:val="0"/>
        <w:spacing w:line="360" w:lineRule="auto"/>
        <w:ind w:firstLine="422" w:firstLineChars="200"/>
        <w:rPr>
          <w:rFonts w:hAnsi="宋体" w:cs="宋体"/>
          <w:b/>
          <w:color w:val="auto"/>
        </w:rPr>
      </w:pPr>
      <w:r>
        <w:rPr>
          <w:rFonts w:hint="eastAsia" w:hAnsi="宋体" w:cs="宋体"/>
          <w:b/>
          <w:color w:val="auto"/>
          <w:lang w:val="en-US" w:eastAsia="zh-CN"/>
        </w:rPr>
        <w:t>五、</w:t>
      </w:r>
      <w:r>
        <w:rPr>
          <w:rFonts w:hint="eastAsia" w:hAnsi="宋体" w:cs="宋体"/>
          <w:b/>
          <w:color w:val="auto"/>
        </w:rPr>
        <w:t>付款方式</w:t>
      </w:r>
    </w:p>
    <w:p w14:paraId="2A495DCF">
      <w:pPr>
        <w:snapToGrid w:val="0"/>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一）</w:t>
      </w:r>
      <w:r>
        <w:rPr>
          <w:rFonts w:hint="eastAsia" w:ascii="宋体" w:hAnsi="宋体" w:cs="宋体"/>
          <w:color w:val="auto"/>
          <w:szCs w:val="21"/>
        </w:rPr>
        <w:t>服务费分期结清，按季度结算。每季度服务完成后，供应商开具合规发票交给采购人，采购人收到发票并确认无误后30天内向供应商支付当季服务费。</w:t>
      </w:r>
    </w:p>
    <w:p w14:paraId="6E47A0A6">
      <w:pPr>
        <w:widowControl/>
        <w:numPr>
          <w:ilvl w:val="255"/>
          <w:numId w:val="0"/>
        </w:numPr>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二）</w:t>
      </w:r>
      <w:r>
        <w:rPr>
          <w:rFonts w:hint="eastAsia" w:ascii="宋体" w:hAnsi="宋体" w:cs="宋体"/>
          <w:color w:val="auto"/>
          <w:kern w:val="0"/>
          <w:szCs w:val="21"/>
        </w:rPr>
        <w:t>若因成交供应商未及时提供合法有效、等额的发票等原因，导致延迟付款的，后果由成交供应商承担，采购人不承担任何逾期付款的责任。</w:t>
      </w:r>
    </w:p>
    <w:p w14:paraId="664DB627">
      <w:pPr>
        <w:adjustRightInd w:val="0"/>
        <w:snapToGrid w:val="0"/>
        <w:spacing w:line="360" w:lineRule="auto"/>
        <w:ind w:firstLine="420" w:firstLineChars="200"/>
        <w:rPr>
          <w:rFonts w:ascii="宋体" w:hAnsi="宋体" w:cs="宋体"/>
          <w:b/>
          <w:bCs/>
          <w:color w:val="auto"/>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三）</w:t>
      </w:r>
      <w:r>
        <w:rPr>
          <w:rFonts w:hint="eastAsia" w:ascii="宋体" w:hAnsi="宋体" w:cs="宋体"/>
          <w:color w:val="auto"/>
          <w:kern w:val="0"/>
          <w:szCs w:val="21"/>
        </w:rPr>
        <w:t>如遇节假日或不可抗力原因，支付日期可顺延。</w:t>
      </w:r>
    </w:p>
    <w:p w14:paraId="20CCB49A">
      <w:pPr>
        <w:snapToGrid w:val="0"/>
        <w:spacing w:line="360" w:lineRule="auto"/>
        <w:ind w:firstLine="422" w:firstLineChars="200"/>
        <w:rPr>
          <w:rFonts w:ascii="宋体" w:hAnsi="宋体" w:cs="宋体"/>
          <w:b/>
          <w:color w:val="auto"/>
          <w:szCs w:val="21"/>
        </w:rPr>
      </w:pPr>
      <w:r>
        <w:rPr>
          <w:rFonts w:hint="eastAsia" w:ascii="宋体" w:hAnsi="宋体" w:cs="宋体"/>
          <w:b/>
          <w:color w:val="auto"/>
          <w:szCs w:val="21"/>
          <w:lang w:val="en-US" w:eastAsia="zh-CN"/>
        </w:rPr>
        <w:t>六、</w:t>
      </w:r>
      <w:r>
        <w:rPr>
          <w:rFonts w:hint="eastAsia" w:ascii="宋体" w:hAnsi="宋体" w:cs="宋体"/>
          <w:b/>
          <w:color w:val="auto"/>
          <w:szCs w:val="21"/>
        </w:rPr>
        <w:t>履约保证金</w:t>
      </w:r>
    </w:p>
    <w:p w14:paraId="5C966A7F">
      <w:pPr>
        <w:widowControl/>
        <w:numPr>
          <w:ilvl w:val="255"/>
          <w:numId w:val="0"/>
        </w:numPr>
        <w:adjustRightInd w:val="0"/>
        <w:snapToGrid w:val="0"/>
        <w:spacing w:line="360" w:lineRule="auto"/>
        <w:ind w:firstLine="420" w:firstLineChars="200"/>
        <w:jc w:val="left"/>
        <w:rPr>
          <w:rFonts w:ascii="宋体" w:hAnsi="宋体" w:cs="宋体"/>
          <w:bCs/>
          <w:color w:val="auto"/>
          <w:kern w:val="0"/>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一）</w:t>
      </w:r>
      <w:r>
        <w:rPr>
          <w:rFonts w:hint="eastAsia" w:ascii="宋体" w:hAnsi="宋体" w:cs="宋体"/>
          <w:color w:val="auto"/>
          <w:szCs w:val="21"/>
        </w:rPr>
        <w:t>成交供应商在签订合同前需向采购人缴纳履约保证金壹万元，合同到期，采购人确认成交供应商全部义务履行完毕且无违约责任，收到供应商请款函及相关资料后30日内</w:t>
      </w:r>
      <w:r>
        <w:rPr>
          <w:rFonts w:hint="eastAsia" w:ascii="宋体" w:hAnsi="宋体" w:cs="宋体"/>
          <w:bCs/>
          <w:color w:val="auto"/>
          <w:kern w:val="0"/>
          <w:szCs w:val="21"/>
        </w:rPr>
        <w:t>以非现金形式</w:t>
      </w:r>
      <w:r>
        <w:rPr>
          <w:rFonts w:hint="eastAsia" w:ascii="宋体" w:hAnsi="宋体" w:cs="宋体"/>
          <w:color w:val="auto"/>
          <w:szCs w:val="21"/>
        </w:rPr>
        <w:t>无息返还</w:t>
      </w:r>
      <w:r>
        <w:rPr>
          <w:rFonts w:hint="eastAsia" w:ascii="宋体" w:hAnsi="宋体" w:cs="宋体"/>
          <w:bCs/>
          <w:color w:val="auto"/>
          <w:kern w:val="0"/>
          <w:szCs w:val="21"/>
        </w:rPr>
        <w:t>。</w:t>
      </w:r>
    </w:p>
    <w:p w14:paraId="0BF44541">
      <w:pPr>
        <w:widowControl/>
        <w:adjustRightInd w:val="0"/>
        <w:snapToGrid w:val="0"/>
        <w:spacing w:line="360" w:lineRule="auto"/>
        <w:ind w:firstLine="420" w:firstLineChars="200"/>
        <w:jc w:val="left"/>
        <w:rPr>
          <w:rFonts w:ascii="宋体" w:hAnsi="宋体" w:cs="宋体"/>
          <w:color w:val="auto"/>
          <w:szCs w:val="21"/>
        </w:rPr>
      </w:pP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二）</w:t>
      </w:r>
      <w:r>
        <w:rPr>
          <w:rFonts w:hint="eastAsia" w:ascii="宋体" w:hAnsi="宋体" w:cs="宋体"/>
          <w:bCs/>
          <w:color w:val="auto"/>
          <w:kern w:val="0"/>
          <w:szCs w:val="21"/>
        </w:rPr>
        <w:t>提交方式：供应商自主选择以支票、汇票、本票、保函等非现金形式提交。</w:t>
      </w:r>
    </w:p>
    <w:p w14:paraId="61DD6610">
      <w:pPr>
        <w:widowControl/>
        <w:numPr>
          <w:ilvl w:val="255"/>
          <w:numId w:val="0"/>
        </w:num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三）</w:t>
      </w:r>
      <w:r>
        <w:rPr>
          <w:rFonts w:hint="eastAsia" w:ascii="宋体" w:hAnsi="宋体" w:cs="宋体"/>
          <w:color w:val="auto"/>
          <w:szCs w:val="21"/>
        </w:rPr>
        <w:t>履约保证金不予退还的情形：</w:t>
      </w:r>
    </w:p>
    <w:p w14:paraId="55C39273">
      <w:pPr>
        <w:widowControl/>
        <w:numPr>
          <w:ilvl w:val="255"/>
          <w:numId w:val="0"/>
        </w:num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违反合同约定或拒绝履行合同义务的；</w:t>
      </w:r>
    </w:p>
    <w:p w14:paraId="7DFD630D">
      <w:pPr>
        <w:widowControl/>
        <w:numPr>
          <w:ilvl w:val="255"/>
          <w:numId w:val="0"/>
        </w:num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发生泄密、环保违规、数据造假等严重违约</w:t>
      </w:r>
    </w:p>
    <w:p w14:paraId="7B25ACF8">
      <w:pPr>
        <w:widowControl/>
        <w:numPr>
          <w:ilvl w:val="255"/>
          <w:numId w:val="0"/>
        </w:num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供应商提前解除合同的。</w:t>
      </w:r>
    </w:p>
    <w:p w14:paraId="7F4425C9">
      <w:pPr>
        <w:widowControl/>
        <w:numPr>
          <w:ilvl w:val="255"/>
          <w:numId w:val="0"/>
        </w:numPr>
        <w:adjustRightInd w:val="0"/>
        <w:snapToGrid w:val="0"/>
        <w:spacing w:line="360" w:lineRule="auto"/>
        <w:ind w:firstLine="420" w:firstLineChars="200"/>
        <w:jc w:val="left"/>
        <w:rPr>
          <w:rFonts w:ascii="宋体" w:hAnsi="宋体" w:cs="宋体"/>
          <w:bCs/>
          <w:color w:val="auto"/>
          <w:kern w:val="0"/>
          <w:szCs w:val="21"/>
        </w:rPr>
      </w:pP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四）</w:t>
      </w:r>
      <w:r>
        <w:rPr>
          <w:rFonts w:hint="eastAsia" w:ascii="宋体" w:hAnsi="宋体" w:cs="宋体"/>
          <w:bCs/>
          <w:color w:val="auto"/>
          <w:kern w:val="0"/>
          <w:szCs w:val="21"/>
        </w:rPr>
        <w:t>采购人逾期退还履约保证金的，从逾期之日起按同期一年期LPR的标准向供应商支付违约金。但因供应商自身原因导致无法及时退还的除外。</w:t>
      </w:r>
    </w:p>
    <w:p w14:paraId="2D88A68A">
      <w:pPr>
        <w:widowControl/>
        <w:adjustRightInd w:val="0"/>
        <w:snapToGrid w:val="0"/>
        <w:spacing w:line="360" w:lineRule="auto"/>
        <w:ind w:firstLine="420" w:firstLineChars="200"/>
        <w:jc w:val="left"/>
        <w:rPr>
          <w:rFonts w:ascii="宋体" w:hAnsi="宋体" w:cs="宋体"/>
          <w:b/>
          <w:bCs/>
          <w:color w:val="auto"/>
          <w:szCs w:val="21"/>
        </w:rPr>
      </w:pP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五）</w:t>
      </w:r>
      <w:r>
        <w:rPr>
          <w:rFonts w:hint="eastAsia" w:ascii="宋体" w:hAnsi="宋体" w:cs="宋体"/>
          <w:bCs/>
          <w:color w:val="auto"/>
          <w:kern w:val="0"/>
          <w:szCs w:val="21"/>
        </w:rPr>
        <w:t>供应商逾期缴纳履约保证金的，从逾期之日起按同期一年期LPR的标准向采购人支付逾期违约金。逾期超过10日的，视为供应商根本违约，采购人有权单方解除合同，并有权要求供应商支付等额于履约保证金全额的违约金；如该违约金不足以弥补采购人损失的（包括但不限于重新采购成本、医疗延误损失等），供应商还应予以赔偿。同时，采购人有权将供应商列入不良行为名单。</w:t>
      </w:r>
    </w:p>
    <w:p w14:paraId="0CD3DA55">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lang w:val="en-US" w:eastAsia="zh-CN"/>
        </w:rPr>
        <w:t>七、</w:t>
      </w:r>
      <w:r>
        <w:rPr>
          <w:rFonts w:hint="eastAsia" w:ascii="宋体" w:hAnsi="宋体" w:cs="宋体"/>
          <w:b/>
          <w:bCs/>
          <w:color w:val="auto"/>
          <w:szCs w:val="21"/>
        </w:rPr>
        <w:t>保密要求</w:t>
      </w:r>
    </w:p>
    <w:p w14:paraId="4884A775">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一）</w:t>
      </w:r>
      <w:r>
        <w:rPr>
          <w:rFonts w:hint="eastAsia" w:ascii="宋体" w:hAnsi="宋体" w:cs="宋体"/>
          <w:color w:val="auto"/>
          <w:szCs w:val="21"/>
        </w:rPr>
        <w:t>供应商在服务期间知悉的采购人排污监测数据、在线监测原始数据、环保台账、危废数据、排污许可信息、采购人内部管理资料、患者相关信息、商业与技术信息等均为保密信息，属于采购人敏感数据。</w:t>
      </w:r>
    </w:p>
    <w:p w14:paraId="161CCB02">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二）</w:t>
      </w:r>
      <w:r>
        <w:rPr>
          <w:rFonts w:hint="eastAsia" w:ascii="宋体" w:hAnsi="宋体" w:cs="宋体"/>
          <w:color w:val="auto"/>
          <w:szCs w:val="21"/>
        </w:rPr>
        <w:t>供应商须对上述保密信息严格保密，不得向任何第三方泄露、传播、出售、用于本项目以外用途；仅限项目执行必需人员知悉，并签订内部保密承诺。</w:t>
      </w:r>
    </w:p>
    <w:p w14:paraId="47D2DB8D">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三）</w:t>
      </w:r>
      <w:r>
        <w:rPr>
          <w:rFonts w:hint="eastAsia" w:ascii="宋体" w:hAnsi="宋体" w:cs="宋体"/>
          <w:color w:val="auto"/>
          <w:szCs w:val="21"/>
        </w:rPr>
        <w:t>保密期限：为永久有效，不因合同终止、解除、期满而失效。</w:t>
      </w:r>
    </w:p>
    <w:p w14:paraId="75187A1B">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四）</w:t>
      </w:r>
      <w:r>
        <w:rPr>
          <w:rFonts w:hint="eastAsia" w:ascii="宋体" w:hAnsi="宋体" w:cs="宋体"/>
          <w:color w:val="auto"/>
          <w:szCs w:val="21"/>
        </w:rPr>
        <w:t>若供应商发生泄密行为，采购人有权立即终止合同、扣除全部履约保证金、拒付剩余款项，同时供应商须承担由此造成的行政处罚、名誉损失、经济赔偿、法律责任，构成犯罪的，移交司法机关处理。</w:t>
      </w:r>
    </w:p>
    <w:p w14:paraId="18E105D0">
      <w:pPr>
        <w:spacing w:line="360" w:lineRule="auto"/>
        <w:ind w:firstLine="422" w:firstLineChars="200"/>
        <w:rPr>
          <w:rFonts w:ascii="宋体" w:hAnsi="宋体" w:cs="宋体"/>
          <w:color w:val="auto"/>
          <w:szCs w:val="21"/>
        </w:rPr>
      </w:pPr>
      <w:r>
        <w:rPr>
          <w:rFonts w:hint="eastAsia" w:ascii="宋体" w:hAnsi="宋体" w:cs="宋体"/>
          <w:b/>
          <w:bCs/>
          <w:color w:val="auto"/>
          <w:szCs w:val="21"/>
          <w:lang w:val="en-US" w:eastAsia="zh-CN"/>
        </w:rPr>
        <w:t>八、</w:t>
      </w:r>
      <w:r>
        <w:rPr>
          <w:rFonts w:hint="eastAsia" w:ascii="宋体" w:hAnsi="宋体" w:cs="宋体"/>
          <w:b/>
          <w:bCs/>
          <w:color w:val="auto"/>
          <w:szCs w:val="21"/>
        </w:rPr>
        <w:t>维保服务新旧衔接要求</w:t>
      </w:r>
    </w:p>
    <w:p w14:paraId="68B6EE6B">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一）</w:t>
      </w:r>
      <w:r>
        <w:rPr>
          <w:rFonts w:hint="eastAsia" w:ascii="宋体" w:hAnsi="宋体" w:cs="宋体"/>
          <w:color w:val="auto"/>
          <w:szCs w:val="21"/>
        </w:rPr>
        <w:t>无论本项目因合同到期、考核不合格、提前终止或其他原因更换服务商，成交供应商均须无条件配合完成新旧维保单位的全面交接工作，不得以任何理由拖延、拒绝、设置障碍。</w:t>
      </w:r>
    </w:p>
    <w:p w14:paraId="500C9D36">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二）</w:t>
      </w:r>
      <w:r>
        <w:rPr>
          <w:rFonts w:hint="eastAsia" w:ascii="宋体" w:hAnsi="宋体" w:cs="宋体"/>
          <w:color w:val="auto"/>
          <w:szCs w:val="21"/>
        </w:rPr>
        <w:t>完整移交污水处理系统全套运行台账、维保记录、设备档案、备品备件清单、易损件/耗材清单等；</w:t>
      </w:r>
    </w:p>
    <w:p w14:paraId="3BE05A0F">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三）</w:t>
      </w:r>
      <w:r>
        <w:rPr>
          <w:rFonts w:hint="eastAsia" w:ascii="宋体" w:hAnsi="宋体" w:cs="宋体"/>
          <w:color w:val="auto"/>
          <w:szCs w:val="21"/>
        </w:rPr>
        <w:t>移交在线监测系统账号、数据权限、校准记录、历史数据、环保平台填报权限；</w:t>
      </w:r>
    </w:p>
    <w:p w14:paraId="68CE7F98">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四）</w:t>
      </w:r>
      <w:r>
        <w:rPr>
          <w:rFonts w:hint="eastAsia" w:ascii="宋体" w:hAnsi="宋体" w:cs="宋体"/>
          <w:color w:val="auto"/>
          <w:szCs w:val="21"/>
        </w:rPr>
        <w:t>移交危废管理台账、排污许可执行报告、环保合规资料全套电子版与纸质版；</w:t>
      </w:r>
    </w:p>
    <w:p w14:paraId="04439C45">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五）</w:t>
      </w:r>
      <w:r>
        <w:rPr>
          <w:rFonts w:hint="eastAsia" w:ascii="宋体" w:hAnsi="宋体" w:cs="宋体"/>
          <w:color w:val="auto"/>
          <w:szCs w:val="21"/>
        </w:rPr>
        <w:t>现场系统现状交底、设备隐患说明、关键操作要点、应急处置流程；</w:t>
      </w:r>
    </w:p>
    <w:p w14:paraId="49FD60FF">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六）</w:t>
      </w:r>
      <w:r>
        <w:rPr>
          <w:rFonts w:hint="eastAsia" w:ascii="宋体" w:hAnsi="宋体" w:cs="宋体"/>
          <w:color w:val="auto"/>
          <w:szCs w:val="21"/>
        </w:rPr>
        <w:t>接到采购人交接通知后3个工作日内启动交接，5个工作日内完成全部移交；</w:t>
      </w:r>
    </w:p>
    <w:p w14:paraId="1C1ADC89">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七）</w:t>
      </w:r>
      <w:r>
        <w:rPr>
          <w:rFonts w:hint="eastAsia" w:ascii="宋体" w:hAnsi="宋体" w:cs="宋体"/>
          <w:color w:val="auto"/>
          <w:szCs w:val="21"/>
        </w:rPr>
        <w:t>设置不少于15天的服务过渡期，原服务单位须在场配合、指导新服务单位熟悉系统，确保服务连续、无断档、无停机；</w:t>
      </w:r>
    </w:p>
    <w:p w14:paraId="2B4DC8C6">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八）</w:t>
      </w:r>
      <w:r>
        <w:rPr>
          <w:rFonts w:hint="eastAsia" w:ascii="宋体" w:hAnsi="宋体" w:cs="宋体"/>
          <w:color w:val="auto"/>
          <w:szCs w:val="21"/>
        </w:rPr>
        <w:t>因交接不清、资料缺失、拖延交接导致系统停运、数据中断、环保违规等一切损失，由原服务商承担全部责任，采购人有权扣除全额履约保证金并追究赔偿。</w:t>
      </w:r>
    </w:p>
    <w:p w14:paraId="58C54BD6">
      <w:pPr>
        <w:spacing w:line="360" w:lineRule="auto"/>
        <w:ind w:firstLine="422" w:firstLineChars="200"/>
        <w:rPr>
          <w:rFonts w:ascii="宋体" w:hAnsi="宋体" w:cs="宋体"/>
          <w:b/>
          <w:bCs/>
          <w:color w:val="auto"/>
          <w:szCs w:val="21"/>
        </w:rPr>
      </w:pPr>
      <w:r>
        <w:rPr>
          <w:rFonts w:hint="eastAsia" w:ascii="宋体" w:hAnsi="宋体" w:cs="宋体"/>
          <w:b/>
          <w:bCs/>
          <w:color w:val="auto"/>
          <w:szCs w:val="21"/>
          <w:lang w:val="en-US" w:eastAsia="zh-CN"/>
        </w:rPr>
        <w:t>九、</w:t>
      </w:r>
      <w:r>
        <w:rPr>
          <w:rFonts w:hint="eastAsia" w:ascii="宋体" w:hAnsi="宋体" w:cs="宋体"/>
          <w:b/>
          <w:bCs/>
          <w:color w:val="auto"/>
          <w:szCs w:val="21"/>
        </w:rPr>
        <w:t>项目考核表</w:t>
      </w:r>
    </w:p>
    <w:tbl>
      <w:tblPr>
        <w:tblStyle w:val="24"/>
        <w:tblW w:w="8490" w:type="dxa"/>
        <w:tblInd w:w="91" w:type="dxa"/>
        <w:tblLayout w:type="autofit"/>
        <w:tblCellMar>
          <w:top w:w="0" w:type="dxa"/>
          <w:left w:w="108" w:type="dxa"/>
          <w:bottom w:w="0" w:type="dxa"/>
          <w:right w:w="108" w:type="dxa"/>
        </w:tblCellMar>
      </w:tblPr>
      <w:tblGrid>
        <w:gridCol w:w="1080"/>
        <w:gridCol w:w="2115"/>
        <w:gridCol w:w="1020"/>
        <w:gridCol w:w="4275"/>
      </w:tblGrid>
      <w:tr w14:paraId="594162B2">
        <w:tblPrEx>
          <w:tblCellMar>
            <w:top w:w="0" w:type="dxa"/>
            <w:left w:w="108" w:type="dxa"/>
            <w:bottom w:w="0" w:type="dxa"/>
            <w:right w:w="108" w:type="dxa"/>
          </w:tblCellMar>
        </w:tblPrEx>
        <w:trPr>
          <w:trHeight w:val="45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CC7C">
            <w:pPr>
              <w:widowControl/>
              <w:spacing w:line="360" w:lineRule="exact"/>
              <w:jc w:val="center"/>
              <w:textAlignment w:val="center"/>
              <w:rPr>
                <w:rFonts w:ascii="宋体" w:hAnsi="宋体" w:cs="宋体"/>
                <w:b/>
                <w:bCs/>
                <w:color w:val="auto"/>
                <w:szCs w:val="21"/>
              </w:rPr>
            </w:pPr>
            <w:r>
              <w:rPr>
                <w:rFonts w:hint="eastAsia" w:ascii="宋体" w:hAnsi="宋体" w:cs="宋体"/>
                <w:b/>
                <w:bCs/>
                <w:color w:val="auto"/>
                <w:kern w:val="0"/>
                <w:szCs w:val="21"/>
                <w:lang w:bidi="ar"/>
              </w:rPr>
              <w:t>序号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9913">
            <w:pPr>
              <w:widowControl/>
              <w:spacing w:line="360" w:lineRule="exact"/>
              <w:jc w:val="center"/>
              <w:textAlignment w:val="center"/>
              <w:rPr>
                <w:rFonts w:ascii="宋体" w:hAnsi="宋体" w:cs="宋体"/>
                <w:b/>
                <w:bCs/>
                <w:color w:val="auto"/>
                <w:szCs w:val="21"/>
              </w:rPr>
            </w:pPr>
            <w:r>
              <w:rPr>
                <w:rFonts w:hint="eastAsia" w:ascii="宋体" w:hAnsi="宋体" w:cs="宋体"/>
                <w:b/>
                <w:bCs/>
                <w:color w:val="auto"/>
                <w:kern w:val="0"/>
                <w:szCs w:val="21"/>
                <w:lang w:bidi="ar"/>
              </w:rPr>
              <w:t>考核项目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5238">
            <w:pPr>
              <w:widowControl/>
              <w:spacing w:line="360" w:lineRule="exact"/>
              <w:jc w:val="center"/>
              <w:textAlignment w:val="center"/>
              <w:rPr>
                <w:rFonts w:ascii="宋体" w:hAnsi="宋体" w:cs="宋体"/>
                <w:b/>
                <w:bCs/>
                <w:color w:val="auto"/>
                <w:szCs w:val="21"/>
              </w:rPr>
            </w:pPr>
            <w:r>
              <w:rPr>
                <w:rFonts w:hint="eastAsia" w:ascii="宋体" w:hAnsi="宋体" w:cs="宋体"/>
                <w:b/>
                <w:bCs/>
                <w:color w:val="auto"/>
                <w:kern w:val="0"/>
                <w:szCs w:val="21"/>
                <w:lang w:bidi="ar"/>
              </w:rPr>
              <w:t>分值</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F773">
            <w:pPr>
              <w:widowControl/>
              <w:spacing w:line="360" w:lineRule="exact"/>
              <w:jc w:val="center"/>
              <w:textAlignment w:val="center"/>
              <w:rPr>
                <w:rFonts w:ascii="宋体" w:hAnsi="宋体" w:cs="宋体"/>
                <w:b/>
                <w:bCs/>
                <w:color w:val="auto"/>
                <w:szCs w:val="21"/>
              </w:rPr>
            </w:pPr>
            <w:r>
              <w:rPr>
                <w:rFonts w:hint="eastAsia" w:ascii="宋体" w:hAnsi="宋体" w:cs="宋体"/>
                <w:b/>
                <w:bCs/>
                <w:color w:val="auto"/>
                <w:kern w:val="0"/>
                <w:szCs w:val="21"/>
                <w:lang w:bidi="ar"/>
              </w:rPr>
              <w:t>评分标准</w:t>
            </w:r>
          </w:p>
        </w:tc>
      </w:tr>
      <w:tr w14:paraId="2FB59C89">
        <w:tblPrEx>
          <w:tblCellMar>
            <w:top w:w="0" w:type="dxa"/>
            <w:left w:w="108" w:type="dxa"/>
            <w:bottom w:w="0" w:type="dxa"/>
            <w:right w:w="108" w:type="dxa"/>
          </w:tblCellMar>
        </w:tblPrEx>
        <w:trPr>
          <w:trHeight w:val="45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5A15">
            <w:pPr>
              <w:widowControl/>
              <w:spacing w:line="360" w:lineRule="exact"/>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58CC">
            <w:pPr>
              <w:widowControl/>
              <w:spacing w:line="360" w:lineRule="exact"/>
              <w:jc w:val="left"/>
              <w:textAlignment w:val="center"/>
              <w:rPr>
                <w:rFonts w:ascii="宋体" w:hAnsi="宋体" w:cs="宋体"/>
                <w:color w:val="auto"/>
                <w:szCs w:val="21"/>
              </w:rPr>
            </w:pPr>
            <w:r>
              <w:rPr>
                <w:rFonts w:hint="eastAsia" w:ascii="宋体" w:hAnsi="宋体" w:cs="宋体"/>
                <w:color w:val="auto"/>
                <w:kern w:val="0"/>
                <w:szCs w:val="21"/>
                <w:lang w:bidi="ar"/>
              </w:rPr>
              <w:t>环保管家日常巡检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992F">
            <w:pPr>
              <w:widowControl/>
              <w:spacing w:line="360" w:lineRule="exact"/>
              <w:jc w:val="left"/>
              <w:textAlignment w:val="center"/>
              <w:rPr>
                <w:rFonts w:ascii="宋体" w:hAnsi="宋体" w:cs="宋体"/>
                <w:color w:val="auto"/>
                <w:szCs w:val="21"/>
              </w:rPr>
            </w:pPr>
            <w:r>
              <w:rPr>
                <w:rFonts w:hint="eastAsia" w:ascii="宋体" w:hAnsi="宋体" w:cs="宋体"/>
                <w:color w:val="auto"/>
                <w:kern w:val="0"/>
                <w:szCs w:val="21"/>
                <w:lang w:bidi="ar"/>
              </w:rPr>
              <w:t>12</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D02B">
            <w:pPr>
              <w:widowControl/>
              <w:spacing w:line="360" w:lineRule="exact"/>
              <w:jc w:val="left"/>
              <w:textAlignment w:val="center"/>
              <w:rPr>
                <w:rFonts w:ascii="宋体" w:hAnsi="宋体" w:cs="宋体"/>
                <w:color w:val="auto"/>
                <w:szCs w:val="21"/>
              </w:rPr>
            </w:pPr>
            <w:r>
              <w:rPr>
                <w:rFonts w:hint="eastAsia" w:ascii="宋体" w:hAnsi="宋体" w:cs="宋体"/>
                <w:color w:val="auto"/>
                <w:kern w:val="0"/>
                <w:szCs w:val="21"/>
                <w:lang w:bidi="ar"/>
              </w:rPr>
              <w:t>全年每周按要求巡检，无漏检得12分；漏检1次扣 2 分。</w:t>
            </w:r>
            <w:r>
              <w:rPr>
                <w:rFonts w:hint="eastAsia" w:ascii="宋体" w:hAnsi="宋体" w:cs="宋体"/>
                <w:color w:val="auto"/>
                <w:szCs w:val="21"/>
              </w:rPr>
              <w:t xml:space="preserve"> </w:t>
            </w:r>
          </w:p>
        </w:tc>
      </w:tr>
      <w:tr w14:paraId="033D7E24">
        <w:tblPrEx>
          <w:tblCellMar>
            <w:top w:w="0" w:type="dxa"/>
            <w:left w:w="108" w:type="dxa"/>
            <w:bottom w:w="0" w:type="dxa"/>
            <w:right w:w="108" w:type="dxa"/>
          </w:tblCellMar>
        </w:tblPrEx>
        <w:trPr>
          <w:trHeight w:val="45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C84B">
            <w:pPr>
              <w:widowControl/>
              <w:spacing w:line="360" w:lineRule="exact"/>
              <w:jc w:val="center"/>
              <w:textAlignment w:val="center"/>
              <w:rPr>
                <w:rFonts w:ascii="宋体" w:hAnsi="宋体" w:cs="宋体"/>
                <w:color w:val="auto"/>
                <w:szCs w:val="21"/>
              </w:rPr>
            </w:pPr>
            <w:r>
              <w:rPr>
                <w:rFonts w:hint="eastAsia" w:ascii="宋体" w:hAnsi="宋体" w:cs="宋体"/>
                <w:color w:val="auto"/>
                <w:kern w:val="0"/>
                <w:szCs w:val="21"/>
                <w:lang w:bidi="ar"/>
              </w:rPr>
              <w:t>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4F5B">
            <w:pPr>
              <w:widowControl/>
              <w:spacing w:line="360" w:lineRule="exact"/>
              <w:jc w:val="left"/>
              <w:textAlignment w:val="center"/>
              <w:rPr>
                <w:rFonts w:ascii="宋体" w:hAnsi="宋体" w:cs="宋体"/>
                <w:color w:val="auto"/>
                <w:szCs w:val="21"/>
              </w:rPr>
            </w:pPr>
            <w:r>
              <w:rPr>
                <w:rFonts w:hint="eastAsia" w:ascii="宋体" w:hAnsi="宋体" w:cs="宋体"/>
                <w:color w:val="auto"/>
                <w:kern w:val="0"/>
                <w:szCs w:val="21"/>
                <w:lang w:bidi="ar"/>
              </w:rPr>
              <w:t>在线数据日常监控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1D3E">
            <w:pPr>
              <w:widowControl/>
              <w:spacing w:line="360" w:lineRule="exact"/>
              <w:jc w:val="left"/>
              <w:textAlignment w:val="center"/>
              <w:rPr>
                <w:rFonts w:ascii="宋体" w:hAnsi="宋体" w:cs="宋体"/>
                <w:color w:val="auto"/>
                <w:szCs w:val="21"/>
              </w:rPr>
            </w:pPr>
            <w:r>
              <w:rPr>
                <w:rFonts w:hint="eastAsia" w:ascii="宋体" w:hAnsi="宋体" w:cs="宋体"/>
                <w:color w:val="auto"/>
                <w:kern w:val="0"/>
                <w:szCs w:val="21"/>
                <w:lang w:bidi="ar"/>
              </w:rPr>
              <w:t>12</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8E8D">
            <w:pPr>
              <w:widowControl/>
              <w:spacing w:line="360" w:lineRule="exact"/>
              <w:jc w:val="left"/>
              <w:textAlignment w:val="center"/>
              <w:rPr>
                <w:rFonts w:ascii="宋体" w:hAnsi="宋体" w:cs="宋体"/>
                <w:color w:val="auto"/>
                <w:szCs w:val="21"/>
              </w:rPr>
            </w:pPr>
            <w:r>
              <w:rPr>
                <w:rFonts w:hint="eastAsia" w:ascii="宋体" w:hAnsi="宋体" w:cs="宋体"/>
                <w:color w:val="auto"/>
                <w:kern w:val="0"/>
                <w:szCs w:val="21"/>
                <w:lang w:bidi="ar"/>
              </w:rPr>
              <w:t>每日查看≥2 次，全年无超时未发现异常数据：不扣分；超24h未发现1次扣 3 分。</w:t>
            </w:r>
            <w:r>
              <w:rPr>
                <w:rFonts w:hint="eastAsia" w:ascii="宋体" w:hAnsi="宋体" w:cs="宋体"/>
                <w:color w:val="auto"/>
                <w:szCs w:val="21"/>
              </w:rPr>
              <w:t xml:space="preserve"> </w:t>
            </w:r>
          </w:p>
        </w:tc>
      </w:tr>
      <w:tr w14:paraId="5F37AF18">
        <w:tblPrEx>
          <w:tblCellMar>
            <w:top w:w="0" w:type="dxa"/>
            <w:left w:w="108" w:type="dxa"/>
            <w:bottom w:w="0" w:type="dxa"/>
            <w:right w:w="108" w:type="dxa"/>
          </w:tblCellMar>
        </w:tblPrEx>
        <w:trPr>
          <w:trHeight w:val="45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3C94">
            <w:pPr>
              <w:widowControl/>
              <w:spacing w:line="360" w:lineRule="exact"/>
              <w:jc w:val="center"/>
              <w:textAlignment w:val="center"/>
              <w:rPr>
                <w:rFonts w:ascii="宋体" w:hAnsi="宋体" w:cs="宋体"/>
                <w:color w:val="auto"/>
                <w:szCs w:val="21"/>
              </w:rPr>
            </w:pPr>
            <w:r>
              <w:rPr>
                <w:rFonts w:hint="eastAsia" w:ascii="宋体" w:hAnsi="宋体" w:cs="宋体"/>
                <w:color w:val="auto"/>
                <w:kern w:val="0"/>
                <w:szCs w:val="21"/>
                <w:lang w:bidi="ar"/>
              </w:rPr>
              <w:t>3</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5A67">
            <w:pPr>
              <w:widowControl/>
              <w:spacing w:line="360" w:lineRule="exact"/>
              <w:jc w:val="left"/>
              <w:textAlignment w:val="center"/>
              <w:rPr>
                <w:rFonts w:ascii="宋体" w:hAnsi="宋体" w:cs="宋体"/>
                <w:color w:val="auto"/>
                <w:szCs w:val="21"/>
              </w:rPr>
            </w:pPr>
            <w:r>
              <w:rPr>
                <w:rFonts w:hint="eastAsia" w:ascii="宋体" w:hAnsi="宋体" w:cs="宋体"/>
                <w:color w:val="auto"/>
                <w:kern w:val="0"/>
                <w:szCs w:val="21"/>
                <w:lang w:bidi="ar"/>
              </w:rPr>
              <w:t>在线监测系统运维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D1C9">
            <w:pPr>
              <w:widowControl/>
              <w:spacing w:line="360" w:lineRule="exact"/>
              <w:jc w:val="left"/>
              <w:textAlignment w:val="center"/>
              <w:rPr>
                <w:rFonts w:ascii="宋体" w:hAnsi="宋体" w:cs="宋体"/>
                <w:color w:val="auto"/>
                <w:szCs w:val="21"/>
              </w:rPr>
            </w:pPr>
            <w:r>
              <w:rPr>
                <w:rFonts w:hint="eastAsia" w:ascii="宋体" w:hAnsi="宋体" w:cs="宋体"/>
                <w:color w:val="auto"/>
                <w:kern w:val="0"/>
                <w:szCs w:val="21"/>
                <w:lang w:bidi="ar"/>
              </w:rPr>
              <w:t>12</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D60C">
            <w:pPr>
              <w:widowControl/>
              <w:spacing w:line="360" w:lineRule="exact"/>
              <w:jc w:val="left"/>
              <w:textAlignment w:val="center"/>
              <w:rPr>
                <w:rFonts w:ascii="宋体" w:hAnsi="宋体" w:cs="宋体"/>
                <w:color w:val="auto"/>
                <w:szCs w:val="21"/>
              </w:rPr>
            </w:pPr>
            <w:r>
              <w:rPr>
                <w:rFonts w:hint="eastAsia" w:ascii="宋体" w:hAnsi="宋体" w:cs="宋体"/>
                <w:color w:val="auto"/>
                <w:kern w:val="0"/>
                <w:szCs w:val="21"/>
                <w:lang w:bidi="ar"/>
              </w:rPr>
              <w:t>周/月/季/年维保100% 完成：不扣分；少 1次扣3分。</w:t>
            </w:r>
          </w:p>
        </w:tc>
      </w:tr>
      <w:tr w14:paraId="2E9CFD95">
        <w:tblPrEx>
          <w:tblCellMar>
            <w:top w:w="0" w:type="dxa"/>
            <w:left w:w="108" w:type="dxa"/>
            <w:bottom w:w="0" w:type="dxa"/>
            <w:right w:w="108" w:type="dxa"/>
          </w:tblCellMar>
        </w:tblPrEx>
        <w:trPr>
          <w:trHeight w:val="45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7E56">
            <w:pPr>
              <w:widowControl/>
              <w:spacing w:line="360" w:lineRule="exact"/>
              <w:jc w:val="center"/>
              <w:textAlignment w:val="center"/>
              <w:rPr>
                <w:rFonts w:ascii="宋体" w:hAnsi="宋体" w:cs="宋体"/>
                <w:color w:val="auto"/>
                <w:szCs w:val="21"/>
              </w:rPr>
            </w:pPr>
            <w:r>
              <w:rPr>
                <w:rFonts w:hint="eastAsia" w:ascii="宋体" w:hAnsi="宋体" w:cs="宋体"/>
                <w:color w:val="auto"/>
                <w:kern w:val="0"/>
                <w:szCs w:val="21"/>
                <w:lang w:bidi="ar"/>
              </w:rPr>
              <w:t>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FB34">
            <w:pPr>
              <w:widowControl/>
              <w:spacing w:line="360" w:lineRule="exact"/>
              <w:jc w:val="left"/>
              <w:textAlignment w:val="center"/>
              <w:rPr>
                <w:rFonts w:ascii="宋体" w:hAnsi="宋体" w:cs="宋体"/>
                <w:color w:val="auto"/>
                <w:szCs w:val="21"/>
              </w:rPr>
            </w:pPr>
            <w:r>
              <w:rPr>
                <w:rFonts w:hint="eastAsia" w:ascii="宋体" w:hAnsi="宋体" w:cs="宋体"/>
                <w:color w:val="auto"/>
                <w:kern w:val="0"/>
                <w:szCs w:val="21"/>
                <w:lang w:bidi="ar"/>
              </w:rPr>
              <w:t>故障响应与维修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AA08">
            <w:pPr>
              <w:widowControl/>
              <w:spacing w:line="360" w:lineRule="exact"/>
              <w:jc w:val="left"/>
              <w:textAlignment w:val="center"/>
              <w:rPr>
                <w:rFonts w:ascii="宋体" w:hAnsi="宋体" w:cs="宋体"/>
                <w:color w:val="auto"/>
                <w:szCs w:val="21"/>
              </w:rPr>
            </w:pPr>
            <w:r>
              <w:rPr>
                <w:rFonts w:hint="eastAsia" w:ascii="宋体" w:hAnsi="宋体" w:cs="宋体"/>
                <w:color w:val="auto"/>
                <w:kern w:val="0"/>
                <w:szCs w:val="21"/>
                <w:lang w:bidi="ar"/>
              </w:rPr>
              <w:t>12</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CE49">
            <w:pPr>
              <w:widowControl/>
              <w:spacing w:line="360" w:lineRule="exact"/>
              <w:jc w:val="left"/>
              <w:textAlignment w:val="center"/>
              <w:rPr>
                <w:rFonts w:ascii="宋体" w:hAnsi="宋体" w:cs="宋体"/>
                <w:color w:val="auto"/>
                <w:szCs w:val="21"/>
              </w:rPr>
            </w:pPr>
            <w:r>
              <w:rPr>
                <w:rFonts w:hint="eastAsia" w:ascii="宋体" w:hAnsi="宋体" w:cs="宋体"/>
                <w:color w:val="auto"/>
                <w:kern w:val="0"/>
                <w:szCs w:val="21"/>
                <w:lang w:bidi="ar"/>
              </w:rPr>
              <w:t>在线故障90分钟内到场，不扣分；超时1次扣3分，不及时修复设备，1 次扣4分。</w:t>
            </w:r>
            <w:r>
              <w:rPr>
                <w:rFonts w:hint="eastAsia" w:ascii="宋体" w:hAnsi="宋体" w:cs="宋体"/>
                <w:color w:val="auto"/>
                <w:szCs w:val="21"/>
              </w:rPr>
              <w:t xml:space="preserve"> </w:t>
            </w:r>
          </w:p>
        </w:tc>
      </w:tr>
      <w:tr w14:paraId="16138B4F">
        <w:tblPrEx>
          <w:tblCellMar>
            <w:top w:w="0" w:type="dxa"/>
            <w:left w:w="108" w:type="dxa"/>
            <w:bottom w:w="0" w:type="dxa"/>
            <w:right w:w="108" w:type="dxa"/>
          </w:tblCellMar>
        </w:tblPrEx>
        <w:trPr>
          <w:trHeight w:val="45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569E">
            <w:pPr>
              <w:widowControl/>
              <w:spacing w:line="36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41E8">
            <w:pPr>
              <w:widowControl/>
              <w:spacing w:line="36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危废管理与平台申报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4DE5">
            <w:pPr>
              <w:widowControl/>
              <w:spacing w:line="36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10</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59B9">
            <w:pPr>
              <w:widowControl/>
              <w:spacing w:line="36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台账齐全、申报及时：不扣分；缺1项扣 2 分；出现违规记录本项0分。</w:t>
            </w:r>
          </w:p>
        </w:tc>
      </w:tr>
      <w:tr w14:paraId="7800C0C9">
        <w:tblPrEx>
          <w:tblCellMar>
            <w:top w:w="0" w:type="dxa"/>
            <w:left w:w="108" w:type="dxa"/>
            <w:bottom w:w="0" w:type="dxa"/>
            <w:right w:w="108" w:type="dxa"/>
          </w:tblCellMar>
        </w:tblPrEx>
        <w:trPr>
          <w:trHeight w:val="45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E29A">
            <w:pPr>
              <w:widowControl/>
              <w:spacing w:line="360" w:lineRule="exact"/>
              <w:jc w:val="center"/>
              <w:textAlignment w:val="center"/>
              <w:rPr>
                <w:rFonts w:ascii="宋体" w:hAnsi="宋体" w:cs="宋体"/>
                <w:color w:val="auto"/>
                <w:szCs w:val="21"/>
              </w:rPr>
            </w:pPr>
            <w:r>
              <w:rPr>
                <w:rFonts w:hint="eastAsia" w:ascii="宋体" w:hAnsi="宋体" w:cs="宋体"/>
                <w:color w:val="auto"/>
                <w:kern w:val="0"/>
                <w:szCs w:val="21"/>
                <w:lang w:bidi="ar"/>
              </w:rPr>
              <w:t>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A300">
            <w:pPr>
              <w:widowControl/>
              <w:spacing w:line="360" w:lineRule="exact"/>
              <w:jc w:val="left"/>
              <w:textAlignment w:val="center"/>
              <w:rPr>
                <w:rFonts w:ascii="宋体" w:hAnsi="宋体" w:cs="宋体"/>
                <w:color w:val="auto"/>
                <w:szCs w:val="21"/>
              </w:rPr>
            </w:pPr>
            <w:r>
              <w:rPr>
                <w:rFonts w:hint="eastAsia" w:ascii="宋体" w:hAnsi="宋体" w:cs="宋体"/>
                <w:color w:val="auto"/>
                <w:kern w:val="0"/>
                <w:szCs w:val="21"/>
                <w:lang w:bidi="ar"/>
              </w:rPr>
              <w:t>3000 元以下配件更换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12AA">
            <w:pPr>
              <w:widowControl/>
              <w:spacing w:line="360" w:lineRule="exact"/>
              <w:jc w:val="left"/>
              <w:textAlignment w:val="center"/>
              <w:rPr>
                <w:rFonts w:ascii="宋体" w:hAnsi="宋体" w:cs="宋体"/>
                <w:color w:val="auto"/>
                <w:szCs w:val="21"/>
              </w:rPr>
            </w:pPr>
            <w:r>
              <w:rPr>
                <w:rFonts w:hint="eastAsia" w:ascii="宋体" w:hAnsi="宋体" w:cs="宋体"/>
                <w:color w:val="auto"/>
                <w:kern w:val="0"/>
                <w:szCs w:val="21"/>
                <w:lang w:bidi="ar"/>
              </w:rPr>
              <w:t>10</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57E8">
            <w:pPr>
              <w:widowControl/>
              <w:spacing w:line="360" w:lineRule="exact"/>
              <w:jc w:val="left"/>
              <w:textAlignment w:val="center"/>
              <w:rPr>
                <w:rFonts w:ascii="宋体" w:hAnsi="宋体" w:cs="宋体"/>
                <w:color w:val="auto"/>
                <w:szCs w:val="21"/>
              </w:rPr>
            </w:pPr>
            <w:r>
              <w:rPr>
                <w:rFonts w:hint="eastAsia" w:ascii="宋体" w:hAnsi="宋体" w:cs="宋体"/>
                <w:color w:val="auto"/>
                <w:kern w:val="0"/>
                <w:szCs w:val="21"/>
                <w:lang w:bidi="ar"/>
              </w:rPr>
              <w:t>及时免费更换到位：不扣分；未及时更换 1 次，扣2分。</w:t>
            </w:r>
          </w:p>
        </w:tc>
      </w:tr>
      <w:tr w14:paraId="606A0358">
        <w:tblPrEx>
          <w:tblCellMar>
            <w:top w:w="0" w:type="dxa"/>
            <w:left w:w="108" w:type="dxa"/>
            <w:bottom w:w="0" w:type="dxa"/>
            <w:right w:w="108" w:type="dxa"/>
          </w:tblCellMar>
        </w:tblPrEx>
        <w:trPr>
          <w:trHeight w:val="45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DAC2">
            <w:pPr>
              <w:widowControl/>
              <w:spacing w:line="360" w:lineRule="exact"/>
              <w:jc w:val="center"/>
              <w:textAlignment w:val="center"/>
              <w:rPr>
                <w:rFonts w:ascii="宋体" w:hAnsi="宋体" w:cs="宋体"/>
                <w:color w:val="auto"/>
                <w:szCs w:val="21"/>
              </w:rPr>
            </w:pPr>
            <w:r>
              <w:rPr>
                <w:rFonts w:hint="eastAsia" w:ascii="宋体" w:hAnsi="宋体" w:cs="宋体"/>
                <w:color w:val="auto"/>
                <w:kern w:val="0"/>
                <w:szCs w:val="21"/>
                <w:lang w:bidi="ar"/>
              </w:rPr>
              <w:t>7</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A345">
            <w:pPr>
              <w:widowControl/>
              <w:spacing w:line="360" w:lineRule="exact"/>
              <w:jc w:val="left"/>
              <w:textAlignment w:val="center"/>
              <w:rPr>
                <w:rFonts w:ascii="宋体" w:hAnsi="宋体" w:cs="宋体"/>
                <w:color w:val="auto"/>
                <w:szCs w:val="21"/>
              </w:rPr>
            </w:pPr>
            <w:r>
              <w:rPr>
                <w:rFonts w:hint="eastAsia" w:ascii="宋体" w:hAnsi="宋体" w:cs="宋体"/>
                <w:color w:val="auto"/>
                <w:kern w:val="0"/>
                <w:szCs w:val="21"/>
                <w:lang w:bidi="ar"/>
              </w:rPr>
              <w:t>台账、报告与申报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FFBB">
            <w:pPr>
              <w:widowControl/>
              <w:spacing w:line="360" w:lineRule="exact"/>
              <w:jc w:val="left"/>
              <w:textAlignment w:val="center"/>
              <w:rPr>
                <w:rFonts w:ascii="宋体" w:hAnsi="宋体" w:cs="宋体"/>
                <w:color w:val="auto"/>
                <w:szCs w:val="21"/>
              </w:rPr>
            </w:pPr>
            <w:r>
              <w:rPr>
                <w:rFonts w:hint="eastAsia" w:ascii="宋体" w:hAnsi="宋体" w:cs="宋体"/>
                <w:color w:val="auto"/>
                <w:kern w:val="0"/>
                <w:szCs w:val="21"/>
                <w:lang w:bidi="ar"/>
              </w:rPr>
              <w:t>12</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0AE2">
            <w:pPr>
              <w:widowControl/>
              <w:spacing w:line="360" w:lineRule="exact"/>
              <w:jc w:val="left"/>
              <w:textAlignment w:val="center"/>
              <w:rPr>
                <w:rFonts w:ascii="宋体" w:hAnsi="宋体" w:cs="宋体"/>
                <w:color w:val="auto"/>
                <w:szCs w:val="21"/>
              </w:rPr>
            </w:pPr>
            <w:r>
              <w:rPr>
                <w:rFonts w:hint="eastAsia" w:ascii="宋体" w:hAnsi="宋体" w:cs="宋体"/>
                <w:color w:val="auto"/>
                <w:kern w:val="0"/>
                <w:szCs w:val="21"/>
                <w:lang w:bidi="ar"/>
              </w:rPr>
              <w:t>齐全、规范、按时：不扣分；缺 1 份扣 2分；逾期 1 次扣 1 分。</w:t>
            </w:r>
            <w:r>
              <w:rPr>
                <w:rFonts w:hint="eastAsia" w:ascii="宋体" w:hAnsi="宋体" w:cs="宋体"/>
                <w:color w:val="auto"/>
                <w:szCs w:val="21"/>
              </w:rPr>
              <w:t xml:space="preserve"> </w:t>
            </w:r>
          </w:p>
        </w:tc>
      </w:tr>
      <w:tr w14:paraId="45005901">
        <w:tblPrEx>
          <w:tblCellMar>
            <w:top w:w="0" w:type="dxa"/>
            <w:left w:w="108" w:type="dxa"/>
            <w:bottom w:w="0" w:type="dxa"/>
            <w:right w:w="108" w:type="dxa"/>
          </w:tblCellMar>
        </w:tblPrEx>
        <w:trPr>
          <w:trHeight w:val="45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FC8F">
            <w:pPr>
              <w:widowControl/>
              <w:spacing w:line="36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4662">
            <w:pPr>
              <w:widowControl/>
              <w:spacing w:line="36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固定维保人员持证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135E">
            <w:pPr>
              <w:widowControl/>
              <w:spacing w:line="36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10</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7A5A">
            <w:pPr>
              <w:widowControl/>
              <w:spacing w:line="36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全程持证、固定人员：不扣分；人员无证/更换未备案被发现1次，本项得0分。</w:t>
            </w:r>
          </w:p>
        </w:tc>
      </w:tr>
      <w:tr w14:paraId="628A8434">
        <w:tblPrEx>
          <w:tblCellMar>
            <w:top w:w="0" w:type="dxa"/>
            <w:left w:w="108" w:type="dxa"/>
            <w:bottom w:w="0" w:type="dxa"/>
            <w:right w:w="108" w:type="dxa"/>
          </w:tblCellMar>
        </w:tblPrEx>
        <w:trPr>
          <w:trHeight w:val="45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13D2">
            <w:pPr>
              <w:widowControl/>
              <w:spacing w:line="36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9C4B">
            <w:pPr>
              <w:widowControl/>
              <w:spacing w:line="36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维保人员配合与服务态度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0CA2">
            <w:pPr>
              <w:widowControl/>
              <w:spacing w:line="36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10</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7DC3">
            <w:pPr>
              <w:widowControl/>
              <w:spacing w:line="36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维保人员沟通能力、配合与落实环保部门等检查工作与服务态度情况：好，得10分；较好，得8分；一般，得6分；差，得0分。</w:t>
            </w:r>
          </w:p>
        </w:tc>
      </w:tr>
      <w:tr w14:paraId="223FF6E2">
        <w:tblPrEx>
          <w:tblCellMar>
            <w:top w:w="0" w:type="dxa"/>
            <w:left w:w="108" w:type="dxa"/>
            <w:bottom w:w="0" w:type="dxa"/>
            <w:right w:w="108" w:type="dxa"/>
          </w:tblCellMar>
        </w:tblPrEx>
        <w:trPr>
          <w:trHeight w:val="45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4B17">
            <w:pPr>
              <w:widowControl/>
              <w:spacing w:line="360" w:lineRule="exact"/>
              <w:ind w:firstLine="210" w:firstLineChars="100"/>
              <w:jc w:val="left"/>
              <w:textAlignment w:val="center"/>
              <w:rPr>
                <w:rFonts w:ascii="宋体" w:hAnsi="宋体" w:cs="宋体"/>
                <w:color w:val="auto"/>
                <w:szCs w:val="21"/>
              </w:rPr>
            </w:pPr>
            <w:r>
              <w:rPr>
                <w:rFonts w:hint="eastAsia" w:ascii="宋体" w:hAnsi="宋体" w:cs="宋体"/>
                <w:color w:val="auto"/>
                <w:kern w:val="0"/>
                <w:szCs w:val="21"/>
                <w:lang w:bidi="ar"/>
              </w:rPr>
              <w:t>10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1061">
            <w:pPr>
              <w:widowControl/>
              <w:spacing w:line="360" w:lineRule="exact"/>
              <w:jc w:val="left"/>
              <w:textAlignment w:val="center"/>
              <w:rPr>
                <w:rFonts w:ascii="宋体" w:hAnsi="宋体" w:cs="宋体"/>
                <w:color w:val="auto"/>
                <w:szCs w:val="21"/>
              </w:rPr>
            </w:pPr>
            <w:r>
              <w:rPr>
                <w:rFonts w:hint="eastAsia" w:ascii="宋体" w:hAnsi="宋体" w:cs="宋体"/>
                <w:color w:val="auto"/>
                <w:kern w:val="0"/>
                <w:szCs w:val="21"/>
                <w:lang w:bidi="ar"/>
              </w:rPr>
              <w:t>一票否决项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B83C">
            <w:pPr>
              <w:widowControl/>
              <w:spacing w:line="360" w:lineRule="exact"/>
              <w:jc w:val="left"/>
              <w:textAlignment w:val="center"/>
              <w:rPr>
                <w:rFonts w:ascii="宋体" w:hAnsi="宋体" w:cs="宋体"/>
                <w:color w:val="auto"/>
                <w:szCs w:val="21"/>
              </w:rPr>
            </w:pPr>
            <w:r>
              <w:rPr>
                <w:rFonts w:hint="eastAsia" w:ascii="宋体" w:hAnsi="宋体" w:cs="宋体"/>
                <w:color w:val="auto"/>
                <w:kern w:val="0"/>
                <w:szCs w:val="21"/>
                <w:lang w:bidi="ar"/>
              </w:rPr>
              <w:t>—</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ADD9">
            <w:pPr>
              <w:widowControl/>
              <w:spacing w:line="360" w:lineRule="exact"/>
              <w:jc w:val="left"/>
              <w:textAlignment w:val="center"/>
              <w:rPr>
                <w:rFonts w:ascii="宋体" w:hAnsi="宋体" w:cs="宋体"/>
                <w:color w:val="auto"/>
                <w:szCs w:val="21"/>
              </w:rPr>
            </w:pPr>
            <w:r>
              <w:rPr>
                <w:rFonts w:hint="eastAsia" w:ascii="宋体" w:hAnsi="宋体" w:cs="宋体"/>
                <w:color w:val="auto"/>
                <w:kern w:val="0"/>
                <w:szCs w:val="21"/>
                <w:lang w:bidi="ar"/>
              </w:rPr>
              <w:t>1. 数据异常超 24小时未发现≥4 次；2. 因维保服务问题出现出水水质超标≥1 次；3.无持证人员服务；4.被环保部门通报/处罚/影响信用评价。</w:t>
            </w:r>
          </w:p>
        </w:tc>
      </w:tr>
    </w:tbl>
    <w:p w14:paraId="3354DC99">
      <w:pPr>
        <w:pStyle w:val="63"/>
        <w:spacing w:line="360" w:lineRule="auto"/>
        <w:rPr>
          <w:rFonts w:ascii="宋体" w:hAnsi="宋体" w:eastAsia="宋体" w:cs="宋体"/>
          <w:color w:val="auto"/>
          <w:sz w:val="21"/>
          <w:szCs w:val="21"/>
        </w:rPr>
      </w:pPr>
    </w:p>
    <w:p w14:paraId="154E2ED9">
      <w:pPr>
        <w:spacing w:line="360" w:lineRule="auto"/>
        <w:rPr>
          <w:rFonts w:ascii="宋体" w:hAnsi="宋体" w:cs="宋体"/>
          <w:color w:val="auto"/>
          <w:szCs w:val="21"/>
        </w:rPr>
      </w:pPr>
      <w:r>
        <w:rPr>
          <w:rStyle w:val="27"/>
          <w:rFonts w:hint="eastAsia" w:ascii="宋体" w:hAnsi="宋体" w:cs="宋体"/>
          <w:color w:val="auto"/>
          <w:sz w:val="21"/>
          <w:szCs w:val="21"/>
        </w:rPr>
        <w:t>说明：年度考评总分</w:t>
      </w:r>
      <w:r>
        <w:rPr>
          <w:rFonts w:hint="eastAsia" w:ascii="宋体" w:hAnsi="宋体" w:cs="宋体"/>
          <w:color w:val="auto"/>
          <w:szCs w:val="21"/>
        </w:rPr>
        <w:t>：100 分，</w:t>
      </w:r>
      <w:r>
        <w:rPr>
          <w:rStyle w:val="27"/>
          <w:rFonts w:hint="eastAsia" w:ascii="宋体" w:hAnsi="宋体" w:cs="宋体"/>
          <w:color w:val="auto"/>
          <w:sz w:val="21"/>
          <w:szCs w:val="21"/>
        </w:rPr>
        <w:t>合格线</w:t>
      </w:r>
      <w:r>
        <w:rPr>
          <w:rFonts w:hint="eastAsia" w:ascii="宋体" w:hAnsi="宋体" w:cs="宋体"/>
          <w:color w:val="auto"/>
          <w:szCs w:val="21"/>
        </w:rPr>
        <w:t>：80 分，</w:t>
      </w:r>
      <w:r>
        <w:rPr>
          <w:rStyle w:val="27"/>
          <w:rFonts w:hint="eastAsia" w:ascii="宋体" w:hAnsi="宋体" w:cs="宋体"/>
          <w:color w:val="auto"/>
          <w:sz w:val="21"/>
          <w:szCs w:val="21"/>
        </w:rPr>
        <w:t>考核结果</w:t>
      </w:r>
      <w:r>
        <w:rPr>
          <w:rFonts w:hint="eastAsia" w:ascii="宋体" w:hAnsi="宋体" w:cs="宋体"/>
          <w:color w:val="auto"/>
          <w:szCs w:val="21"/>
        </w:rPr>
        <w:t>：≥80 分准予续签；＜80 分不予续签。</w:t>
      </w:r>
    </w:p>
    <w:bookmarkEnd w:id="61"/>
    <w:bookmarkEnd w:id="62"/>
    <w:bookmarkEnd w:id="63"/>
    <w:bookmarkEnd w:id="64"/>
    <w:bookmarkEnd w:id="65"/>
    <w:p w14:paraId="5ABA224E">
      <w:pPr>
        <w:spacing w:line="400" w:lineRule="exact"/>
        <w:ind w:firstLine="422" w:firstLineChars="200"/>
        <w:rPr>
          <w:rFonts w:hint="eastAsia" w:ascii="宋体" w:hAnsi="宋体" w:cs="宋体"/>
          <w:b/>
          <w:bCs/>
          <w:color w:val="auto"/>
          <w:szCs w:val="21"/>
        </w:rPr>
      </w:pPr>
    </w:p>
    <w:p w14:paraId="1CF3D9D5">
      <w:pPr>
        <w:spacing w:line="400" w:lineRule="exact"/>
        <w:ind w:firstLine="422" w:firstLineChars="200"/>
        <w:rPr>
          <w:rFonts w:ascii="宋体" w:hAnsi="宋体" w:cs="宋体"/>
          <w:b/>
          <w:bCs/>
          <w:color w:val="auto"/>
          <w:szCs w:val="21"/>
        </w:rPr>
      </w:pPr>
      <w:r>
        <w:rPr>
          <w:rFonts w:hint="eastAsia" w:ascii="宋体" w:hAnsi="宋体" w:cs="宋体"/>
          <w:b/>
          <w:bCs/>
          <w:color w:val="auto"/>
          <w:szCs w:val="21"/>
        </w:rPr>
        <w:t>备注：</w:t>
      </w:r>
    </w:p>
    <w:p w14:paraId="71177548">
      <w:pPr>
        <w:spacing w:line="400" w:lineRule="exact"/>
        <w:ind w:firstLine="420" w:firstLineChars="200"/>
        <w:rPr>
          <w:rFonts w:ascii="宋体" w:hAnsi="宋体" w:cs="宋体"/>
          <w:color w:val="auto"/>
          <w:szCs w:val="21"/>
        </w:rPr>
      </w:pPr>
      <w:r>
        <w:rPr>
          <w:rFonts w:hint="eastAsia" w:ascii="宋体" w:hAnsi="宋体" w:cs="宋体"/>
          <w:color w:val="auto"/>
          <w:szCs w:val="21"/>
        </w:rPr>
        <w:t>1.如标有“★”的条款均为必须完全满足指标，报价人须进行实质性响应，报价人若有一项带“★”的条款未响应或不满足，将按无效投标处理。</w:t>
      </w:r>
    </w:p>
    <w:p w14:paraId="35E83BEB">
      <w:pPr>
        <w:spacing w:line="400" w:lineRule="exact"/>
        <w:ind w:firstLine="420" w:firstLineChars="200"/>
        <w:rPr>
          <w:rFonts w:ascii="宋体" w:hAnsi="宋体" w:cs="宋体"/>
          <w:color w:val="auto"/>
          <w:szCs w:val="21"/>
        </w:rPr>
      </w:pPr>
      <w:r>
        <w:rPr>
          <w:rFonts w:hint="eastAsia" w:ascii="宋体" w:hAnsi="宋体" w:cs="宋体"/>
          <w:color w:val="auto"/>
          <w:szCs w:val="21"/>
        </w:rPr>
        <w:t>2.如标有“▲”的条款均为评审的重要评分指标，报价人若有部分“▲”条款未响应或不满足，将导致其响应性评审严重扣分。</w:t>
      </w:r>
      <w:bookmarkEnd w:id="66"/>
      <w:bookmarkEnd w:id="67"/>
      <w:bookmarkEnd w:id="68"/>
      <w:bookmarkEnd w:id="69"/>
      <w:bookmarkEnd w:id="70"/>
      <w:bookmarkEnd w:id="71"/>
      <w:bookmarkEnd w:id="72"/>
      <w:bookmarkStart w:id="74" w:name="_Toc3222"/>
      <w:bookmarkStart w:id="75" w:name="_Toc4075"/>
    </w:p>
    <w:p w14:paraId="60CB0E7D">
      <w:pPr>
        <w:spacing w:line="400" w:lineRule="exact"/>
        <w:ind w:firstLine="422" w:firstLineChars="200"/>
        <w:rPr>
          <w:rFonts w:ascii="宋体" w:hAnsi="宋体" w:cs="宋体"/>
          <w:color w:val="auto"/>
          <w:szCs w:val="21"/>
        </w:rPr>
      </w:pPr>
      <w:bookmarkStart w:id="76" w:name="_Toc11917"/>
      <w:r>
        <w:rPr>
          <w:rFonts w:hint="eastAsia" w:ascii="宋体" w:hAnsi="宋体" w:cs="宋体"/>
          <w:b/>
          <w:bCs/>
          <w:color w:val="auto"/>
          <w:szCs w:val="21"/>
        </w:rPr>
        <w:t>3.成交原则：</w:t>
      </w:r>
      <w:r>
        <w:rPr>
          <w:rFonts w:hint="eastAsia" w:ascii="宋体" w:hAnsi="宋体" w:cs="宋体"/>
          <w:color w:val="auto"/>
          <w:szCs w:val="21"/>
        </w:rPr>
        <w:t>根据评审标准按综合评分法进行评审，按其评审总得分由高到低顺序排列评分情况，排名第一的供应商为第一成交候选人。采购结果报医院同意后在医院官网公布。</w:t>
      </w:r>
    </w:p>
    <w:p w14:paraId="5EAC564B">
      <w:pPr>
        <w:spacing w:line="400" w:lineRule="exact"/>
        <w:ind w:firstLine="422" w:firstLineChars="200"/>
        <w:rPr>
          <w:rFonts w:ascii="宋体" w:hAnsi="宋体" w:cs="宋体"/>
          <w:color w:val="auto"/>
          <w:szCs w:val="21"/>
        </w:rPr>
      </w:pPr>
      <w:r>
        <w:rPr>
          <w:rFonts w:hint="eastAsia" w:ascii="宋体" w:hAnsi="宋体" w:cs="宋体"/>
          <w:b/>
          <w:bCs/>
          <w:color w:val="auto"/>
          <w:szCs w:val="21"/>
        </w:rPr>
        <w:t>4.报价方式：</w:t>
      </w:r>
      <w:r>
        <w:rPr>
          <w:rFonts w:hint="eastAsia" w:ascii="宋体" w:hAnsi="宋体" w:cs="宋体"/>
          <w:color w:val="auto"/>
          <w:szCs w:val="21"/>
        </w:rPr>
        <w:t>本项目需进行再次报价，各供应商现场再次统一填写报价表。</w:t>
      </w:r>
    </w:p>
    <w:p w14:paraId="6FB7A28F">
      <w:pPr>
        <w:spacing w:line="400" w:lineRule="exact"/>
        <w:ind w:firstLine="422" w:firstLineChars="200"/>
        <w:rPr>
          <w:rFonts w:ascii="宋体" w:hAnsi="宋体" w:cs="宋体"/>
          <w:b/>
          <w:bCs/>
          <w:color w:val="auto"/>
          <w:szCs w:val="21"/>
        </w:rPr>
      </w:pPr>
      <w:r>
        <w:rPr>
          <w:rFonts w:hint="eastAsia" w:ascii="宋体" w:hAnsi="宋体" w:cs="宋体"/>
          <w:b/>
          <w:bCs/>
          <w:color w:val="auto"/>
          <w:szCs w:val="21"/>
        </w:rPr>
        <w:t>5.特别说明</w:t>
      </w:r>
    </w:p>
    <w:p w14:paraId="5E75C22C">
      <w:pPr>
        <w:spacing w:line="400" w:lineRule="exact"/>
        <w:ind w:firstLine="420" w:firstLineChars="200"/>
        <w:rPr>
          <w:rFonts w:ascii="宋体" w:hAnsi="宋体" w:cs="宋体"/>
          <w:color w:val="auto"/>
          <w:szCs w:val="21"/>
        </w:rPr>
      </w:pPr>
      <w:r>
        <w:rPr>
          <w:rFonts w:hint="eastAsia" w:ascii="宋体" w:hAnsi="宋体" w:cs="宋体"/>
          <w:color w:val="auto"/>
          <w:szCs w:val="21"/>
        </w:rPr>
        <w:t>（1）供应商有下列情形之一的，将列入我院黑名单管理，在此后的三年内不得参与我院任何采买活动：</w:t>
      </w:r>
    </w:p>
    <w:p w14:paraId="285355D3">
      <w:pPr>
        <w:spacing w:line="400" w:lineRule="exact"/>
        <w:ind w:firstLine="420" w:firstLineChars="200"/>
        <w:rPr>
          <w:rFonts w:ascii="宋体" w:hAnsi="宋体" w:cs="宋体"/>
          <w:color w:val="auto"/>
          <w:szCs w:val="21"/>
        </w:rPr>
      </w:pPr>
      <w:r>
        <w:rPr>
          <w:rFonts w:hint="eastAsia" w:ascii="宋体" w:hAnsi="宋体" w:cs="宋体"/>
          <w:color w:val="auto"/>
          <w:szCs w:val="21"/>
        </w:rPr>
        <w:t>1）提供虚假材料谋取中标、成交的；</w:t>
      </w:r>
    </w:p>
    <w:p w14:paraId="27710013">
      <w:pPr>
        <w:spacing w:line="400" w:lineRule="exact"/>
        <w:ind w:firstLine="420" w:firstLineChars="200"/>
        <w:rPr>
          <w:rFonts w:ascii="宋体" w:hAnsi="宋体" w:cs="宋体"/>
          <w:color w:val="auto"/>
          <w:szCs w:val="21"/>
        </w:rPr>
      </w:pPr>
      <w:r>
        <w:rPr>
          <w:rFonts w:hint="eastAsia" w:ascii="宋体" w:hAnsi="宋体" w:cs="宋体"/>
          <w:color w:val="auto"/>
          <w:szCs w:val="21"/>
        </w:rPr>
        <w:t>2）采取不正当手段诋毁、排挤其他供应商的；</w:t>
      </w:r>
    </w:p>
    <w:p w14:paraId="696FBBC2">
      <w:pPr>
        <w:spacing w:line="400" w:lineRule="exact"/>
        <w:ind w:firstLine="420" w:firstLineChars="200"/>
        <w:rPr>
          <w:rFonts w:ascii="宋体" w:hAnsi="宋体" w:cs="宋体"/>
          <w:color w:val="auto"/>
          <w:szCs w:val="21"/>
        </w:rPr>
      </w:pPr>
      <w:r>
        <w:rPr>
          <w:rFonts w:hint="eastAsia" w:ascii="宋体" w:hAnsi="宋体" w:cs="宋体"/>
          <w:color w:val="auto"/>
          <w:szCs w:val="21"/>
        </w:rPr>
        <w:t>3）与其他供应商或者采购机构恶意串通围标的；</w:t>
      </w:r>
    </w:p>
    <w:p w14:paraId="12B9828C">
      <w:pPr>
        <w:spacing w:line="400" w:lineRule="exact"/>
        <w:ind w:firstLine="420" w:firstLineChars="200"/>
        <w:rPr>
          <w:rFonts w:ascii="宋体" w:hAnsi="宋体" w:cs="宋体"/>
          <w:color w:val="auto"/>
          <w:szCs w:val="21"/>
        </w:rPr>
      </w:pPr>
      <w:r>
        <w:rPr>
          <w:rFonts w:hint="eastAsia" w:ascii="宋体" w:hAnsi="宋体" w:cs="宋体"/>
          <w:color w:val="auto"/>
          <w:szCs w:val="21"/>
        </w:rPr>
        <w:t>4）随意申请撤换或放弃中标/成交结果的；</w:t>
      </w:r>
    </w:p>
    <w:p w14:paraId="6A5A59BE">
      <w:pPr>
        <w:spacing w:line="400" w:lineRule="exact"/>
        <w:ind w:firstLine="420" w:firstLineChars="200"/>
        <w:rPr>
          <w:rFonts w:ascii="宋体" w:hAnsi="宋体" w:cs="宋体"/>
          <w:color w:val="auto"/>
          <w:szCs w:val="21"/>
        </w:rPr>
      </w:pPr>
      <w:r>
        <w:rPr>
          <w:rFonts w:hint="eastAsia" w:ascii="宋体" w:hAnsi="宋体" w:cs="宋体"/>
          <w:color w:val="auto"/>
          <w:szCs w:val="21"/>
        </w:rPr>
        <w:t>5）中标、成交后无正当理由拒绝或迟迟不签订采购合同的；</w:t>
      </w:r>
    </w:p>
    <w:p w14:paraId="63BD31D3">
      <w:pPr>
        <w:spacing w:line="400" w:lineRule="exact"/>
        <w:ind w:firstLine="420" w:firstLineChars="200"/>
        <w:rPr>
          <w:rFonts w:ascii="宋体" w:hAnsi="宋体" w:cs="宋体"/>
          <w:color w:val="auto"/>
          <w:szCs w:val="21"/>
        </w:rPr>
      </w:pPr>
      <w:r>
        <w:rPr>
          <w:rFonts w:hint="eastAsia" w:ascii="宋体" w:hAnsi="宋体" w:cs="宋体"/>
          <w:color w:val="auto"/>
          <w:szCs w:val="21"/>
        </w:rPr>
        <w:t>6）无正当理由拒绝履行合同和有关承诺，或擅自变更、中止（终止）采购合同的；</w:t>
      </w:r>
    </w:p>
    <w:p w14:paraId="25BA650F">
      <w:pPr>
        <w:spacing w:line="400" w:lineRule="exact"/>
        <w:ind w:firstLine="420" w:firstLineChars="200"/>
        <w:rPr>
          <w:rFonts w:ascii="宋体" w:hAnsi="宋体" w:cs="宋体"/>
          <w:color w:val="auto"/>
          <w:szCs w:val="21"/>
        </w:rPr>
      </w:pPr>
      <w:r>
        <w:rPr>
          <w:rFonts w:hint="eastAsia" w:ascii="宋体" w:hAnsi="宋体" w:cs="宋体"/>
          <w:color w:val="auto"/>
          <w:szCs w:val="21"/>
        </w:rPr>
        <w:t>7）一年内有一次以上投诉查无实据、捏造事实或者提供虚假投诉材料的；</w:t>
      </w:r>
    </w:p>
    <w:p w14:paraId="6935D2D2">
      <w:pPr>
        <w:spacing w:line="400" w:lineRule="exact"/>
        <w:ind w:firstLine="420" w:firstLineChars="200"/>
        <w:rPr>
          <w:rFonts w:ascii="宋体" w:hAnsi="宋体" w:cs="宋体"/>
          <w:color w:val="auto"/>
          <w:szCs w:val="21"/>
        </w:rPr>
      </w:pPr>
      <w:r>
        <w:rPr>
          <w:rFonts w:hint="eastAsia" w:ascii="宋体" w:hAnsi="宋体" w:cs="宋体"/>
          <w:color w:val="auto"/>
          <w:szCs w:val="21"/>
        </w:rPr>
        <w:t>8）实际提供的有关产品性能指标和技术服务能力明显低于采购响应文件或磋商、询价时的承诺的或提供假冒伪劣产品的；</w:t>
      </w:r>
    </w:p>
    <w:p w14:paraId="228225BC">
      <w:pPr>
        <w:spacing w:line="400" w:lineRule="exact"/>
        <w:ind w:firstLine="420" w:firstLineChars="200"/>
        <w:rPr>
          <w:rFonts w:ascii="宋体" w:hAnsi="宋体" w:cs="宋体"/>
          <w:color w:val="auto"/>
          <w:szCs w:val="21"/>
        </w:rPr>
      </w:pPr>
      <w:r>
        <w:rPr>
          <w:rFonts w:hint="eastAsia" w:ascii="宋体" w:hAnsi="宋体" w:cs="宋体"/>
          <w:color w:val="auto"/>
          <w:szCs w:val="21"/>
        </w:rPr>
        <w:t>9）中标/成交后，擅自将采购合同转包或分包给其他供应商的；</w:t>
      </w:r>
    </w:p>
    <w:p w14:paraId="26E9E64B">
      <w:pPr>
        <w:spacing w:line="400" w:lineRule="exact"/>
        <w:ind w:firstLine="420" w:firstLineChars="200"/>
        <w:rPr>
          <w:rFonts w:ascii="宋体" w:hAnsi="宋体" w:cs="宋体"/>
          <w:color w:val="auto"/>
          <w:szCs w:val="21"/>
        </w:rPr>
      </w:pPr>
      <w:r>
        <w:rPr>
          <w:rFonts w:hint="eastAsia" w:ascii="宋体" w:hAnsi="宋体" w:cs="宋体"/>
          <w:color w:val="auto"/>
          <w:szCs w:val="21"/>
        </w:rPr>
        <w:t>10）向采购人、采购机构行贿或者提供其他不正当利益的；</w:t>
      </w:r>
    </w:p>
    <w:p w14:paraId="5F01C49A">
      <w:pPr>
        <w:spacing w:line="400" w:lineRule="exact"/>
        <w:ind w:firstLine="420" w:firstLineChars="200"/>
        <w:rPr>
          <w:rFonts w:ascii="宋体" w:hAnsi="宋体" w:cs="宋体"/>
          <w:color w:val="auto"/>
          <w:szCs w:val="21"/>
        </w:rPr>
      </w:pPr>
      <w:r>
        <w:rPr>
          <w:rFonts w:hint="eastAsia" w:ascii="宋体" w:hAnsi="宋体" w:cs="宋体"/>
          <w:color w:val="auto"/>
          <w:szCs w:val="21"/>
        </w:rPr>
        <w:t>11）拒绝有关部门监督检查或者提供虚假情况的。</w:t>
      </w:r>
    </w:p>
    <w:p w14:paraId="7538209D">
      <w:pPr>
        <w:spacing w:line="400" w:lineRule="exact"/>
        <w:ind w:firstLine="210" w:firstLineChars="100"/>
        <w:rPr>
          <w:rFonts w:ascii="宋体" w:hAnsi="宋体" w:cs="宋体"/>
          <w:color w:val="auto"/>
          <w:szCs w:val="21"/>
        </w:rPr>
      </w:pPr>
      <w:r>
        <w:rPr>
          <w:rFonts w:hint="eastAsia" w:ascii="宋体" w:hAnsi="宋体" w:cs="宋体"/>
          <w:color w:val="auto"/>
          <w:szCs w:val="21"/>
        </w:rPr>
        <w:t>（2）有下列情形之一的，将视为供应商互相串通报价，响应报价无效：</w:t>
      </w:r>
    </w:p>
    <w:p w14:paraId="2A1E7ABA">
      <w:pPr>
        <w:spacing w:line="400" w:lineRule="exact"/>
        <w:ind w:firstLine="420" w:firstLineChars="200"/>
        <w:rPr>
          <w:rFonts w:ascii="宋体" w:hAnsi="宋体" w:cs="宋体"/>
          <w:color w:val="auto"/>
          <w:szCs w:val="21"/>
        </w:rPr>
      </w:pPr>
      <w:r>
        <w:rPr>
          <w:rFonts w:hint="eastAsia" w:ascii="宋体" w:hAnsi="宋体" w:cs="宋体"/>
          <w:color w:val="auto"/>
          <w:szCs w:val="21"/>
        </w:rPr>
        <w:t>1）不同供应商委托同一单位或个人办理响应报价事宜；</w:t>
      </w:r>
    </w:p>
    <w:p w14:paraId="65848F14">
      <w:pPr>
        <w:spacing w:line="400" w:lineRule="exact"/>
        <w:ind w:firstLine="420" w:firstLineChars="200"/>
        <w:rPr>
          <w:rFonts w:ascii="宋体" w:hAnsi="宋体" w:cs="宋体"/>
          <w:color w:val="auto"/>
          <w:szCs w:val="21"/>
        </w:rPr>
      </w:pPr>
      <w:r>
        <w:rPr>
          <w:rFonts w:hint="eastAsia" w:ascii="宋体" w:hAnsi="宋体" w:cs="宋体"/>
          <w:color w:val="auto"/>
          <w:szCs w:val="21"/>
        </w:rPr>
        <w:t>2）不同供应商的响应文件由同一单位或个人编制；</w:t>
      </w:r>
    </w:p>
    <w:p w14:paraId="1E7FEAEF">
      <w:pPr>
        <w:spacing w:line="400" w:lineRule="exact"/>
        <w:ind w:firstLine="420" w:firstLineChars="200"/>
        <w:rPr>
          <w:rFonts w:ascii="宋体" w:hAnsi="宋体" w:cs="宋体"/>
          <w:color w:val="auto"/>
          <w:szCs w:val="21"/>
        </w:rPr>
      </w:pPr>
      <w:r>
        <w:rPr>
          <w:rFonts w:hint="eastAsia" w:ascii="宋体" w:hAnsi="宋体" w:cs="宋体"/>
          <w:color w:val="auto"/>
          <w:szCs w:val="21"/>
        </w:rPr>
        <w:t>3）不同供应商的响应文件异常一致或者报价呈规律性差异；</w:t>
      </w:r>
    </w:p>
    <w:p w14:paraId="78E96AA1">
      <w:pPr>
        <w:spacing w:line="400" w:lineRule="exact"/>
        <w:ind w:firstLine="420" w:firstLineChars="200"/>
        <w:rPr>
          <w:rFonts w:ascii="宋体" w:hAnsi="宋体" w:cs="宋体"/>
          <w:color w:val="auto"/>
          <w:szCs w:val="21"/>
        </w:rPr>
      </w:pPr>
      <w:r>
        <w:rPr>
          <w:rFonts w:hint="eastAsia" w:ascii="宋体" w:hAnsi="宋体" w:cs="宋体"/>
          <w:color w:val="auto"/>
          <w:szCs w:val="21"/>
        </w:rPr>
        <w:t>4）不同供应商的响应文件相互混装。</w:t>
      </w:r>
    </w:p>
    <w:p w14:paraId="75239B91">
      <w:pPr>
        <w:spacing w:line="400" w:lineRule="exact"/>
        <w:ind w:firstLine="420" w:firstLineChars="200"/>
        <w:rPr>
          <w:rFonts w:ascii="宋体" w:hAnsi="宋体" w:cs="宋体"/>
          <w:color w:val="auto"/>
          <w:szCs w:val="21"/>
        </w:rPr>
      </w:pPr>
      <w:r>
        <w:rPr>
          <w:rFonts w:hint="eastAsia" w:ascii="宋体" w:hAnsi="宋体" w:cs="宋体"/>
          <w:color w:val="auto"/>
          <w:szCs w:val="21"/>
        </w:rPr>
        <w:t>（3）有下列情形之一的，响应报价无效：</w:t>
      </w:r>
    </w:p>
    <w:p w14:paraId="72F1AA92">
      <w:pPr>
        <w:spacing w:line="400" w:lineRule="exact"/>
        <w:ind w:firstLine="420" w:firstLineChars="200"/>
        <w:rPr>
          <w:rFonts w:ascii="宋体" w:hAnsi="宋体" w:cs="宋体"/>
          <w:color w:val="auto"/>
          <w:szCs w:val="21"/>
        </w:rPr>
      </w:pPr>
      <w:r>
        <w:rPr>
          <w:rFonts w:hint="eastAsia" w:ascii="宋体" w:hAnsi="宋体" w:cs="宋体"/>
          <w:color w:val="auto"/>
          <w:szCs w:val="21"/>
        </w:rPr>
        <w:t>1）不具备采购文件中规定的资格要求的；</w:t>
      </w:r>
    </w:p>
    <w:p w14:paraId="7EB3EDB5">
      <w:pPr>
        <w:spacing w:line="400" w:lineRule="exact"/>
        <w:ind w:firstLine="420" w:firstLineChars="200"/>
        <w:rPr>
          <w:rFonts w:ascii="宋体" w:hAnsi="宋体" w:cs="宋体"/>
          <w:color w:val="auto"/>
          <w:szCs w:val="21"/>
        </w:rPr>
      </w:pPr>
      <w:r>
        <w:rPr>
          <w:rFonts w:hint="eastAsia" w:ascii="宋体" w:hAnsi="宋体" w:cs="宋体"/>
          <w:color w:val="auto"/>
          <w:szCs w:val="21"/>
        </w:rPr>
        <w:t>2）报价超过采购文件中规定的预算金额或者最高限价的（采购文件另有说明的除外）；</w:t>
      </w:r>
    </w:p>
    <w:p w14:paraId="2C44ADAB">
      <w:pPr>
        <w:spacing w:line="400" w:lineRule="exact"/>
        <w:ind w:firstLine="420" w:firstLineChars="200"/>
        <w:rPr>
          <w:rFonts w:ascii="宋体" w:hAnsi="宋体" w:cs="宋体"/>
          <w:color w:val="auto"/>
          <w:szCs w:val="21"/>
        </w:rPr>
      </w:pPr>
      <w:r>
        <w:rPr>
          <w:rFonts w:hint="eastAsia" w:ascii="宋体" w:hAnsi="宋体" w:cs="宋体"/>
          <w:color w:val="auto"/>
          <w:szCs w:val="21"/>
        </w:rPr>
        <w:t>3）响应文件含有我院不能接受的附加条件的；</w:t>
      </w:r>
    </w:p>
    <w:p w14:paraId="28033F49">
      <w:pPr>
        <w:spacing w:line="400" w:lineRule="exact"/>
        <w:ind w:firstLine="420" w:firstLineChars="200"/>
        <w:rPr>
          <w:rFonts w:ascii="宋体" w:hAnsi="宋体" w:cs="宋体"/>
          <w:color w:val="auto"/>
          <w:szCs w:val="21"/>
        </w:rPr>
      </w:pPr>
      <w:r>
        <w:rPr>
          <w:rFonts w:hint="eastAsia" w:ascii="宋体" w:hAnsi="宋体" w:cs="宋体"/>
          <w:color w:val="auto"/>
          <w:szCs w:val="21"/>
        </w:rPr>
        <w:t>4）法律法规和采购文件规定的其他无效情形。</w:t>
      </w:r>
    </w:p>
    <w:p w14:paraId="1F68FE4B">
      <w:pPr>
        <w:outlineLvl w:val="0"/>
        <w:rPr>
          <w:b/>
          <w:bCs/>
          <w:color w:val="auto"/>
          <w:kern w:val="0"/>
          <w:sz w:val="28"/>
          <w:szCs w:val="28"/>
        </w:rPr>
      </w:pPr>
      <w:bookmarkStart w:id="77" w:name="_Toc18355"/>
      <w:bookmarkStart w:id="78" w:name="_Toc11319"/>
      <w:bookmarkStart w:id="79" w:name="_Toc28409"/>
      <w:bookmarkStart w:id="80" w:name="_Toc24206"/>
    </w:p>
    <w:p w14:paraId="120BDA7A">
      <w:pPr>
        <w:outlineLvl w:val="0"/>
        <w:rPr>
          <w:rFonts w:hint="eastAsia"/>
          <w:b/>
          <w:bCs/>
          <w:color w:val="auto"/>
          <w:kern w:val="0"/>
          <w:sz w:val="28"/>
          <w:szCs w:val="28"/>
        </w:rPr>
      </w:pPr>
    </w:p>
    <w:p w14:paraId="311C9888">
      <w:pPr>
        <w:outlineLvl w:val="0"/>
        <w:rPr>
          <w:rFonts w:hint="eastAsia"/>
          <w:b/>
          <w:bCs/>
          <w:color w:val="auto"/>
          <w:kern w:val="0"/>
          <w:sz w:val="28"/>
          <w:szCs w:val="28"/>
        </w:rPr>
      </w:pPr>
    </w:p>
    <w:p w14:paraId="7E1ABD62">
      <w:pPr>
        <w:outlineLvl w:val="0"/>
        <w:rPr>
          <w:rFonts w:hint="eastAsia"/>
          <w:b/>
          <w:bCs/>
          <w:color w:val="auto"/>
          <w:kern w:val="0"/>
          <w:sz w:val="28"/>
          <w:szCs w:val="28"/>
        </w:rPr>
      </w:pPr>
    </w:p>
    <w:p w14:paraId="43E3C39E">
      <w:pPr>
        <w:outlineLvl w:val="0"/>
        <w:rPr>
          <w:rFonts w:hint="eastAsia"/>
          <w:b/>
          <w:bCs/>
          <w:color w:val="auto"/>
          <w:kern w:val="0"/>
          <w:sz w:val="28"/>
          <w:szCs w:val="28"/>
        </w:rPr>
      </w:pPr>
    </w:p>
    <w:p w14:paraId="07034E1A">
      <w:pPr>
        <w:outlineLvl w:val="0"/>
        <w:rPr>
          <w:rFonts w:hint="eastAsia"/>
          <w:b/>
          <w:bCs/>
          <w:color w:val="auto"/>
          <w:kern w:val="0"/>
          <w:sz w:val="28"/>
          <w:szCs w:val="28"/>
        </w:rPr>
      </w:pPr>
    </w:p>
    <w:p w14:paraId="77E4FE59">
      <w:pPr>
        <w:outlineLvl w:val="0"/>
        <w:rPr>
          <w:rFonts w:hint="eastAsia"/>
          <w:b/>
          <w:bCs/>
          <w:color w:val="auto"/>
          <w:kern w:val="0"/>
          <w:sz w:val="28"/>
          <w:szCs w:val="28"/>
        </w:rPr>
      </w:pPr>
    </w:p>
    <w:p w14:paraId="75592437">
      <w:pPr>
        <w:outlineLvl w:val="0"/>
        <w:rPr>
          <w:rFonts w:hint="eastAsia"/>
          <w:b/>
          <w:bCs/>
          <w:color w:val="auto"/>
          <w:kern w:val="0"/>
          <w:sz w:val="28"/>
          <w:szCs w:val="28"/>
        </w:rPr>
      </w:pPr>
    </w:p>
    <w:p w14:paraId="0F5651FD">
      <w:pPr>
        <w:outlineLvl w:val="0"/>
        <w:rPr>
          <w:rFonts w:hint="eastAsia"/>
          <w:b/>
          <w:bCs/>
          <w:color w:val="auto"/>
          <w:kern w:val="0"/>
          <w:sz w:val="28"/>
          <w:szCs w:val="28"/>
        </w:rPr>
      </w:pPr>
    </w:p>
    <w:p w14:paraId="7CDD0941">
      <w:pPr>
        <w:outlineLvl w:val="0"/>
        <w:rPr>
          <w:rFonts w:hint="eastAsia"/>
          <w:b/>
          <w:bCs/>
          <w:color w:val="auto"/>
          <w:kern w:val="0"/>
          <w:sz w:val="28"/>
          <w:szCs w:val="28"/>
        </w:rPr>
      </w:pPr>
    </w:p>
    <w:p w14:paraId="0C68F9DA">
      <w:pPr>
        <w:outlineLvl w:val="0"/>
        <w:rPr>
          <w:rFonts w:hint="eastAsia"/>
          <w:b/>
          <w:bCs/>
          <w:color w:val="auto"/>
          <w:kern w:val="0"/>
          <w:sz w:val="28"/>
          <w:szCs w:val="28"/>
        </w:rPr>
      </w:pPr>
    </w:p>
    <w:p w14:paraId="2E3575F6">
      <w:pPr>
        <w:outlineLvl w:val="0"/>
        <w:rPr>
          <w:rFonts w:hint="eastAsia"/>
          <w:b/>
          <w:bCs/>
          <w:color w:val="auto"/>
          <w:kern w:val="0"/>
          <w:sz w:val="28"/>
          <w:szCs w:val="28"/>
        </w:rPr>
      </w:pPr>
    </w:p>
    <w:p w14:paraId="2E80489F">
      <w:pPr>
        <w:outlineLvl w:val="0"/>
        <w:rPr>
          <w:rFonts w:hint="eastAsia"/>
          <w:b/>
          <w:bCs/>
          <w:color w:val="auto"/>
          <w:kern w:val="0"/>
          <w:sz w:val="28"/>
          <w:szCs w:val="28"/>
        </w:rPr>
      </w:pPr>
    </w:p>
    <w:p w14:paraId="327CC882">
      <w:pPr>
        <w:outlineLvl w:val="0"/>
        <w:rPr>
          <w:rFonts w:hint="eastAsia"/>
          <w:b/>
          <w:bCs/>
          <w:color w:val="auto"/>
          <w:kern w:val="0"/>
          <w:sz w:val="28"/>
          <w:szCs w:val="28"/>
        </w:rPr>
      </w:pPr>
    </w:p>
    <w:p w14:paraId="6734EBAD">
      <w:pPr>
        <w:outlineLvl w:val="0"/>
        <w:rPr>
          <w:rFonts w:hint="eastAsia"/>
          <w:b/>
          <w:bCs/>
          <w:color w:val="auto"/>
          <w:kern w:val="0"/>
          <w:sz w:val="28"/>
          <w:szCs w:val="28"/>
        </w:rPr>
      </w:pPr>
    </w:p>
    <w:p w14:paraId="5239C5DB">
      <w:pPr>
        <w:outlineLvl w:val="0"/>
        <w:rPr>
          <w:rFonts w:hint="eastAsia"/>
          <w:b/>
          <w:bCs/>
          <w:color w:val="auto"/>
          <w:kern w:val="0"/>
          <w:sz w:val="28"/>
          <w:szCs w:val="28"/>
        </w:rPr>
      </w:pPr>
    </w:p>
    <w:p w14:paraId="2EC145ED">
      <w:pPr>
        <w:outlineLvl w:val="0"/>
        <w:rPr>
          <w:rFonts w:hint="eastAsia"/>
          <w:b/>
          <w:bCs/>
          <w:color w:val="auto"/>
          <w:kern w:val="0"/>
          <w:sz w:val="28"/>
          <w:szCs w:val="28"/>
        </w:rPr>
      </w:pPr>
    </w:p>
    <w:p w14:paraId="6775EE22">
      <w:pPr>
        <w:outlineLvl w:val="0"/>
        <w:rPr>
          <w:rFonts w:hint="eastAsia"/>
          <w:b/>
          <w:bCs/>
          <w:color w:val="auto"/>
          <w:kern w:val="0"/>
          <w:sz w:val="28"/>
          <w:szCs w:val="28"/>
        </w:rPr>
      </w:pPr>
    </w:p>
    <w:p w14:paraId="53E8EE78">
      <w:pPr>
        <w:outlineLvl w:val="0"/>
        <w:rPr>
          <w:rFonts w:hint="eastAsia"/>
          <w:b/>
          <w:bCs/>
          <w:color w:val="auto"/>
          <w:kern w:val="0"/>
          <w:sz w:val="28"/>
          <w:szCs w:val="28"/>
        </w:rPr>
      </w:pPr>
    </w:p>
    <w:p w14:paraId="2368273A">
      <w:pPr>
        <w:outlineLvl w:val="0"/>
        <w:rPr>
          <w:rFonts w:hint="eastAsia"/>
          <w:b/>
          <w:bCs/>
          <w:color w:val="auto"/>
          <w:kern w:val="0"/>
          <w:sz w:val="28"/>
          <w:szCs w:val="28"/>
        </w:rPr>
      </w:pPr>
    </w:p>
    <w:p w14:paraId="3FEF8069">
      <w:pPr>
        <w:outlineLvl w:val="0"/>
        <w:rPr>
          <w:rFonts w:hint="eastAsia"/>
          <w:b/>
          <w:bCs/>
          <w:color w:val="auto"/>
          <w:kern w:val="0"/>
          <w:sz w:val="28"/>
          <w:szCs w:val="28"/>
        </w:rPr>
      </w:pPr>
    </w:p>
    <w:p w14:paraId="749D777B">
      <w:pPr>
        <w:outlineLvl w:val="0"/>
        <w:rPr>
          <w:rFonts w:hint="eastAsia"/>
          <w:b/>
          <w:bCs/>
          <w:color w:val="auto"/>
          <w:kern w:val="0"/>
          <w:sz w:val="28"/>
          <w:szCs w:val="28"/>
        </w:rPr>
      </w:pPr>
    </w:p>
    <w:p w14:paraId="1DB315F5">
      <w:pPr>
        <w:outlineLvl w:val="0"/>
        <w:rPr>
          <w:rFonts w:hint="eastAsia"/>
          <w:b/>
          <w:bCs/>
          <w:color w:val="auto"/>
          <w:kern w:val="0"/>
          <w:sz w:val="28"/>
          <w:szCs w:val="28"/>
        </w:rPr>
      </w:pPr>
    </w:p>
    <w:p w14:paraId="407DCFB7">
      <w:pPr>
        <w:outlineLvl w:val="0"/>
        <w:rPr>
          <w:rFonts w:hint="eastAsia"/>
          <w:b/>
          <w:bCs/>
          <w:color w:val="auto"/>
          <w:kern w:val="0"/>
          <w:sz w:val="28"/>
          <w:szCs w:val="28"/>
        </w:rPr>
      </w:pPr>
    </w:p>
    <w:p w14:paraId="2B5EEB60">
      <w:pPr>
        <w:outlineLvl w:val="0"/>
        <w:rPr>
          <w:rFonts w:hint="eastAsia"/>
          <w:b/>
          <w:bCs/>
          <w:color w:val="auto"/>
          <w:kern w:val="0"/>
          <w:sz w:val="28"/>
          <w:szCs w:val="28"/>
        </w:rPr>
      </w:pPr>
    </w:p>
    <w:p w14:paraId="57F0A1FA">
      <w:pPr>
        <w:outlineLvl w:val="0"/>
        <w:rPr>
          <w:rFonts w:hint="eastAsia"/>
          <w:b/>
          <w:bCs/>
          <w:color w:val="auto"/>
          <w:kern w:val="0"/>
          <w:sz w:val="28"/>
          <w:szCs w:val="28"/>
        </w:rPr>
      </w:pPr>
    </w:p>
    <w:p w14:paraId="2355BEC8">
      <w:pPr>
        <w:outlineLvl w:val="0"/>
        <w:rPr>
          <w:rFonts w:hint="eastAsia"/>
          <w:b/>
          <w:bCs/>
          <w:color w:val="auto"/>
          <w:kern w:val="0"/>
          <w:sz w:val="28"/>
          <w:szCs w:val="28"/>
        </w:rPr>
      </w:pPr>
    </w:p>
    <w:p w14:paraId="4A373B3D">
      <w:pPr>
        <w:outlineLvl w:val="0"/>
        <w:rPr>
          <w:rFonts w:hint="eastAsia"/>
          <w:b/>
          <w:bCs/>
          <w:color w:val="auto"/>
          <w:kern w:val="0"/>
          <w:sz w:val="28"/>
          <w:szCs w:val="28"/>
        </w:rPr>
      </w:pPr>
    </w:p>
    <w:p w14:paraId="5171FEDB">
      <w:pPr>
        <w:outlineLvl w:val="0"/>
        <w:rPr>
          <w:rFonts w:hint="eastAsia"/>
          <w:b/>
          <w:bCs/>
          <w:color w:val="auto"/>
          <w:kern w:val="0"/>
          <w:sz w:val="28"/>
          <w:szCs w:val="28"/>
        </w:rPr>
      </w:pPr>
    </w:p>
    <w:p w14:paraId="0488D83A">
      <w:pPr>
        <w:outlineLvl w:val="0"/>
        <w:rPr>
          <w:rFonts w:hint="eastAsia"/>
          <w:b/>
          <w:bCs/>
          <w:color w:val="auto"/>
          <w:kern w:val="0"/>
          <w:sz w:val="28"/>
          <w:szCs w:val="28"/>
        </w:rPr>
      </w:pPr>
    </w:p>
    <w:p w14:paraId="1EFEF6F1">
      <w:pPr>
        <w:outlineLvl w:val="0"/>
        <w:rPr>
          <w:rFonts w:hint="eastAsia"/>
          <w:b/>
          <w:bCs/>
          <w:color w:val="auto"/>
          <w:kern w:val="0"/>
          <w:sz w:val="28"/>
          <w:szCs w:val="28"/>
        </w:rPr>
      </w:pPr>
    </w:p>
    <w:p w14:paraId="68AB6B15">
      <w:pPr>
        <w:outlineLvl w:val="0"/>
        <w:rPr>
          <w:rFonts w:hint="eastAsia"/>
          <w:b/>
          <w:bCs/>
          <w:color w:val="auto"/>
          <w:kern w:val="0"/>
          <w:sz w:val="28"/>
          <w:szCs w:val="28"/>
        </w:rPr>
      </w:pPr>
    </w:p>
    <w:p w14:paraId="7154C959">
      <w:pPr>
        <w:outlineLvl w:val="0"/>
        <w:rPr>
          <w:rFonts w:ascii="宋体" w:hAnsi="宋体"/>
          <w:b/>
          <w:bCs/>
          <w:color w:val="auto"/>
          <w:sz w:val="24"/>
        </w:rPr>
      </w:pPr>
      <w:bookmarkStart w:id="81" w:name="_Toc23665"/>
      <w:r>
        <w:rPr>
          <w:rFonts w:hint="eastAsia"/>
          <w:b/>
          <w:bCs/>
          <w:color w:val="auto"/>
          <w:kern w:val="0"/>
          <w:sz w:val="28"/>
          <w:szCs w:val="28"/>
        </w:rPr>
        <w:t xml:space="preserve">第三部分 </w:t>
      </w:r>
      <w:bookmarkStart w:id="82" w:name="_Toc270"/>
      <w:r>
        <w:rPr>
          <w:rFonts w:hint="eastAsia"/>
          <w:b/>
          <w:bCs/>
          <w:color w:val="auto"/>
          <w:kern w:val="0"/>
          <w:sz w:val="28"/>
          <w:szCs w:val="28"/>
        </w:rPr>
        <w:t>评分标准</w:t>
      </w:r>
      <w:bookmarkEnd w:id="77"/>
      <w:bookmarkEnd w:id="78"/>
      <w:bookmarkEnd w:id="79"/>
      <w:bookmarkEnd w:id="80"/>
      <w:bookmarkEnd w:id="81"/>
    </w:p>
    <w:p w14:paraId="32E3FB9E">
      <w:pPr>
        <w:jc w:val="center"/>
        <w:rPr>
          <w:b/>
          <w:bCs/>
          <w:color w:val="auto"/>
          <w:sz w:val="28"/>
          <w:szCs w:val="28"/>
        </w:rPr>
      </w:pPr>
      <w:r>
        <w:rPr>
          <w:rFonts w:hint="eastAsia" w:ascii="宋体" w:hAnsi="宋体"/>
          <w:b/>
          <w:bCs/>
          <w:color w:val="auto"/>
          <w:sz w:val="28"/>
          <w:szCs w:val="28"/>
        </w:rPr>
        <w:t>南方医科大学第五附属医院污水处理系统维护保养服务项目</w:t>
      </w:r>
      <w:r>
        <w:rPr>
          <w:rFonts w:hint="eastAsia"/>
          <w:b/>
          <w:bCs/>
          <w:color w:val="auto"/>
          <w:sz w:val="28"/>
          <w:szCs w:val="28"/>
        </w:rPr>
        <w:t>评分表</w:t>
      </w:r>
      <w:bookmarkStart w:id="83" w:name="_Toc15131"/>
      <w:bookmarkStart w:id="84" w:name="_Toc18949"/>
      <w:bookmarkStart w:id="85" w:name="_Toc23471"/>
    </w:p>
    <w:tbl>
      <w:tblPr>
        <w:tblStyle w:val="25"/>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100"/>
        <w:gridCol w:w="6803"/>
        <w:gridCol w:w="827"/>
      </w:tblGrid>
      <w:tr w14:paraId="00B5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14:paraId="310D91C6">
            <w:pPr>
              <w:jc w:val="center"/>
              <w:rPr>
                <w:rFonts w:ascii="宋体" w:hAnsi="宋体" w:cs="宋体"/>
                <w:b/>
                <w:bCs/>
                <w:color w:val="auto"/>
                <w:szCs w:val="21"/>
              </w:rPr>
            </w:pPr>
            <w:r>
              <w:rPr>
                <w:rFonts w:hint="eastAsia" w:ascii="宋体" w:hAnsi="宋体" w:cs="宋体"/>
                <w:b/>
                <w:bCs/>
                <w:color w:val="auto"/>
                <w:szCs w:val="21"/>
              </w:rPr>
              <w:t>序号</w:t>
            </w:r>
          </w:p>
        </w:tc>
        <w:tc>
          <w:tcPr>
            <w:tcW w:w="1100" w:type="dxa"/>
          </w:tcPr>
          <w:p w14:paraId="61140770">
            <w:pPr>
              <w:jc w:val="center"/>
              <w:rPr>
                <w:rFonts w:ascii="宋体" w:hAnsi="宋体" w:cs="宋体"/>
                <w:b/>
                <w:bCs/>
                <w:color w:val="auto"/>
                <w:szCs w:val="21"/>
              </w:rPr>
            </w:pPr>
            <w:r>
              <w:rPr>
                <w:rFonts w:hint="eastAsia" w:ascii="宋体" w:hAnsi="宋体" w:cs="宋体"/>
                <w:b/>
                <w:bCs/>
                <w:color w:val="auto"/>
                <w:szCs w:val="21"/>
              </w:rPr>
              <w:t>评审项</w:t>
            </w:r>
          </w:p>
        </w:tc>
        <w:tc>
          <w:tcPr>
            <w:tcW w:w="6803" w:type="dxa"/>
          </w:tcPr>
          <w:p w14:paraId="75AEC0BB">
            <w:pPr>
              <w:jc w:val="center"/>
              <w:rPr>
                <w:rFonts w:ascii="宋体" w:hAnsi="宋体" w:cs="宋体"/>
                <w:b/>
                <w:bCs/>
                <w:color w:val="auto"/>
                <w:szCs w:val="21"/>
              </w:rPr>
            </w:pPr>
            <w:r>
              <w:rPr>
                <w:rFonts w:hint="eastAsia" w:ascii="宋体" w:hAnsi="宋体" w:cs="宋体"/>
                <w:b/>
                <w:bCs/>
                <w:color w:val="auto"/>
                <w:szCs w:val="21"/>
              </w:rPr>
              <w:t>评审细则</w:t>
            </w:r>
          </w:p>
        </w:tc>
        <w:tc>
          <w:tcPr>
            <w:tcW w:w="827" w:type="dxa"/>
            <w:vAlign w:val="center"/>
          </w:tcPr>
          <w:p w14:paraId="03F56F80">
            <w:pPr>
              <w:jc w:val="center"/>
              <w:rPr>
                <w:rFonts w:ascii="宋体" w:hAnsi="宋体" w:cs="宋体"/>
                <w:b/>
                <w:bCs/>
                <w:color w:val="auto"/>
                <w:szCs w:val="21"/>
              </w:rPr>
            </w:pPr>
            <w:r>
              <w:rPr>
                <w:rFonts w:hint="eastAsia" w:ascii="宋体" w:hAnsi="宋体" w:cs="宋体"/>
                <w:b/>
                <w:bCs/>
                <w:color w:val="auto"/>
                <w:szCs w:val="21"/>
              </w:rPr>
              <w:t>分值</w:t>
            </w:r>
          </w:p>
        </w:tc>
      </w:tr>
      <w:tr w14:paraId="1100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660" w:type="dxa"/>
            <w:vAlign w:val="center"/>
          </w:tcPr>
          <w:p w14:paraId="2B867B11">
            <w:pPr>
              <w:jc w:val="center"/>
              <w:rPr>
                <w:rFonts w:ascii="宋体" w:hAnsi="宋体" w:cs="宋体"/>
                <w:b/>
                <w:bCs/>
                <w:color w:val="auto"/>
                <w:szCs w:val="21"/>
              </w:rPr>
            </w:pPr>
            <w:r>
              <w:rPr>
                <w:rFonts w:hint="eastAsia" w:ascii="宋体" w:hAnsi="宋体" w:cs="宋体"/>
                <w:b/>
                <w:bCs/>
                <w:color w:val="auto"/>
                <w:szCs w:val="21"/>
              </w:rPr>
              <w:t>1</w:t>
            </w:r>
          </w:p>
        </w:tc>
        <w:tc>
          <w:tcPr>
            <w:tcW w:w="1100" w:type="dxa"/>
            <w:shd w:val="clear" w:color="auto" w:fill="auto"/>
            <w:vAlign w:val="center"/>
          </w:tcPr>
          <w:p w14:paraId="582341AB">
            <w:pPr>
              <w:pStyle w:val="51"/>
              <w:widowControl w:val="0"/>
              <w:jc w:val="center"/>
              <w:rPr>
                <w:rFonts w:ascii="宋体" w:cs="宋体"/>
                <w:b/>
                <w:color w:val="auto"/>
                <w:sz w:val="21"/>
                <w:szCs w:val="21"/>
                <w:lang w:bidi="ar"/>
              </w:rPr>
            </w:pPr>
            <w:r>
              <w:rPr>
                <w:rFonts w:hint="eastAsia" w:ascii="宋体" w:cs="宋体"/>
                <w:b/>
                <w:color w:val="auto"/>
                <w:sz w:val="21"/>
                <w:szCs w:val="21"/>
                <w:lang w:bidi="ar"/>
              </w:rPr>
              <w:t>采购需求响应情况（20分）</w:t>
            </w:r>
          </w:p>
        </w:tc>
        <w:tc>
          <w:tcPr>
            <w:tcW w:w="6803" w:type="dxa"/>
            <w:shd w:val="clear" w:color="auto" w:fill="auto"/>
          </w:tcPr>
          <w:p w14:paraId="736889CE">
            <w:pPr>
              <w:jc w:val="left"/>
              <w:textAlignment w:val="center"/>
              <w:rPr>
                <w:rFonts w:ascii="宋体" w:hAnsi="宋体" w:cs="宋体"/>
                <w:color w:val="auto"/>
                <w:szCs w:val="21"/>
              </w:rPr>
            </w:pPr>
            <w:r>
              <w:rPr>
                <w:rFonts w:hint="eastAsia" w:ascii="宋体" w:hAnsi="宋体" w:cs="宋体"/>
                <w:color w:val="auto"/>
                <w:szCs w:val="21"/>
              </w:rPr>
              <w:t>根据供应商“采购需求偏离表”中对本项目需求响应情况进行评价：</w:t>
            </w:r>
          </w:p>
          <w:p w14:paraId="56F8A21A">
            <w:pPr>
              <w:jc w:val="left"/>
              <w:textAlignment w:val="center"/>
              <w:rPr>
                <w:rFonts w:ascii="宋体" w:hAnsi="宋体" w:cs="宋体"/>
                <w:color w:val="auto"/>
                <w:szCs w:val="21"/>
              </w:rPr>
            </w:pPr>
            <w:r>
              <w:rPr>
                <w:rFonts w:hint="eastAsia" w:ascii="宋体" w:hAnsi="宋体" w:cs="宋体"/>
                <w:color w:val="auto"/>
                <w:szCs w:val="21"/>
              </w:rPr>
              <w:t>（1）对采购文件中各条款的响应非常全面，优于采购文件要求的，得20分；</w:t>
            </w:r>
          </w:p>
          <w:p w14:paraId="6D8A2F0D">
            <w:pPr>
              <w:jc w:val="left"/>
              <w:textAlignment w:val="center"/>
              <w:rPr>
                <w:rFonts w:ascii="宋体" w:hAnsi="宋体" w:cs="宋体"/>
                <w:color w:val="auto"/>
                <w:szCs w:val="21"/>
              </w:rPr>
            </w:pPr>
            <w:r>
              <w:rPr>
                <w:rFonts w:hint="eastAsia" w:ascii="宋体" w:hAnsi="宋体" w:cs="宋体"/>
                <w:color w:val="auto"/>
                <w:szCs w:val="21"/>
              </w:rPr>
              <w:t>（2）对采购文件中各条款的响应全面，符合采购文件要求的，得15分；</w:t>
            </w:r>
          </w:p>
          <w:p w14:paraId="753E03E9">
            <w:pPr>
              <w:jc w:val="left"/>
              <w:textAlignment w:val="center"/>
              <w:rPr>
                <w:rFonts w:ascii="宋体" w:hAnsi="宋体" w:cs="宋体"/>
                <w:color w:val="auto"/>
                <w:szCs w:val="21"/>
              </w:rPr>
            </w:pPr>
            <w:r>
              <w:rPr>
                <w:rFonts w:hint="eastAsia" w:ascii="宋体" w:hAnsi="宋体" w:cs="宋体"/>
                <w:color w:val="auto"/>
                <w:szCs w:val="21"/>
              </w:rPr>
              <w:t>（3）对采购文件中各条款的响应较全面，基本满足采购文件要求的，得10分；</w:t>
            </w:r>
          </w:p>
          <w:p w14:paraId="0025AB54">
            <w:pPr>
              <w:jc w:val="left"/>
              <w:textAlignment w:val="center"/>
              <w:rPr>
                <w:rFonts w:ascii="宋体" w:hAnsi="宋体" w:cs="宋体"/>
                <w:color w:val="auto"/>
                <w:szCs w:val="21"/>
              </w:rPr>
            </w:pPr>
            <w:r>
              <w:rPr>
                <w:rFonts w:hint="eastAsia" w:ascii="宋体" w:hAnsi="宋体" w:cs="宋体"/>
                <w:color w:val="auto"/>
                <w:szCs w:val="21"/>
              </w:rPr>
              <w:t>（4）对采购文件中各条款的响应较差，只有部分满足采购文件要求的，得5分。</w:t>
            </w:r>
          </w:p>
          <w:p w14:paraId="0AD09F84">
            <w:pPr>
              <w:pStyle w:val="51"/>
              <w:widowControl w:val="0"/>
              <w:rPr>
                <w:rFonts w:ascii="宋体" w:cs="宋体"/>
                <w:b/>
                <w:bCs/>
                <w:color w:val="auto"/>
                <w:sz w:val="21"/>
                <w:szCs w:val="21"/>
              </w:rPr>
            </w:pPr>
            <w:r>
              <w:rPr>
                <w:rFonts w:hint="eastAsia" w:ascii="宋体" w:cs="宋体"/>
                <w:b/>
                <w:bCs/>
                <w:color w:val="auto"/>
                <w:sz w:val="21"/>
                <w:szCs w:val="21"/>
              </w:rPr>
              <w:t>注：①如采购需求中有明确要求提供证明材料的，供应商应按采购需求要求提供相关佐证材料，否则视为负偏离。②如采购需求中无明确要求提供证明材料的，根据供应商提供的采购需求偏离表响应为准。③未提供的不得分。</w:t>
            </w:r>
          </w:p>
        </w:tc>
        <w:tc>
          <w:tcPr>
            <w:tcW w:w="827" w:type="dxa"/>
            <w:vAlign w:val="center"/>
          </w:tcPr>
          <w:p w14:paraId="1CB333F5">
            <w:pPr>
              <w:jc w:val="center"/>
              <w:rPr>
                <w:rFonts w:ascii="宋体" w:hAnsi="宋体" w:cs="宋体"/>
                <w:color w:val="auto"/>
                <w:szCs w:val="21"/>
              </w:rPr>
            </w:pPr>
            <w:r>
              <w:rPr>
                <w:rFonts w:hint="eastAsia" w:ascii="宋体" w:hAnsi="宋体" w:cs="宋体"/>
                <w:color w:val="auto"/>
                <w:szCs w:val="21"/>
              </w:rPr>
              <w:t>20分</w:t>
            </w:r>
          </w:p>
        </w:tc>
      </w:tr>
      <w:tr w14:paraId="165A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B76554A">
            <w:pPr>
              <w:jc w:val="center"/>
              <w:rPr>
                <w:rFonts w:ascii="宋体" w:hAnsi="宋体" w:cs="宋体"/>
                <w:b/>
                <w:bCs/>
                <w:color w:val="auto"/>
                <w:szCs w:val="21"/>
              </w:rPr>
            </w:pPr>
            <w:r>
              <w:rPr>
                <w:rFonts w:hint="eastAsia" w:ascii="宋体" w:hAnsi="宋体" w:cs="宋体"/>
                <w:b/>
                <w:bCs/>
                <w:color w:val="auto"/>
                <w:szCs w:val="21"/>
              </w:rPr>
              <w:t>2</w:t>
            </w:r>
          </w:p>
        </w:tc>
        <w:tc>
          <w:tcPr>
            <w:tcW w:w="1100" w:type="dxa"/>
            <w:vAlign w:val="center"/>
          </w:tcPr>
          <w:p w14:paraId="2EF73F30">
            <w:pPr>
              <w:jc w:val="center"/>
              <w:rPr>
                <w:rFonts w:ascii="宋体" w:hAnsi="宋体" w:cs="宋体"/>
                <w:b/>
                <w:bCs/>
                <w:color w:val="auto"/>
                <w:szCs w:val="21"/>
              </w:rPr>
            </w:pPr>
            <w:r>
              <w:rPr>
                <w:rFonts w:hint="eastAsia" w:ascii="宋体" w:hAnsi="宋体" w:cs="宋体"/>
                <w:b/>
                <w:bCs/>
                <w:color w:val="auto"/>
                <w:szCs w:val="21"/>
              </w:rPr>
              <w:t>同类业绩</w:t>
            </w:r>
          </w:p>
          <w:p w14:paraId="0A338CA3">
            <w:pPr>
              <w:jc w:val="center"/>
              <w:rPr>
                <w:rFonts w:ascii="宋体" w:hAnsi="宋体" w:cs="宋体"/>
                <w:b/>
                <w:bCs/>
                <w:color w:val="auto"/>
                <w:szCs w:val="21"/>
              </w:rPr>
            </w:pPr>
            <w:r>
              <w:rPr>
                <w:rFonts w:hint="eastAsia" w:ascii="宋体" w:hAnsi="宋体" w:cs="宋体"/>
                <w:b/>
                <w:bCs/>
                <w:color w:val="auto"/>
                <w:szCs w:val="21"/>
              </w:rPr>
              <w:t>（12分）</w:t>
            </w:r>
          </w:p>
        </w:tc>
        <w:tc>
          <w:tcPr>
            <w:tcW w:w="6803" w:type="dxa"/>
          </w:tcPr>
          <w:p w14:paraId="73742AA9">
            <w:pPr>
              <w:rPr>
                <w:rFonts w:ascii="宋体" w:hAnsi="宋体" w:cs="宋体"/>
                <w:color w:val="auto"/>
                <w:szCs w:val="21"/>
              </w:rPr>
            </w:pPr>
            <w:r>
              <w:rPr>
                <w:rFonts w:hint="eastAsia" w:ascii="宋体" w:hAnsi="宋体" w:cs="宋体"/>
                <w:color w:val="auto"/>
                <w:szCs w:val="21"/>
              </w:rPr>
              <w:t>2024年1月1日以来，供应商具有污水处理系统运营维保服务（需包含在线监测系统维护）的项目经验的，每提供一个业绩，得1.5分，本项最高得12分。</w:t>
            </w:r>
          </w:p>
          <w:p w14:paraId="34186FD2">
            <w:pPr>
              <w:pStyle w:val="51"/>
              <w:rPr>
                <w:rFonts w:ascii="宋体" w:cs="宋体"/>
                <w:color w:val="auto"/>
                <w:sz w:val="21"/>
                <w:szCs w:val="21"/>
              </w:rPr>
            </w:pPr>
            <w:r>
              <w:rPr>
                <w:rFonts w:hint="eastAsia" w:ascii="宋体" w:cs="宋体"/>
                <w:b/>
                <w:bCs/>
                <w:color w:val="auto"/>
                <w:sz w:val="21"/>
                <w:szCs w:val="21"/>
              </w:rPr>
              <w:t>注：提供合同关键页（包含项目名称、合同双方名称、合同标的和金额、签字盖章页、合同签订日期、在线监测系统维护等关键页内容）复印件，并加盖公章，同一业主按一个同类项目计分，未提供或所提供文件不清晰造成评委无法判定则不得分。</w:t>
            </w:r>
          </w:p>
        </w:tc>
        <w:tc>
          <w:tcPr>
            <w:tcW w:w="827" w:type="dxa"/>
            <w:vAlign w:val="center"/>
          </w:tcPr>
          <w:p w14:paraId="5806BCE6">
            <w:pPr>
              <w:jc w:val="center"/>
              <w:rPr>
                <w:rFonts w:ascii="宋体" w:hAnsi="宋体" w:cs="宋体"/>
                <w:color w:val="auto"/>
                <w:szCs w:val="21"/>
              </w:rPr>
            </w:pPr>
            <w:r>
              <w:rPr>
                <w:rFonts w:hint="eastAsia" w:ascii="宋体" w:hAnsi="宋体" w:cs="宋体"/>
                <w:color w:val="auto"/>
                <w:szCs w:val="21"/>
              </w:rPr>
              <w:t>12分</w:t>
            </w:r>
          </w:p>
        </w:tc>
      </w:tr>
      <w:tr w14:paraId="39DC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3B8C0EDC">
            <w:pPr>
              <w:jc w:val="center"/>
              <w:rPr>
                <w:rFonts w:ascii="宋体" w:hAnsi="宋体" w:cs="宋体"/>
                <w:b/>
                <w:bCs/>
                <w:color w:val="auto"/>
                <w:szCs w:val="21"/>
              </w:rPr>
            </w:pPr>
            <w:r>
              <w:rPr>
                <w:rFonts w:hint="eastAsia" w:ascii="宋体" w:hAnsi="宋体" w:cs="宋体"/>
                <w:b/>
                <w:bCs/>
                <w:color w:val="auto"/>
                <w:szCs w:val="21"/>
              </w:rPr>
              <w:t>3</w:t>
            </w:r>
          </w:p>
        </w:tc>
        <w:tc>
          <w:tcPr>
            <w:tcW w:w="1100" w:type="dxa"/>
            <w:vAlign w:val="center"/>
          </w:tcPr>
          <w:p w14:paraId="4548F75C">
            <w:pPr>
              <w:jc w:val="center"/>
              <w:rPr>
                <w:rFonts w:ascii="宋体" w:hAnsi="宋体" w:cs="宋体"/>
                <w:b/>
                <w:bCs/>
                <w:color w:val="auto"/>
                <w:szCs w:val="21"/>
              </w:rPr>
            </w:pPr>
            <w:r>
              <w:rPr>
                <w:rFonts w:hint="eastAsia" w:ascii="宋体" w:hAnsi="宋体" w:cs="宋体"/>
                <w:b/>
                <w:bCs/>
                <w:color w:val="auto"/>
                <w:szCs w:val="21"/>
              </w:rPr>
              <w:t>业主评分</w:t>
            </w:r>
          </w:p>
          <w:p w14:paraId="6AD556A3">
            <w:pPr>
              <w:jc w:val="center"/>
              <w:rPr>
                <w:rFonts w:ascii="宋体" w:hAnsi="宋体" w:cs="宋体"/>
                <w:b/>
                <w:bCs/>
                <w:color w:val="auto"/>
                <w:szCs w:val="21"/>
              </w:rPr>
            </w:pPr>
            <w:r>
              <w:rPr>
                <w:rFonts w:hint="eastAsia" w:ascii="宋体" w:hAnsi="宋体" w:cs="宋体"/>
                <w:b/>
                <w:bCs/>
                <w:color w:val="auto"/>
                <w:szCs w:val="21"/>
              </w:rPr>
              <w:t>（6分）</w:t>
            </w:r>
          </w:p>
        </w:tc>
        <w:tc>
          <w:tcPr>
            <w:tcW w:w="6803" w:type="dxa"/>
          </w:tcPr>
          <w:p w14:paraId="387FB9EE">
            <w:pPr>
              <w:pStyle w:val="51"/>
              <w:widowControl w:val="0"/>
              <w:rPr>
                <w:rFonts w:ascii="宋体" w:cs="宋体"/>
                <w:color w:val="auto"/>
                <w:sz w:val="21"/>
                <w:szCs w:val="21"/>
              </w:rPr>
            </w:pPr>
            <w:r>
              <w:rPr>
                <w:rFonts w:hint="eastAsia" w:ascii="宋体" w:cs="宋体"/>
                <w:color w:val="auto"/>
                <w:sz w:val="21"/>
                <w:szCs w:val="21"/>
              </w:rPr>
              <w:t>依据报价供应商提供与上述同类项目业绩对应的用户评价，用户评价须为良好或以上（含同等意义的评价，如80分或以上、满意或以上等），每提供一项得1分，最高得6分。</w:t>
            </w:r>
          </w:p>
          <w:p w14:paraId="344AB05A">
            <w:pPr>
              <w:rPr>
                <w:rFonts w:ascii="宋体" w:hAnsi="宋体" w:cs="宋体"/>
                <w:color w:val="auto"/>
                <w:szCs w:val="21"/>
              </w:rPr>
            </w:pPr>
            <w:r>
              <w:rPr>
                <w:rFonts w:hint="eastAsia" w:ascii="宋体" w:hAnsi="宋体" w:cs="宋体"/>
                <w:b/>
                <w:bCs/>
                <w:color w:val="auto"/>
                <w:szCs w:val="21"/>
              </w:rPr>
              <w:t>注：提供加盖客户公章的评价证明材料复印件，不满足要求或所提供材料无法体现用户评价的不得分。</w:t>
            </w:r>
          </w:p>
        </w:tc>
        <w:tc>
          <w:tcPr>
            <w:tcW w:w="827" w:type="dxa"/>
            <w:vAlign w:val="center"/>
          </w:tcPr>
          <w:p w14:paraId="0A11EC22">
            <w:pPr>
              <w:jc w:val="center"/>
              <w:rPr>
                <w:rFonts w:ascii="宋体" w:hAnsi="宋体" w:cs="宋体"/>
                <w:color w:val="auto"/>
                <w:szCs w:val="21"/>
              </w:rPr>
            </w:pPr>
            <w:r>
              <w:rPr>
                <w:rFonts w:hint="eastAsia" w:ascii="宋体" w:hAnsi="宋体" w:cs="宋体"/>
                <w:color w:val="auto"/>
                <w:szCs w:val="21"/>
              </w:rPr>
              <w:t>6分</w:t>
            </w:r>
          </w:p>
        </w:tc>
      </w:tr>
      <w:tr w14:paraId="28E1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660" w:type="dxa"/>
            <w:shd w:val="clear" w:color="auto" w:fill="auto"/>
            <w:vAlign w:val="center"/>
          </w:tcPr>
          <w:p w14:paraId="6732E83B">
            <w:pPr>
              <w:jc w:val="center"/>
              <w:rPr>
                <w:rFonts w:ascii="宋体" w:hAnsi="宋体" w:cs="宋体"/>
                <w:b/>
                <w:bCs/>
                <w:color w:val="auto"/>
                <w:szCs w:val="21"/>
              </w:rPr>
            </w:pPr>
            <w:r>
              <w:rPr>
                <w:rFonts w:hint="eastAsia" w:ascii="宋体" w:hAnsi="宋体" w:cs="宋体"/>
                <w:b/>
                <w:bCs/>
                <w:color w:val="auto"/>
                <w:szCs w:val="21"/>
              </w:rPr>
              <w:t>4</w:t>
            </w:r>
          </w:p>
        </w:tc>
        <w:tc>
          <w:tcPr>
            <w:tcW w:w="1100" w:type="dxa"/>
            <w:shd w:val="clear" w:color="auto" w:fill="auto"/>
            <w:vAlign w:val="center"/>
          </w:tcPr>
          <w:p w14:paraId="5C8EFEDC">
            <w:pPr>
              <w:jc w:val="center"/>
              <w:rPr>
                <w:rFonts w:ascii="宋体" w:hAnsi="宋体" w:cs="宋体"/>
                <w:b/>
                <w:bCs/>
                <w:color w:val="auto"/>
                <w:szCs w:val="21"/>
              </w:rPr>
            </w:pPr>
            <w:r>
              <w:rPr>
                <w:rFonts w:hint="eastAsia" w:ascii="宋体" w:hAnsi="宋体" w:cs="宋体"/>
                <w:b/>
                <w:bCs/>
                <w:color w:val="auto"/>
                <w:kern w:val="0"/>
                <w:szCs w:val="21"/>
                <w:lang w:bidi="ar"/>
              </w:rPr>
              <w:t>质量管控及达标保障措施（12分）</w:t>
            </w:r>
          </w:p>
        </w:tc>
        <w:tc>
          <w:tcPr>
            <w:tcW w:w="6803" w:type="dxa"/>
            <w:shd w:val="clear" w:color="auto" w:fill="auto"/>
          </w:tcPr>
          <w:p w14:paraId="4C4CBDB3">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根据各供应商针对本项目质量管控及达标保障措施，包含环保管家服务、在线监测运维、水质日常检测、数据记录、设备维保、水质达标保障、环保合规达标管控、超标预警、台账管理等全套质量保障体系，进行综合评分：</w:t>
            </w:r>
          </w:p>
          <w:p w14:paraId="55FC0C91">
            <w:pPr>
              <w:widowControl/>
              <w:numPr>
                <w:ilvl w:val="0"/>
                <w:numId w:val="4"/>
              </w:numPr>
              <w:jc w:val="left"/>
              <w:rPr>
                <w:rFonts w:ascii="宋体" w:hAnsi="宋体" w:cs="宋体"/>
                <w:color w:val="auto"/>
                <w:kern w:val="0"/>
                <w:szCs w:val="21"/>
                <w:lang w:bidi="ar"/>
              </w:rPr>
            </w:pPr>
            <w:r>
              <w:rPr>
                <w:rFonts w:hint="eastAsia" w:ascii="宋体" w:hAnsi="宋体" w:cs="宋体"/>
                <w:color w:val="auto"/>
                <w:kern w:val="0"/>
                <w:szCs w:val="21"/>
                <w:lang w:bidi="ar"/>
              </w:rPr>
              <w:t>制度健全、管控流程闭环、可有效保障出水水质稳定达标的得12分；</w:t>
            </w:r>
          </w:p>
          <w:p w14:paraId="072EA08B">
            <w:pPr>
              <w:widowControl/>
              <w:numPr>
                <w:ilvl w:val="0"/>
                <w:numId w:val="4"/>
              </w:numPr>
              <w:jc w:val="left"/>
              <w:rPr>
                <w:rFonts w:ascii="宋体" w:hAnsi="宋体" w:cs="宋体"/>
                <w:color w:val="auto"/>
                <w:szCs w:val="21"/>
              </w:rPr>
            </w:pPr>
            <w:r>
              <w:rPr>
                <w:rFonts w:hint="eastAsia" w:ascii="宋体" w:hAnsi="宋体" w:cs="宋体"/>
                <w:color w:val="auto"/>
                <w:kern w:val="0"/>
                <w:szCs w:val="21"/>
                <w:lang w:bidi="ar"/>
              </w:rPr>
              <w:t>管控措施基本完善、流程完整的得8分；</w:t>
            </w:r>
          </w:p>
          <w:p w14:paraId="016EEA51">
            <w:pPr>
              <w:widowControl/>
              <w:numPr>
                <w:ilvl w:val="0"/>
                <w:numId w:val="4"/>
              </w:numPr>
              <w:jc w:val="left"/>
              <w:rPr>
                <w:rFonts w:ascii="宋体" w:hAnsi="宋体" w:cs="宋体"/>
                <w:color w:val="auto"/>
                <w:szCs w:val="21"/>
              </w:rPr>
            </w:pPr>
            <w:r>
              <w:rPr>
                <w:rFonts w:hint="eastAsia" w:ascii="宋体" w:hAnsi="宋体" w:cs="宋体"/>
                <w:color w:val="auto"/>
                <w:kern w:val="0"/>
                <w:szCs w:val="21"/>
                <w:lang w:bidi="ar"/>
              </w:rPr>
              <w:t>措施简单、管控环节缺失的得4分；</w:t>
            </w:r>
          </w:p>
          <w:p w14:paraId="2F8C2C0B">
            <w:pPr>
              <w:widowControl/>
              <w:numPr>
                <w:ilvl w:val="-1"/>
                <w:numId w:val="0"/>
              </w:numPr>
              <w:jc w:val="left"/>
              <w:rPr>
                <w:rFonts w:ascii="宋体" w:hAnsi="宋体" w:cs="宋体"/>
                <w:b/>
                <w:bCs/>
                <w:color w:val="auto"/>
                <w:kern w:val="0"/>
                <w:szCs w:val="21"/>
                <w:lang w:bidi="ar"/>
              </w:rPr>
            </w:pPr>
            <w:r>
              <w:rPr>
                <w:rFonts w:hint="eastAsia" w:ascii="宋体" w:hAnsi="宋体" w:cs="宋体"/>
                <w:color w:val="auto"/>
                <w:kern w:val="0"/>
                <w:szCs w:val="21"/>
                <w:lang w:eastAsia="zh-CN" w:bidi="ar"/>
              </w:rPr>
              <w:t>（</w:t>
            </w:r>
            <w:r>
              <w:rPr>
                <w:rFonts w:hint="eastAsia" w:ascii="宋体" w:hAnsi="宋体" w:cs="宋体"/>
                <w:color w:val="auto"/>
                <w:kern w:val="0"/>
                <w:szCs w:val="21"/>
                <w:lang w:val="en-US" w:eastAsia="zh-CN" w:bidi="ar"/>
              </w:rPr>
              <w:t>4</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无质量保障措施不得分。</w:t>
            </w:r>
          </w:p>
        </w:tc>
        <w:tc>
          <w:tcPr>
            <w:tcW w:w="827" w:type="dxa"/>
            <w:shd w:val="clear" w:color="auto" w:fill="auto"/>
            <w:vAlign w:val="center"/>
          </w:tcPr>
          <w:p w14:paraId="204D403B">
            <w:pPr>
              <w:jc w:val="center"/>
              <w:rPr>
                <w:rFonts w:ascii="宋体" w:hAnsi="宋体" w:cs="宋体"/>
                <w:color w:val="auto"/>
                <w:szCs w:val="21"/>
              </w:rPr>
            </w:pPr>
            <w:r>
              <w:rPr>
                <w:rFonts w:hint="eastAsia" w:ascii="宋体" w:hAnsi="宋体" w:cs="宋体"/>
                <w:color w:val="auto"/>
                <w:szCs w:val="21"/>
              </w:rPr>
              <w:t>12分</w:t>
            </w:r>
          </w:p>
        </w:tc>
      </w:tr>
      <w:tr w14:paraId="2F81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jc w:val="center"/>
        </w:trPr>
        <w:tc>
          <w:tcPr>
            <w:tcW w:w="660" w:type="dxa"/>
            <w:shd w:val="clear" w:color="auto" w:fill="auto"/>
            <w:vAlign w:val="center"/>
          </w:tcPr>
          <w:p w14:paraId="1F415484">
            <w:pPr>
              <w:jc w:val="center"/>
              <w:rPr>
                <w:rFonts w:ascii="宋体" w:hAnsi="宋体" w:cs="宋体"/>
                <w:b/>
                <w:bCs/>
                <w:color w:val="auto"/>
                <w:szCs w:val="21"/>
              </w:rPr>
            </w:pPr>
            <w:r>
              <w:rPr>
                <w:rFonts w:hint="eastAsia" w:ascii="宋体" w:hAnsi="宋体" w:cs="宋体"/>
                <w:b/>
                <w:bCs/>
                <w:color w:val="auto"/>
                <w:szCs w:val="21"/>
              </w:rPr>
              <w:t>5</w:t>
            </w:r>
          </w:p>
        </w:tc>
        <w:tc>
          <w:tcPr>
            <w:tcW w:w="1100" w:type="dxa"/>
            <w:shd w:val="clear" w:color="auto" w:fill="auto"/>
            <w:vAlign w:val="center"/>
          </w:tcPr>
          <w:p w14:paraId="0FFEC25F">
            <w:pPr>
              <w:widowControl/>
              <w:jc w:val="left"/>
              <w:rPr>
                <w:rFonts w:ascii="宋体" w:hAnsi="宋体" w:cs="宋体"/>
                <w:b/>
                <w:bCs/>
                <w:color w:val="auto"/>
                <w:szCs w:val="21"/>
              </w:rPr>
            </w:pPr>
            <w:r>
              <w:rPr>
                <w:rFonts w:hint="eastAsia" w:ascii="宋体" w:hAnsi="宋体" w:cs="宋体"/>
                <w:b/>
                <w:bCs/>
                <w:color w:val="auto"/>
                <w:kern w:val="0"/>
                <w:szCs w:val="21"/>
                <w:lang w:bidi="ar"/>
              </w:rPr>
              <w:t>安全管理及应急处置方案（10分）</w:t>
            </w:r>
          </w:p>
          <w:p w14:paraId="1307E65F">
            <w:pPr>
              <w:jc w:val="center"/>
              <w:rPr>
                <w:rFonts w:ascii="宋体" w:hAnsi="宋体" w:cs="宋体"/>
                <w:b/>
                <w:bCs/>
                <w:color w:val="auto"/>
                <w:kern w:val="0"/>
                <w:szCs w:val="21"/>
                <w:lang w:bidi="ar"/>
              </w:rPr>
            </w:pPr>
          </w:p>
        </w:tc>
        <w:tc>
          <w:tcPr>
            <w:tcW w:w="6803" w:type="dxa"/>
            <w:shd w:val="clear" w:color="auto" w:fill="auto"/>
          </w:tcPr>
          <w:p w14:paraId="20CCFA9B">
            <w:pPr>
              <w:widowControl/>
              <w:numPr>
                <w:ilvl w:val="255"/>
                <w:numId w:val="0"/>
              </w:numPr>
              <w:jc w:val="left"/>
              <w:rPr>
                <w:rFonts w:ascii="宋体" w:hAnsi="宋体" w:cs="宋体"/>
                <w:color w:val="auto"/>
                <w:kern w:val="0"/>
                <w:szCs w:val="21"/>
                <w:lang w:bidi="ar"/>
              </w:rPr>
            </w:pPr>
            <w:r>
              <w:rPr>
                <w:rFonts w:hint="eastAsia" w:ascii="宋体" w:hAnsi="宋体" w:cs="宋体"/>
                <w:color w:val="auto"/>
                <w:kern w:val="0"/>
                <w:szCs w:val="21"/>
                <w:lang w:bidi="ar"/>
              </w:rPr>
              <w:t>根据各供应商针对本项目安全管理及应急处置方案，包含安全生产管理制度、现场作业安全规范、有限空间作业防护、用电安全、环保安全管控，同时配备水质超标、设备故障、暴雨溢流、停水停电等突发事件应急预案，进行综合评分：</w:t>
            </w:r>
          </w:p>
          <w:p w14:paraId="21BA1164">
            <w:pPr>
              <w:widowControl/>
              <w:numPr>
                <w:ilvl w:val="0"/>
                <w:numId w:val="5"/>
              </w:numPr>
              <w:jc w:val="left"/>
              <w:rPr>
                <w:rFonts w:ascii="宋体" w:hAnsi="宋体" w:cs="宋体"/>
                <w:color w:val="auto"/>
                <w:kern w:val="0"/>
                <w:szCs w:val="21"/>
                <w:lang w:bidi="ar"/>
              </w:rPr>
            </w:pPr>
            <w:r>
              <w:rPr>
                <w:rFonts w:hint="eastAsia" w:ascii="宋体" w:hAnsi="宋体" w:cs="宋体"/>
                <w:color w:val="auto"/>
                <w:kern w:val="0"/>
                <w:szCs w:val="21"/>
                <w:lang w:bidi="ar"/>
              </w:rPr>
              <w:t>安全及应急方案具备可操作性、分工明确、处置流程完整、报备机制完善的得10分；</w:t>
            </w:r>
          </w:p>
          <w:p w14:paraId="77487EB9">
            <w:pPr>
              <w:widowControl/>
              <w:numPr>
                <w:ilvl w:val="0"/>
                <w:numId w:val="5"/>
              </w:numPr>
              <w:jc w:val="left"/>
              <w:rPr>
                <w:rFonts w:ascii="宋体" w:hAnsi="宋体" w:cs="宋体"/>
                <w:color w:val="auto"/>
                <w:szCs w:val="21"/>
              </w:rPr>
            </w:pPr>
            <w:r>
              <w:rPr>
                <w:rFonts w:hint="eastAsia" w:ascii="宋体" w:hAnsi="宋体" w:cs="宋体"/>
                <w:color w:val="auto"/>
                <w:kern w:val="0"/>
                <w:szCs w:val="21"/>
                <w:lang w:bidi="ar"/>
              </w:rPr>
              <w:t>安全及应急方案较完整、基本满足需求的得6分；</w:t>
            </w:r>
          </w:p>
          <w:p w14:paraId="65F6A08C">
            <w:pPr>
              <w:widowControl/>
              <w:numPr>
                <w:ilvl w:val="0"/>
                <w:numId w:val="5"/>
              </w:numPr>
              <w:jc w:val="left"/>
              <w:rPr>
                <w:rFonts w:ascii="宋体" w:hAnsi="宋体" w:cs="宋体"/>
                <w:color w:val="auto"/>
                <w:szCs w:val="21"/>
              </w:rPr>
            </w:pPr>
            <w:r>
              <w:rPr>
                <w:rFonts w:hint="eastAsia" w:ascii="宋体" w:hAnsi="宋体" w:cs="宋体"/>
                <w:color w:val="auto"/>
                <w:kern w:val="0"/>
                <w:szCs w:val="21"/>
                <w:lang w:bidi="ar"/>
              </w:rPr>
              <w:t>安全及应急方案内容简略、关键处置流程缺失的得3分；</w:t>
            </w:r>
          </w:p>
          <w:p w14:paraId="35814430">
            <w:pPr>
              <w:widowControl/>
              <w:numPr>
                <w:ilvl w:val="-1"/>
                <w:numId w:val="0"/>
              </w:numPr>
              <w:jc w:val="left"/>
              <w:rPr>
                <w:rFonts w:ascii="宋体" w:hAnsi="宋体" w:cs="宋体"/>
                <w:b/>
                <w:bCs/>
                <w:color w:val="auto"/>
                <w:kern w:val="0"/>
                <w:szCs w:val="21"/>
                <w:lang w:bidi="ar"/>
              </w:rPr>
            </w:pPr>
            <w:r>
              <w:rPr>
                <w:rFonts w:hint="eastAsia" w:ascii="宋体" w:hAnsi="宋体" w:cs="宋体"/>
                <w:color w:val="auto"/>
                <w:kern w:val="0"/>
                <w:szCs w:val="21"/>
                <w:lang w:eastAsia="zh-CN" w:bidi="ar"/>
              </w:rPr>
              <w:t>（</w:t>
            </w:r>
            <w:r>
              <w:rPr>
                <w:rFonts w:hint="eastAsia" w:ascii="宋体" w:hAnsi="宋体" w:cs="宋体"/>
                <w:color w:val="auto"/>
                <w:kern w:val="0"/>
                <w:szCs w:val="21"/>
                <w:lang w:val="en-US" w:eastAsia="zh-CN" w:bidi="ar"/>
              </w:rPr>
              <w:t>4</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未提供方案不得分。</w:t>
            </w:r>
          </w:p>
        </w:tc>
        <w:tc>
          <w:tcPr>
            <w:tcW w:w="827" w:type="dxa"/>
            <w:shd w:val="clear" w:color="auto" w:fill="auto"/>
            <w:vAlign w:val="center"/>
          </w:tcPr>
          <w:p w14:paraId="0FB78098">
            <w:pPr>
              <w:jc w:val="center"/>
              <w:rPr>
                <w:rFonts w:ascii="宋体" w:hAnsi="宋体" w:cs="宋体"/>
                <w:color w:val="auto"/>
                <w:szCs w:val="21"/>
              </w:rPr>
            </w:pPr>
            <w:r>
              <w:rPr>
                <w:rFonts w:hint="eastAsia" w:ascii="宋体" w:hAnsi="宋体" w:cs="宋体"/>
                <w:color w:val="auto"/>
                <w:szCs w:val="21"/>
              </w:rPr>
              <w:t>10分</w:t>
            </w:r>
          </w:p>
        </w:tc>
      </w:tr>
      <w:tr w14:paraId="6AF3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5CF4ABCF">
            <w:pPr>
              <w:jc w:val="center"/>
              <w:rPr>
                <w:rFonts w:ascii="宋体" w:hAnsi="宋体" w:cs="宋体"/>
                <w:b/>
                <w:bCs/>
                <w:color w:val="auto"/>
                <w:szCs w:val="21"/>
              </w:rPr>
            </w:pPr>
            <w:r>
              <w:rPr>
                <w:rFonts w:hint="eastAsia" w:ascii="宋体" w:hAnsi="宋体" w:cs="宋体"/>
                <w:b/>
                <w:bCs/>
                <w:color w:val="auto"/>
                <w:szCs w:val="21"/>
              </w:rPr>
              <w:t>6</w:t>
            </w:r>
          </w:p>
        </w:tc>
        <w:tc>
          <w:tcPr>
            <w:tcW w:w="1100" w:type="dxa"/>
            <w:vAlign w:val="center"/>
          </w:tcPr>
          <w:p w14:paraId="6987191E">
            <w:pPr>
              <w:jc w:val="center"/>
              <w:rPr>
                <w:rFonts w:ascii="宋体" w:hAnsi="宋体" w:cs="宋体"/>
                <w:b/>
                <w:bCs/>
                <w:color w:val="auto"/>
                <w:szCs w:val="21"/>
              </w:rPr>
            </w:pPr>
            <w:r>
              <w:rPr>
                <w:rFonts w:hint="eastAsia" w:ascii="宋体" w:hAnsi="宋体" w:cs="宋体"/>
                <w:b/>
                <w:bCs/>
                <w:color w:val="auto"/>
                <w:szCs w:val="21"/>
              </w:rPr>
              <w:t>售后方案</w:t>
            </w:r>
          </w:p>
          <w:p w14:paraId="69491F96">
            <w:pPr>
              <w:jc w:val="center"/>
              <w:rPr>
                <w:rFonts w:ascii="宋体" w:hAnsi="宋体" w:cs="宋体"/>
                <w:b/>
                <w:bCs/>
                <w:color w:val="auto"/>
                <w:szCs w:val="21"/>
              </w:rPr>
            </w:pPr>
            <w:r>
              <w:rPr>
                <w:rFonts w:hint="eastAsia" w:ascii="宋体" w:hAnsi="宋体" w:cs="宋体"/>
                <w:b/>
                <w:bCs/>
                <w:color w:val="auto"/>
                <w:szCs w:val="21"/>
              </w:rPr>
              <w:t>（12分）</w:t>
            </w:r>
          </w:p>
        </w:tc>
        <w:tc>
          <w:tcPr>
            <w:tcW w:w="6803" w:type="dxa"/>
          </w:tcPr>
          <w:p w14:paraId="786FDCF8">
            <w:pPr>
              <w:widowControl/>
              <w:snapToGrid w:val="0"/>
              <w:jc w:val="left"/>
              <w:textAlignment w:val="auto"/>
              <w:rPr>
                <w:rFonts w:ascii="宋体" w:hAnsi="宋体" w:cs="宋体"/>
                <w:color w:val="auto"/>
                <w:kern w:val="0"/>
                <w:szCs w:val="21"/>
                <w:lang w:bidi="ar"/>
              </w:rPr>
            </w:pPr>
            <w:r>
              <w:rPr>
                <w:rFonts w:hint="eastAsia" w:ascii="宋体" w:hAnsi="宋体" w:cs="宋体"/>
                <w:color w:val="auto"/>
                <w:kern w:val="0"/>
                <w:szCs w:val="21"/>
                <w:lang w:bidi="ar"/>
              </w:rPr>
              <w:t>根据各供应商针对本项目售后服务方案，内容包含但不限于</w:t>
            </w:r>
            <w:r>
              <w:rPr>
                <w:rFonts w:ascii="宋体" w:hAnsi="宋体" w:cs="宋体"/>
                <w:color w:val="auto"/>
                <w:szCs w:val="21"/>
              </w:rPr>
              <w:t>故障响应、配件更换、培训、保密、交接过渡期、投诉处理、考核保障</w:t>
            </w:r>
            <w:r>
              <w:rPr>
                <w:rFonts w:hint="eastAsia" w:ascii="宋体" w:hAnsi="宋体" w:cs="宋体"/>
                <w:color w:val="auto"/>
                <w:kern w:val="0"/>
                <w:szCs w:val="21"/>
                <w:lang w:bidi="ar"/>
              </w:rPr>
              <w:t>等，进行综合评分：</w:t>
            </w:r>
          </w:p>
          <w:p w14:paraId="67F20501">
            <w:pPr>
              <w:widowControl/>
              <w:snapToGrid w:val="0"/>
              <w:rPr>
                <w:rFonts w:ascii="宋体" w:hAnsi="宋体" w:cs="宋体"/>
                <w:color w:val="auto"/>
                <w:szCs w:val="21"/>
              </w:rPr>
            </w:pPr>
            <w:r>
              <w:rPr>
                <w:rFonts w:hint="eastAsia" w:ascii="宋体" w:hAnsi="宋体" w:cs="宋体"/>
                <w:color w:val="auto"/>
                <w:kern w:val="0"/>
                <w:szCs w:val="21"/>
                <w:lang w:bidi="ar"/>
              </w:rPr>
              <w:t>（1）售后方案内容完整，且内容详细，描述清晰，措施可行，完全满足或优于项目采购需求，得12分；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（2）售后方案内容完整，且内容较详细，描述较清晰，措施较可行，基本满足项目采购需求，得8分；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（3）售后方案要点完整，内容简单，措施一般，不满足项目采购需求的得5分；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（4）售后方案要点不完整，内容缺失，措施不明确</w:t>
            </w:r>
            <w:r>
              <w:rPr>
                <w:rFonts w:hint="eastAsia" w:ascii="宋体" w:hAnsi="宋体" w:cs="宋体"/>
                <w:color w:val="auto"/>
                <w:kern w:val="0"/>
                <w:szCs w:val="21"/>
                <w:lang w:val="en-US" w:eastAsia="zh-CN" w:bidi="ar"/>
              </w:rPr>
              <w:t>或未提供</w:t>
            </w:r>
            <w:r>
              <w:rPr>
                <w:rFonts w:hint="eastAsia" w:ascii="宋体" w:hAnsi="宋体" w:cs="宋体"/>
                <w:color w:val="auto"/>
                <w:kern w:val="0"/>
                <w:szCs w:val="21"/>
                <w:lang w:bidi="ar"/>
              </w:rPr>
              <w:t>，得</w:t>
            </w:r>
            <w:r>
              <w:rPr>
                <w:rFonts w:hint="eastAsia" w:ascii="宋体" w:hAnsi="宋体" w:cs="宋体"/>
                <w:color w:val="auto"/>
                <w:kern w:val="0"/>
                <w:szCs w:val="21"/>
                <w:lang w:val="en-US" w:eastAsia="zh-CN" w:bidi="ar"/>
              </w:rPr>
              <w:t>0</w:t>
            </w:r>
            <w:r>
              <w:rPr>
                <w:rFonts w:hint="eastAsia" w:ascii="宋体" w:hAnsi="宋体" w:cs="宋体"/>
                <w:color w:val="auto"/>
                <w:kern w:val="0"/>
                <w:szCs w:val="21"/>
                <w:lang w:bidi="ar"/>
              </w:rPr>
              <w:t>分。</w:t>
            </w:r>
          </w:p>
        </w:tc>
        <w:tc>
          <w:tcPr>
            <w:tcW w:w="827" w:type="dxa"/>
            <w:vAlign w:val="center"/>
          </w:tcPr>
          <w:p w14:paraId="3FCE920C">
            <w:pPr>
              <w:jc w:val="center"/>
              <w:rPr>
                <w:rFonts w:ascii="宋体" w:hAnsi="宋体" w:cs="宋体"/>
                <w:color w:val="auto"/>
                <w:szCs w:val="21"/>
              </w:rPr>
            </w:pPr>
            <w:r>
              <w:rPr>
                <w:rFonts w:hint="eastAsia" w:ascii="宋体" w:hAnsi="宋体" w:cs="宋体"/>
                <w:color w:val="auto"/>
                <w:szCs w:val="21"/>
              </w:rPr>
              <w:t>12分</w:t>
            </w:r>
          </w:p>
        </w:tc>
      </w:tr>
      <w:tr w14:paraId="0714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316B107A">
            <w:pPr>
              <w:jc w:val="center"/>
              <w:rPr>
                <w:rFonts w:ascii="宋体" w:hAnsi="宋体" w:cs="宋体"/>
                <w:b/>
                <w:bCs/>
                <w:color w:val="auto"/>
                <w:szCs w:val="21"/>
              </w:rPr>
            </w:pPr>
            <w:r>
              <w:rPr>
                <w:rFonts w:hint="eastAsia" w:ascii="宋体" w:hAnsi="宋体" w:cs="宋体"/>
                <w:b/>
                <w:bCs/>
                <w:color w:val="auto"/>
                <w:szCs w:val="21"/>
              </w:rPr>
              <w:t>7</w:t>
            </w:r>
          </w:p>
        </w:tc>
        <w:tc>
          <w:tcPr>
            <w:tcW w:w="1100" w:type="dxa"/>
            <w:vAlign w:val="center"/>
          </w:tcPr>
          <w:p w14:paraId="0FCFD8A1">
            <w:pPr>
              <w:jc w:val="center"/>
              <w:rPr>
                <w:rFonts w:ascii="宋体" w:hAnsi="宋体" w:cs="宋体"/>
                <w:b/>
                <w:bCs/>
                <w:color w:val="auto"/>
                <w:szCs w:val="21"/>
              </w:rPr>
            </w:pPr>
            <w:r>
              <w:rPr>
                <w:rFonts w:hint="eastAsia" w:ascii="宋体" w:hAnsi="宋体" w:cs="宋体"/>
                <w:b/>
                <w:bCs/>
                <w:color w:val="auto"/>
                <w:szCs w:val="21"/>
              </w:rPr>
              <w:t>投入人员情况（3分）</w:t>
            </w:r>
          </w:p>
        </w:tc>
        <w:tc>
          <w:tcPr>
            <w:tcW w:w="6803" w:type="dxa"/>
          </w:tcPr>
          <w:p w14:paraId="25321ECB">
            <w:pPr>
              <w:rPr>
                <w:rFonts w:ascii="宋体" w:hAnsi="宋体" w:cs="宋体"/>
                <w:color w:val="auto"/>
                <w:szCs w:val="21"/>
              </w:rPr>
            </w:pPr>
            <w:r>
              <w:rPr>
                <w:rFonts w:hint="eastAsia" w:ascii="宋体" w:hAnsi="宋体" w:cs="宋体"/>
                <w:color w:val="auto"/>
                <w:szCs w:val="21"/>
              </w:rPr>
              <w:t>每提供1名具有污水处理工（员）证及电工证的，得1.5分，本项最高得3分。</w:t>
            </w:r>
          </w:p>
          <w:p w14:paraId="0B8DA6E2">
            <w:pPr>
              <w:rPr>
                <w:rFonts w:ascii="宋体" w:hAnsi="宋体" w:cs="宋体"/>
                <w:color w:val="auto"/>
                <w:szCs w:val="21"/>
              </w:rPr>
            </w:pPr>
            <w:r>
              <w:rPr>
                <w:rFonts w:hint="eastAsia" w:ascii="宋体" w:hAnsi="宋体" w:cs="宋体"/>
                <w:b/>
                <w:bCs/>
                <w:color w:val="auto"/>
                <w:szCs w:val="21"/>
              </w:rPr>
              <w:t>注：提供相关证明材料，同时提供以上人员投标截止日前3个月内任意1个月在供应商单位缴纳社保的证明材料，不提供不得分。</w:t>
            </w:r>
          </w:p>
        </w:tc>
        <w:tc>
          <w:tcPr>
            <w:tcW w:w="827" w:type="dxa"/>
            <w:vAlign w:val="center"/>
          </w:tcPr>
          <w:p w14:paraId="140E1029">
            <w:pPr>
              <w:jc w:val="center"/>
              <w:rPr>
                <w:rFonts w:ascii="宋体" w:hAnsi="宋体" w:cs="宋体"/>
                <w:color w:val="auto"/>
                <w:szCs w:val="21"/>
              </w:rPr>
            </w:pPr>
            <w:r>
              <w:rPr>
                <w:rFonts w:hint="eastAsia" w:ascii="宋体" w:hAnsi="宋体" w:cs="宋体"/>
                <w:color w:val="auto"/>
                <w:szCs w:val="21"/>
              </w:rPr>
              <w:t>3分</w:t>
            </w:r>
          </w:p>
        </w:tc>
      </w:tr>
      <w:tr w14:paraId="2A98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5A384D20">
            <w:pPr>
              <w:jc w:val="center"/>
              <w:rPr>
                <w:rFonts w:ascii="宋体" w:hAnsi="宋体" w:cs="宋体"/>
                <w:b/>
                <w:bCs/>
                <w:color w:val="auto"/>
                <w:szCs w:val="21"/>
              </w:rPr>
            </w:pPr>
            <w:r>
              <w:rPr>
                <w:rFonts w:hint="eastAsia" w:ascii="宋体" w:hAnsi="宋体" w:cs="宋体"/>
                <w:b/>
                <w:bCs/>
                <w:color w:val="auto"/>
                <w:szCs w:val="21"/>
              </w:rPr>
              <w:t>8</w:t>
            </w:r>
          </w:p>
        </w:tc>
        <w:tc>
          <w:tcPr>
            <w:tcW w:w="1100" w:type="dxa"/>
            <w:vAlign w:val="center"/>
          </w:tcPr>
          <w:p w14:paraId="1EAF9911">
            <w:pPr>
              <w:jc w:val="center"/>
              <w:textAlignment w:val="center"/>
              <w:rPr>
                <w:rFonts w:ascii="宋体" w:hAnsi="宋体" w:cs="宋体"/>
                <w:b/>
                <w:bCs/>
                <w:color w:val="auto"/>
                <w:szCs w:val="21"/>
                <w:lang w:bidi="ar"/>
              </w:rPr>
            </w:pPr>
            <w:r>
              <w:rPr>
                <w:rFonts w:hint="eastAsia" w:ascii="宋体" w:hAnsi="宋体" w:cs="宋体"/>
                <w:b/>
                <w:bCs/>
                <w:color w:val="auto"/>
                <w:szCs w:val="21"/>
                <w:lang w:bidi="ar"/>
              </w:rPr>
              <w:t>价格分</w:t>
            </w:r>
          </w:p>
          <w:p w14:paraId="0DA91D98">
            <w:pPr>
              <w:jc w:val="center"/>
              <w:rPr>
                <w:rFonts w:ascii="宋体" w:hAnsi="宋体" w:cs="宋体"/>
                <w:b/>
                <w:bCs/>
                <w:color w:val="auto"/>
                <w:szCs w:val="21"/>
              </w:rPr>
            </w:pPr>
            <w:r>
              <w:rPr>
                <w:rFonts w:hint="eastAsia" w:ascii="宋体" w:hAnsi="宋体" w:cs="宋体"/>
                <w:b/>
                <w:bCs/>
                <w:color w:val="auto"/>
                <w:szCs w:val="21"/>
                <w:lang w:bidi="ar"/>
              </w:rPr>
              <w:t>（25分）</w:t>
            </w:r>
          </w:p>
        </w:tc>
        <w:tc>
          <w:tcPr>
            <w:tcW w:w="6803" w:type="dxa"/>
          </w:tcPr>
          <w:p w14:paraId="5C1100DB">
            <w:pPr>
              <w:rPr>
                <w:rFonts w:ascii="宋体" w:hAnsi="宋体" w:cs="宋体"/>
                <w:b/>
                <w:bCs/>
                <w:color w:val="auto"/>
                <w:szCs w:val="21"/>
              </w:rPr>
            </w:pPr>
            <w:r>
              <w:rPr>
                <w:rFonts w:hint="eastAsia" w:ascii="宋体" w:hAnsi="宋体" w:cs="宋体"/>
                <w:color w:val="auto"/>
                <w:szCs w:val="21"/>
                <w:lang w:bidi="ar"/>
              </w:rPr>
              <w:t>本项目的价格分：通过本项目审查且报价最低的报价为评审基准价，其价格分为满分。报价得分 = （评审基准价/最终报价）×价格权值</w:t>
            </w:r>
          </w:p>
        </w:tc>
        <w:tc>
          <w:tcPr>
            <w:tcW w:w="827" w:type="dxa"/>
            <w:vAlign w:val="center"/>
          </w:tcPr>
          <w:p w14:paraId="5645D3D8">
            <w:pPr>
              <w:jc w:val="center"/>
              <w:rPr>
                <w:rFonts w:ascii="宋体" w:hAnsi="宋体" w:cs="宋体"/>
                <w:color w:val="auto"/>
                <w:szCs w:val="21"/>
              </w:rPr>
            </w:pPr>
            <w:r>
              <w:rPr>
                <w:rFonts w:hint="eastAsia" w:ascii="宋体" w:hAnsi="宋体" w:cs="宋体"/>
                <w:color w:val="auto"/>
                <w:szCs w:val="21"/>
              </w:rPr>
              <w:t>25分</w:t>
            </w:r>
          </w:p>
        </w:tc>
      </w:tr>
      <w:tr w14:paraId="6ECB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563" w:type="dxa"/>
            <w:gridSpan w:val="3"/>
            <w:vAlign w:val="center"/>
          </w:tcPr>
          <w:p w14:paraId="040F368A">
            <w:pPr>
              <w:jc w:val="center"/>
              <w:rPr>
                <w:rFonts w:hint="eastAsia" w:ascii="宋体" w:hAnsi="宋体" w:eastAsia="宋体" w:cs="宋体"/>
                <w:color w:val="auto"/>
                <w:szCs w:val="21"/>
                <w:lang w:val="en-US" w:eastAsia="zh-CN" w:bidi="ar"/>
              </w:rPr>
            </w:pPr>
            <w:r>
              <w:rPr>
                <w:rFonts w:hint="eastAsia" w:ascii="宋体" w:hAnsi="宋体" w:cs="宋体"/>
                <w:b/>
                <w:bCs/>
                <w:color w:val="auto"/>
                <w:szCs w:val="21"/>
                <w:lang w:val="en-US" w:eastAsia="zh-CN" w:bidi="ar"/>
              </w:rPr>
              <w:t>合  计</w:t>
            </w:r>
          </w:p>
        </w:tc>
        <w:tc>
          <w:tcPr>
            <w:tcW w:w="827" w:type="dxa"/>
            <w:vAlign w:val="center"/>
          </w:tcPr>
          <w:p w14:paraId="7CABB115">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100分</w:t>
            </w:r>
          </w:p>
        </w:tc>
      </w:tr>
    </w:tbl>
    <w:p w14:paraId="7253DD6D">
      <w:pPr>
        <w:jc w:val="center"/>
        <w:rPr>
          <w:b/>
          <w:bCs/>
          <w:color w:val="auto"/>
          <w:sz w:val="28"/>
          <w:szCs w:val="28"/>
        </w:rPr>
      </w:pPr>
    </w:p>
    <w:p w14:paraId="7CA6FE67">
      <w:pPr>
        <w:jc w:val="center"/>
        <w:rPr>
          <w:b/>
          <w:bCs/>
          <w:color w:val="auto"/>
          <w:sz w:val="28"/>
          <w:szCs w:val="28"/>
        </w:rPr>
      </w:pPr>
    </w:p>
    <w:p w14:paraId="31DD976A">
      <w:pPr>
        <w:jc w:val="center"/>
        <w:rPr>
          <w:b/>
          <w:bCs/>
          <w:color w:val="auto"/>
          <w:sz w:val="28"/>
          <w:szCs w:val="28"/>
        </w:rPr>
      </w:pPr>
    </w:p>
    <w:p w14:paraId="71B1E51C">
      <w:pPr>
        <w:jc w:val="center"/>
        <w:outlineLvl w:val="0"/>
        <w:rPr>
          <w:rFonts w:ascii="宋体" w:hAnsi="宋体"/>
          <w:b/>
          <w:bCs/>
          <w:color w:val="auto"/>
          <w:sz w:val="28"/>
          <w:szCs w:val="28"/>
        </w:rPr>
      </w:pPr>
      <w:bookmarkStart w:id="86" w:name="_Toc15524"/>
    </w:p>
    <w:p w14:paraId="5AEF4DC1">
      <w:pPr>
        <w:pStyle w:val="5"/>
        <w:rPr>
          <w:rFonts w:ascii="宋体" w:hAnsi="宋体"/>
          <w:b/>
          <w:bCs/>
          <w:color w:val="auto"/>
          <w:sz w:val="28"/>
          <w:szCs w:val="28"/>
        </w:rPr>
      </w:pPr>
    </w:p>
    <w:p w14:paraId="65805B9D">
      <w:pPr>
        <w:pStyle w:val="5"/>
        <w:rPr>
          <w:rFonts w:ascii="宋体" w:hAnsi="宋体"/>
          <w:b/>
          <w:bCs/>
          <w:color w:val="auto"/>
          <w:sz w:val="28"/>
          <w:szCs w:val="28"/>
        </w:rPr>
      </w:pPr>
    </w:p>
    <w:p w14:paraId="0C144820">
      <w:pPr>
        <w:pStyle w:val="5"/>
        <w:rPr>
          <w:rFonts w:ascii="宋体" w:hAnsi="宋体"/>
          <w:b/>
          <w:bCs/>
          <w:color w:val="auto"/>
          <w:sz w:val="28"/>
          <w:szCs w:val="28"/>
        </w:rPr>
      </w:pPr>
    </w:p>
    <w:p w14:paraId="3AF3C59D">
      <w:pPr>
        <w:pStyle w:val="5"/>
        <w:rPr>
          <w:rFonts w:ascii="宋体" w:hAnsi="宋体"/>
          <w:b/>
          <w:bCs/>
          <w:color w:val="auto"/>
          <w:sz w:val="28"/>
          <w:szCs w:val="28"/>
        </w:rPr>
      </w:pPr>
    </w:p>
    <w:p w14:paraId="3CBE2922">
      <w:pPr>
        <w:pStyle w:val="5"/>
        <w:rPr>
          <w:rFonts w:ascii="宋体" w:hAnsi="宋体"/>
          <w:b/>
          <w:bCs/>
          <w:color w:val="auto"/>
          <w:sz w:val="28"/>
          <w:szCs w:val="28"/>
        </w:rPr>
      </w:pPr>
    </w:p>
    <w:p w14:paraId="3C69ACB3">
      <w:pPr>
        <w:pStyle w:val="5"/>
        <w:rPr>
          <w:rFonts w:ascii="宋体" w:hAnsi="宋体"/>
          <w:b/>
          <w:bCs/>
          <w:color w:val="auto"/>
          <w:sz w:val="28"/>
          <w:szCs w:val="28"/>
        </w:rPr>
      </w:pPr>
    </w:p>
    <w:p w14:paraId="133E38D2">
      <w:pPr>
        <w:pStyle w:val="5"/>
        <w:rPr>
          <w:rFonts w:ascii="宋体" w:hAnsi="宋体"/>
          <w:b/>
          <w:bCs/>
          <w:color w:val="auto"/>
          <w:sz w:val="28"/>
          <w:szCs w:val="28"/>
        </w:rPr>
      </w:pPr>
    </w:p>
    <w:p w14:paraId="75335219">
      <w:pPr>
        <w:pStyle w:val="5"/>
        <w:rPr>
          <w:rFonts w:ascii="宋体" w:hAnsi="宋体"/>
          <w:b/>
          <w:bCs/>
          <w:color w:val="auto"/>
          <w:sz w:val="28"/>
          <w:szCs w:val="28"/>
        </w:rPr>
      </w:pPr>
    </w:p>
    <w:p w14:paraId="6992A4EF">
      <w:pPr>
        <w:pStyle w:val="5"/>
        <w:rPr>
          <w:rFonts w:ascii="宋体" w:hAnsi="宋体"/>
          <w:b/>
          <w:bCs/>
          <w:color w:val="auto"/>
          <w:sz w:val="28"/>
          <w:szCs w:val="28"/>
        </w:rPr>
      </w:pPr>
    </w:p>
    <w:p w14:paraId="39DD68B2">
      <w:pPr>
        <w:pStyle w:val="5"/>
        <w:rPr>
          <w:rFonts w:ascii="宋体" w:hAnsi="宋体"/>
          <w:b/>
          <w:bCs/>
          <w:color w:val="auto"/>
          <w:sz w:val="28"/>
          <w:szCs w:val="28"/>
        </w:rPr>
      </w:pPr>
    </w:p>
    <w:p w14:paraId="198B7617">
      <w:pPr>
        <w:pStyle w:val="5"/>
        <w:rPr>
          <w:rFonts w:ascii="宋体" w:hAnsi="宋体"/>
          <w:b/>
          <w:bCs/>
          <w:color w:val="auto"/>
          <w:sz w:val="28"/>
          <w:szCs w:val="28"/>
        </w:rPr>
      </w:pPr>
    </w:p>
    <w:p w14:paraId="0FBFA272">
      <w:pPr>
        <w:jc w:val="center"/>
        <w:outlineLvl w:val="0"/>
        <w:rPr>
          <w:rFonts w:hint="eastAsia" w:ascii="宋体" w:hAnsi="宋体"/>
          <w:b/>
          <w:bCs/>
          <w:color w:val="auto"/>
          <w:sz w:val="28"/>
          <w:szCs w:val="28"/>
        </w:rPr>
      </w:pPr>
    </w:p>
    <w:p w14:paraId="1DFECEE5">
      <w:pPr>
        <w:jc w:val="center"/>
        <w:outlineLvl w:val="0"/>
        <w:rPr>
          <w:rFonts w:hint="eastAsia" w:ascii="宋体" w:hAnsi="宋体"/>
          <w:b/>
          <w:bCs/>
          <w:color w:val="auto"/>
          <w:sz w:val="28"/>
          <w:szCs w:val="28"/>
        </w:rPr>
      </w:pPr>
    </w:p>
    <w:p w14:paraId="363FFDE1">
      <w:pPr>
        <w:jc w:val="center"/>
        <w:outlineLvl w:val="0"/>
        <w:rPr>
          <w:rFonts w:hint="eastAsia" w:ascii="宋体" w:hAnsi="宋体"/>
          <w:b/>
          <w:bCs/>
          <w:color w:val="auto"/>
          <w:sz w:val="28"/>
          <w:szCs w:val="28"/>
        </w:rPr>
      </w:pPr>
    </w:p>
    <w:p w14:paraId="34D7BFB8">
      <w:pPr>
        <w:jc w:val="center"/>
        <w:outlineLvl w:val="0"/>
        <w:rPr>
          <w:rFonts w:hint="eastAsia" w:ascii="宋体" w:hAnsi="宋体"/>
          <w:b/>
          <w:bCs/>
          <w:color w:val="auto"/>
          <w:sz w:val="28"/>
          <w:szCs w:val="28"/>
        </w:rPr>
      </w:pPr>
    </w:p>
    <w:p w14:paraId="7ECF405F">
      <w:pPr>
        <w:jc w:val="center"/>
        <w:outlineLvl w:val="0"/>
        <w:rPr>
          <w:rFonts w:hint="eastAsia" w:ascii="宋体" w:hAnsi="宋体"/>
          <w:b/>
          <w:bCs/>
          <w:color w:val="auto"/>
          <w:sz w:val="28"/>
          <w:szCs w:val="28"/>
        </w:rPr>
      </w:pPr>
    </w:p>
    <w:p w14:paraId="64207DCA">
      <w:pPr>
        <w:jc w:val="center"/>
        <w:outlineLvl w:val="0"/>
        <w:rPr>
          <w:rFonts w:hint="eastAsia" w:ascii="宋体" w:hAnsi="宋体"/>
          <w:b/>
          <w:bCs/>
          <w:color w:val="auto"/>
          <w:sz w:val="28"/>
          <w:szCs w:val="28"/>
        </w:rPr>
      </w:pPr>
    </w:p>
    <w:p w14:paraId="0F12EB76">
      <w:pPr>
        <w:jc w:val="center"/>
        <w:outlineLvl w:val="0"/>
        <w:rPr>
          <w:rFonts w:ascii="宋体" w:hAnsi="宋体"/>
          <w:b/>
          <w:bCs/>
          <w:color w:val="auto"/>
          <w:sz w:val="28"/>
          <w:szCs w:val="28"/>
        </w:rPr>
      </w:pPr>
      <w:bookmarkStart w:id="87" w:name="_Toc28790"/>
      <w:r>
        <w:rPr>
          <w:rFonts w:hint="eastAsia" w:ascii="宋体" w:hAnsi="宋体"/>
          <w:b/>
          <w:bCs/>
          <w:color w:val="auto"/>
          <w:sz w:val="28"/>
          <w:szCs w:val="28"/>
        </w:rPr>
        <w:t>第四部分 合同模板</w:t>
      </w:r>
      <w:bookmarkEnd w:id="83"/>
      <w:bookmarkEnd w:id="84"/>
      <w:bookmarkEnd w:id="85"/>
      <w:bookmarkEnd w:id="86"/>
      <w:bookmarkEnd w:id="87"/>
    </w:p>
    <w:p w14:paraId="3BAF7C6F">
      <w:pPr>
        <w:rPr>
          <w:rFonts w:ascii="宋体" w:hAnsi="宋体"/>
          <w:color w:val="auto"/>
          <w:sz w:val="24"/>
        </w:rPr>
      </w:pPr>
    </w:p>
    <w:p w14:paraId="0ED08A1B">
      <w:pPr>
        <w:spacing w:line="360" w:lineRule="exact"/>
        <w:rPr>
          <w:rFonts w:ascii="宋体" w:hAnsi="宋体"/>
          <w:color w:val="auto"/>
          <w:szCs w:val="21"/>
        </w:rPr>
      </w:pPr>
      <w:r>
        <w:rPr>
          <w:rFonts w:hint="eastAsia" w:ascii="宋体" w:hAnsi="宋体"/>
          <w:color w:val="auto"/>
          <w:szCs w:val="21"/>
        </w:rPr>
        <w:t>注：本合同仅为合同的参考文本，合同签订双方可根据项目的具体要求进行修订，但不得偏离实质性条款。</w:t>
      </w:r>
    </w:p>
    <w:p w14:paraId="56EDA49E">
      <w:pPr>
        <w:jc w:val="center"/>
        <w:rPr>
          <w:rFonts w:ascii="宋体" w:hAnsi="宋体"/>
          <w:b/>
          <w:color w:val="auto"/>
          <w:sz w:val="30"/>
          <w:szCs w:val="30"/>
        </w:rPr>
      </w:pPr>
    </w:p>
    <w:p w14:paraId="3C92EFDE">
      <w:pPr>
        <w:pStyle w:val="2"/>
        <w:rPr>
          <w:rFonts w:cs="Times New Roman"/>
          <w:color w:val="auto"/>
          <w:sz w:val="30"/>
          <w:szCs w:val="30"/>
        </w:rPr>
      </w:pPr>
    </w:p>
    <w:p w14:paraId="6AE2E3D8">
      <w:pPr>
        <w:rPr>
          <w:color w:val="auto"/>
        </w:rPr>
      </w:pPr>
    </w:p>
    <w:p w14:paraId="19FD2DEE">
      <w:pPr>
        <w:jc w:val="center"/>
        <w:rPr>
          <w:rFonts w:ascii="宋体" w:hAnsi="宋体"/>
          <w:b/>
          <w:color w:val="auto"/>
          <w:sz w:val="30"/>
          <w:szCs w:val="30"/>
        </w:rPr>
      </w:pPr>
    </w:p>
    <w:p w14:paraId="3E77DBED">
      <w:pPr>
        <w:spacing w:line="360" w:lineRule="auto"/>
        <w:jc w:val="center"/>
        <w:rPr>
          <w:rFonts w:ascii="黑体" w:hAnsi="黑体" w:eastAsia="黑体" w:cs="黑体"/>
          <w:b/>
          <w:bCs/>
          <w:color w:val="auto"/>
          <w:sz w:val="48"/>
          <w:szCs w:val="48"/>
        </w:rPr>
      </w:pPr>
      <w:r>
        <w:rPr>
          <w:rFonts w:ascii="黑体" w:hAnsi="黑体" w:eastAsia="黑体" w:cs="黑体"/>
          <w:b/>
          <w:bCs/>
          <w:color w:val="auto"/>
          <w:sz w:val="48"/>
          <w:szCs w:val="48"/>
        </w:rPr>
        <w:t>南方医科大学第五附属医院</w:t>
      </w:r>
    </w:p>
    <w:p w14:paraId="5FE9164E">
      <w:pPr>
        <w:spacing w:line="360" w:lineRule="auto"/>
        <w:jc w:val="center"/>
        <w:rPr>
          <w:rFonts w:ascii="黑体" w:hAnsi="黑体" w:eastAsia="黑体" w:cs="黑体"/>
          <w:b/>
          <w:bCs/>
          <w:color w:val="auto"/>
          <w:sz w:val="48"/>
          <w:szCs w:val="48"/>
        </w:rPr>
      </w:pPr>
      <w:r>
        <w:rPr>
          <w:rFonts w:hint="eastAsia" w:ascii="黑体" w:hAnsi="黑体" w:eastAsia="黑体" w:cs="黑体"/>
          <w:b/>
          <w:bCs/>
          <w:color w:val="auto"/>
          <w:sz w:val="48"/>
          <w:szCs w:val="48"/>
        </w:rPr>
        <w:t>污水处理系统维护保养服务</w:t>
      </w:r>
      <w:r>
        <w:rPr>
          <w:rFonts w:ascii="黑体" w:hAnsi="黑体" w:eastAsia="黑体" w:cs="黑体"/>
          <w:b/>
          <w:bCs/>
          <w:color w:val="auto"/>
          <w:sz w:val="48"/>
          <w:szCs w:val="48"/>
        </w:rPr>
        <w:t>合同</w:t>
      </w:r>
    </w:p>
    <w:p w14:paraId="17BA617A">
      <w:pPr>
        <w:spacing w:line="360" w:lineRule="auto"/>
        <w:jc w:val="center"/>
        <w:rPr>
          <w:rFonts w:ascii="宋体" w:hAnsi="宋体" w:cs="宋体"/>
          <w:color w:val="auto"/>
          <w:sz w:val="24"/>
          <w:szCs w:val="24"/>
        </w:rPr>
      </w:pPr>
    </w:p>
    <w:p w14:paraId="67412F16">
      <w:pPr>
        <w:spacing w:line="360" w:lineRule="auto"/>
        <w:jc w:val="center"/>
        <w:rPr>
          <w:rFonts w:ascii="宋体" w:hAnsi="宋体" w:cs="宋体"/>
          <w:color w:val="auto"/>
          <w:sz w:val="24"/>
          <w:szCs w:val="24"/>
        </w:rPr>
      </w:pPr>
    </w:p>
    <w:p w14:paraId="28F5403A">
      <w:pPr>
        <w:spacing w:line="360" w:lineRule="auto"/>
        <w:jc w:val="center"/>
        <w:rPr>
          <w:rFonts w:ascii="宋体" w:hAnsi="宋体" w:cs="宋体"/>
          <w:color w:val="auto"/>
          <w:sz w:val="24"/>
          <w:szCs w:val="24"/>
        </w:rPr>
      </w:pPr>
    </w:p>
    <w:p w14:paraId="5FA56FF0">
      <w:pPr>
        <w:spacing w:line="360" w:lineRule="auto"/>
        <w:jc w:val="center"/>
        <w:rPr>
          <w:rFonts w:ascii="宋体" w:hAnsi="宋体" w:cs="宋体"/>
          <w:color w:val="auto"/>
          <w:sz w:val="24"/>
          <w:szCs w:val="24"/>
        </w:rPr>
      </w:pPr>
    </w:p>
    <w:p w14:paraId="064B3F2E">
      <w:pPr>
        <w:spacing w:line="360" w:lineRule="auto"/>
        <w:jc w:val="center"/>
        <w:rPr>
          <w:rFonts w:ascii="宋体" w:hAnsi="宋体" w:cs="宋体"/>
          <w:color w:val="auto"/>
          <w:sz w:val="24"/>
          <w:szCs w:val="24"/>
        </w:rPr>
      </w:pPr>
    </w:p>
    <w:p w14:paraId="580EC1E1">
      <w:pPr>
        <w:spacing w:line="360" w:lineRule="auto"/>
        <w:jc w:val="center"/>
        <w:rPr>
          <w:rFonts w:ascii="宋体" w:hAnsi="宋体" w:cs="宋体"/>
          <w:color w:val="auto"/>
          <w:sz w:val="24"/>
          <w:szCs w:val="24"/>
        </w:rPr>
      </w:pPr>
    </w:p>
    <w:p w14:paraId="734893EB">
      <w:pPr>
        <w:spacing w:line="360" w:lineRule="auto"/>
        <w:jc w:val="center"/>
        <w:rPr>
          <w:rFonts w:ascii="宋体" w:hAnsi="宋体" w:cs="宋体"/>
          <w:color w:val="auto"/>
          <w:sz w:val="24"/>
          <w:szCs w:val="24"/>
        </w:rPr>
      </w:pPr>
    </w:p>
    <w:p w14:paraId="2DBBB77B">
      <w:pPr>
        <w:autoSpaceDE w:val="0"/>
        <w:autoSpaceDN w:val="0"/>
        <w:spacing w:line="480" w:lineRule="auto"/>
        <w:ind w:right="1848" w:firstLine="419" w:firstLineChars="139"/>
        <w:rPr>
          <w:rFonts w:hint="default" w:ascii="宋体" w:hAnsi="宋体" w:eastAsia="宋体" w:cs="宋体"/>
          <w:b/>
          <w:color w:val="auto"/>
          <w:sz w:val="30"/>
          <w:szCs w:val="30"/>
          <w:lang w:val="en-US" w:eastAsia="zh-CN"/>
        </w:rPr>
      </w:pPr>
      <w:r>
        <w:rPr>
          <w:rFonts w:ascii="宋体" w:hAnsi="宋体" w:cs="宋体"/>
          <w:b/>
          <w:color w:val="auto"/>
          <w:sz w:val="30"/>
          <w:szCs w:val="30"/>
        </w:rPr>
        <w:t>合同编号：</w:t>
      </w:r>
    </w:p>
    <w:p w14:paraId="42C2C94F">
      <w:pPr>
        <w:autoSpaceDE w:val="0"/>
        <w:autoSpaceDN w:val="0"/>
        <w:spacing w:line="480" w:lineRule="auto"/>
        <w:ind w:right="1848" w:firstLine="419" w:firstLineChars="139"/>
        <w:rPr>
          <w:rFonts w:hint="eastAsia" w:ascii="宋体" w:hAnsi="宋体" w:eastAsia="宋体" w:cs="宋体"/>
          <w:color w:val="auto"/>
          <w:sz w:val="30"/>
          <w:szCs w:val="30"/>
          <w:lang w:val="en-US" w:eastAsia="zh-CN"/>
        </w:rPr>
      </w:pPr>
      <w:r>
        <w:rPr>
          <w:rFonts w:ascii="宋体" w:hAnsi="宋体" w:cs="宋体"/>
          <w:b/>
          <w:color w:val="auto"/>
          <w:sz w:val="30"/>
          <w:szCs w:val="30"/>
        </w:rPr>
        <w:t>甲方：</w:t>
      </w:r>
    </w:p>
    <w:p w14:paraId="694F1556">
      <w:pPr>
        <w:autoSpaceDE w:val="0"/>
        <w:autoSpaceDN w:val="0"/>
        <w:spacing w:line="480" w:lineRule="auto"/>
        <w:ind w:right="1848" w:firstLine="419" w:firstLineChars="139"/>
        <w:rPr>
          <w:rFonts w:hint="eastAsia" w:ascii="宋体" w:hAnsi="宋体" w:eastAsia="宋体" w:cs="宋体"/>
          <w:color w:val="auto"/>
          <w:sz w:val="30"/>
          <w:szCs w:val="30"/>
          <w:lang w:eastAsia="zh-CN"/>
        </w:rPr>
      </w:pPr>
      <w:r>
        <w:rPr>
          <w:rFonts w:ascii="宋体" w:hAnsi="宋体" w:cs="宋体"/>
          <w:b/>
          <w:color w:val="auto"/>
          <w:sz w:val="30"/>
          <w:szCs w:val="30"/>
        </w:rPr>
        <w:t>乙方：</w:t>
      </w:r>
    </w:p>
    <w:p w14:paraId="6F4DFBD2">
      <w:pPr>
        <w:widowControl/>
        <w:spacing w:line="480" w:lineRule="auto"/>
        <w:ind w:firstLine="419" w:firstLineChars="139"/>
        <w:rPr>
          <w:rFonts w:hint="eastAsia"/>
          <w:color w:val="auto"/>
          <w:lang w:val="en-US" w:eastAsia="zh-CN"/>
        </w:rPr>
        <w:sectPr>
          <w:headerReference r:id="rId9" w:type="default"/>
          <w:footerReference r:id="rId10" w:type="default"/>
          <w:pgSz w:w="12240" w:h="15840"/>
          <w:pgMar w:top="1440" w:right="1418" w:bottom="1440" w:left="1418" w:header="720" w:footer="720" w:gutter="0"/>
          <w:pgNumType w:fmt="decimal" w:start="1"/>
          <w:cols w:space="720" w:num="1"/>
        </w:sectPr>
      </w:pPr>
      <w:r>
        <w:rPr>
          <w:rFonts w:ascii="宋体" w:hAnsi="宋体" w:cs="宋体"/>
          <w:b/>
          <w:color w:val="auto"/>
          <w:kern w:val="0"/>
          <w:sz w:val="30"/>
          <w:szCs w:val="30"/>
        </w:rPr>
        <w:t>签署地点</w:t>
      </w:r>
      <w:r>
        <w:rPr>
          <w:rFonts w:hint="eastAsia" w:ascii="宋体" w:hAnsi="宋体" w:cs="宋体"/>
          <w:b/>
          <w:color w:val="auto"/>
          <w:kern w:val="0"/>
          <w:sz w:val="30"/>
          <w:szCs w:val="30"/>
          <w:lang w:val="en-US" w:eastAsia="zh-CN"/>
        </w:rPr>
        <w:t>:</w:t>
      </w:r>
    </w:p>
    <w:p w14:paraId="6EA20DC0">
      <w:pPr>
        <w:jc w:val="center"/>
        <w:rPr>
          <w:rFonts w:ascii="宋体" w:hAnsi="宋体"/>
          <w:b/>
          <w:color w:val="auto"/>
          <w:sz w:val="30"/>
          <w:szCs w:val="30"/>
        </w:rPr>
      </w:pPr>
    </w:p>
    <w:p w14:paraId="22777DC9">
      <w:pPr>
        <w:pStyle w:val="9"/>
        <w:spacing w:line="360" w:lineRule="auto"/>
        <w:ind w:left="0" w:firstLine="0" w:firstLineChars="0"/>
        <w:jc w:val="center"/>
        <w:rPr>
          <w:rFonts w:hint="eastAsia" w:ascii="宋体" w:hAnsi="宋体" w:eastAsia="宋体" w:cs="宋体"/>
          <w:b/>
          <w:color w:val="auto"/>
          <w:sz w:val="28"/>
          <w:szCs w:val="28"/>
        </w:rPr>
      </w:pPr>
      <w:bookmarkStart w:id="88" w:name="_Toc28173"/>
      <w:bookmarkStart w:id="89" w:name="_Toc26597"/>
      <w:r>
        <w:rPr>
          <w:rFonts w:hint="eastAsia" w:ascii="宋体" w:hAnsi="宋体" w:eastAsia="宋体" w:cs="宋体"/>
          <w:b/>
          <w:color w:val="auto"/>
          <w:sz w:val="28"/>
          <w:szCs w:val="28"/>
        </w:rPr>
        <w:t>南方医科大学第五附属医院污水处理系统</w:t>
      </w:r>
      <w:r>
        <w:rPr>
          <w:rFonts w:hint="eastAsia" w:ascii="宋体" w:hAnsi="宋体" w:eastAsia="宋体" w:cs="宋体"/>
          <w:b/>
          <w:color w:val="auto"/>
          <w:sz w:val="28"/>
          <w:szCs w:val="28"/>
          <w:lang w:eastAsia="zh-CN"/>
        </w:rPr>
        <w:t>维护保养</w:t>
      </w:r>
      <w:r>
        <w:rPr>
          <w:rFonts w:hint="eastAsia" w:ascii="宋体" w:hAnsi="宋体" w:eastAsia="宋体" w:cs="宋体"/>
          <w:b/>
          <w:color w:val="auto"/>
          <w:sz w:val="28"/>
          <w:szCs w:val="28"/>
        </w:rPr>
        <w:t>服务合同</w:t>
      </w:r>
    </w:p>
    <w:p w14:paraId="0BC1FEC6">
      <w:pPr>
        <w:keepNext w:val="0"/>
        <w:keepLines w:val="0"/>
        <w:pageBreakBefore w:val="0"/>
        <w:kinsoku/>
        <w:wordWrap/>
        <w:overflowPunct/>
        <w:topLinePunct w:val="0"/>
        <w:bidi w:val="0"/>
        <w:snapToGrid/>
        <w:spacing w:line="360" w:lineRule="auto"/>
        <w:ind w:right="1848"/>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rPr>
        <w:t>甲方</w:t>
      </w:r>
      <w:r>
        <w:rPr>
          <w:rFonts w:hint="eastAsia" w:ascii="宋体" w:hAnsi="宋体" w:eastAsia="宋体" w:cs="宋体"/>
          <w:color w:val="auto"/>
          <w:sz w:val="21"/>
          <w:szCs w:val="21"/>
        </w:rPr>
        <w:t>：</w:t>
      </w:r>
    </w:p>
    <w:p w14:paraId="590A3A37">
      <w:pPr>
        <w:keepNext w:val="0"/>
        <w:keepLines w:val="0"/>
        <w:pageBreakBefore w:val="0"/>
        <w:kinsoku/>
        <w:wordWrap/>
        <w:overflowPunct/>
        <w:topLinePunct w:val="0"/>
        <w:bidi w:val="0"/>
        <w:snapToGrid/>
        <w:spacing w:line="360" w:lineRule="auto"/>
        <w:ind w:right="1848"/>
        <w:textAlignment w:val="auto"/>
        <w:rPr>
          <w:rFonts w:hint="eastAsia" w:ascii="宋体" w:hAnsi="宋体" w:eastAsia="宋体" w:cs="宋体"/>
          <w:b w:val="0"/>
          <w:bCs w:val="0"/>
          <w:color w:val="auto"/>
          <w:sz w:val="21"/>
          <w:szCs w:val="21"/>
        </w:rPr>
      </w:pPr>
      <w:r>
        <w:rPr>
          <w:rFonts w:hint="eastAsia" w:ascii="宋体" w:hAnsi="宋体" w:eastAsia="宋体" w:cs="宋体"/>
          <w:b/>
          <w:bCs/>
          <w:color w:val="auto"/>
          <w:sz w:val="21"/>
          <w:szCs w:val="21"/>
        </w:rPr>
        <w:t>乙方：</w:t>
      </w:r>
    </w:p>
    <w:p w14:paraId="132490F0">
      <w:pPr>
        <w:spacing w:line="360" w:lineRule="auto"/>
        <w:ind w:firstLine="500"/>
        <w:rPr>
          <w:rFonts w:ascii="宋体" w:hAnsi="宋体"/>
          <w:bCs/>
          <w:color w:val="auto"/>
          <w:sz w:val="21"/>
          <w:szCs w:val="21"/>
          <w:u w:val="single"/>
        </w:rPr>
      </w:pPr>
      <w:r>
        <w:rPr>
          <w:rFonts w:hint="eastAsia" w:ascii="宋体" w:hAnsi="宋体" w:eastAsia="宋体" w:cs="宋体"/>
          <w:color w:val="auto"/>
          <w:kern w:val="2"/>
          <w:sz w:val="21"/>
          <w:szCs w:val="21"/>
          <w:lang w:val="en-US" w:eastAsia="zh-CN" w:bidi="ar-SA"/>
        </w:rPr>
        <w:t>依照《中华人民共和国民法典》合同编相关规定及“南方医科大学第五附属医院污水处理系统维护保养服务项目”（项目编号：NYWYF20260006）的采购结果和乙方《</w:t>
      </w:r>
      <w:r>
        <w:rPr>
          <w:rFonts w:hint="eastAsia" w:ascii="宋体" w:hAnsi="宋体" w:cs="宋体"/>
          <w:color w:val="auto"/>
          <w:kern w:val="2"/>
          <w:sz w:val="21"/>
          <w:szCs w:val="21"/>
          <w:lang w:val="en-US" w:eastAsia="zh-CN" w:bidi="ar-SA"/>
        </w:rPr>
        <w:t>响应</w:t>
      </w:r>
      <w:r>
        <w:rPr>
          <w:rFonts w:hint="eastAsia" w:ascii="宋体" w:hAnsi="宋体" w:eastAsia="宋体" w:cs="宋体"/>
          <w:color w:val="auto"/>
          <w:kern w:val="2"/>
          <w:sz w:val="21"/>
          <w:szCs w:val="21"/>
          <w:lang w:val="en-US" w:eastAsia="zh-CN" w:bidi="ar-SA"/>
        </w:rPr>
        <w:t>文件》内容，为明确双方权利和义务，保障双方权益，甲、乙双方在自愿、平等、协商、互利的基础上，订立本合同，合同签订后，需共同遵守。具体条款如下：</w:t>
      </w:r>
    </w:p>
    <w:p w14:paraId="68DC4A6A">
      <w:pPr>
        <w:pStyle w:val="33"/>
        <w:numPr>
          <w:ilvl w:val="0"/>
          <w:numId w:val="6"/>
        </w:numPr>
        <w:spacing w:line="360" w:lineRule="auto"/>
        <w:ind w:firstLine="422" w:firstLineChars="200"/>
        <w:rPr>
          <w:rFonts w:hint="eastAsia" w:ascii="宋体" w:hAnsi="宋体" w:cs="宋体"/>
          <w:b/>
          <w:color w:val="auto"/>
          <w:sz w:val="21"/>
          <w:szCs w:val="21"/>
          <w:lang w:val="en-US" w:eastAsia="zh-CN"/>
        </w:rPr>
      </w:pPr>
      <w:r>
        <w:rPr>
          <w:rFonts w:hint="eastAsia" w:ascii="宋体" w:hAnsi="宋体" w:cs="宋体"/>
          <w:b/>
          <w:color w:val="auto"/>
          <w:sz w:val="21"/>
          <w:szCs w:val="21"/>
          <w:lang w:val="en-US" w:eastAsia="zh-CN"/>
        </w:rPr>
        <w:t xml:space="preserve"> 服务内容</w:t>
      </w:r>
    </w:p>
    <w:p w14:paraId="2D168B28">
      <w:pPr>
        <w:adjustRightInd w:val="0"/>
        <w:snapToGrid w:val="0"/>
        <w:spacing w:line="360" w:lineRule="auto"/>
        <w:ind w:firstLine="420" w:firstLineChars="200"/>
        <w:rPr>
          <w:rFonts w:ascii="宋体" w:hAnsi="宋体" w:cs="宋体"/>
          <w:color w:val="auto"/>
          <w:sz w:val="21"/>
          <w:szCs w:val="16"/>
        </w:rPr>
      </w:pPr>
      <w:r>
        <w:rPr>
          <w:rFonts w:ascii="宋体" w:hAnsi="宋体" w:cs="宋体"/>
          <w:color w:val="auto"/>
          <w:sz w:val="21"/>
          <w:szCs w:val="16"/>
        </w:rPr>
        <w:t>乙方</w:t>
      </w:r>
      <w:r>
        <w:rPr>
          <w:rFonts w:hint="eastAsia" w:ascii="宋体" w:hAnsi="宋体" w:cs="宋体"/>
          <w:color w:val="auto"/>
          <w:sz w:val="21"/>
          <w:szCs w:val="16"/>
          <w:lang w:val="en-US" w:eastAsia="zh-CN"/>
        </w:rPr>
        <w:t>为</w:t>
      </w:r>
      <w:r>
        <w:rPr>
          <w:rFonts w:ascii="宋体" w:hAnsi="宋体" w:cs="宋体"/>
          <w:color w:val="auto"/>
          <w:sz w:val="21"/>
          <w:szCs w:val="16"/>
        </w:rPr>
        <w:t>甲方提供污水处理系统</w:t>
      </w:r>
      <w:r>
        <w:rPr>
          <w:rFonts w:hint="eastAsia" w:ascii="宋体" w:hAnsi="宋体" w:cs="宋体"/>
          <w:color w:val="auto"/>
          <w:sz w:val="21"/>
          <w:szCs w:val="16"/>
          <w:lang w:eastAsia="zh-CN"/>
        </w:rPr>
        <w:t>维护保养</w:t>
      </w:r>
      <w:r>
        <w:rPr>
          <w:rFonts w:ascii="宋体" w:hAnsi="宋体" w:cs="宋体"/>
          <w:color w:val="auto"/>
          <w:sz w:val="21"/>
          <w:szCs w:val="16"/>
        </w:rPr>
        <w:t>服务，包括但不限于</w:t>
      </w:r>
      <w:r>
        <w:rPr>
          <w:rFonts w:hint="eastAsia" w:ascii="宋体" w:hAnsi="宋体" w:cs="宋体"/>
          <w:color w:val="auto"/>
          <w:sz w:val="21"/>
          <w:szCs w:val="16"/>
          <w:lang w:eastAsia="zh-CN"/>
        </w:rPr>
        <w:t>：</w:t>
      </w:r>
      <w:r>
        <w:rPr>
          <w:rFonts w:ascii="宋体" w:hAnsi="宋体" w:cs="宋体"/>
          <w:color w:val="auto"/>
          <w:sz w:val="21"/>
          <w:szCs w:val="16"/>
        </w:rPr>
        <w:t>设备的日常维护、定期保养、故障修复</w:t>
      </w:r>
      <w:r>
        <w:rPr>
          <w:rFonts w:hint="eastAsia" w:ascii="宋体" w:hAnsi="宋体" w:cs="宋体"/>
          <w:color w:val="auto"/>
          <w:sz w:val="21"/>
          <w:szCs w:val="16"/>
          <w:lang w:eastAsia="zh-CN"/>
        </w:rPr>
        <w:t>；</w:t>
      </w:r>
      <w:r>
        <w:rPr>
          <w:rFonts w:hint="eastAsia" w:ascii="宋体" w:hAnsi="宋体" w:cs="宋体"/>
          <w:color w:val="auto"/>
          <w:sz w:val="21"/>
          <w:szCs w:val="16"/>
          <w:lang w:val="en-US" w:eastAsia="zh-CN"/>
        </w:rPr>
        <w:t>免费</w:t>
      </w:r>
      <w:r>
        <w:rPr>
          <w:rFonts w:hint="eastAsia" w:ascii="宋体" w:hAnsi="宋体" w:cs="宋体"/>
          <w:color w:val="auto"/>
          <w:sz w:val="21"/>
          <w:szCs w:val="16"/>
        </w:rPr>
        <w:t>单次维修或更换</w:t>
      </w:r>
      <w:r>
        <w:rPr>
          <w:rFonts w:hint="eastAsia" w:ascii="宋体" w:hAnsi="宋体" w:cs="宋体"/>
          <w:color w:val="auto"/>
          <w:sz w:val="21"/>
          <w:szCs w:val="16"/>
          <w:lang w:val="en-US" w:eastAsia="zh-CN"/>
        </w:rPr>
        <w:t>3000</w:t>
      </w:r>
      <w:r>
        <w:rPr>
          <w:rFonts w:ascii="宋体" w:hAnsi="宋体" w:cs="宋体"/>
          <w:color w:val="auto"/>
          <w:sz w:val="21"/>
          <w:szCs w:val="16"/>
        </w:rPr>
        <w:t>元（含</w:t>
      </w:r>
      <w:r>
        <w:rPr>
          <w:rFonts w:hint="eastAsia" w:ascii="宋体" w:hAnsi="宋体" w:cs="宋体"/>
          <w:color w:val="auto"/>
          <w:sz w:val="21"/>
          <w:szCs w:val="16"/>
          <w:lang w:val="en-US" w:eastAsia="zh-CN"/>
        </w:rPr>
        <w:t>3000元</w:t>
      </w:r>
      <w:r>
        <w:rPr>
          <w:rFonts w:ascii="宋体" w:hAnsi="宋体" w:cs="宋体"/>
          <w:color w:val="auto"/>
          <w:sz w:val="21"/>
          <w:szCs w:val="16"/>
        </w:rPr>
        <w:t>）以下</w:t>
      </w:r>
      <w:r>
        <w:rPr>
          <w:rFonts w:hint="eastAsia" w:ascii="宋体" w:hAnsi="宋体" w:cs="宋体"/>
          <w:color w:val="auto"/>
          <w:sz w:val="21"/>
          <w:szCs w:val="16"/>
          <w:lang w:val="en-US" w:eastAsia="zh-CN"/>
        </w:rPr>
        <w:t>的</w:t>
      </w:r>
      <w:r>
        <w:rPr>
          <w:rFonts w:hint="eastAsia" w:ascii="宋体" w:hAnsi="宋体" w:cs="宋体"/>
          <w:color w:val="auto"/>
          <w:sz w:val="21"/>
          <w:szCs w:val="16"/>
        </w:rPr>
        <w:t>零</w:t>
      </w:r>
      <w:r>
        <w:rPr>
          <w:rFonts w:ascii="宋体" w:hAnsi="宋体" w:cs="宋体"/>
          <w:color w:val="auto"/>
          <w:sz w:val="21"/>
          <w:szCs w:val="16"/>
        </w:rPr>
        <w:t>配件</w:t>
      </w:r>
      <w:r>
        <w:rPr>
          <w:rFonts w:hint="eastAsia" w:ascii="宋体" w:hAnsi="宋体" w:cs="宋体"/>
          <w:color w:val="auto"/>
          <w:sz w:val="21"/>
          <w:szCs w:val="16"/>
          <w:lang w:eastAsia="zh-CN"/>
        </w:rPr>
        <w:t>；</w:t>
      </w:r>
      <w:r>
        <w:rPr>
          <w:rFonts w:ascii="宋体" w:hAnsi="宋体" w:cs="宋体"/>
          <w:color w:val="auto"/>
          <w:sz w:val="21"/>
          <w:szCs w:val="16"/>
        </w:rPr>
        <w:t>按环保部门要求的监测频率提供在线监测</w:t>
      </w:r>
      <w:r>
        <w:rPr>
          <w:rFonts w:hint="eastAsia" w:ascii="宋体" w:hAnsi="宋体" w:cs="宋体"/>
          <w:color w:val="auto"/>
          <w:sz w:val="21"/>
          <w:szCs w:val="16"/>
          <w:lang w:val="en-US" w:eastAsia="zh-CN"/>
        </w:rPr>
        <w:t>设备所需</w:t>
      </w:r>
      <w:r>
        <w:rPr>
          <w:rFonts w:ascii="宋体" w:hAnsi="宋体" w:cs="宋体"/>
          <w:color w:val="auto"/>
          <w:sz w:val="21"/>
          <w:szCs w:val="16"/>
        </w:rPr>
        <w:t>药剂（</w:t>
      </w:r>
      <w:r>
        <w:rPr>
          <w:rFonts w:hint="eastAsia" w:ascii="宋体" w:hAnsi="宋体" w:cs="宋体"/>
          <w:color w:val="auto"/>
          <w:sz w:val="21"/>
          <w:szCs w:val="16"/>
          <w:lang w:val="en-US" w:eastAsia="zh-CN"/>
        </w:rPr>
        <w:t>即</w:t>
      </w:r>
      <w:r>
        <w:rPr>
          <w:rFonts w:ascii="宋体" w:hAnsi="宋体" w:cs="宋体"/>
          <w:color w:val="auto"/>
          <w:sz w:val="21"/>
          <w:szCs w:val="16"/>
        </w:rPr>
        <w:t>cod药剂和氨氮药剂</w:t>
      </w:r>
      <w:r>
        <w:rPr>
          <w:rFonts w:hint="eastAsia" w:ascii="宋体" w:hAnsi="宋体" w:cs="宋体"/>
          <w:color w:val="auto"/>
          <w:sz w:val="21"/>
          <w:szCs w:val="16"/>
        </w:rPr>
        <w:t>及根据环保部门要求提供配套药剂</w:t>
      </w:r>
      <w:r>
        <w:rPr>
          <w:rFonts w:ascii="宋体" w:hAnsi="宋体" w:cs="宋体"/>
          <w:color w:val="auto"/>
          <w:sz w:val="21"/>
          <w:szCs w:val="16"/>
        </w:rPr>
        <w:t>），所提供的药剂必须与</w:t>
      </w:r>
      <w:r>
        <w:rPr>
          <w:rFonts w:hint="eastAsia" w:ascii="宋体" w:hAnsi="宋体" w:cs="宋体"/>
          <w:color w:val="auto"/>
          <w:sz w:val="21"/>
          <w:szCs w:val="16"/>
          <w:lang w:eastAsia="zh-CN"/>
        </w:rPr>
        <w:t>甲方</w:t>
      </w:r>
      <w:r>
        <w:rPr>
          <w:rFonts w:ascii="宋体" w:hAnsi="宋体" w:cs="宋体"/>
          <w:color w:val="auto"/>
          <w:sz w:val="21"/>
          <w:szCs w:val="16"/>
        </w:rPr>
        <w:t>在线监测设备兼容，监测数据准确无误，保证污水站的正常运行并达到国家环保部门及卫健委的相关规定。</w:t>
      </w:r>
    </w:p>
    <w:p w14:paraId="2B8E7374">
      <w:pPr>
        <w:pStyle w:val="33"/>
        <w:numPr>
          <w:ilvl w:val="0"/>
          <w:numId w:val="6"/>
        </w:numPr>
        <w:spacing w:line="360" w:lineRule="auto"/>
        <w:ind w:left="0" w:leftChars="0" w:firstLine="422" w:firstLineChars="200"/>
        <w:rPr>
          <w:rFonts w:hint="eastAsia" w:ascii="宋体" w:hAnsi="宋体" w:cs="宋体"/>
          <w:b/>
          <w:color w:val="auto"/>
          <w:sz w:val="21"/>
          <w:szCs w:val="21"/>
          <w:lang w:val="en-US" w:eastAsia="zh-CN"/>
        </w:rPr>
      </w:pPr>
      <w:r>
        <w:rPr>
          <w:rFonts w:hint="eastAsia" w:ascii="宋体" w:hAnsi="宋体" w:cs="宋体"/>
          <w:b/>
          <w:color w:val="auto"/>
          <w:sz w:val="21"/>
          <w:szCs w:val="21"/>
          <w:lang w:val="en-US" w:eastAsia="zh-CN"/>
        </w:rPr>
        <w:t>合同金额</w:t>
      </w:r>
    </w:p>
    <w:p w14:paraId="62CE9713">
      <w:pPr>
        <w:pStyle w:val="33"/>
        <w:numPr>
          <w:ilvl w:val="0"/>
          <w:numId w:val="7"/>
        </w:numPr>
        <w:spacing w:line="360" w:lineRule="auto"/>
        <w:ind w:firstLine="420" w:firstLineChars="200"/>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一年服务期内结算总价不得超过大写人民币</w:t>
      </w:r>
      <w:r>
        <w:rPr>
          <w:rFonts w:hint="eastAsia" w:ascii="宋体" w:hAnsi="宋体" w:cs="宋体"/>
          <w:b w:val="0"/>
          <w:bCs/>
          <w:color w:val="auto"/>
          <w:sz w:val="21"/>
          <w:szCs w:val="21"/>
          <w:u w:val="single"/>
          <w:lang w:val="en-US" w:eastAsia="zh-CN"/>
        </w:rPr>
        <w:t xml:space="preserve">      </w:t>
      </w:r>
      <w:r>
        <w:rPr>
          <w:rFonts w:hint="default" w:ascii="宋体" w:hAnsi="宋体" w:cs="宋体"/>
          <w:b w:val="0"/>
          <w:bCs/>
          <w:color w:val="auto"/>
          <w:sz w:val="21"/>
          <w:szCs w:val="21"/>
          <w:lang w:val="en-US" w:eastAsia="zh-CN"/>
        </w:rPr>
        <w:t>元整(¥</w:t>
      </w:r>
      <w:r>
        <w:rPr>
          <w:rFonts w:hint="eastAsia" w:ascii="宋体" w:hAnsi="宋体" w:cs="宋体"/>
          <w:b w:val="0"/>
          <w:bCs/>
          <w:color w:val="auto"/>
          <w:sz w:val="21"/>
          <w:szCs w:val="21"/>
          <w:lang w:val="en-US" w:eastAsia="zh-CN"/>
        </w:rPr>
        <w:t>00</w:t>
      </w:r>
      <w:r>
        <w:rPr>
          <w:rFonts w:hint="default" w:ascii="宋体" w:hAnsi="宋体" w:cs="宋体"/>
          <w:b w:val="0"/>
          <w:bCs/>
          <w:color w:val="auto"/>
          <w:sz w:val="21"/>
          <w:szCs w:val="21"/>
          <w:lang w:val="en-US" w:eastAsia="zh-CN"/>
        </w:rPr>
        <w:t>.00)。</w:t>
      </w:r>
    </w:p>
    <w:p w14:paraId="513FE299">
      <w:pPr>
        <w:pStyle w:val="33"/>
        <w:numPr>
          <w:ilvl w:val="0"/>
          <w:numId w:val="7"/>
        </w:numPr>
        <w:spacing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eastAsia="宋体" w:cs="宋体"/>
          <w:color w:val="auto"/>
          <w:kern w:val="2"/>
          <w:sz w:val="21"/>
          <w:szCs w:val="21"/>
          <w:lang w:val="en-US" w:eastAsia="zh-CN" w:bidi="ar-SA"/>
        </w:rPr>
        <w:t>合同金额包含但不限于污水处理系统设备维护保养费用、</w:t>
      </w:r>
      <w:r>
        <w:rPr>
          <w:rFonts w:hint="eastAsia" w:ascii="宋体" w:hAnsi="宋体" w:eastAsia="宋体" w:cs="宋体"/>
          <w:color w:val="auto"/>
          <w:kern w:val="2"/>
          <w:sz w:val="21"/>
          <w:szCs w:val="21"/>
          <w:highlight w:val="none"/>
          <w:lang w:val="en-US" w:eastAsia="zh-CN" w:bidi="ar-SA"/>
        </w:rPr>
        <w:t>环保管家、</w:t>
      </w:r>
      <w:r>
        <w:rPr>
          <w:rFonts w:hint="eastAsia" w:ascii="宋体" w:hAnsi="宋体" w:eastAsia="宋体" w:cs="宋体"/>
          <w:color w:val="auto"/>
          <w:kern w:val="2"/>
          <w:sz w:val="21"/>
          <w:szCs w:val="21"/>
          <w:lang w:val="en-US" w:eastAsia="zh-CN" w:bidi="ar-SA"/>
        </w:rPr>
        <w:t>在线监测设备所需的药剂、人工费、单次维修或更换3000元以下（含3000元）零配件费用、调试、各种税费等一切费用。</w:t>
      </w:r>
      <w:r>
        <w:rPr>
          <w:rFonts w:hint="eastAsia" w:ascii="宋体" w:hAnsi="宋体" w:eastAsia="宋体" w:cs="宋体"/>
          <w:color w:val="auto"/>
          <w:kern w:val="0"/>
          <w:sz w:val="21"/>
          <w:szCs w:val="21"/>
          <w:highlight w:val="none"/>
          <w:lang w:val="en-US" w:eastAsia="zh-CN"/>
        </w:rPr>
        <w:t>服务期间</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不得以任何原因再向</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收取任何费用。</w:t>
      </w:r>
    </w:p>
    <w:p w14:paraId="5E8BC661">
      <w:pPr>
        <w:pStyle w:val="33"/>
        <w:keepNext w:val="0"/>
        <w:keepLines w:val="0"/>
        <w:pageBreakBefore w:val="0"/>
        <w:widowControl w:val="0"/>
        <w:kinsoku/>
        <w:wordWrap/>
        <w:overflowPunct/>
        <w:topLinePunct w:val="0"/>
        <w:autoSpaceDE/>
        <w:autoSpaceDN/>
        <w:bidi w:val="0"/>
        <w:adjustRightInd/>
        <w:snapToGrid/>
        <w:spacing w:line="360" w:lineRule="auto"/>
        <w:ind w:firstLine="422" w:firstLineChars="200"/>
        <w:contextualSpacing/>
        <w:textAlignment w:val="auto"/>
        <w:rPr>
          <w:rFonts w:ascii="宋体" w:hAnsi="宋体" w:cs="宋体"/>
          <w:color w:val="auto"/>
          <w:sz w:val="21"/>
          <w:szCs w:val="21"/>
        </w:rPr>
      </w:pPr>
      <w:r>
        <w:rPr>
          <w:rFonts w:hint="eastAsia" w:ascii="宋体" w:hAnsi="宋体" w:cs="宋体"/>
          <w:b/>
          <w:bCs/>
          <w:color w:val="auto"/>
          <w:sz w:val="21"/>
          <w:szCs w:val="21"/>
        </w:rPr>
        <w:t>第</w:t>
      </w:r>
      <w:r>
        <w:rPr>
          <w:rFonts w:hint="eastAsia" w:ascii="宋体" w:hAnsi="宋体" w:cs="宋体"/>
          <w:b/>
          <w:bCs/>
          <w:color w:val="auto"/>
          <w:sz w:val="21"/>
          <w:szCs w:val="21"/>
          <w:lang w:val="en-US" w:eastAsia="zh-CN"/>
        </w:rPr>
        <w:t>三</w:t>
      </w:r>
      <w:r>
        <w:rPr>
          <w:rFonts w:hint="eastAsia" w:ascii="宋体" w:hAnsi="宋体" w:cs="宋体"/>
          <w:b/>
          <w:bCs/>
          <w:color w:val="auto"/>
          <w:sz w:val="21"/>
          <w:szCs w:val="21"/>
        </w:rPr>
        <w:t>条 服务期限和地点</w:t>
      </w:r>
    </w:p>
    <w:p w14:paraId="305D9515">
      <w:pPr>
        <w:pStyle w:val="33"/>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一</w:t>
      </w:r>
      <w:r>
        <w:rPr>
          <w:rFonts w:hint="eastAsia" w:ascii="宋体" w:hAnsi="宋体" w:cs="宋体"/>
          <w:color w:val="auto"/>
          <w:sz w:val="21"/>
          <w:szCs w:val="21"/>
          <w:lang w:eastAsia="zh-CN"/>
        </w:rPr>
        <w:t>）</w:t>
      </w:r>
      <w:r>
        <w:rPr>
          <w:rFonts w:ascii="宋体" w:hAnsi="宋体" w:cs="宋体"/>
          <w:color w:val="auto"/>
          <w:sz w:val="21"/>
          <w:szCs w:val="21"/>
        </w:rPr>
        <w:t>服务期限：</w:t>
      </w:r>
      <w:r>
        <w:rPr>
          <w:rFonts w:hint="eastAsia" w:ascii="宋体" w:hAnsi="宋体" w:eastAsia="宋体" w:cs="宋体"/>
          <w:color w:val="auto"/>
          <w:kern w:val="2"/>
          <w:sz w:val="21"/>
          <w:szCs w:val="21"/>
          <w:lang w:val="en-US" w:eastAsia="zh-CN" w:bidi="ar-SA"/>
        </w:rPr>
        <w:t>本项目服务期限实行1+1模式，首期服务周期为1年(自甲方书面通知之日起开始计算)。首期服务期满，甲方对乙方开展年度综合考核。考核≥80 分可顺延续签第二年；考核＜80 分，甲方有权终止续期，另行采购。</w:t>
      </w:r>
    </w:p>
    <w:p w14:paraId="05AD81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lang w:val="en-US"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二</w:t>
      </w:r>
      <w:r>
        <w:rPr>
          <w:rFonts w:hint="eastAsia" w:ascii="宋体" w:hAnsi="宋体" w:cs="宋体"/>
          <w:color w:val="auto"/>
          <w:sz w:val="21"/>
          <w:szCs w:val="21"/>
          <w:lang w:eastAsia="zh-CN"/>
        </w:rPr>
        <w:t>）</w:t>
      </w:r>
      <w:r>
        <w:rPr>
          <w:rFonts w:ascii="宋体" w:hAnsi="宋体"/>
          <w:color w:val="auto"/>
          <w:sz w:val="21"/>
          <w:szCs w:val="16"/>
        </w:rPr>
        <w:t>服务地点：</w:t>
      </w:r>
      <w:r>
        <w:rPr>
          <w:rFonts w:hint="eastAsia" w:ascii="宋体" w:hAnsi="宋体" w:eastAsia="宋体" w:cs="宋体"/>
          <w:b w:val="0"/>
          <w:bCs/>
          <w:color w:val="auto"/>
          <w:sz w:val="21"/>
          <w:szCs w:val="21"/>
          <w:lang w:val="en-US" w:eastAsia="zh-CN"/>
        </w:rPr>
        <w:t>南方医科大学第五附属医院。</w:t>
      </w:r>
    </w:p>
    <w:p w14:paraId="2FBA4F87">
      <w:pPr>
        <w:spacing w:line="360" w:lineRule="auto"/>
        <w:ind w:firstLine="422" w:firstLineChars="200"/>
        <w:contextualSpacing/>
        <w:rPr>
          <w:rFonts w:ascii="宋体" w:hAnsi="宋体" w:cs="宋体"/>
          <w:bCs/>
          <w:color w:val="auto"/>
          <w:sz w:val="21"/>
          <w:szCs w:val="21"/>
        </w:rPr>
      </w:pPr>
      <w:r>
        <w:rPr>
          <w:rFonts w:ascii="宋体" w:hAnsi="宋体" w:cs="宋体"/>
          <w:b/>
          <w:bCs/>
          <w:color w:val="auto"/>
          <w:sz w:val="21"/>
          <w:szCs w:val="21"/>
        </w:rPr>
        <w:t>第</w:t>
      </w:r>
      <w:r>
        <w:rPr>
          <w:rFonts w:hint="eastAsia" w:ascii="宋体" w:hAnsi="宋体" w:cs="宋体"/>
          <w:b/>
          <w:bCs/>
          <w:color w:val="auto"/>
          <w:sz w:val="21"/>
          <w:szCs w:val="21"/>
          <w:lang w:val="en-US" w:eastAsia="zh-CN"/>
        </w:rPr>
        <w:t>四</w:t>
      </w:r>
      <w:r>
        <w:rPr>
          <w:rFonts w:ascii="宋体" w:hAnsi="宋体" w:cs="宋体"/>
          <w:b/>
          <w:bCs/>
          <w:color w:val="auto"/>
          <w:sz w:val="21"/>
          <w:szCs w:val="21"/>
        </w:rPr>
        <w:t>条 付款方式</w:t>
      </w:r>
    </w:p>
    <w:p w14:paraId="48B5622C">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服务费分期结清，按季度结算。每季度服务完成后，</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开具合规发票交给</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收到发票</w:t>
      </w:r>
      <w:r>
        <w:rPr>
          <w:rFonts w:hint="eastAsia" w:ascii="宋体" w:hAnsi="宋体" w:cs="宋体"/>
          <w:color w:val="auto"/>
          <w:sz w:val="21"/>
          <w:szCs w:val="21"/>
          <w:lang w:val="en-US" w:eastAsia="zh-CN"/>
        </w:rPr>
        <w:t>并</w:t>
      </w:r>
      <w:r>
        <w:rPr>
          <w:rFonts w:hint="eastAsia" w:ascii="宋体" w:hAnsi="宋体" w:eastAsia="宋体" w:cs="宋体"/>
          <w:color w:val="auto"/>
          <w:sz w:val="21"/>
          <w:szCs w:val="21"/>
        </w:rPr>
        <w:t>确认无误后30天内</w:t>
      </w:r>
      <w:r>
        <w:rPr>
          <w:rFonts w:hint="eastAsia" w:ascii="宋体" w:hAnsi="宋体" w:eastAsia="宋体" w:cs="宋体"/>
          <w:color w:val="auto"/>
          <w:sz w:val="21"/>
          <w:szCs w:val="21"/>
          <w:lang w:val="en-US" w:eastAsia="zh-CN"/>
        </w:rPr>
        <w:t>向乙方</w:t>
      </w:r>
      <w:r>
        <w:rPr>
          <w:rFonts w:hint="eastAsia" w:ascii="宋体" w:hAnsi="宋体" w:eastAsia="宋体" w:cs="宋体"/>
          <w:color w:val="auto"/>
          <w:sz w:val="21"/>
          <w:szCs w:val="21"/>
        </w:rPr>
        <w:t>支付当季服务费。</w:t>
      </w:r>
    </w:p>
    <w:p w14:paraId="19FBB18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（二）若因乙方未及时提供合法有效、等额的发票等原因，导致延迟付款的，后果由乙方承担，甲方不承担任何逾期付款的责任。</w:t>
      </w:r>
    </w:p>
    <w:p w14:paraId="3D848169">
      <w:pPr>
        <w:adjustRightInd w:val="0"/>
        <w:snapToGrid w:val="0"/>
        <w:spacing w:line="360" w:lineRule="auto"/>
        <w:ind w:firstLine="420" w:firstLineChars="200"/>
        <w:rPr>
          <w:rFonts w:hint="eastAsia" w:ascii="宋体" w:hAnsi="宋体" w:cs="宋体"/>
          <w:b/>
          <w:bCs/>
          <w:color w:val="auto"/>
          <w:szCs w:val="21"/>
          <w:highlight w:val="none"/>
          <w:lang w:eastAsia="zh-CN"/>
        </w:rPr>
      </w:pPr>
      <w:r>
        <w:rPr>
          <w:rFonts w:hint="eastAsia" w:ascii="宋体" w:hAnsi="宋体" w:cs="宋体"/>
          <w:color w:val="auto"/>
          <w:kern w:val="0"/>
          <w:sz w:val="21"/>
          <w:szCs w:val="21"/>
          <w:highlight w:val="none"/>
          <w:lang w:val="en-US" w:eastAsia="zh-CN"/>
        </w:rPr>
        <w:t>（三）如遇节假日或不可抗力原因，支付日期可顺延。</w:t>
      </w:r>
    </w:p>
    <w:p w14:paraId="3CAE6DF7">
      <w:pPr>
        <w:pStyle w:val="65"/>
        <w:numPr>
          <w:ilvl w:val="0"/>
          <w:numId w:val="0"/>
        </w:numPr>
        <w:spacing w:line="360" w:lineRule="auto"/>
        <w:ind w:firstLine="422" w:firstLineChars="200"/>
        <w:contextualSpacing/>
        <w:rPr>
          <w:rFonts w:ascii="宋体" w:hAnsi="宋体"/>
          <w:b/>
          <w:color w:val="auto"/>
          <w:sz w:val="21"/>
          <w:szCs w:val="21"/>
        </w:rPr>
      </w:pPr>
      <w:r>
        <w:rPr>
          <w:rFonts w:hint="eastAsia" w:ascii="宋体" w:hAnsi="宋体"/>
          <w:b/>
          <w:color w:val="auto"/>
          <w:sz w:val="21"/>
          <w:szCs w:val="21"/>
          <w:lang w:val="en-US" w:eastAsia="zh-CN"/>
        </w:rPr>
        <w:t xml:space="preserve">第五条 </w:t>
      </w:r>
      <w:r>
        <w:rPr>
          <w:rFonts w:ascii="宋体" w:hAnsi="宋体"/>
          <w:b/>
          <w:color w:val="auto"/>
          <w:sz w:val="21"/>
          <w:szCs w:val="21"/>
        </w:rPr>
        <w:t>履约保证金</w:t>
      </w:r>
    </w:p>
    <w:p w14:paraId="4D970E8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在签订合同前需向</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缴纳履约保证金壹万元，合同到期，</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确认</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全部义务履行完毕且无违约责任，收到</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请款函及相关资料后30日内以非现金形式无息返还</w:t>
      </w:r>
      <w:r>
        <w:rPr>
          <w:rFonts w:hint="eastAsia" w:ascii="宋体" w:hAnsi="宋体" w:eastAsia="宋体" w:cs="宋体"/>
          <w:color w:val="auto"/>
          <w:sz w:val="21"/>
          <w:szCs w:val="21"/>
          <w:lang w:eastAsia="zh-CN"/>
        </w:rPr>
        <w:t>。</w:t>
      </w:r>
    </w:p>
    <w:p w14:paraId="2D61AB61">
      <w:pPr>
        <w:widowControl/>
        <w:numPr>
          <w:ilvl w:val="0"/>
          <w:numId w:val="0"/>
        </w:num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cs="宋体"/>
          <w:b w:val="0"/>
          <w:bCs/>
          <w:color w:val="auto"/>
          <w:kern w:val="0"/>
          <w:sz w:val="21"/>
          <w:szCs w:val="21"/>
          <w:highlight w:val="none"/>
          <w:lang w:val="en-US" w:eastAsia="zh-CN"/>
        </w:rPr>
        <w:t>（二）提交方式：供应商自主选择以支票、汇票、本票、保函等非现金形式提交。</w:t>
      </w:r>
    </w:p>
    <w:p w14:paraId="3736A43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（三）</w:t>
      </w:r>
      <w:r>
        <w:rPr>
          <w:rFonts w:hint="eastAsia" w:ascii="宋体" w:hAnsi="宋体" w:eastAsia="宋体" w:cs="宋体"/>
          <w:color w:val="auto"/>
          <w:sz w:val="21"/>
          <w:szCs w:val="21"/>
        </w:rPr>
        <w:t>履约保证金不予退还的情形：</w:t>
      </w:r>
    </w:p>
    <w:p w14:paraId="0DAEA3C2">
      <w:pPr>
        <w:widowControl/>
        <w:numPr>
          <w:ilvl w:val="0"/>
          <w:numId w:val="0"/>
        </w:numPr>
        <w:spacing w:line="360" w:lineRule="auto"/>
        <w:ind w:firstLine="420" w:firstLineChars="200"/>
        <w:rPr>
          <w:rFonts w:hint="eastAsia" w:ascii="宋体" w:hAnsi="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违反合同约定或拒绝履行合同义务的；</w:t>
      </w:r>
    </w:p>
    <w:p w14:paraId="026680D8">
      <w:pPr>
        <w:widowControl/>
        <w:numPr>
          <w:ilvl w:val="0"/>
          <w:numId w:val="0"/>
        </w:numPr>
        <w:spacing w:line="360" w:lineRule="auto"/>
        <w:ind w:firstLine="420" w:firstLineChars="200"/>
        <w:rPr>
          <w:rFonts w:hint="eastAsia"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发生泄密、环保违规、数据造假等严重违约</w:t>
      </w:r>
      <w:r>
        <w:rPr>
          <w:rFonts w:hint="eastAsia" w:ascii="宋体" w:hAnsi="宋体" w:eastAsia="宋体" w:cs="宋体"/>
          <w:bCs/>
          <w:color w:val="auto"/>
          <w:kern w:val="0"/>
          <w:sz w:val="21"/>
          <w:szCs w:val="21"/>
          <w:highlight w:val="none"/>
          <w:lang w:val="en-US" w:eastAsia="zh-CN"/>
        </w:rPr>
        <w:t>；</w:t>
      </w:r>
    </w:p>
    <w:p w14:paraId="5EF56243">
      <w:pPr>
        <w:widowControl/>
        <w:numPr>
          <w:ilvl w:val="0"/>
          <w:numId w:val="0"/>
        </w:numPr>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供应商提前解除合同的。</w:t>
      </w:r>
    </w:p>
    <w:p w14:paraId="38C2497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（四）甲方逾期退还履约保证金的，从逾期之日起按同期一年期LPR的标准向供应商支付违约金。但因供应商自身原因导致无法及时退还的除外。</w:t>
      </w:r>
    </w:p>
    <w:p w14:paraId="5DAFE865">
      <w:pPr>
        <w:widowControl/>
        <w:numPr>
          <w:ilvl w:val="0"/>
          <w:numId w:val="0"/>
        </w:numPr>
        <w:adjustRightInd w:val="0"/>
        <w:snapToGrid w:val="0"/>
        <w:spacing w:line="360" w:lineRule="auto"/>
        <w:ind w:firstLine="420" w:firstLineChars="200"/>
        <w:jc w:val="left"/>
        <w:rPr>
          <w:rFonts w:hint="eastAsia" w:ascii="宋体" w:hAnsi="宋体" w:eastAsia="宋体" w:cs="宋体"/>
          <w:b/>
          <w:bCs/>
          <w:color w:val="auto"/>
          <w:sz w:val="21"/>
          <w:szCs w:val="21"/>
        </w:rPr>
      </w:pPr>
      <w:r>
        <w:rPr>
          <w:rFonts w:hint="eastAsia" w:ascii="宋体" w:hAnsi="宋体" w:cs="宋体"/>
          <w:b w:val="0"/>
          <w:bCs/>
          <w:color w:val="auto"/>
          <w:kern w:val="0"/>
          <w:sz w:val="21"/>
          <w:szCs w:val="21"/>
          <w:highlight w:val="none"/>
          <w:lang w:val="en-US" w:eastAsia="zh-CN"/>
        </w:rPr>
        <w:t>（五）供应商逾期缴纳履约保证金的，从逾期之日起按同期一年期LPR的标准向甲方支付逾期违约金。逾期超过10日的，视为供应商根本违约，甲方有权单方解除合同，并有权要求供应商支付等额于履约保证金全额的违约金；如该违约金不足以弥补甲方损失的（包括但不限于重新采购成本、医疗延误损失等），供应商还应予以赔偿。同时，甲方有权将供应商列入不良行为名单。</w:t>
      </w:r>
    </w:p>
    <w:p w14:paraId="6A87BC62">
      <w:pPr>
        <w:pStyle w:val="33"/>
        <w:keepNext w:val="0"/>
        <w:keepLines w:val="0"/>
        <w:pageBreakBefore w:val="0"/>
        <w:widowControl w:val="0"/>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第</w:t>
      </w:r>
      <w:r>
        <w:rPr>
          <w:rFonts w:hint="eastAsia" w:ascii="宋体" w:hAnsi="宋体" w:eastAsia="宋体" w:cs="宋体"/>
          <w:b/>
          <w:bCs/>
          <w:color w:val="auto"/>
          <w:sz w:val="21"/>
          <w:szCs w:val="21"/>
          <w:lang w:val="en-US" w:eastAsia="zh-CN"/>
        </w:rPr>
        <w:t>六</w:t>
      </w:r>
      <w:r>
        <w:rPr>
          <w:rFonts w:hint="eastAsia" w:ascii="宋体" w:hAnsi="宋体" w:eastAsia="宋体" w:cs="宋体"/>
          <w:b/>
          <w:bCs/>
          <w:color w:val="auto"/>
          <w:sz w:val="21"/>
          <w:szCs w:val="21"/>
          <w:lang w:eastAsia="zh-CN"/>
        </w:rPr>
        <w:t>条</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lang w:eastAsia="zh-CN"/>
        </w:rPr>
        <w:t>服务要求</w:t>
      </w:r>
    </w:p>
    <w:p w14:paraId="5B30D9D4">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（一）管家服务项</w:t>
      </w:r>
    </w:p>
    <w:p w14:paraId="10A7047A">
      <w:pPr>
        <w:pStyle w:val="65"/>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1.日常巡查和指导服务</w:t>
      </w:r>
    </w:p>
    <w:p w14:paraId="30C3BEF7">
      <w:pPr>
        <w:pStyle w:val="65"/>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每周</w:t>
      </w:r>
      <w:r>
        <w:rPr>
          <w:rFonts w:hint="eastAsia" w:ascii="宋体" w:hAnsi="宋体" w:eastAsia="宋体" w:cs="宋体"/>
          <w:color w:val="auto"/>
          <w:sz w:val="21"/>
          <w:szCs w:val="21"/>
          <w:highlight w:val="none"/>
          <w:u w:val="single"/>
          <w:lang w:val="en-US" w:eastAsia="zh-CN"/>
        </w:rPr>
        <w:t xml:space="preserve">    次</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污水处理站进行巡检，排查场地存在的环保问题，并提出整改建议</w:t>
      </w:r>
      <w:r>
        <w:rPr>
          <w:rFonts w:hint="eastAsia" w:ascii="宋体" w:hAnsi="宋体" w:eastAsia="宋体" w:cs="宋体"/>
          <w:color w:val="auto"/>
          <w:sz w:val="21"/>
          <w:szCs w:val="21"/>
          <w:highlight w:val="none"/>
          <w:lang w:val="en-US" w:eastAsia="zh-CN"/>
        </w:rPr>
        <w:t>与处理</w:t>
      </w:r>
      <w:r>
        <w:rPr>
          <w:rFonts w:hint="eastAsia" w:ascii="宋体" w:hAnsi="宋体" w:eastAsia="宋体" w:cs="宋体"/>
          <w:color w:val="auto"/>
          <w:sz w:val="21"/>
          <w:szCs w:val="21"/>
          <w:highlight w:val="none"/>
        </w:rPr>
        <w:t>。</w:t>
      </w:r>
    </w:p>
    <w:p w14:paraId="0F049696">
      <w:pPr>
        <w:pStyle w:val="65"/>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每周</w:t>
      </w:r>
      <w:r>
        <w:rPr>
          <w:rFonts w:hint="eastAsia" w:ascii="宋体" w:hAnsi="宋体" w:eastAsia="宋体" w:cs="宋体"/>
          <w:color w:val="auto"/>
          <w:sz w:val="21"/>
          <w:szCs w:val="21"/>
          <w:highlight w:val="none"/>
          <w:u w:val="single"/>
          <w:lang w:val="en-US" w:eastAsia="zh-CN"/>
        </w:rPr>
        <w:t xml:space="preserve">    次</w:t>
      </w:r>
      <w:r>
        <w:rPr>
          <w:rFonts w:hint="eastAsia" w:ascii="宋体" w:hAnsi="宋体" w:eastAsia="宋体" w:cs="宋体"/>
          <w:color w:val="auto"/>
          <w:sz w:val="21"/>
          <w:szCs w:val="21"/>
          <w:highlight w:val="none"/>
        </w:rPr>
        <w:t>巡查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废水、废气治理设施运行情况（运行是否正常、台账记录是否完善、投药量是否正常、耗材是否定期更换等）。</w:t>
      </w:r>
    </w:p>
    <w:p w14:paraId="182D6858">
      <w:pPr>
        <w:pStyle w:val="65"/>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每周</w:t>
      </w:r>
      <w:r>
        <w:rPr>
          <w:rFonts w:hint="eastAsia" w:ascii="宋体" w:hAnsi="宋体" w:eastAsia="宋体" w:cs="宋体"/>
          <w:color w:val="auto"/>
          <w:sz w:val="21"/>
          <w:szCs w:val="21"/>
          <w:highlight w:val="none"/>
          <w:u w:val="single"/>
          <w:lang w:val="en-US" w:eastAsia="zh-CN"/>
        </w:rPr>
        <w:t xml:space="preserve">    次</w:t>
      </w:r>
      <w:r>
        <w:rPr>
          <w:rFonts w:hint="eastAsia" w:ascii="宋体" w:hAnsi="宋体" w:eastAsia="宋体" w:cs="宋体"/>
          <w:color w:val="auto"/>
          <w:sz w:val="21"/>
          <w:szCs w:val="21"/>
          <w:highlight w:val="none"/>
        </w:rPr>
        <w:t>巡查危险废物（废液、污泥、废渣等）的储存、转移、申报、台账的情况，并向环保平台申报。</w:t>
      </w:r>
    </w:p>
    <w:p w14:paraId="3B2145E6">
      <w:pPr>
        <w:pStyle w:val="65"/>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协助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做好环保及其他部门的检查，配合落实有关文件通知要求。</w:t>
      </w:r>
    </w:p>
    <w:p w14:paraId="0914D3DA">
      <w:pPr>
        <w:pStyle w:val="65"/>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5）根据环保部门要求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指导</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落实各类自行监测任务，每天</w:t>
      </w:r>
      <w:r>
        <w:rPr>
          <w:rFonts w:hint="eastAsia" w:ascii="宋体" w:hAnsi="宋体" w:eastAsia="宋体" w:cs="宋体"/>
          <w:color w:val="auto"/>
          <w:sz w:val="21"/>
          <w:szCs w:val="21"/>
          <w:highlight w:val="none"/>
          <w:u w:val="single"/>
          <w:lang w:val="en-US" w:eastAsia="zh-CN"/>
        </w:rPr>
        <w:t xml:space="preserve">    次</w:t>
      </w:r>
      <w:r>
        <w:rPr>
          <w:rFonts w:hint="eastAsia" w:ascii="宋体" w:hAnsi="宋体" w:eastAsia="宋体" w:cs="宋体"/>
          <w:color w:val="auto"/>
          <w:sz w:val="21"/>
          <w:szCs w:val="21"/>
          <w:highlight w:val="none"/>
        </w:rPr>
        <w:t>查看在线监测设备后台监测数据是否正常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如果数据异常超过24小时，</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还没有发现，每次扣除</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1000元</w:t>
      </w:r>
      <w:r>
        <w:rPr>
          <w:rFonts w:hint="eastAsia" w:ascii="宋体" w:hAnsi="宋体" w:eastAsia="宋体" w:cs="宋体"/>
          <w:color w:val="auto"/>
          <w:sz w:val="21"/>
          <w:szCs w:val="21"/>
          <w:highlight w:val="none"/>
          <w:lang w:val="en-US" w:eastAsia="zh-CN"/>
        </w:rPr>
        <w:t>作为违约金</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超过三次未能发现，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有权终止合同，造成的损失由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w:t>
      </w:r>
    </w:p>
    <w:p w14:paraId="1DB5975C">
      <w:pPr>
        <w:spacing w:line="360" w:lineRule="auto"/>
        <w:ind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2.环保部门各类台账及执行报告申报服务</w:t>
      </w:r>
    </w:p>
    <w:p w14:paraId="1A4E50DD">
      <w:pPr>
        <w:pStyle w:val="65"/>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指导协助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按照环保部门要求，做好各类环保管理网上平台填报工作。</w:t>
      </w:r>
    </w:p>
    <w:p w14:paraId="0171F694">
      <w:pPr>
        <w:pStyle w:val="65"/>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整理记录各个平台上报资料的台账，以备环保部门检查。</w:t>
      </w:r>
    </w:p>
    <w:p w14:paraId="7CFD2454">
      <w:pPr>
        <w:pStyle w:val="65"/>
        <w:spacing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办理网上填报检测数据收集（</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各相关部门已有检测数据）、新增检测项目，协助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做好第三方检测落实、督查。</w:t>
      </w:r>
    </w:p>
    <w:p w14:paraId="1595319A">
      <w:pPr>
        <w:pStyle w:val="65"/>
        <w:spacing w:line="360" w:lineRule="auto"/>
        <w:ind w:firstLine="48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3.生态环境统计及医院环境信用网上填报服务</w:t>
      </w:r>
    </w:p>
    <w:p w14:paraId="26E8F3EB">
      <w:pPr>
        <w:pStyle w:val="65"/>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协助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完成每年的生态环境统计业务和</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医院环境信用评价的平台填报工作。</w:t>
      </w:r>
    </w:p>
    <w:p w14:paraId="4160A7A6">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4.国家排污证证后管理服务：</w:t>
      </w:r>
    </w:p>
    <w:p w14:paraId="1DE7F6D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办理排污许可证管理信息平台填报和申报执行报告（按国家排污许可证要求完成月度、季度、年度执行报告及排污证变更等工作）。</w:t>
      </w:r>
    </w:p>
    <w:p w14:paraId="65681ECF">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（二）水质在线监测项</w:t>
      </w:r>
    </w:p>
    <w:p w14:paraId="521ABCFC">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1.在线监测设备明细</w:t>
      </w:r>
    </w:p>
    <w:tbl>
      <w:tblPr>
        <w:tblStyle w:val="24"/>
        <w:tblW w:w="483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2370"/>
        <w:gridCol w:w="4244"/>
        <w:gridCol w:w="945"/>
        <w:gridCol w:w="1111"/>
      </w:tblGrid>
      <w:tr w14:paraId="1AE4F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noWrap w:val="0"/>
            <w:vAlign w:val="center"/>
          </w:tcPr>
          <w:p w14:paraId="6F74FC09">
            <w:pPr>
              <w:widowControl/>
              <w:spacing w:line="2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244" w:type="pct"/>
            <w:tcBorders>
              <w:tl2br w:val="nil"/>
              <w:tr2bl w:val="nil"/>
            </w:tcBorders>
            <w:noWrap w:val="0"/>
            <w:vAlign w:val="center"/>
          </w:tcPr>
          <w:p w14:paraId="30F5E9CD">
            <w:pPr>
              <w:widowControl/>
              <w:spacing w:line="2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2228" w:type="pct"/>
            <w:tcBorders>
              <w:tl2br w:val="nil"/>
              <w:tr2bl w:val="nil"/>
            </w:tcBorders>
            <w:noWrap w:val="0"/>
            <w:vAlign w:val="center"/>
          </w:tcPr>
          <w:p w14:paraId="30071225">
            <w:pPr>
              <w:widowControl/>
              <w:spacing w:line="2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型号规格</w:t>
            </w:r>
          </w:p>
        </w:tc>
        <w:tc>
          <w:tcPr>
            <w:tcW w:w="496" w:type="pct"/>
            <w:tcBorders>
              <w:tl2br w:val="nil"/>
              <w:tr2bl w:val="nil"/>
            </w:tcBorders>
            <w:noWrap w:val="0"/>
            <w:vAlign w:val="center"/>
          </w:tcPr>
          <w:p w14:paraId="756A8972">
            <w:pPr>
              <w:widowControl/>
              <w:spacing w:line="2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583" w:type="pct"/>
            <w:tcBorders>
              <w:tl2br w:val="nil"/>
              <w:tr2bl w:val="nil"/>
            </w:tcBorders>
            <w:noWrap w:val="0"/>
            <w:vAlign w:val="center"/>
          </w:tcPr>
          <w:p w14:paraId="70793D37">
            <w:pPr>
              <w:widowControl/>
              <w:spacing w:line="2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17581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090BFA6D">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 </w:t>
            </w:r>
          </w:p>
        </w:tc>
        <w:tc>
          <w:tcPr>
            <w:tcW w:w="1244" w:type="pct"/>
            <w:tcBorders>
              <w:tl2br w:val="nil"/>
              <w:tr2bl w:val="nil"/>
            </w:tcBorders>
            <w:shd w:val="clear" w:color="auto" w:fill="FFFFFF"/>
            <w:noWrap/>
            <w:vAlign w:val="center"/>
          </w:tcPr>
          <w:p w14:paraId="7B3516E8">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提升泵</w:t>
            </w:r>
          </w:p>
        </w:tc>
        <w:tc>
          <w:tcPr>
            <w:tcW w:w="2228" w:type="pct"/>
            <w:tcBorders>
              <w:tl2br w:val="nil"/>
              <w:tr2bl w:val="nil"/>
            </w:tcBorders>
            <w:shd w:val="clear" w:color="auto" w:fill="auto"/>
            <w:noWrap/>
            <w:vAlign w:val="center"/>
          </w:tcPr>
          <w:p w14:paraId="48339724">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WQD100-13-5.5KW</w:t>
            </w:r>
          </w:p>
        </w:tc>
        <w:tc>
          <w:tcPr>
            <w:tcW w:w="496" w:type="pct"/>
            <w:tcBorders>
              <w:tl2br w:val="nil"/>
              <w:tr2bl w:val="nil"/>
            </w:tcBorders>
            <w:shd w:val="clear" w:color="auto" w:fill="FFFFFF"/>
            <w:noWrap/>
            <w:vAlign w:val="center"/>
          </w:tcPr>
          <w:p w14:paraId="4BC8F318">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315ADBF8">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p>
        </w:tc>
      </w:tr>
      <w:tr w14:paraId="35108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6CA39E6D">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 </w:t>
            </w:r>
          </w:p>
        </w:tc>
        <w:tc>
          <w:tcPr>
            <w:tcW w:w="1244" w:type="pct"/>
            <w:tcBorders>
              <w:tl2br w:val="nil"/>
              <w:tr2bl w:val="nil"/>
            </w:tcBorders>
            <w:shd w:val="clear" w:color="auto" w:fill="FFFFFF"/>
            <w:noWrap/>
            <w:vAlign w:val="center"/>
          </w:tcPr>
          <w:p w14:paraId="0D39C896">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电磁流量计</w:t>
            </w:r>
          </w:p>
        </w:tc>
        <w:tc>
          <w:tcPr>
            <w:tcW w:w="2228" w:type="pct"/>
            <w:tcBorders>
              <w:tl2br w:val="nil"/>
              <w:tr2bl w:val="nil"/>
            </w:tcBorders>
            <w:shd w:val="clear" w:color="auto" w:fill="auto"/>
            <w:noWrap/>
            <w:vAlign w:val="center"/>
          </w:tcPr>
          <w:p w14:paraId="79E2F633">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DN100</w:t>
            </w:r>
          </w:p>
        </w:tc>
        <w:tc>
          <w:tcPr>
            <w:tcW w:w="496" w:type="pct"/>
            <w:tcBorders>
              <w:tl2br w:val="nil"/>
              <w:tr2bl w:val="nil"/>
            </w:tcBorders>
            <w:shd w:val="clear" w:color="auto" w:fill="FFFFFF"/>
            <w:noWrap/>
            <w:vAlign w:val="center"/>
          </w:tcPr>
          <w:p w14:paraId="5133A205">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1990EEF8">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14:paraId="21664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2FDFC8B1">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3 </w:t>
            </w:r>
          </w:p>
        </w:tc>
        <w:tc>
          <w:tcPr>
            <w:tcW w:w="1244" w:type="pct"/>
            <w:tcBorders>
              <w:tl2br w:val="nil"/>
              <w:tr2bl w:val="nil"/>
            </w:tcBorders>
            <w:shd w:val="clear" w:color="auto" w:fill="FFFFFF"/>
            <w:noWrap/>
            <w:vAlign w:val="center"/>
          </w:tcPr>
          <w:p w14:paraId="4C11AD33">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机械格栅</w:t>
            </w:r>
          </w:p>
        </w:tc>
        <w:tc>
          <w:tcPr>
            <w:tcW w:w="2228" w:type="pct"/>
            <w:tcBorders>
              <w:tl2br w:val="nil"/>
              <w:tr2bl w:val="nil"/>
            </w:tcBorders>
            <w:shd w:val="clear" w:color="auto" w:fill="auto"/>
            <w:noWrap w:val="0"/>
            <w:vAlign w:val="center"/>
          </w:tcPr>
          <w:p w14:paraId="31593CA8">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5-10mm</w:t>
            </w:r>
          </w:p>
        </w:tc>
        <w:tc>
          <w:tcPr>
            <w:tcW w:w="496" w:type="pct"/>
            <w:tcBorders>
              <w:tl2br w:val="nil"/>
              <w:tr2bl w:val="nil"/>
            </w:tcBorders>
            <w:shd w:val="clear" w:color="auto" w:fill="FFFFFF"/>
            <w:noWrap/>
            <w:vAlign w:val="center"/>
          </w:tcPr>
          <w:p w14:paraId="5BBDC86E">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371475A5">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210F3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13398A55">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4 </w:t>
            </w:r>
          </w:p>
        </w:tc>
        <w:tc>
          <w:tcPr>
            <w:tcW w:w="1244" w:type="pct"/>
            <w:tcBorders>
              <w:tl2br w:val="nil"/>
              <w:tr2bl w:val="nil"/>
            </w:tcBorders>
            <w:shd w:val="clear" w:color="auto" w:fill="FFFFFF"/>
            <w:noWrap/>
            <w:vAlign w:val="center"/>
          </w:tcPr>
          <w:p w14:paraId="5169F8F7">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罗茨风机</w:t>
            </w:r>
          </w:p>
        </w:tc>
        <w:tc>
          <w:tcPr>
            <w:tcW w:w="2228" w:type="pct"/>
            <w:tcBorders>
              <w:tl2br w:val="nil"/>
              <w:tr2bl w:val="nil"/>
            </w:tcBorders>
            <w:shd w:val="clear" w:color="auto" w:fill="auto"/>
            <w:noWrap w:val="0"/>
            <w:vAlign w:val="center"/>
          </w:tcPr>
          <w:p w14:paraId="2CECECE8">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Q=11m³/min,58.8Kpa,N=18.5kw</w:t>
            </w:r>
          </w:p>
        </w:tc>
        <w:tc>
          <w:tcPr>
            <w:tcW w:w="496" w:type="pct"/>
            <w:tcBorders>
              <w:tl2br w:val="nil"/>
              <w:tr2bl w:val="nil"/>
            </w:tcBorders>
            <w:shd w:val="clear" w:color="auto" w:fill="FFFFFF"/>
            <w:noWrap/>
            <w:vAlign w:val="center"/>
          </w:tcPr>
          <w:p w14:paraId="67952635">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582505B0">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2 </w:t>
            </w:r>
          </w:p>
        </w:tc>
      </w:tr>
      <w:tr w14:paraId="6C213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5F700AF6">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5 </w:t>
            </w:r>
          </w:p>
        </w:tc>
        <w:tc>
          <w:tcPr>
            <w:tcW w:w="1244" w:type="pct"/>
            <w:tcBorders>
              <w:tl2br w:val="nil"/>
              <w:tr2bl w:val="nil"/>
            </w:tcBorders>
            <w:shd w:val="clear" w:color="auto" w:fill="auto"/>
            <w:noWrap w:val="0"/>
            <w:vAlign w:val="center"/>
          </w:tcPr>
          <w:p w14:paraId="6F61AF72">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曝气管网</w:t>
            </w:r>
          </w:p>
        </w:tc>
        <w:tc>
          <w:tcPr>
            <w:tcW w:w="2228" w:type="pct"/>
            <w:tcBorders>
              <w:tl2br w:val="nil"/>
              <w:tr2bl w:val="nil"/>
            </w:tcBorders>
            <w:shd w:val="clear" w:color="auto" w:fill="auto"/>
            <w:noWrap w:val="0"/>
            <w:vAlign w:val="center"/>
          </w:tcPr>
          <w:p w14:paraId="5E111B6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国标</w:t>
            </w:r>
          </w:p>
        </w:tc>
        <w:tc>
          <w:tcPr>
            <w:tcW w:w="496" w:type="pct"/>
            <w:tcBorders>
              <w:tl2br w:val="nil"/>
              <w:tr2bl w:val="nil"/>
            </w:tcBorders>
            <w:shd w:val="clear" w:color="auto" w:fill="FFFFFF"/>
            <w:noWrap/>
            <w:vAlign w:val="center"/>
          </w:tcPr>
          <w:p w14:paraId="301EDFE8">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83" w:type="pct"/>
            <w:tcBorders>
              <w:tl2br w:val="nil"/>
              <w:tr2bl w:val="nil"/>
            </w:tcBorders>
            <w:shd w:val="clear" w:color="auto" w:fill="FFFFFF"/>
            <w:noWrap/>
            <w:vAlign w:val="center"/>
          </w:tcPr>
          <w:p w14:paraId="3BD3620E">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44866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35AC9507">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6 </w:t>
            </w:r>
          </w:p>
        </w:tc>
        <w:tc>
          <w:tcPr>
            <w:tcW w:w="1244" w:type="pct"/>
            <w:tcBorders>
              <w:tl2br w:val="nil"/>
              <w:tr2bl w:val="nil"/>
            </w:tcBorders>
            <w:shd w:val="clear" w:color="auto" w:fill="FFFFFF"/>
            <w:noWrap/>
            <w:vAlign w:val="center"/>
          </w:tcPr>
          <w:p w14:paraId="580E59F2">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提升泵(增加）</w:t>
            </w:r>
          </w:p>
        </w:tc>
        <w:tc>
          <w:tcPr>
            <w:tcW w:w="2228" w:type="pct"/>
            <w:tcBorders>
              <w:tl2br w:val="nil"/>
              <w:tr2bl w:val="nil"/>
            </w:tcBorders>
            <w:shd w:val="clear" w:color="auto" w:fill="auto"/>
            <w:noWrap w:val="0"/>
            <w:vAlign w:val="center"/>
          </w:tcPr>
          <w:p w14:paraId="68265856">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WQD100-13-5.5KW</w:t>
            </w:r>
          </w:p>
        </w:tc>
        <w:tc>
          <w:tcPr>
            <w:tcW w:w="496" w:type="pct"/>
            <w:tcBorders>
              <w:tl2br w:val="nil"/>
              <w:tr2bl w:val="nil"/>
            </w:tcBorders>
            <w:shd w:val="clear" w:color="auto" w:fill="FFFFFF"/>
            <w:noWrap/>
            <w:vAlign w:val="center"/>
          </w:tcPr>
          <w:p w14:paraId="7999889D">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603B96D5">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2 </w:t>
            </w:r>
          </w:p>
        </w:tc>
      </w:tr>
      <w:tr w14:paraId="503D0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548E2594">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7 </w:t>
            </w:r>
          </w:p>
        </w:tc>
        <w:tc>
          <w:tcPr>
            <w:tcW w:w="1244" w:type="pct"/>
            <w:tcBorders>
              <w:tl2br w:val="nil"/>
              <w:tr2bl w:val="nil"/>
            </w:tcBorders>
            <w:shd w:val="clear" w:color="auto" w:fill="FFFFFF"/>
            <w:noWrap/>
            <w:vAlign w:val="center"/>
          </w:tcPr>
          <w:p w14:paraId="06364104">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污泥泵</w:t>
            </w:r>
          </w:p>
        </w:tc>
        <w:tc>
          <w:tcPr>
            <w:tcW w:w="2228" w:type="pct"/>
            <w:tcBorders>
              <w:tl2br w:val="nil"/>
              <w:tr2bl w:val="nil"/>
            </w:tcBorders>
            <w:shd w:val="clear" w:color="auto" w:fill="auto"/>
            <w:noWrap w:val="0"/>
            <w:vAlign w:val="center"/>
          </w:tcPr>
          <w:p w14:paraId="29B88F35">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50/63WQ40-16-4KW</w:t>
            </w:r>
          </w:p>
        </w:tc>
        <w:tc>
          <w:tcPr>
            <w:tcW w:w="496" w:type="pct"/>
            <w:tcBorders>
              <w:tl2br w:val="nil"/>
              <w:tr2bl w:val="nil"/>
            </w:tcBorders>
            <w:shd w:val="clear" w:color="auto" w:fill="FFFFFF"/>
            <w:noWrap/>
            <w:vAlign w:val="center"/>
          </w:tcPr>
          <w:p w14:paraId="240C30BF">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523A2769">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2 </w:t>
            </w:r>
          </w:p>
        </w:tc>
      </w:tr>
      <w:tr w14:paraId="32322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22F8B098">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8 </w:t>
            </w:r>
          </w:p>
        </w:tc>
        <w:tc>
          <w:tcPr>
            <w:tcW w:w="1244" w:type="pct"/>
            <w:tcBorders>
              <w:tl2br w:val="nil"/>
              <w:tr2bl w:val="nil"/>
            </w:tcBorders>
            <w:shd w:val="clear" w:color="auto" w:fill="FFFFFF"/>
            <w:noWrap/>
            <w:vAlign w:val="center"/>
          </w:tcPr>
          <w:p w14:paraId="140600FE">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消毒配药装置</w:t>
            </w:r>
          </w:p>
        </w:tc>
        <w:tc>
          <w:tcPr>
            <w:tcW w:w="2228" w:type="pct"/>
            <w:tcBorders>
              <w:tl2br w:val="nil"/>
              <w:tr2bl w:val="nil"/>
            </w:tcBorders>
            <w:shd w:val="clear" w:color="auto" w:fill="auto"/>
            <w:noWrap/>
            <w:vAlign w:val="center"/>
          </w:tcPr>
          <w:p w14:paraId="2B34BDC1">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1500L，1KW</w:t>
            </w:r>
          </w:p>
        </w:tc>
        <w:tc>
          <w:tcPr>
            <w:tcW w:w="496" w:type="pct"/>
            <w:tcBorders>
              <w:tl2br w:val="nil"/>
              <w:tr2bl w:val="nil"/>
            </w:tcBorders>
            <w:shd w:val="clear" w:color="auto" w:fill="FFFFFF"/>
            <w:noWrap/>
            <w:vAlign w:val="center"/>
          </w:tcPr>
          <w:p w14:paraId="473847BC">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83" w:type="pct"/>
            <w:tcBorders>
              <w:tl2br w:val="nil"/>
              <w:tr2bl w:val="nil"/>
            </w:tcBorders>
            <w:shd w:val="clear" w:color="auto" w:fill="FFFFFF"/>
            <w:noWrap/>
            <w:vAlign w:val="center"/>
          </w:tcPr>
          <w:p w14:paraId="3891A66C">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2 </w:t>
            </w:r>
          </w:p>
        </w:tc>
      </w:tr>
      <w:tr w14:paraId="724AD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48C77020">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9 </w:t>
            </w:r>
          </w:p>
        </w:tc>
        <w:tc>
          <w:tcPr>
            <w:tcW w:w="1244" w:type="pct"/>
            <w:tcBorders>
              <w:tl2br w:val="nil"/>
              <w:tr2bl w:val="nil"/>
            </w:tcBorders>
            <w:shd w:val="clear" w:color="auto" w:fill="FFFFFF"/>
            <w:noWrap/>
            <w:vAlign w:val="center"/>
          </w:tcPr>
          <w:p w14:paraId="510F0422">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计量泵</w:t>
            </w:r>
          </w:p>
        </w:tc>
        <w:tc>
          <w:tcPr>
            <w:tcW w:w="2228" w:type="pct"/>
            <w:tcBorders>
              <w:tl2br w:val="nil"/>
              <w:tr2bl w:val="nil"/>
            </w:tcBorders>
            <w:shd w:val="clear" w:color="auto" w:fill="auto"/>
            <w:noWrap w:val="0"/>
            <w:vAlign w:val="center"/>
          </w:tcPr>
          <w:p w14:paraId="3410E805">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200L/H,0.37KW</w:t>
            </w:r>
          </w:p>
        </w:tc>
        <w:tc>
          <w:tcPr>
            <w:tcW w:w="496" w:type="pct"/>
            <w:tcBorders>
              <w:tl2br w:val="nil"/>
              <w:tr2bl w:val="nil"/>
            </w:tcBorders>
            <w:shd w:val="clear" w:color="auto" w:fill="FFFFFF"/>
            <w:noWrap/>
            <w:vAlign w:val="center"/>
          </w:tcPr>
          <w:p w14:paraId="787ED921">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3E3BF783">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4 </w:t>
            </w:r>
          </w:p>
        </w:tc>
      </w:tr>
      <w:tr w14:paraId="15CBA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0E52929C">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10 </w:t>
            </w:r>
          </w:p>
        </w:tc>
        <w:tc>
          <w:tcPr>
            <w:tcW w:w="1244" w:type="pct"/>
            <w:tcBorders>
              <w:tl2br w:val="nil"/>
              <w:tr2bl w:val="nil"/>
            </w:tcBorders>
            <w:shd w:val="clear" w:color="auto" w:fill="FFFFFF"/>
            <w:noWrap/>
            <w:vAlign w:val="center"/>
          </w:tcPr>
          <w:p w14:paraId="04D9C905">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应急泵</w:t>
            </w:r>
          </w:p>
        </w:tc>
        <w:tc>
          <w:tcPr>
            <w:tcW w:w="2228" w:type="pct"/>
            <w:tcBorders>
              <w:tl2br w:val="nil"/>
              <w:tr2bl w:val="nil"/>
            </w:tcBorders>
            <w:shd w:val="clear" w:color="auto" w:fill="auto"/>
            <w:noWrap/>
            <w:vAlign w:val="center"/>
          </w:tcPr>
          <w:p w14:paraId="15047706">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50/63WQ40-16-4KW</w:t>
            </w:r>
          </w:p>
        </w:tc>
        <w:tc>
          <w:tcPr>
            <w:tcW w:w="496" w:type="pct"/>
            <w:tcBorders>
              <w:tl2br w:val="nil"/>
              <w:tr2bl w:val="nil"/>
            </w:tcBorders>
            <w:shd w:val="clear" w:color="auto" w:fill="FFFFFF"/>
            <w:noWrap/>
            <w:vAlign w:val="center"/>
          </w:tcPr>
          <w:p w14:paraId="3BB6A930">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3F1209D2">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2 </w:t>
            </w:r>
          </w:p>
        </w:tc>
      </w:tr>
      <w:tr w14:paraId="12582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436A2067">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11 </w:t>
            </w:r>
          </w:p>
        </w:tc>
        <w:tc>
          <w:tcPr>
            <w:tcW w:w="1244" w:type="pct"/>
            <w:tcBorders>
              <w:tl2br w:val="nil"/>
              <w:tr2bl w:val="nil"/>
            </w:tcBorders>
            <w:shd w:val="clear" w:color="auto" w:fill="FFFFFF"/>
            <w:noWrap/>
            <w:vAlign w:val="center"/>
          </w:tcPr>
          <w:p w14:paraId="5F26E52E">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巴氏槽</w:t>
            </w:r>
          </w:p>
        </w:tc>
        <w:tc>
          <w:tcPr>
            <w:tcW w:w="2228" w:type="pct"/>
            <w:tcBorders>
              <w:tl2br w:val="nil"/>
              <w:tr2bl w:val="nil"/>
            </w:tcBorders>
            <w:shd w:val="clear" w:color="auto" w:fill="auto"/>
            <w:noWrap/>
            <w:vAlign w:val="center"/>
          </w:tcPr>
          <w:p w14:paraId="594AB119">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120m³/h</w:t>
            </w:r>
          </w:p>
        </w:tc>
        <w:tc>
          <w:tcPr>
            <w:tcW w:w="496" w:type="pct"/>
            <w:tcBorders>
              <w:tl2br w:val="nil"/>
              <w:tr2bl w:val="nil"/>
            </w:tcBorders>
            <w:shd w:val="clear" w:color="auto" w:fill="FFFFFF"/>
            <w:noWrap/>
            <w:vAlign w:val="center"/>
          </w:tcPr>
          <w:p w14:paraId="7F753E38">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83" w:type="pct"/>
            <w:tcBorders>
              <w:tl2br w:val="nil"/>
              <w:tr2bl w:val="nil"/>
            </w:tcBorders>
            <w:shd w:val="clear" w:color="auto" w:fill="FFFFFF"/>
            <w:noWrap/>
            <w:vAlign w:val="center"/>
          </w:tcPr>
          <w:p w14:paraId="634486BC">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1CB45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20B573B5">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12 </w:t>
            </w:r>
          </w:p>
        </w:tc>
        <w:tc>
          <w:tcPr>
            <w:tcW w:w="1244" w:type="pct"/>
            <w:tcBorders>
              <w:tl2br w:val="nil"/>
              <w:tr2bl w:val="nil"/>
            </w:tcBorders>
            <w:shd w:val="clear" w:color="auto" w:fill="FFFFFF"/>
            <w:noWrap w:val="0"/>
            <w:vAlign w:val="center"/>
          </w:tcPr>
          <w:p w14:paraId="0EA61CD8">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巴氏槽超声波流量计</w:t>
            </w:r>
          </w:p>
        </w:tc>
        <w:tc>
          <w:tcPr>
            <w:tcW w:w="2228" w:type="pct"/>
            <w:tcBorders>
              <w:tl2br w:val="nil"/>
              <w:tr2bl w:val="nil"/>
            </w:tcBorders>
            <w:shd w:val="clear" w:color="auto" w:fill="auto"/>
            <w:noWrap/>
            <w:vAlign w:val="center"/>
          </w:tcPr>
          <w:p w14:paraId="5C2BC08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国标</w:t>
            </w:r>
          </w:p>
        </w:tc>
        <w:tc>
          <w:tcPr>
            <w:tcW w:w="496" w:type="pct"/>
            <w:tcBorders>
              <w:tl2br w:val="nil"/>
              <w:tr2bl w:val="nil"/>
            </w:tcBorders>
            <w:shd w:val="clear" w:color="auto" w:fill="FFFFFF"/>
            <w:noWrap/>
            <w:vAlign w:val="center"/>
          </w:tcPr>
          <w:p w14:paraId="521DF4B7">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475295A2">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4FE10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51D89DFA">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13 </w:t>
            </w:r>
          </w:p>
        </w:tc>
        <w:tc>
          <w:tcPr>
            <w:tcW w:w="1244" w:type="pct"/>
            <w:tcBorders>
              <w:tl2br w:val="nil"/>
              <w:tr2bl w:val="nil"/>
            </w:tcBorders>
            <w:shd w:val="clear" w:color="auto" w:fill="FFFFFF"/>
            <w:noWrap/>
            <w:vAlign w:val="center"/>
          </w:tcPr>
          <w:p w14:paraId="29F92776">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污泥压滤机</w:t>
            </w:r>
          </w:p>
        </w:tc>
        <w:tc>
          <w:tcPr>
            <w:tcW w:w="2228" w:type="pct"/>
            <w:tcBorders>
              <w:tl2br w:val="nil"/>
              <w:tr2bl w:val="nil"/>
            </w:tcBorders>
            <w:shd w:val="clear" w:color="auto" w:fill="auto"/>
            <w:noWrap/>
            <w:vAlign w:val="center"/>
          </w:tcPr>
          <w:p w14:paraId="5D809A12">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80㎡，3.0KW</w:t>
            </w:r>
          </w:p>
        </w:tc>
        <w:tc>
          <w:tcPr>
            <w:tcW w:w="496" w:type="pct"/>
            <w:tcBorders>
              <w:tl2br w:val="nil"/>
              <w:tr2bl w:val="nil"/>
            </w:tcBorders>
            <w:shd w:val="clear" w:color="auto" w:fill="FFFFFF"/>
            <w:noWrap/>
            <w:vAlign w:val="center"/>
          </w:tcPr>
          <w:p w14:paraId="245C631A">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46889DC4">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7B049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523ABABC">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14 </w:t>
            </w:r>
          </w:p>
        </w:tc>
        <w:tc>
          <w:tcPr>
            <w:tcW w:w="1244" w:type="pct"/>
            <w:tcBorders>
              <w:tl2br w:val="nil"/>
              <w:tr2bl w:val="nil"/>
            </w:tcBorders>
            <w:shd w:val="clear" w:color="auto" w:fill="FFFFFF"/>
            <w:noWrap/>
            <w:vAlign w:val="center"/>
          </w:tcPr>
          <w:p w14:paraId="4B9640C2">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气动隔膜泵</w:t>
            </w:r>
          </w:p>
        </w:tc>
        <w:tc>
          <w:tcPr>
            <w:tcW w:w="2228" w:type="pct"/>
            <w:tcBorders>
              <w:tl2br w:val="nil"/>
              <w:tr2bl w:val="nil"/>
            </w:tcBorders>
            <w:shd w:val="clear" w:color="auto" w:fill="auto"/>
            <w:noWrap/>
            <w:vAlign w:val="center"/>
          </w:tcPr>
          <w:p w14:paraId="0CF84380">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QBY-65</w:t>
            </w:r>
          </w:p>
        </w:tc>
        <w:tc>
          <w:tcPr>
            <w:tcW w:w="496" w:type="pct"/>
            <w:tcBorders>
              <w:tl2br w:val="nil"/>
              <w:tr2bl w:val="nil"/>
            </w:tcBorders>
            <w:shd w:val="clear" w:color="auto" w:fill="FFFFFF"/>
            <w:noWrap/>
            <w:vAlign w:val="center"/>
          </w:tcPr>
          <w:p w14:paraId="5F4F054F">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295FE5BB">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2 </w:t>
            </w:r>
          </w:p>
        </w:tc>
      </w:tr>
      <w:tr w14:paraId="04857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379C8442">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15 </w:t>
            </w:r>
          </w:p>
        </w:tc>
        <w:tc>
          <w:tcPr>
            <w:tcW w:w="1244" w:type="pct"/>
            <w:tcBorders>
              <w:tl2br w:val="nil"/>
              <w:tr2bl w:val="nil"/>
            </w:tcBorders>
            <w:shd w:val="clear" w:color="auto" w:fill="FFFFFF"/>
            <w:noWrap/>
            <w:vAlign w:val="center"/>
          </w:tcPr>
          <w:p w14:paraId="3556C367">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空压机</w:t>
            </w:r>
          </w:p>
        </w:tc>
        <w:tc>
          <w:tcPr>
            <w:tcW w:w="2228" w:type="pct"/>
            <w:tcBorders>
              <w:tl2br w:val="nil"/>
              <w:tr2bl w:val="nil"/>
            </w:tcBorders>
            <w:shd w:val="clear" w:color="auto" w:fill="auto"/>
            <w:noWrap/>
            <w:vAlign w:val="center"/>
          </w:tcPr>
          <w:p w14:paraId="077F6C7B">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7.5KW</w:t>
            </w:r>
          </w:p>
        </w:tc>
        <w:tc>
          <w:tcPr>
            <w:tcW w:w="496" w:type="pct"/>
            <w:tcBorders>
              <w:tl2br w:val="nil"/>
              <w:tr2bl w:val="nil"/>
            </w:tcBorders>
            <w:shd w:val="clear" w:color="auto" w:fill="FFFFFF"/>
            <w:noWrap/>
            <w:vAlign w:val="center"/>
          </w:tcPr>
          <w:p w14:paraId="79C6F921">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2322A2C6">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1B60D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447" w:type="pct"/>
            <w:tcBorders>
              <w:tl2br w:val="nil"/>
              <w:tr2bl w:val="nil"/>
            </w:tcBorders>
            <w:shd w:val="clear" w:color="auto" w:fill="auto"/>
            <w:noWrap/>
            <w:vAlign w:val="center"/>
          </w:tcPr>
          <w:p w14:paraId="39A4F506">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16 </w:t>
            </w:r>
          </w:p>
        </w:tc>
        <w:tc>
          <w:tcPr>
            <w:tcW w:w="1244" w:type="pct"/>
            <w:tcBorders>
              <w:tl2br w:val="nil"/>
              <w:tr2bl w:val="nil"/>
            </w:tcBorders>
            <w:shd w:val="clear" w:color="auto" w:fill="FFFFFF"/>
            <w:noWrap w:val="0"/>
            <w:vAlign w:val="center"/>
          </w:tcPr>
          <w:p w14:paraId="1DBFC57F">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COD在线监测分析仪</w:t>
            </w:r>
          </w:p>
        </w:tc>
        <w:tc>
          <w:tcPr>
            <w:tcW w:w="2228" w:type="pct"/>
            <w:tcBorders>
              <w:tl2br w:val="nil"/>
              <w:tr2bl w:val="nil"/>
            </w:tcBorders>
            <w:shd w:val="clear" w:color="auto" w:fill="auto"/>
            <w:noWrap w:val="0"/>
            <w:vAlign w:val="center"/>
          </w:tcPr>
          <w:p w14:paraId="7446ECE2">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测量范围0~1000mg/L，重铬酸钾测定法，带modbusRS485数字接口</w:t>
            </w:r>
          </w:p>
        </w:tc>
        <w:tc>
          <w:tcPr>
            <w:tcW w:w="496" w:type="pct"/>
            <w:tcBorders>
              <w:tl2br w:val="nil"/>
              <w:tr2bl w:val="nil"/>
            </w:tcBorders>
            <w:shd w:val="clear" w:color="auto" w:fill="FFFFFF"/>
            <w:noWrap/>
            <w:vAlign w:val="center"/>
          </w:tcPr>
          <w:p w14:paraId="315ACE74">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54564384">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7A319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69853995">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17 </w:t>
            </w:r>
          </w:p>
        </w:tc>
        <w:tc>
          <w:tcPr>
            <w:tcW w:w="1244" w:type="pct"/>
            <w:tcBorders>
              <w:tl2br w:val="nil"/>
              <w:tr2bl w:val="nil"/>
            </w:tcBorders>
            <w:shd w:val="clear" w:color="auto" w:fill="FFFFFF"/>
            <w:noWrap w:val="0"/>
            <w:vAlign w:val="center"/>
          </w:tcPr>
          <w:p w14:paraId="2CCA144A">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BOD5在线监测分析仪</w:t>
            </w:r>
          </w:p>
        </w:tc>
        <w:tc>
          <w:tcPr>
            <w:tcW w:w="2228" w:type="pct"/>
            <w:tcBorders>
              <w:tl2br w:val="nil"/>
              <w:tr2bl w:val="nil"/>
            </w:tcBorders>
            <w:shd w:val="clear" w:color="auto" w:fill="auto"/>
            <w:noWrap/>
            <w:vAlign w:val="center"/>
          </w:tcPr>
          <w:p w14:paraId="0536766C">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国标</w:t>
            </w:r>
          </w:p>
        </w:tc>
        <w:tc>
          <w:tcPr>
            <w:tcW w:w="496" w:type="pct"/>
            <w:tcBorders>
              <w:tl2br w:val="nil"/>
              <w:tr2bl w:val="nil"/>
            </w:tcBorders>
            <w:shd w:val="clear" w:color="auto" w:fill="FFFFFF"/>
            <w:noWrap/>
            <w:vAlign w:val="center"/>
          </w:tcPr>
          <w:p w14:paraId="0B34EAE9">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0DD1AC8A">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05A59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7102BFE3">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18 </w:t>
            </w:r>
          </w:p>
        </w:tc>
        <w:tc>
          <w:tcPr>
            <w:tcW w:w="1244" w:type="pct"/>
            <w:tcBorders>
              <w:tl2br w:val="nil"/>
              <w:tr2bl w:val="nil"/>
            </w:tcBorders>
            <w:shd w:val="clear" w:color="auto" w:fill="FFFFFF"/>
            <w:noWrap/>
            <w:vAlign w:val="center"/>
          </w:tcPr>
          <w:p w14:paraId="6C0E3C14">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氨氮在线分析仪</w:t>
            </w:r>
          </w:p>
        </w:tc>
        <w:tc>
          <w:tcPr>
            <w:tcW w:w="2228" w:type="pct"/>
            <w:tcBorders>
              <w:tl2br w:val="nil"/>
              <w:tr2bl w:val="nil"/>
            </w:tcBorders>
            <w:shd w:val="clear" w:color="auto" w:fill="auto"/>
            <w:noWrap w:val="0"/>
            <w:vAlign w:val="center"/>
          </w:tcPr>
          <w:p w14:paraId="55BD76E2">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测量范围0~100mg/L，带modbusRS485数字接口</w:t>
            </w:r>
          </w:p>
        </w:tc>
        <w:tc>
          <w:tcPr>
            <w:tcW w:w="496" w:type="pct"/>
            <w:tcBorders>
              <w:tl2br w:val="nil"/>
              <w:tr2bl w:val="nil"/>
            </w:tcBorders>
            <w:shd w:val="clear" w:color="auto" w:fill="FFFFFF"/>
            <w:noWrap/>
            <w:vAlign w:val="center"/>
          </w:tcPr>
          <w:p w14:paraId="116D4938">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477E6BF4">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10969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2690C500">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19 </w:t>
            </w:r>
          </w:p>
        </w:tc>
        <w:tc>
          <w:tcPr>
            <w:tcW w:w="1244" w:type="pct"/>
            <w:tcBorders>
              <w:tl2br w:val="nil"/>
              <w:tr2bl w:val="nil"/>
            </w:tcBorders>
            <w:shd w:val="clear" w:color="auto" w:fill="FFFFFF"/>
            <w:noWrap/>
            <w:vAlign w:val="center"/>
          </w:tcPr>
          <w:p w14:paraId="255DEEF1">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余氯在线检测仪</w:t>
            </w:r>
          </w:p>
        </w:tc>
        <w:tc>
          <w:tcPr>
            <w:tcW w:w="2228" w:type="pct"/>
            <w:tcBorders>
              <w:tl2br w:val="nil"/>
              <w:tr2bl w:val="nil"/>
            </w:tcBorders>
            <w:shd w:val="clear" w:color="auto" w:fill="auto"/>
            <w:noWrap/>
            <w:vAlign w:val="center"/>
          </w:tcPr>
          <w:p w14:paraId="22305AF2">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试剂法</w:t>
            </w:r>
          </w:p>
        </w:tc>
        <w:tc>
          <w:tcPr>
            <w:tcW w:w="496" w:type="pct"/>
            <w:tcBorders>
              <w:tl2br w:val="nil"/>
              <w:tr2bl w:val="nil"/>
            </w:tcBorders>
            <w:shd w:val="clear" w:color="auto" w:fill="FFFFFF"/>
            <w:noWrap/>
            <w:vAlign w:val="center"/>
          </w:tcPr>
          <w:p w14:paraId="50C71C8D">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69B6CE3E">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40F01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5B1EC26F">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20 </w:t>
            </w:r>
          </w:p>
        </w:tc>
        <w:tc>
          <w:tcPr>
            <w:tcW w:w="1244" w:type="pct"/>
            <w:tcBorders>
              <w:tl2br w:val="nil"/>
              <w:tr2bl w:val="nil"/>
            </w:tcBorders>
            <w:shd w:val="clear" w:color="auto" w:fill="FFFFFF"/>
            <w:noWrap/>
            <w:vAlign w:val="center"/>
          </w:tcPr>
          <w:p w14:paraId="0743EF61">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PH在线检测仪</w:t>
            </w:r>
          </w:p>
        </w:tc>
        <w:tc>
          <w:tcPr>
            <w:tcW w:w="2228" w:type="pct"/>
            <w:tcBorders>
              <w:tl2br w:val="nil"/>
              <w:tr2bl w:val="nil"/>
            </w:tcBorders>
            <w:shd w:val="clear" w:color="auto" w:fill="auto"/>
            <w:noWrap w:val="0"/>
            <w:vAlign w:val="center"/>
          </w:tcPr>
          <w:p w14:paraId="5BD30A05">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带modbusRS485数字接口</w:t>
            </w:r>
          </w:p>
        </w:tc>
        <w:tc>
          <w:tcPr>
            <w:tcW w:w="496" w:type="pct"/>
            <w:tcBorders>
              <w:tl2br w:val="nil"/>
              <w:tr2bl w:val="nil"/>
            </w:tcBorders>
            <w:shd w:val="clear" w:color="auto" w:fill="FFFFFF"/>
            <w:noWrap/>
            <w:vAlign w:val="center"/>
          </w:tcPr>
          <w:p w14:paraId="1EF3FEFB">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13A098FC">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03624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749113E8">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21 </w:t>
            </w:r>
          </w:p>
        </w:tc>
        <w:tc>
          <w:tcPr>
            <w:tcW w:w="1244" w:type="pct"/>
            <w:tcBorders>
              <w:tl2br w:val="nil"/>
              <w:tr2bl w:val="nil"/>
            </w:tcBorders>
            <w:shd w:val="clear" w:color="auto" w:fill="FFFFFF"/>
            <w:noWrap/>
            <w:vAlign w:val="center"/>
          </w:tcPr>
          <w:p w14:paraId="387B82F1">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数据采集仪</w:t>
            </w:r>
          </w:p>
        </w:tc>
        <w:tc>
          <w:tcPr>
            <w:tcW w:w="2228" w:type="pct"/>
            <w:tcBorders>
              <w:tl2br w:val="nil"/>
              <w:tr2bl w:val="nil"/>
            </w:tcBorders>
            <w:shd w:val="clear" w:color="auto" w:fill="auto"/>
            <w:noWrap/>
            <w:vAlign w:val="center"/>
          </w:tcPr>
          <w:p w14:paraId="43A523B3">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r>
              <w:rPr>
                <w:rFonts w:hint="eastAsia" w:ascii="宋体" w:hAnsi="宋体" w:eastAsia="宋体" w:cs="宋体"/>
                <w:color w:val="auto"/>
                <w:sz w:val="21"/>
                <w:szCs w:val="21"/>
                <w:highlight w:val="none"/>
              </w:rPr>
              <w:t>国标</w:t>
            </w:r>
          </w:p>
        </w:tc>
        <w:tc>
          <w:tcPr>
            <w:tcW w:w="496" w:type="pct"/>
            <w:tcBorders>
              <w:tl2br w:val="nil"/>
              <w:tr2bl w:val="nil"/>
            </w:tcBorders>
            <w:shd w:val="clear" w:color="auto" w:fill="FFFFFF"/>
            <w:noWrap/>
            <w:vAlign w:val="center"/>
          </w:tcPr>
          <w:p w14:paraId="28D79EF3">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5D7DCC23">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17E95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36676D55">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22 </w:t>
            </w:r>
          </w:p>
        </w:tc>
        <w:tc>
          <w:tcPr>
            <w:tcW w:w="1244" w:type="pct"/>
            <w:tcBorders>
              <w:tl2br w:val="nil"/>
              <w:tr2bl w:val="nil"/>
            </w:tcBorders>
            <w:shd w:val="clear" w:color="auto" w:fill="FFFFFF"/>
            <w:noWrap/>
            <w:vAlign w:val="center"/>
          </w:tcPr>
          <w:p w14:paraId="02233BD3">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污水设备控制箱</w:t>
            </w:r>
          </w:p>
        </w:tc>
        <w:tc>
          <w:tcPr>
            <w:tcW w:w="2228" w:type="pct"/>
            <w:tcBorders>
              <w:tl2br w:val="nil"/>
              <w:tr2bl w:val="nil"/>
            </w:tcBorders>
            <w:shd w:val="clear" w:color="auto" w:fill="auto"/>
            <w:noWrap/>
            <w:vAlign w:val="center"/>
          </w:tcPr>
          <w:p w14:paraId="4BF06C51">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PLC，含风机变频器</w:t>
            </w:r>
          </w:p>
        </w:tc>
        <w:tc>
          <w:tcPr>
            <w:tcW w:w="496" w:type="pct"/>
            <w:tcBorders>
              <w:tl2br w:val="nil"/>
              <w:tr2bl w:val="nil"/>
            </w:tcBorders>
            <w:shd w:val="clear" w:color="auto" w:fill="FFFFFF"/>
            <w:noWrap/>
            <w:vAlign w:val="center"/>
          </w:tcPr>
          <w:p w14:paraId="4147EBB1">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83" w:type="pct"/>
            <w:tcBorders>
              <w:tl2br w:val="nil"/>
              <w:tr2bl w:val="nil"/>
            </w:tcBorders>
            <w:shd w:val="clear" w:color="auto" w:fill="FFFFFF"/>
            <w:noWrap/>
            <w:vAlign w:val="center"/>
          </w:tcPr>
          <w:p w14:paraId="4A730C09">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18ABB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13C02B06">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23 </w:t>
            </w:r>
          </w:p>
        </w:tc>
        <w:tc>
          <w:tcPr>
            <w:tcW w:w="1244" w:type="pct"/>
            <w:tcBorders>
              <w:tl2br w:val="nil"/>
              <w:tr2bl w:val="nil"/>
            </w:tcBorders>
            <w:shd w:val="clear" w:color="auto" w:fill="FFFFFF"/>
            <w:noWrap/>
            <w:vAlign w:val="center"/>
          </w:tcPr>
          <w:p w14:paraId="372C7D43">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轴流风机</w:t>
            </w:r>
          </w:p>
        </w:tc>
        <w:tc>
          <w:tcPr>
            <w:tcW w:w="2228" w:type="pct"/>
            <w:tcBorders>
              <w:tl2br w:val="nil"/>
              <w:tr2bl w:val="nil"/>
            </w:tcBorders>
            <w:shd w:val="clear" w:color="auto" w:fill="auto"/>
            <w:noWrap/>
            <w:vAlign w:val="center"/>
          </w:tcPr>
          <w:p w14:paraId="4D492770">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N=0.37KW</w:t>
            </w:r>
          </w:p>
        </w:tc>
        <w:tc>
          <w:tcPr>
            <w:tcW w:w="496" w:type="pct"/>
            <w:tcBorders>
              <w:tl2br w:val="nil"/>
              <w:tr2bl w:val="nil"/>
            </w:tcBorders>
            <w:shd w:val="clear" w:color="auto" w:fill="FFFFFF"/>
            <w:noWrap/>
            <w:vAlign w:val="center"/>
          </w:tcPr>
          <w:p w14:paraId="39216606">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583" w:type="pct"/>
            <w:tcBorders>
              <w:tl2br w:val="nil"/>
              <w:tr2bl w:val="nil"/>
            </w:tcBorders>
            <w:shd w:val="clear" w:color="auto" w:fill="FFFFFF"/>
            <w:noWrap/>
            <w:vAlign w:val="center"/>
          </w:tcPr>
          <w:p w14:paraId="734C4374">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6 </w:t>
            </w:r>
          </w:p>
        </w:tc>
      </w:tr>
      <w:tr w14:paraId="3EF62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383ADCAF">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24 </w:t>
            </w:r>
          </w:p>
        </w:tc>
        <w:tc>
          <w:tcPr>
            <w:tcW w:w="1244" w:type="pct"/>
            <w:tcBorders>
              <w:tl2br w:val="nil"/>
              <w:tr2bl w:val="nil"/>
            </w:tcBorders>
            <w:shd w:val="clear" w:color="auto" w:fill="FFFFFF"/>
            <w:noWrap/>
            <w:vAlign w:val="center"/>
          </w:tcPr>
          <w:p w14:paraId="10F74093">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电灯控制弱电箱</w:t>
            </w:r>
          </w:p>
        </w:tc>
        <w:tc>
          <w:tcPr>
            <w:tcW w:w="2228" w:type="pct"/>
            <w:tcBorders>
              <w:tl2br w:val="nil"/>
              <w:tr2bl w:val="nil"/>
            </w:tcBorders>
            <w:shd w:val="clear" w:color="auto" w:fill="auto"/>
            <w:noWrap/>
            <w:vAlign w:val="center"/>
          </w:tcPr>
          <w:p w14:paraId="39A2E9B8">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国标</w:t>
            </w:r>
          </w:p>
        </w:tc>
        <w:tc>
          <w:tcPr>
            <w:tcW w:w="496" w:type="pct"/>
            <w:tcBorders>
              <w:tl2br w:val="nil"/>
              <w:tr2bl w:val="nil"/>
            </w:tcBorders>
            <w:shd w:val="clear" w:color="auto" w:fill="FFFFFF"/>
            <w:noWrap/>
            <w:vAlign w:val="center"/>
          </w:tcPr>
          <w:p w14:paraId="5EF664E1">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83" w:type="pct"/>
            <w:tcBorders>
              <w:tl2br w:val="nil"/>
              <w:tr2bl w:val="nil"/>
            </w:tcBorders>
            <w:shd w:val="clear" w:color="auto" w:fill="FFFFFF"/>
            <w:noWrap/>
            <w:vAlign w:val="center"/>
          </w:tcPr>
          <w:p w14:paraId="327DBC7A">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7C908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011F296D">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25 </w:t>
            </w:r>
          </w:p>
        </w:tc>
        <w:tc>
          <w:tcPr>
            <w:tcW w:w="1244" w:type="pct"/>
            <w:tcBorders>
              <w:tl2br w:val="nil"/>
              <w:tr2bl w:val="nil"/>
            </w:tcBorders>
            <w:shd w:val="clear" w:color="auto" w:fill="FFFFFF"/>
            <w:noWrap/>
            <w:vAlign w:val="center"/>
          </w:tcPr>
          <w:p w14:paraId="71C8F182">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总控制箱</w:t>
            </w:r>
          </w:p>
        </w:tc>
        <w:tc>
          <w:tcPr>
            <w:tcW w:w="2228" w:type="pct"/>
            <w:tcBorders>
              <w:tl2br w:val="nil"/>
              <w:tr2bl w:val="nil"/>
            </w:tcBorders>
            <w:shd w:val="clear" w:color="auto" w:fill="auto"/>
            <w:noWrap/>
            <w:vAlign w:val="center"/>
          </w:tcPr>
          <w:p w14:paraId="0A7C4D33">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国标</w:t>
            </w:r>
          </w:p>
        </w:tc>
        <w:tc>
          <w:tcPr>
            <w:tcW w:w="496" w:type="pct"/>
            <w:tcBorders>
              <w:tl2br w:val="nil"/>
              <w:tr2bl w:val="nil"/>
            </w:tcBorders>
            <w:shd w:val="clear" w:color="auto" w:fill="FFFFFF"/>
            <w:noWrap/>
            <w:vAlign w:val="center"/>
          </w:tcPr>
          <w:p w14:paraId="25D1D543">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83" w:type="pct"/>
            <w:tcBorders>
              <w:tl2br w:val="nil"/>
              <w:tr2bl w:val="nil"/>
            </w:tcBorders>
            <w:shd w:val="clear" w:color="auto" w:fill="FFFFFF"/>
            <w:noWrap/>
            <w:vAlign w:val="center"/>
          </w:tcPr>
          <w:p w14:paraId="79F17577">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19A0A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721EABF8">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26 </w:t>
            </w:r>
          </w:p>
        </w:tc>
        <w:tc>
          <w:tcPr>
            <w:tcW w:w="1244" w:type="pct"/>
            <w:tcBorders>
              <w:tl2br w:val="nil"/>
              <w:tr2bl w:val="nil"/>
            </w:tcBorders>
            <w:shd w:val="clear" w:color="auto" w:fill="FFFFFF"/>
            <w:noWrap/>
            <w:vAlign w:val="center"/>
          </w:tcPr>
          <w:p w14:paraId="564D0041">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应急控制箱</w:t>
            </w:r>
          </w:p>
        </w:tc>
        <w:tc>
          <w:tcPr>
            <w:tcW w:w="2228" w:type="pct"/>
            <w:tcBorders>
              <w:tl2br w:val="nil"/>
              <w:tr2bl w:val="nil"/>
            </w:tcBorders>
            <w:shd w:val="clear" w:color="auto" w:fill="auto"/>
            <w:noWrap/>
            <w:vAlign w:val="center"/>
          </w:tcPr>
          <w:p w14:paraId="61774491">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国标</w:t>
            </w:r>
          </w:p>
        </w:tc>
        <w:tc>
          <w:tcPr>
            <w:tcW w:w="496" w:type="pct"/>
            <w:tcBorders>
              <w:tl2br w:val="nil"/>
              <w:tr2bl w:val="nil"/>
            </w:tcBorders>
            <w:shd w:val="clear" w:color="auto" w:fill="FFFFFF"/>
            <w:noWrap/>
            <w:vAlign w:val="center"/>
          </w:tcPr>
          <w:p w14:paraId="7706422D">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83" w:type="pct"/>
            <w:tcBorders>
              <w:tl2br w:val="nil"/>
              <w:tr2bl w:val="nil"/>
            </w:tcBorders>
            <w:shd w:val="clear" w:color="auto" w:fill="FFFFFF"/>
            <w:noWrap/>
            <w:vAlign w:val="center"/>
          </w:tcPr>
          <w:p w14:paraId="708DE6CA">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4077B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174ACA35">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27 </w:t>
            </w:r>
          </w:p>
        </w:tc>
        <w:tc>
          <w:tcPr>
            <w:tcW w:w="1244" w:type="pct"/>
            <w:tcBorders>
              <w:tl2br w:val="nil"/>
              <w:tr2bl w:val="nil"/>
            </w:tcBorders>
            <w:shd w:val="clear" w:color="auto" w:fill="FFFFFF"/>
            <w:noWrap/>
            <w:vAlign w:val="center"/>
          </w:tcPr>
          <w:p w14:paraId="0A81EDA7">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风机控制箱</w:t>
            </w:r>
          </w:p>
        </w:tc>
        <w:tc>
          <w:tcPr>
            <w:tcW w:w="2228" w:type="pct"/>
            <w:tcBorders>
              <w:tl2br w:val="nil"/>
              <w:tr2bl w:val="nil"/>
            </w:tcBorders>
            <w:shd w:val="clear" w:color="auto" w:fill="auto"/>
            <w:noWrap/>
            <w:vAlign w:val="center"/>
          </w:tcPr>
          <w:p w14:paraId="6D256687">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国标</w:t>
            </w:r>
          </w:p>
        </w:tc>
        <w:tc>
          <w:tcPr>
            <w:tcW w:w="496" w:type="pct"/>
            <w:tcBorders>
              <w:tl2br w:val="nil"/>
              <w:tr2bl w:val="nil"/>
            </w:tcBorders>
            <w:shd w:val="clear" w:color="auto" w:fill="FFFFFF"/>
            <w:noWrap/>
            <w:vAlign w:val="center"/>
          </w:tcPr>
          <w:p w14:paraId="15290B1B">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83" w:type="pct"/>
            <w:tcBorders>
              <w:tl2br w:val="nil"/>
              <w:tr2bl w:val="nil"/>
            </w:tcBorders>
            <w:shd w:val="clear" w:color="auto" w:fill="FFFFFF"/>
            <w:noWrap/>
            <w:vAlign w:val="center"/>
          </w:tcPr>
          <w:p w14:paraId="07E56106">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4A565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26792B56">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28 </w:t>
            </w:r>
          </w:p>
        </w:tc>
        <w:tc>
          <w:tcPr>
            <w:tcW w:w="1244" w:type="pct"/>
            <w:tcBorders>
              <w:tl2br w:val="nil"/>
              <w:tr2bl w:val="nil"/>
            </w:tcBorders>
            <w:shd w:val="clear" w:color="auto" w:fill="FFFFFF"/>
            <w:noWrap/>
            <w:vAlign w:val="center"/>
          </w:tcPr>
          <w:p w14:paraId="601B4B02">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玻璃钢引风机</w:t>
            </w:r>
          </w:p>
        </w:tc>
        <w:tc>
          <w:tcPr>
            <w:tcW w:w="2228" w:type="pct"/>
            <w:tcBorders>
              <w:tl2br w:val="nil"/>
              <w:tr2bl w:val="nil"/>
            </w:tcBorders>
            <w:shd w:val="clear" w:color="auto" w:fill="auto"/>
            <w:noWrap/>
            <w:vAlign w:val="center"/>
          </w:tcPr>
          <w:p w14:paraId="5E80D9A4">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11KW</w:t>
            </w:r>
          </w:p>
        </w:tc>
        <w:tc>
          <w:tcPr>
            <w:tcW w:w="496" w:type="pct"/>
            <w:tcBorders>
              <w:tl2br w:val="nil"/>
              <w:tr2bl w:val="nil"/>
            </w:tcBorders>
            <w:shd w:val="clear" w:color="auto" w:fill="FFFFFF"/>
            <w:noWrap/>
            <w:vAlign w:val="center"/>
          </w:tcPr>
          <w:p w14:paraId="51F7A7BB">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34E91FE7">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500B3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00AEC71F">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29 </w:t>
            </w:r>
          </w:p>
        </w:tc>
        <w:tc>
          <w:tcPr>
            <w:tcW w:w="1244" w:type="pct"/>
            <w:tcBorders>
              <w:tl2br w:val="nil"/>
              <w:tr2bl w:val="nil"/>
            </w:tcBorders>
            <w:shd w:val="clear" w:color="auto" w:fill="FFFFFF"/>
            <w:noWrap/>
            <w:vAlign w:val="center"/>
          </w:tcPr>
          <w:p w14:paraId="19E4D9EB">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活性炭吸附箱</w:t>
            </w:r>
          </w:p>
        </w:tc>
        <w:tc>
          <w:tcPr>
            <w:tcW w:w="2228" w:type="pct"/>
            <w:tcBorders>
              <w:tl2br w:val="nil"/>
              <w:tr2bl w:val="nil"/>
            </w:tcBorders>
            <w:shd w:val="clear" w:color="auto" w:fill="auto"/>
            <w:noWrap/>
            <w:vAlign w:val="center"/>
          </w:tcPr>
          <w:p w14:paraId="08EE447B">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2500</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1100</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1300cm</w:t>
            </w:r>
          </w:p>
        </w:tc>
        <w:tc>
          <w:tcPr>
            <w:tcW w:w="496" w:type="pct"/>
            <w:tcBorders>
              <w:tl2br w:val="nil"/>
              <w:tr2bl w:val="nil"/>
            </w:tcBorders>
            <w:shd w:val="clear" w:color="auto" w:fill="FFFFFF"/>
            <w:noWrap/>
            <w:vAlign w:val="center"/>
          </w:tcPr>
          <w:p w14:paraId="40A8B497">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667A96CB">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1AA0C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71F187CB">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30 </w:t>
            </w:r>
          </w:p>
        </w:tc>
        <w:tc>
          <w:tcPr>
            <w:tcW w:w="1244" w:type="pct"/>
            <w:tcBorders>
              <w:tl2br w:val="nil"/>
              <w:tr2bl w:val="nil"/>
            </w:tcBorders>
            <w:shd w:val="clear" w:color="auto" w:fill="FFFFFF"/>
            <w:noWrap/>
            <w:vAlign w:val="center"/>
          </w:tcPr>
          <w:p w14:paraId="295054CE">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活性炭填料</w:t>
            </w:r>
          </w:p>
        </w:tc>
        <w:tc>
          <w:tcPr>
            <w:tcW w:w="2228" w:type="pct"/>
            <w:tcBorders>
              <w:tl2br w:val="nil"/>
              <w:tr2bl w:val="nil"/>
            </w:tcBorders>
            <w:shd w:val="clear" w:color="auto" w:fill="auto"/>
            <w:noWrap/>
            <w:vAlign w:val="center"/>
          </w:tcPr>
          <w:p w14:paraId="750AD17E">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国标</w:t>
            </w:r>
          </w:p>
        </w:tc>
        <w:tc>
          <w:tcPr>
            <w:tcW w:w="496" w:type="pct"/>
            <w:tcBorders>
              <w:tl2br w:val="nil"/>
              <w:tr2bl w:val="nil"/>
            </w:tcBorders>
            <w:shd w:val="clear" w:color="auto" w:fill="FFFFFF"/>
            <w:noWrap/>
            <w:vAlign w:val="center"/>
          </w:tcPr>
          <w:p w14:paraId="058AB442">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83" w:type="pct"/>
            <w:tcBorders>
              <w:tl2br w:val="nil"/>
              <w:tr2bl w:val="nil"/>
            </w:tcBorders>
            <w:shd w:val="clear" w:color="auto" w:fill="FFFFFF"/>
            <w:noWrap/>
            <w:vAlign w:val="center"/>
          </w:tcPr>
          <w:p w14:paraId="109AE047">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084E2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64CDB6D5">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31 </w:t>
            </w:r>
          </w:p>
        </w:tc>
        <w:tc>
          <w:tcPr>
            <w:tcW w:w="1244" w:type="pct"/>
            <w:tcBorders>
              <w:tl2br w:val="nil"/>
              <w:tr2bl w:val="nil"/>
            </w:tcBorders>
            <w:shd w:val="clear" w:color="auto" w:fill="FFFFFF"/>
            <w:noWrap/>
            <w:vAlign w:val="center"/>
          </w:tcPr>
          <w:p w14:paraId="432E5319">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控制柜</w:t>
            </w:r>
          </w:p>
        </w:tc>
        <w:tc>
          <w:tcPr>
            <w:tcW w:w="2228" w:type="pct"/>
            <w:tcBorders>
              <w:tl2br w:val="nil"/>
              <w:tr2bl w:val="nil"/>
            </w:tcBorders>
            <w:shd w:val="clear" w:color="auto" w:fill="auto"/>
            <w:noWrap/>
            <w:vAlign w:val="center"/>
          </w:tcPr>
          <w:p w14:paraId="21C89ECA">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国标</w:t>
            </w:r>
          </w:p>
        </w:tc>
        <w:tc>
          <w:tcPr>
            <w:tcW w:w="496" w:type="pct"/>
            <w:tcBorders>
              <w:tl2br w:val="nil"/>
              <w:tr2bl w:val="nil"/>
            </w:tcBorders>
            <w:shd w:val="clear" w:color="auto" w:fill="FFFFFF"/>
            <w:noWrap/>
            <w:vAlign w:val="center"/>
          </w:tcPr>
          <w:p w14:paraId="31F81C2B">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16170DE8">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731A7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4D825A30">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32</w:t>
            </w:r>
          </w:p>
        </w:tc>
        <w:tc>
          <w:tcPr>
            <w:tcW w:w="1244" w:type="pct"/>
            <w:tcBorders>
              <w:tl2br w:val="nil"/>
              <w:tr2bl w:val="nil"/>
            </w:tcBorders>
            <w:shd w:val="clear" w:color="auto" w:fill="FFFFFF"/>
            <w:noWrap/>
            <w:vAlign w:val="center"/>
          </w:tcPr>
          <w:p w14:paraId="229A60F3">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提升泵</w:t>
            </w:r>
          </w:p>
        </w:tc>
        <w:tc>
          <w:tcPr>
            <w:tcW w:w="2228" w:type="pct"/>
            <w:tcBorders>
              <w:tl2br w:val="nil"/>
              <w:tr2bl w:val="nil"/>
            </w:tcBorders>
            <w:shd w:val="clear" w:color="auto" w:fill="auto"/>
            <w:noWrap/>
            <w:vAlign w:val="center"/>
          </w:tcPr>
          <w:p w14:paraId="314874A0">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WQD6-16-0.75KW</w:t>
            </w:r>
          </w:p>
        </w:tc>
        <w:tc>
          <w:tcPr>
            <w:tcW w:w="496" w:type="pct"/>
            <w:tcBorders>
              <w:tl2br w:val="nil"/>
              <w:tr2bl w:val="nil"/>
            </w:tcBorders>
            <w:shd w:val="clear" w:color="auto" w:fill="FFFFFF"/>
            <w:noWrap/>
            <w:vAlign w:val="center"/>
          </w:tcPr>
          <w:p w14:paraId="66460728">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23E11187">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p>
        </w:tc>
      </w:tr>
      <w:tr w14:paraId="6D9E4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0F7019F7">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33</w:t>
            </w:r>
          </w:p>
        </w:tc>
        <w:tc>
          <w:tcPr>
            <w:tcW w:w="1244" w:type="pct"/>
            <w:tcBorders>
              <w:tl2br w:val="nil"/>
              <w:tr2bl w:val="nil"/>
            </w:tcBorders>
            <w:shd w:val="clear" w:color="auto" w:fill="FFFFFF"/>
            <w:noWrap/>
            <w:vAlign w:val="center"/>
          </w:tcPr>
          <w:p w14:paraId="24549750">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电磁流量计</w:t>
            </w:r>
          </w:p>
        </w:tc>
        <w:tc>
          <w:tcPr>
            <w:tcW w:w="2228" w:type="pct"/>
            <w:tcBorders>
              <w:tl2br w:val="nil"/>
              <w:tr2bl w:val="nil"/>
            </w:tcBorders>
            <w:shd w:val="clear" w:color="auto" w:fill="auto"/>
            <w:noWrap/>
            <w:vAlign w:val="center"/>
          </w:tcPr>
          <w:p w14:paraId="2B5607F4">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DN40</w:t>
            </w:r>
          </w:p>
        </w:tc>
        <w:tc>
          <w:tcPr>
            <w:tcW w:w="496" w:type="pct"/>
            <w:tcBorders>
              <w:tl2br w:val="nil"/>
              <w:tr2bl w:val="nil"/>
            </w:tcBorders>
            <w:shd w:val="clear" w:color="auto" w:fill="FFFFFF"/>
            <w:noWrap/>
            <w:vAlign w:val="center"/>
          </w:tcPr>
          <w:p w14:paraId="66E8648B">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5C321C06">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14:paraId="68954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06A15CEE">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34</w:t>
            </w:r>
          </w:p>
        </w:tc>
        <w:tc>
          <w:tcPr>
            <w:tcW w:w="1244" w:type="pct"/>
            <w:tcBorders>
              <w:tl2br w:val="nil"/>
              <w:tr2bl w:val="nil"/>
            </w:tcBorders>
            <w:shd w:val="clear" w:color="auto" w:fill="FFFFFF"/>
            <w:noWrap/>
            <w:vAlign w:val="center"/>
          </w:tcPr>
          <w:p w14:paraId="4E1B5A56">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浮球液位计</w:t>
            </w:r>
          </w:p>
        </w:tc>
        <w:tc>
          <w:tcPr>
            <w:tcW w:w="2228" w:type="pct"/>
            <w:tcBorders>
              <w:tl2br w:val="nil"/>
              <w:tr2bl w:val="nil"/>
            </w:tcBorders>
            <w:shd w:val="clear" w:color="auto" w:fill="auto"/>
            <w:noWrap w:val="0"/>
            <w:vAlign w:val="center"/>
          </w:tcPr>
          <w:p w14:paraId="362D31ED">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0-6m</w:t>
            </w:r>
          </w:p>
        </w:tc>
        <w:tc>
          <w:tcPr>
            <w:tcW w:w="496" w:type="pct"/>
            <w:tcBorders>
              <w:tl2br w:val="nil"/>
              <w:tr2bl w:val="nil"/>
            </w:tcBorders>
            <w:shd w:val="clear" w:color="auto" w:fill="FFFFFF"/>
            <w:noWrap/>
            <w:vAlign w:val="center"/>
          </w:tcPr>
          <w:p w14:paraId="12F132C4">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77CE2DA3">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2 </w:t>
            </w:r>
          </w:p>
        </w:tc>
      </w:tr>
      <w:tr w14:paraId="1DB33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32EDB7BB">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w:t>
            </w:r>
          </w:p>
        </w:tc>
        <w:tc>
          <w:tcPr>
            <w:tcW w:w="1244" w:type="pct"/>
            <w:tcBorders>
              <w:tl2br w:val="nil"/>
              <w:tr2bl w:val="nil"/>
            </w:tcBorders>
            <w:shd w:val="clear" w:color="auto" w:fill="FFFFFF"/>
            <w:noWrap/>
            <w:vAlign w:val="center"/>
          </w:tcPr>
          <w:p w14:paraId="647414FE">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提升泵</w:t>
            </w:r>
          </w:p>
        </w:tc>
        <w:tc>
          <w:tcPr>
            <w:tcW w:w="2228" w:type="pct"/>
            <w:tcBorders>
              <w:tl2br w:val="nil"/>
              <w:tr2bl w:val="nil"/>
            </w:tcBorders>
            <w:shd w:val="clear" w:color="auto" w:fill="auto"/>
            <w:noWrap w:val="0"/>
            <w:vAlign w:val="center"/>
          </w:tcPr>
          <w:p w14:paraId="290E900E">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WQD6-16-0.75KW</w:t>
            </w:r>
          </w:p>
        </w:tc>
        <w:tc>
          <w:tcPr>
            <w:tcW w:w="496" w:type="pct"/>
            <w:tcBorders>
              <w:tl2br w:val="nil"/>
              <w:tr2bl w:val="nil"/>
            </w:tcBorders>
            <w:shd w:val="clear" w:color="auto" w:fill="FFFFFF"/>
            <w:noWrap/>
            <w:vAlign w:val="center"/>
          </w:tcPr>
          <w:p w14:paraId="3A83B55A">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43E088A4">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2 </w:t>
            </w:r>
          </w:p>
        </w:tc>
      </w:tr>
      <w:tr w14:paraId="6E9C7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0D46965B">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36</w:t>
            </w:r>
          </w:p>
        </w:tc>
        <w:tc>
          <w:tcPr>
            <w:tcW w:w="1244" w:type="pct"/>
            <w:tcBorders>
              <w:tl2br w:val="nil"/>
              <w:tr2bl w:val="nil"/>
            </w:tcBorders>
            <w:shd w:val="clear" w:color="auto" w:fill="FFFFFF"/>
            <w:noWrap/>
            <w:vAlign w:val="center"/>
          </w:tcPr>
          <w:p w14:paraId="0D97E183">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罗茨风机</w:t>
            </w:r>
          </w:p>
        </w:tc>
        <w:tc>
          <w:tcPr>
            <w:tcW w:w="2228" w:type="pct"/>
            <w:tcBorders>
              <w:tl2br w:val="nil"/>
              <w:tr2bl w:val="nil"/>
            </w:tcBorders>
            <w:shd w:val="clear" w:color="auto" w:fill="auto"/>
            <w:noWrap/>
            <w:vAlign w:val="center"/>
          </w:tcPr>
          <w:p w14:paraId="12A5966A">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ZZR-50 4KW</w:t>
            </w:r>
          </w:p>
        </w:tc>
        <w:tc>
          <w:tcPr>
            <w:tcW w:w="496" w:type="pct"/>
            <w:tcBorders>
              <w:tl2br w:val="nil"/>
              <w:tr2bl w:val="nil"/>
            </w:tcBorders>
            <w:shd w:val="clear" w:color="auto" w:fill="FFFFFF"/>
            <w:noWrap/>
            <w:vAlign w:val="center"/>
          </w:tcPr>
          <w:p w14:paraId="1F31D97F">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2F351C8C">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2 </w:t>
            </w:r>
          </w:p>
        </w:tc>
      </w:tr>
      <w:tr w14:paraId="67A9E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69D6D58C">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37 </w:t>
            </w:r>
          </w:p>
        </w:tc>
        <w:tc>
          <w:tcPr>
            <w:tcW w:w="1244" w:type="pct"/>
            <w:tcBorders>
              <w:tl2br w:val="nil"/>
              <w:tr2bl w:val="nil"/>
            </w:tcBorders>
            <w:shd w:val="clear" w:color="auto" w:fill="auto"/>
            <w:noWrap w:val="0"/>
            <w:vAlign w:val="center"/>
          </w:tcPr>
          <w:p w14:paraId="67A51B62">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污泥泵</w:t>
            </w:r>
          </w:p>
        </w:tc>
        <w:tc>
          <w:tcPr>
            <w:tcW w:w="2228" w:type="pct"/>
            <w:tcBorders>
              <w:tl2br w:val="nil"/>
              <w:tr2bl w:val="nil"/>
            </w:tcBorders>
            <w:shd w:val="clear" w:color="auto" w:fill="auto"/>
            <w:noWrap w:val="0"/>
            <w:vAlign w:val="center"/>
          </w:tcPr>
          <w:p w14:paraId="0D1BD314">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WQD6-16-0.75KW</w:t>
            </w:r>
          </w:p>
        </w:tc>
        <w:tc>
          <w:tcPr>
            <w:tcW w:w="496" w:type="pct"/>
            <w:tcBorders>
              <w:tl2br w:val="nil"/>
              <w:tr2bl w:val="nil"/>
            </w:tcBorders>
            <w:shd w:val="clear" w:color="auto" w:fill="FFFFFF"/>
            <w:noWrap/>
            <w:vAlign w:val="center"/>
          </w:tcPr>
          <w:p w14:paraId="2647C226">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64C85839">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2 </w:t>
            </w:r>
          </w:p>
        </w:tc>
      </w:tr>
      <w:tr w14:paraId="5D136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2D684364">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38 </w:t>
            </w:r>
          </w:p>
        </w:tc>
        <w:tc>
          <w:tcPr>
            <w:tcW w:w="1244" w:type="pct"/>
            <w:tcBorders>
              <w:tl2br w:val="nil"/>
              <w:tr2bl w:val="nil"/>
            </w:tcBorders>
            <w:shd w:val="clear" w:color="auto" w:fill="FFFFFF"/>
            <w:noWrap/>
            <w:vAlign w:val="center"/>
          </w:tcPr>
          <w:p w14:paraId="36836E6A">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配药装置</w:t>
            </w:r>
          </w:p>
        </w:tc>
        <w:tc>
          <w:tcPr>
            <w:tcW w:w="2228" w:type="pct"/>
            <w:tcBorders>
              <w:tl2br w:val="nil"/>
              <w:tr2bl w:val="nil"/>
            </w:tcBorders>
            <w:shd w:val="clear" w:color="auto" w:fill="auto"/>
            <w:noWrap w:val="0"/>
            <w:vAlign w:val="center"/>
          </w:tcPr>
          <w:p w14:paraId="0141B40C">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500L,0.3kw</w:t>
            </w:r>
          </w:p>
        </w:tc>
        <w:tc>
          <w:tcPr>
            <w:tcW w:w="496" w:type="pct"/>
            <w:tcBorders>
              <w:tl2br w:val="nil"/>
              <w:tr2bl w:val="nil"/>
            </w:tcBorders>
            <w:shd w:val="clear" w:color="auto" w:fill="FFFFFF"/>
            <w:noWrap/>
            <w:vAlign w:val="center"/>
          </w:tcPr>
          <w:p w14:paraId="404DA0DA">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1E34C145">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3778D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24306772">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39</w:t>
            </w:r>
          </w:p>
        </w:tc>
        <w:tc>
          <w:tcPr>
            <w:tcW w:w="1244" w:type="pct"/>
            <w:tcBorders>
              <w:tl2br w:val="nil"/>
              <w:tr2bl w:val="nil"/>
            </w:tcBorders>
            <w:shd w:val="clear" w:color="auto" w:fill="FFFFFF"/>
            <w:noWrap/>
            <w:vAlign w:val="center"/>
          </w:tcPr>
          <w:p w14:paraId="3E0DC716">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计量泵</w:t>
            </w:r>
          </w:p>
        </w:tc>
        <w:tc>
          <w:tcPr>
            <w:tcW w:w="2228" w:type="pct"/>
            <w:tcBorders>
              <w:tl2br w:val="nil"/>
              <w:tr2bl w:val="nil"/>
            </w:tcBorders>
            <w:shd w:val="clear" w:color="auto" w:fill="auto"/>
            <w:noWrap w:val="0"/>
            <w:vAlign w:val="center"/>
          </w:tcPr>
          <w:p w14:paraId="31D92C9D">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15L/H-0.05KW</w:t>
            </w:r>
          </w:p>
        </w:tc>
        <w:tc>
          <w:tcPr>
            <w:tcW w:w="496" w:type="pct"/>
            <w:tcBorders>
              <w:tl2br w:val="nil"/>
              <w:tr2bl w:val="nil"/>
            </w:tcBorders>
            <w:shd w:val="clear" w:color="auto" w:fill="FFFFFF"/>
            <w:noWrap/>
            <w:vAlign w:val="center"/>
          </w:tcPr>
          <w:p w14:paraId="6E79D0EF">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1AC630FC">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4 </w:t>
            </w:r>
          </w:p>
        </w:tc>
      </w:tr>
      <w:tr w14:paraId="34474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24EBF85E">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40 </w:t>
            </w:r>
          </w:p>
        </w:tc>
        <w:tc>
          <w:tcPr>
            <w:tcW w:w="1244" w:type="pct"/>
            <w:tcBorders>
              <w:tl2br w:val="nil"/>
              <w:tr2bl w:val="nil"/>
            </w:tcBorders>
            <w:shd w:val="clear" w:color="auto" w:fill="FFFFFF"/>
            <w:noWrap/>
            <w:vAlign w:val="center"/>
          </w:tcPr>
          <w:p w14:paraId="2B94C405">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控制柜</w:t>
            </w:r>
          </w:p>
        </w:tc>
        <w:tc>
          <w:tcPr>
            <w:tcW w:w="2228" w:type="pct"/>
            <w:tcBorders>
              <w:tl2br w:val="nil"/>
              <w:tr2bl w:val="nil"/>
            </w:tcBorders>
            <w:shd w:val="clear" w:color="auto" w:fill="auto"/>
            <w:noWrap/>
            <w:vAlign w:val="center"/>
          </w:tcPr>
          <w:p w14:paraId="0E99A1FB">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PLC</w:t>
            </w:r>
          </w:p>
        </w:tc>
        <w:tc>
          <w:tcPr>
            <w:tcW w:w="496" w:type="pct"/>
            <w:tcBorders>
              <w:tl2br w:val="nil"/>
              <w:tr2bl w:val="nil"/>
            </w:tcBorders>
            <w:shd w:val="clear" w:color="auto" w:fill="FFFFFF"/>
            <w:noWrap/>
            <w:vAlign w:val="center"/>
          </w:tcPr>
          <w:p w14:paraId="245F3C36">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83" w:type="pct"/>
            <w:tcBorders>
              <w:tl2br w:val="nil"/>
              <w:tr2bl w:val="nil"/>
            </w:tcBorders>
            <w:shd w:val="clear" w:color="auto" w:fill="FFFFFF"/>
            <w:noWrap/>
            <w:vAlign w:val="center"/>
          </w:tcPr>
          <w:p w14:paraId="05F858B5">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67586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346BC5CC">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41</w:t>
            </w:r>
          </w:p>
        </w:tc>
        <w:tc>
          <w:tcPr>
            <w:tcW w:w="1244" w:type="pct"/>
            <w:tcBorders>
              <w:tl2br w:val="nil"/>
              <w:tr2bl w:val="nil"/>
            </w:tcBorders>
            <w:shd w:val="clear" w:color="auto" w:fill="FFFFFF"/>
            <w:noWrap/>
            <w:vAlign w:val="center"/>
          </w:tcPr>
          <w:p w14:paraId="759B5CD3">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气动隔膜泵</w:t>
            </w:r>
          </w:p>
        </w:tc>
        <w:tc>
          <w:tcPr>
            <w:tcW w:w="2228" w:type="pct"/>
            <w:tcBorders>
              <w:tl2br w:val="nil"/>
              <w:tr2bl w:val="nil"/>
            </w:tcBorders>
            <w:shd w:val="clear" w:color="auto" w:fill="auto"/>
            <w:noWrap w:val="0"/>
            <w:vAlign w:val="center"/>
          </w:tcPr>
          <w:p w14:paraId="16D1660D">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QBY-65</w:t>
            </w:r>
          </w:p>
        </w:tc>
        <w:tc>
          <w:tcPr>
            <w:tcW w:w="496" w:type="pct"/>
            <w:tcBorders>
              <w:tl2br w:val="nil"/>
              <w:tr2bl w:val="nil"/>
            </w:tcBorders>
            <w:shd w:val="clear" w:color="auto" w:fill="FFFFFF"/>
            <w:noWrap/>
            <w:vAlign w:val="center"/>
          </w:tcPr>
          <w:p w14:paraId="30D8A724">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83" w:type="pct"/>
            <w:tcBorders>
              <w:tl2br w:val="nil"/>
              <w:tr2bl w:val="nil"/>
            </w:tcBorders>
            <w:shd w:val="clear" w:color="auto" w:fill="FFFFFF"/>
            <w:noWrap/>
            <w:vAlign w:val="center"/>
          </w:tcPr>
          <w:p w14:paraId="2F993E00">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2 </w:t>
            </w:r>
          </w:p>
        </w:tc>
      </w:tr>
      <w:tr w14:paraId="33EAB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068F1166">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42 </w:t>
            </w:r>
          </w:p>
        </w:tc>
        <w:tc>
          <w:tcPr>
            <w:tcW w:w="1244" w:type="pct"/>
            <w:tcBorders>
              <w:tl2br w:val="nil"/>
              <w:tr2bl w:val="nil"/>
            </w:tcBorders>
            <w:shd w:val="clear" w:color="auto" w:fill="FFFFFF"/>
            <w:noWrap/>
            <w:vAlign w:val="center"/>
          </w:tcPr>
          <w:p w14:paraId="64D586C1">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厌氧池填料支架</w:t>
            </w:r>
          </w:p>
        </w:tc>
        <w:tc>
          <w:tcPr>
            <w:tcW w:w="2228" w:type="pct"/>
            <w:tcBorders>
              <w:tl2br w:val="nil"/>
              <w:tr2bl w:val="nil"/>
            </w:tcBorders>
            <w:shd w:val="clear" w:color="auto" w:fill="auto"/>
            <w:noWrap w:val="0"/>
            <w:vAlign w:val="center"/>
          </w:tcPr>
          <w:p w14:paraId="7AF2B8E4">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50mm不锈钢角铁，∅12不锈钢圆钢</w:t>
            </w:r>
          </w:p>
        </w:tc>
        <w:tc>
          <w:tcPr>
            <w:tcW w:w="496" w:type="pct"/>
            <w:tcBorders>
              <w:tl2br w:val="nil"/>
              <w:tr2bl w:val="nil"/>
            </w:tcBorders>
            <w:shd w:val="clear" w:color="auto" w:fill="FFFFFF"/>
            <w:noWrap/>
            <w:vAlign w:val="center"/>
          </w:tcPr>
          <w:p w14:paraId="46E052D5">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83" w:type="pct"/>
            <w:tcBorders>
              <w:tl2br w:val="nil"/>
              <w:tr2bl w:val="nil"/>
            </w:tcBorders>
            <w:shd w:val="clear" w:color="auto" w:fill="FFFFFF"/>
            <w:noWrap/>
            <w:vAlign w:val="center"/>
          </w:tcPr>
          <w:p w14:paraId="1E5F0BBE">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3EEFA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724B5B3D">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43 </w:t>
            </w:r>
          </w:p>
        </w:tc>
        <w:tc>
          <w:tcPr>
            <w:tcW w:w="1244" w:type="pct"/>
            <w:tcBorders>
              <w:tl2br w:val="nil"/>
              <w:tr2bl w:val="nil"/>
            </w:tcBorders>
            <w:shd w:val="clear" w:color="auto" w:fill="FFFFFF"/>
            <w:noWrap/>
            <w:vAlign w:val="center"/>
          </w:tcPr>
          <w:p w14:paraId="442D682B">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厌氧池组合填料</w:t>
            </w:r>
          </w:p>
        </w:tc>
        <w:tc>
          <w:tcPr>
            <w:tcW w:w="2228" w:type="pct"/>
            <w:tcBorders>
              <w:tl2br w:val="nil"/>
              <w:tr2bl w:val="nil"/>
            </w:tcBorders>
            <w:shd w:val="clear" w:color="auto" w:fill="auto"/>
            <w:noWrap/>
            <w:vAlign w:val="center"/>
          </w:tcPr>
          <w:p w14:paraId="7A7583E7">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∅150</w:t>
            </w:r>
          </w:p>
        </w:tc>
        <w:tc>
          <w:tcPr>
            <w:tcW w:w="496" w:type="pct"/>
            <w:tcBorders>
              <w:tl2br w:val="nil"/>
              <w:tr2bl w:val="nil"/>
            </w:tcBorders>
            <w:shd w:val="clear" w:color="auto" w:fill="FFFFFF"/>
            <w:noWrap/>
            <w:vAlign w:val="center"/>
          </w:tcPr>
          <w:p w14:paraId="60A878E0">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m³</w:t>
            </w:r>
          </w:p>
        </w:tc>
        <w:tc>
          <w:tcPr>
            <w:tcW w:w="583" w:type="pct"/>
            <w:tcBorders>
              <w:tl2br w:val="nil"/>
              <w:tr2bl w:val="nil"/>
            </w:tcBorders>
            <w:shd w:val="clear" w:color="auto" w:fill="FFFFFF"/>
            <w:noWrap/>
            <w:vAlign w:val="center"/>
          </w:tcPr>
          <w:p w14:paraId="760E2EE7">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330 </w:t>
            </w:r>
          </w:p>
        </w:tc>
      </w:tr>
      <w:tr w14:paraId="34BEF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4DABDF06">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44 </w:t>
            </w:r>
          </w:p>
        </w:tc>
        <w:tc>
          <w:tcPr>
            <w:tcW w:w="1244" w:type="pct"/>
            <w:tcBorders>
              <w:tl2br w:val="nil"/>
              <w:tr2bl w:val="nil"/>
            </w:tcBorders>
            <w:shd w:val="clear" w:color="auto" w:fill="FFFFFF"/>
            <w:noWrap/>
            <w:vAlign w:val="center"/>
          </w:tcPr>
          <w:p w14:paraId="7DE1DA87">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好氧池填料支架</w:t>
            </w:r>
          </w:p>
        </w:tc>
        <w:tc>
          <w:tcPr>
            <w:tcW w:w="2228" w:type="pct"/>
            <w:tcBorders>
              <w:tl2br w:val="nil"/>
              <w:tr2bl w:val="nil"/>
            </w:tcBorders>
            <w:shd w:val="clear" w:color="auto" w:fill="auto"/>
            <w:noWrap w:val="0"/>
            <w:vAlign w:val="center"/>
          </w:tcPr>
          <w:p w14:paraId="5195AC55">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50mm不锈钢角铁，∅12不锈钢圆钢</w:t>
            </w:r>
          </w:p>
        </w:tc>
        <w:tc>
          <w:tcPr>
            <w:tcW w:w="496" w:type="pct"/>
            <w:tcBorders>
              <w:tl2br w:val="nil"/>
              <w:tr2bl w:val="nil"/>
            </w:tcBorders>
            <w:shd w:val="clear" w:color="auto" w:fill="FFFFFF"/>
            <w:noWrap/>
            <w:vAlign w:val="center"/>
          </w:tcPr>
          <w:p w14:paraId="3CF5BCFB">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83" w:type="pct"/>
            <w:tcBorders>
              <w:tl2br w:val="nil"/>
              <w:tr2bl w:val="nil"/>
            </w:tcBorders>
            <w:shd w:val="clear" w:color="auto" w:fill="FFFFFF"/>
            <w:noWrap/>
            <w:vAlign w:val="center"/>
          </w:tcPr>
          <w:p w14:paraId="59283A3A">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0E09E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03834A70">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45 </w:t>
            </w:r>
          </w:p>
        </w:tc>
        <w:tc>
          <w:tcPr>
            <w:tcW w:w="1244" w:type="pct"/>
            <w:tcBorders>
              <w:tl2br w:val="nil"/>
              <w:tr2bl w:val="nil"/>
            </w:tcBorders>
            <w:shd w:val="clear" w:color="auto" w:fill="FFFFFF"/>
            <w:noWrap/>
            <w:vAlign w:val="center"/>
          </w:tcPr>
          <w:p w14:paraId="7AE4500C">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好氧池组合填料</w:t>
            </w:r>
          </w:p>
        </w:tc>
        <w:tc>
          <w:tcPr>
            <w:tcW w:w="2228" w:type="pct"/>
            <w:tcBorders>
              <w:tl2br w:val="nil"/>
              <w:tr2bl w:val="nil"/>
            </w:tcBorders>
            <w:shd w:val="clear" w:color="auto" w:fill="auto"/>
            <w:noWrap/>
            <w:vAlign w:val="center"/>
          </w:tcPr>
          <w:p w14:paraId="36382F38">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∅150</w:t>
            </w:r>
          </w:p>
        </w:tc>
        <w:tc>
          <w:tcPr>
            <w:tcW w:w="496" w:type="pct"/>
            <w:tcBorders>
              <w:tl2br w:val="nil"/>
              <w:tr2bl w:val="nil"/>
            </w:tcBorders>
            <w:shd w:val="clear" w:color="auto" w:fill="FFFFFF"/>
            <w:noWrap/>
            <w:vAlign w:val="center"/>
          </w:tcPr>
          <w:p w14:paraId="4824B3D0">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m³</w:t>
            </w:r>
          </w:p>
        </w:tc>
        <w:tc>
          <w:tcPr>
            <w:tcW w:w="583" w:type="pct"/>
            <w:tcBorders>
              <w:tl2br w:val="nil"/>
              <w:tr2bl w:val="nil"/>
            </w:tcBorders>
            <w:shd w:val="clear" w:color="auto" w:fill="FFFFFF"/>
            <w:noWrap/>
            <w:vAlign w:val="center"/>
          </w:tcPr>
          <w:p w14:paraId="09B0AD1A">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500 </w:t>
            </w:r>
          </w:p>
        </w:tc>
      </w:tr>
      <w:tr w14:paraId="3E72A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6FEC6E06">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46 </w:t>
            </w:r>
          </w:p>
        </w:tc>
        <w:tc>
          <w:tcPr>
            <w:tcW w:w="1244" w:type="pct"/>
            <w:tcBorders>
              <w:tl2br w:val="nil"/>
              <w:tr2bl w:val="nil"/>
            </w:tcBorders>
            <w:shd w:val="clear" w:color="auto" w:fill="FFFFFF"/>
            <w:noWrap/>
            <w:vAlign w:val="center"/>
          </w:tcPr>
          <w:p w14:paraId="21E91DC0">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微孔曝气器</w:t>
            </w:r>
          </w:p>
        </w:tc>
        <w:tc>
          <w:tcPr>
            <w:tcW w:w="2228" w:type="pct"/>
            <w:tcBorders>
              <w:tl2br w:val="nil"/>
              <w:tr2bl w:val="nil"/>
            </w:tcBorders>
            <w:shd w:val="clear" w:color="auto" w:fill="auto"/>
            <w:noWrap/>
            <w:vAlign w:val="center"/>
          </w:tcPr>
          <w:p w14:paraId="3ED9F159">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∅215</w:t>
            </w:r>
          </w:p>
        </w:tc>
        <w:tc>
          <w:tcPr>
            <w:tcW w:w="496" w:type="pct"/>
            <w:tcBorders>
              <w:tl2br w:val="nil"/>
              <w:tr2bl w:val="nil"/>
            </w:tcBorders>
            <w:shd w:val="clear" w:color="auto" w:fill="FFFFFF"/>
            <w:noWrap/>
            <w:vAlign w:val="center"/>
          </w:tcPr>
          <w:p w14:paraId="716DC6DC">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583" w:type="pct"/>
            <w:tcBorders>
              <w:tl2br w:val="nil"/>
              <w:tr2bl w:val="nil"/>
            </w:tcBorders>
            <w:shd w:val="clear" w:color="auto" w:fill="FFFFFF"/>
            <w:noWrap/>
            <w:vAlign w:val="center"/>
          </w:tcPr>
          <w:p w14:paraId="3D0A95B3">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330 </w:t>
            </w:r>
          </w:p>
        </w:tc>
      </w:tr>
      <w:tr w14:paraId="6D9BD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52A4D8F5">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47 </w:t>
            </w:r>
          </w:p>
        </w:tc>
        <w:tc>
          <w:tcPr>
            <w:tcW w:w="1244" w:type="pct"/>
            <w:tcBorders>
              <w:tl2br w:val="nil"/>
              <w:tr2bl w:val="nil"/>
            </w:tcBorders>
            <w:shd w:val="clear" w:color="auto" w:fill="FFFFFF"/>
            <w:noWrap/>
            <w:vAlign w:val="center"/>
          </w:tcPr>
          <w:p w14:paraId="5FAC855D">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溢流堰</w:t>
            </w:r>
          </w:p>
        </w:tc>
        <w:tc>
          <w:tcPr>
            <w:tcW w:w="2228" w:type="pct"/>
            <w:tcBorders>
              <w:tl2br w:val="nil"/>
              <w:tr2bl w:val="nil"/>
            </w:tcBorders>
            <w:shd w:val="clear" w:color="auto" w:fill="auto"/>
            <w:noWrap/>
            <w:vAlign w:val="center"/>
          </w:tcPr>
          <w:p w14:paraId="0329CFBA">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300</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250</w:t>
            </w:r>
          </w:p>
        </w:tc>
        <w:tc>
          <w:tcPr>
            <w:tcW w:w="496" w:type="pct"/>
            <w:tcBorders>
              <w:tl2br w:val="nil"/>
              <w:tr2bl w:val="nil"/>
            </w:tcBorders>
            <w:shd w:val="clear" w:color="auto" w:fill="FFFFFF"/>
            <w:noWrap/>
            <w:vAlign w:val="center"/>
          </w:tcPr>
          <w:p w14:paraId="2E0A9AAC">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583" w:type="pct"/>
            <w:tcBorders>
              <w:tl2br w:val="nil"/>
              <w:tr2bl w:val="nil"/>
            </w:tcBorders>
            <w:shd w:val="clear" w:color="auto" w:fill="FFFFFF"/>
            <w:noWrap/>
            <w:vAlign w:val="center"/>
          </w:tcPr>
          <w:p w14:paraId="05FE4049">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63 </w:t>
            </w:r>
          </w:p>
        </w:tc>
      </w:tr>
      <w:tr w14:paraId="7418C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10482282">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48 </w:t>
            </w:r>
          </w:p>
        </w:tc>
        <w:tc>
          <w:tcPr>
            <w:tcW w:w="1244" w:type="pct"/>
            <w:tcBorders>
              <w:tl2br w:val="nil"/>
              <w:tr2bl w:val="nil"/>
            </w:tcBorders>
            <w:shd w:val="clear" w:color="auto" w:fill="FFFFFF"/>
            <w:noWrap/>
            <w:vAlign w:val="center"/>
          </w:tcPr>
          <w:p w14:paraId="5D7D0551">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厌氧池填料支架</w:t>
            </w:r>
          </w:p>
        </w:tc>
        <w:tc>
          <w:tcPr>
            <w:tcW w:w="2228" w:type="pct"/>
            <w:tcBorders>
              <w:tl2br w:val="nil"/>
              <w:tr2bl w:val="nil"/>
            </w:tcBorders>
            <w:shd w:val="clear" w:color="auto" w:fill="auto"/>
            <w:noWrap w:val="0"/>
            <w:vAlign w:val="center"/>
          </w:tcPr>
          <w:p w14:paraId="53AB168F">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50</w:t>
            </w:r>
            <w:r>
              <w:rPr>
                <w:rFonts w:hint="eastAsia" w:ascii="宋体" w:hAnsi="宋体" w:eastAsia="宋体" w:cs="宋体"/>
                <w:color w:val="auto"/>
                <w:szCs w:val="21"/>
                <w:highlight w:val="none"/>
                <w:lang w:val="en-US" w:eastAsia="zh-CN"/>
              </w:rPr>
              <w:t>mm</w:t>
            </w:r>
            <w:r>
              <w:rPr>
                <w:rFonts w:hint="eastAsia" w:ascii="宋体" w:hAnsi="宋体" w:eastAsia="宋体" w:cs="宋体"/>
                <w:color w:val="auto"/>
                <w:kern w:val="0"/>
                <w:sz w:val="21"/>
                <w:szCs w:val="21"/>
                <w:highlight w:val="none"/>
                <w:lang w:bidi="ar"/>
              </w:rPr>
              <w:t>不锈钢角铁，∅12不锈钢圆钢</w:t>
            </w:r>
          </w:p>
        </w:tc>
        <w:tc>
          <w:tcPr>
            <w:tcW w:w="496" w:type="pct"/>
            <w:tcBorders>
              <w:tl2br w:val="nil"/>
              <w:tr2bl w:val="nil"/>
            </w:tcBorders>
            <w:shd w:val="clear" w:color="auto" w:fill="FFFFFF"/>
            <w:noWrap/>
            <w:vAlign w:val="center"/>
          </w:tcPr>
          <w:p w14:paraId="3D7241C8">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83" w:type="pct"/>
            <w:tcBorders>
              <w:tl2br w:val="nil"/>
              <w:tr2bl w:val="nil"/>
            </w:tcBorders>
            <w:shd w:val="clear" w:color="auto" w:fill="FFFFFF"/>
            <w:noWrap/>
            <w:vAlign w:val="center"/>
          </w:tcPr>
          <w:p w14:paraId="33ABDE69">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57A17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5574385D">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49 </w:t>
            </w:r>
          </w:p>
        </w:tc>
        <w:tc>
          <w:tcPr>
            <w:tcW w:w="1244" w:type="pct"/>
            <w:tcBorders>
              <w:tl2br w:val="nil"/>
              <w:tr2bl w:val="nil"/>
            </w:tcBorders>
            <w:shd w:val="clear" w:color="auto" w:fill="FFFFFF"/>
            <w:noWrap/>
            <w:vAlign w:val="center"/>
          </w:tcPr>
          <w:p w14:paraId="57A00276">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厌氧池组合填料</w:t>
            </w:r>
          </w:p>
        </w:tc>
        <w:tc>
          <w:tcPr>
            <w:tcW w:w="2228" w:type="pct"/>
            <w:tcBorders>
              <w:tl2br w:val="nil"/>
              <w:tr2bl w:val="nil"/>
            </w:tcBorders>
            <w:shd w:val="clear" w:color="auto" w:fill="auto"/>
            <w:noWrap/>
            <w:vAlign w:val="center"/>
          </w:tcPr>
          <w:p w14:paraId="47A8C9DD">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∅150</w:t>
            </w:r>
          </w:p>
        </w:tc>
        <w:tc>
          <w:tcPr>
            <w:tcW w:w="496" w:type="pct"/>
            <w:tcBorders>
              <w:tl2br w:val="nil"/>
              <w:tr2bl w:val="nil"/>
            </w:tcBorders>
            <w:shd w:val="clear" w:color="auto" w:fill="FFFFFF"/>
            <w:noWrap/>
            <w:vAlign w:val="center"/>
          </w:tcPr>
          <w:p w14:paraId="4F2CA373">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m³</w:t>
            </w:r>
          </w:p>
        </w:tc>
        <w:tc>
          <w:tcPr>
            <w:tcW w:w="583" w:type="pct"/>
            <w:tcBorders>
              <w:tl2br w:val="nil"/>
              <w:tr2bl w:val="nil"/>
            </w:tcBorders>
            <w:shd w:val="clear" w:color="auto" w:fill="FFFFFF"/>
            <w:noWrap/>
            <w:vAlign w:val="center"/>
          </w:tcPr>
          <w:p w14:paraId="3E2B7EED">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30 </w:t>
            </w:r>
          </w:p>
        </w:tc>
      </w:tr>
      <w:tr w14:paraId="0C8AC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406263DC">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50 </w:t>
            </w:r>
          </w:p>
        </w:tc>
        <w:tc>
          <w:tcPr>
            <w:tcW w:w="1244" w:type="pct"/>
            <w:tcBorders>
              <w:tl2br w:val="nil"/>
              <w:tr2bl w:val="nil"/>
            </w:tcBorders>
            <w:shd w:val="clear" w:color="auto" w:fill="FFFFFF"/>
            <w:noWrap/>
            <w:vAlign w:val="center"/>
          </w:tcPr>
          <w:p w14:paraId="3EFA1BBF">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好氧池填料支架</w:t>
            </w:r>
          </w:p>
        </w:tc>
        <w:tc>
          <w:tcPr>
            <w:tcW w:w="2228" w:type="pct"/>
            <w:tcBorders>
              <w:tl2br w:val="nil"/>
              <w:tr2bl w:val="nil"/>
            </w:tcBorders>
            <w:shd w:val="clear" w:color="auto" w:fill="auto"/>
            <w:noWrap w:val="0"/>
            <w:vAlign w:val="center"/>
          </w:tcPr>
          <w:p w14:paraId="4678D6C5">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50</w:t>
            </w:r>
            <w:r>
              <w:rPr>
                <w:rFonts w:hint="eastAsia" w:ascii="宋体" w:hAnsi="宋体" w:eastAsia="宋体" w:cs="宋体"/>
                <w:color w:val="auto"/>
                <w:kern w:val="0"/>
                <w:sz w:val="21"/>
                <w:szCs w:val="21"/>
                <w:highlight w:val="none"/>
                <w:lang w:val="en-US" w:eastAsia="zh-CN" w:bidi="ar"/>
              </w:rPr>
              <w:t>mm</w:t>
            </w:r>
            <w:r>
              <w:rPr>
                <w:rFonts w:hint="eastAsia" w:ascii="宋体" w:hAnsi="宋体" w:eastAsia="宋体" w:cs="宋体"/>
                <w:color w:val="auto"/>
                <w:kern w:val="0"/>
                <w:sz w:val="21"/>
                <w:szCs w:val="21"/>
                <w:highlight w:val="none"/>
                <w:lang w:bidi="ar"/>
              </w:rPr>
              <w:t>不锈钢角铁，∅12不锈钢圆钢</w:t>
            </w:r>
          </w:p>
        </w:tc>
        <w:tc>
          <w:tcPr>
            <w:tcW w:w="496" w:type="pct"/>
            <w:tcBorders>
              <w:tl2br w:val="nil"/>
              <w:tr2bl w:val="nil"/>
            </w:tcBorders>
            <w:shd w:val="clear" w:color="auto" w:fill="FFFFFF"/>
            <w:noWrap/>
            <w:vAlign w:val="center"/>
          </w:tcPr>
          <w:p w14:paraId="529B949D">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83" w:type="pct"/>
            <w:tcBorders>
              <w:tl2br w:val="nil"/>
              <w:tr2bl w:val="nil"/>
            </w:tcBorders>
            <w:shd w:val="clear" w:color="auto" w:fill="FFFFFF"/>
            <w:noWrap/>
            <w:vAlign w:val="center"/>
          </w:tcPr>
          <w:p w14:paraId="711A8791">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 </w:t>
            </w:r>
          </w:p>
        </w:tc>
      </w:tr>
      <w:tr w14:paraId="64F32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0CFDFD5D">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51 </w:t>
            </w:r>
          </w:p>
        </w:tc>
        <w:tc>
          <w:tcPr>
            <w:tcW w:w="1244" w:type="pct"/>
            <w:tcBorders>
              <w:tl2br w:val="nil"/>
              <w:tr2bl w:val="nil"/>
            </w:tcBorders>
            <w:shd w:val="clear" w:color="auto" w:fill="FFFFFF"/>
            <w:noWrap/>
            <w:vAlign w:val="center"/>
          </w:tcPr>
          <w:p w14:paraId="74953A8E">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好氧池组合填料</w:t>
            </w:r>
          </w:p>
        </w:tc>
        <w:tc>
          <w:tcPr>
            <w:tcW w:w="2228" w:type="pct"/>
            <w:tcBorders>
              <w:tl2br w:val="nil"/>
              <w:tr2bl w:val="nil"/>
            </w:tcBorders>
            <w:shd w:val="clear" w:color="auto" w:fill="auto"/>
            <w:noWrap/>
            <w:vAlign w:val="center"/>
          </w:tcPr>
          <w:p w14:paraId="23B6D691">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∅150</w:t>
            </w:r>
          </w:p>
        </w:tc>
        <w:tc>
          <w:tcPr>
            <w:tcW w:w="496" w:type="pct"/>
            <w:tcBorders>
              <w:tl2br w:val="nil"/>
              <w:tr2bl w:val="nil"/>
            </w:tcBorders>
            <w:shd w:val="clear" w:color="auto" w:fill="FFFFFF"/>
            <w:noWrap/>
            <w:vAlign w:val="center"/>
          </w:tcPr>
          <w:p w14:paraId="3270758A">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m³</w:t>
            </w:r>
          </w:p>
        </w:tc>
        <w:tc>
          <w:tcPr>
            <w:tcW w:w="583" w:type="pct"/>
            <w:tcBorders>
              <w:tl2br w:val="nil"/>
              <w:tr2bl w:val="nil"/>
            </w:tcBorders>
            <w:shd w:val="clear" w:color="auto" w:fill="FFFFFF"/>
            <w:noWrap/>
            <w:vAlign w:val="center"/>
          </w:tcPr>
          <w:p w14:paraId="688CB741">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80 </w:t>
            </w:r>
          </w:p>
        </w:tc>
      </w:tr>
      <w:tr w14:paraId="15E2F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shd w:val="clear" w:color="auto" w:fill="auto"/>
            <w:noWrap/>
            <w:vAlign w:val="center"/>
          </w:tcPr>
          <w:p w14:paraId="1AACE311">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52 </w:t>
            </w:r>
          </w:p>
        </w:tc>
        <w:tc>
          <w:tcPr>
            <w:tcW w:w="1244" w:type="pct"/>
            <w:tcBorders>
              <w:tl2br w:val="nil"/>
              <w:tr2bl w:val="nil"/>
            </w:tcBorders>
            <w:shd w:val="clear" w:color="auto" w:fill="FFFFFF"/>
            <w:noWrap/>
            <w:vAlign w:val="center"/>
          </w:tcPr>
          <w:p w14:paraId="3782D648">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微孔曝气器</w:t>
            </w:r>
          </w:p>
        </w:tc>
        <w:tc>
          <w:tcPr>
            <w:tcW w:w="2228" w:type="pct"/>
            <w:tcBorders>
              <w:tl2br w:val="nil"/>
              <w:tr2bl w:val="nil"/>
            </w:tcBorders>
            <w:shd w:val="clear" w:color="auto" w:fill="auto"/>
            <w:noWrap/>
            <w:vAlign w:val="center"/>
          </w:tcPr>
          <w:p w14:paraId="01FEF6CA">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∅215</w:t>
            </w:r>
          </w:p>
        </w:tc>
        <w:tc>
          <w:tcPr>
            <w:tcW w:w="496" w:type="pct"/>
            <w:tcBorders>
              <w:tl2br w:val="nil"/>
              <w:tr2bl w:val="nil"/>
            </w:tcBorders>
            <w:shd w:val="clear" w:color="auto" w:fill="FFFFFF"/>
            <w:noWrap/>
            <w:vAlign w:val="center"/>
          </w:tcPr>
          <w:p w14:paraId="36D4A266">
            <w:pPr>
              <w:widowControl/>
              <w:spacing w:line="2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583" w:type="pct"/>
            <w:tcBorders>
              <w:tl2br w:val="nil"/>
              <w:tr2bl w:val="nil"/>
            </w:tcBorders>
            <w:shd w:val="clear" w:color="auto" w:fill="FFFFFF"/>
            <w:noWrap/>
            <w:vAlign w:val="center"/>
          </w:tcPr>
          <w:p w14:paraId="1912D7DB">
            <w:pPr>
              <w:widowControl/>
              <w:spacing w:line="2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48 </w:t>
            </w:r>
          </w:p>
        </w:tc>
      </w:tr>
    </w:tbl>
    <w:p w14:paraId="4CB4A5D7">
      <w:pPr>
        <w:adjustRightInd w:val="0"/>
        <w:spacing w:line="240" w:lineRule="exact"/>
        <w:ind w:firstLine="422" w:firstLineChars="200"/>
        <w:jc w:val="left"/>
        <w:textAlignment w:val="baseline"/>
        <w:rPr>
          <w:rFonts w:hint="eastAsia" w:ascii="宋体" w:hAnsi="宋体" w:eastAsia="宋体" w:cs="宋体"/>
          <w:b/>
          <w:color w:val="auto"/>
          <w:sz w:val="21"/>
          <w:szCs w:val="21"/>
          <w:highlight w:val="yellow"/>
        </w:rPr>
      </w:pPr>
    </w:p>
    <w:p w14:paraId="27A64EE8">
      <w:pPr>
        <w:adjustRightInd w:val="0"/>
        <w:spacing w:line="360" w:lineRule="auto"/>
        <w:ind w:firstLine="422" w:firstLineChars="200"/>
        <w:jc w:val="left"/>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2.在线监测系统维护保养内容</w:t>
      </w:r>
    </w:p>
    <w:p w14:paraId="7964D001">
      <w:pPr>
        <w:widowControl/>
        <w:tabs>
          <w:tab w:val="left" w:pos="525"/>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1）按照国家相关规定，</w:t>
      </w:r>
      <w:r>
        <w:rPr>
          <w:rFonts w:hint="eastAsia" w:ascii="宋体" w:hAnsi="宋体" w:eastAsia="宋体" w:cs="宋体"/>
          <w:color w:val="auto"/>
          <w:sz w:val="21"/>
          <w:szCs w:val="21"/>
          <w:highlight w:val="none"/>
          <w:lang w:val="en-US" w:eastAsia="zh-CN"/>
        </w:rPr>
        <w:t>乙方应</w:t>
      </w:r>
      <w:r>
        <w:rPr>
          <w:rFonts w:hint="eastAsia" w:ascii="宋体" w:hAnsi="宋体" w:eastAsia="宋体" w:cs="宋体"/>
          <w:color w:val="auto"/>
          <w:sz w:val="21"/>
          <w:szCs w:val="21"/>
          <w:highlight w:val="none"/>
        </w:rPr>
        <w:t>保证在线监测设备正常，提供在线监测设备的试剂并上门安装调试和更换，承担试剂费、运费、安装调试费等，试剂要符合环保部门的要求，并按环保部门要求采样频率进行监测，</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不再因为提高监测频率后需增加试剂用量和人工而增加相关费用。</w:t>
      </w:r>
    </w:p>
    <w:p w14:paraId="547B8385">
      <w:pPr>
        <w:widowControl/>
        <w:tabs>
          <w:tab w:val="left" w:pos="525"/>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乙方应</w:t>
      </w:r>
      <w:r>
        <w:rPr>
          <w:rFonts w:hint="eastAsia" w:ascii="宋体" w:hAnsi="宋体" w:eastAsia="宋体" w:cs="宋体"/>
          <w:color w:val="auto"/>
          <w:sz w:val="21"/>
          <w:szCs w:val="21"/>
          <w:highlight w:val="none"/>
        </w:rPr>
        <w:t>制定完善的运营管理和责任制度，建立监测站点设备的日常运营维护管理台帐，并接受环保部门和</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的监督。</w:t>
      </w:r>
    </w:p>
    <w:p w14:paraId="7FC1877B">
      <w:pPr>
        <w:widowControl/>
        <w:tabs>
          <w:tab w:val="left" w:pos="525"/>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乙方</w:t>
      </w:r>
      <w:r>
        <w:rPr>
          <w:rFonts w:hint="eastAsia" w:ascii="宋体" w:hAnsi="宋体" w:cs="宋体"/>
          <w:color w:val="auto"/>
          <w:sz w:val="21"/>
          <w:szCs w:val="21"/>
          <w:highlight w:val="none"/>
          <w:lang w:val="en-US" w:eastAsia="zh-CN"/>
        </w:rPr>
        <w:t>对</w:t>
      </w:r>
      <w:r>
        <w:rPr>
          <w:rFonts w:hint="eastAsia" w:ascii="宋体" w:hAnsi="宋体" w:eastAsia="宋体" w:cs="宋体"/>
          <w:color w:val="auto"/>
          <w:sz w:val="21"/>
          <w:szCs w:val="21"/>
          <w:highlight w:val="none"/>
        </w:rPr>
        <w:t>自动监控设备的使用、运行、维护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符合有关技术规范。</w:t>
      </w:r>
    </w:p>
    <w:p w14:paraId="6E9D134A">
      <w:pPr>
        <w:widowControl/>
        <w:tabs>
          <w:tab w:val="left" w:pos="525"/>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定期按照运营要求进行巡检、校准、校验、比对监测。</w:t>
      </w:r>
    </w:p>
    <w:p w14:paraId="65E88B88">
      <w:pPr>
        <w:widowControl/>
        <w:tabs>
          <w:tab w:val="left" w:pos="525"/>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5）自动监控设备因故障不能正常采集、传输数据时，</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应当及时检修并向环境监察机构报告，必要时应当采用人工监测方法报送数据。</w:t>
      </w:r>
    </w:p>
    <w:p w14:paraId="6AC67FCF">
      <w:pPr>
        <w:widowControl/>
        <w:tabs>
          <w:tab w:val="left" w:pos="525"/>
        </w:tabs>
        <w:spacing w:line="360" w:lineRule="auto"/>
        <w:ind w:firstLine="420" w:firstLineChars="200"/>
        <w:jc w:val="left"/>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乙方应</w:t>
      </w:r>
      <w:r>
        <w:rPr>
          <w:rFonts w:hint="eastAsia" w:ascii="宋体" w:hAnsi="宋体" w:eastAsia="宋体" w:cs="宋体"/>
          <w:color w:val="auto"/>
          <w:sz w:val="21"/>
          <w:szCs w:val="21"/>
          <w:highlight w:val="none"/>
        </w:rPr>
        <w:t>按照环保部门要求提供在线运营设备的运营汇报材料（报告或报表）。</w:t>
      </w:r>
    </w:p>
    <w:p w14:paraId="075B7A10">
      <w:pPr>
        <w:widowControl/>
        <w:tabs>
          <w:tab w:val="left" w:pos="525"/>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乙方应</w:t>
      </w:r>
      <w:r>
        <w:rPr>
          <w:rFonts w:hint="eastAsia" w:ascii="宋体" w:hAnsi="宋体" w:eastAsia="宋体" w:cs="宋体"/>
          <w:color w:val="auto"/>
          <w:sz w:val="21"/>
          <w:szCs w:val="21"/>
          <w:highlight w:val="none"/>
        </w:rPr>
        <w:t>配合</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保障在线监测设施的安全，及时汇报现场的突发事件和紧急情况；设施的维修、更换、停用、拆除等相关工作均须符合国家或地方相关标准的要求，提前汇报。</w:t>
      </w:r>
    </w:p>
    <w:p w14:paraId="2FCB266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8）发现故障或接到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故障通知，</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分钟内到现场对设备进行维修。</w:t>
      </w:r>
    </w:p>
    <w:p w14:paraId="5564E34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应指导设备使用单位的工作人员运行、诊断及解决问题等各项工作，及时准确的提出解决方案，确保设备使用单位的工作人员能够对设备有足够的了解和熟悉，能够独立进行设备的日常运营、维护和管理。</w:t>
      </w:r>
    </w:p>
    <w:p w14:paraId="13DF0EF3">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10）在线监控系统日常巡检。</w:t>
      </w:r>
    </w:p>
    <w:p w14:paraId="30991D9A">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11）定期远程巡检</w:t>
      </w:r>
    </w:p>
    <w:p w14:paraId="3C9E80E0">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a.定期远程检查仪器运行状态，检查数据传输系统是否正常，如发现数据有持续异常情况，</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应立即前往站点进行检查。</w:t>
      </w:r>
    </w:p>
    <w:p w14:paraId="5A29E58B">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12）每周定期巡检</w:t>
      </w:r>
    </w:p>
    <w:p w14:paraId="2B75FBAA">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每周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污水处理站巡查，对设备及辅助设备运行状态进行巡检，排除故障，及时将巡查结果反馈给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，并做好相关记录；</w:t>
      </w:r>
    </w:p>
    <w:p w14:paraId="2C99D96B">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b.检查污水排放、取样系统、内部管道是否清洁通畅，仪器自动清洗装置是否运行正常，检查各自动分析仪的进样水管和排水管是否清洁，必要时进行清洗，定期清洗水泵和过滤网；</w:t>
      </w:r>
    </w:p>
    <w:p w14:paraId="56AE7E6C">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c.检查站房电路、通讯系统、数据存储是否正常；做好数据备份，保证数据不丢失；</w:t>
      </w:r>
    </w:p>
    <w:p w14:paraId="3B09B0E4">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d.对于用电极法测量的设备，检查标准溶液和电极填充液，进行电极清洗；</w:t>
      </w:r>
    </w:p>
    <w:p w14:paraId="0FCA22E0">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e.若部分站点使用气体钢瓶的设备，检查气密性、气压是否达到要求；</w:t>
      </w:r>
    </w:p>
    <w:p w14:paraId="652D631A">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f.检查仪器标准液、试剂有效期和余量，及时更换和添加；</w:t>
      </w:r>
    </w:p>
    <w:p w14:paraId="29CA1B7B">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g.检查数据传输系统，查看在线数据、在线监测设备、数采系统和上位机是否满足数据传输一致性要求；</w:t>
      </w:r>
    </w:p>
    <w:p w14:paraId="7598FFE0">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h.仪器设置定期自动校准，对于没有自动校正功能的设备定期进行手工校正。</w:t>
      </w:r>
    </w:p>
    <w:p w14:paraId="33536C07">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月度</w:t>
      </w:r>
      <w:r>
        <w:rPr>
          <w:rFonts w:hint="eastAsia" w:ascii="宋体" w:hAnsi="宋体" w:eastAsia="宋体" w:cs="宋体"/>
          <w:color w:val="auto"/>
          <w:sz w:val="21"/>
          <w:szCs w:val="21"/>
          <w:highlight w:val="none"/>
        </w:rPr>
        <w:t>定期维护（次/月）</w:t>
      </w:r>
    </w:p>
    <w:p w14:paraId="064865E1">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a.清洗取样系统管路、内部管路、各类探头；</w:t>
      </w:r>
    </w:p>
    <w:p w14:paraId="03FB8A0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b.清洗设备计量单元、反应单元、加热单元、检测单元；</w:t>
      </w:r>
    </w:p>
    <w:p w14:paraId="766811A2">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c.检测各类设备转换系统、曲线是否适用，必要时进行修正；</w:t>
      </w:r>
    </w:p>
    <w:p w14:paraId="72AB8615">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d.检查设备接地情况、站房防雷措施；</w:t>
      </w:r>
    </w:p>
    <w:p w14:paraId="7E1A7526">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e.按照设备说明和使用要求，定期更换耗材、试剂等。</w:t>
      </w:r>
    </w:p>
    <w:p w14:paraId="0941708C">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14）季度检修（次/季）</w:t>
      </w:r>
    </w:p>
    <w:p w14:paraId="79308D5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a.检查各类电磁阀、泵、电极、探头工作状态，必要时进行更换；</w:t>
      </w:r>
    </w:p>
    <w:p w14:paraId="734B18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b.检查各类活塞、密封圈、内部导管、连接头工作状态，必要时进行更换；</w:t>
      </w:r>
    </w:p>
    <w:p w14:paraId="749EED2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c.检查设备其它常用易耗品工作状态，进行定期更换；</w:t>
      </w:r>
    </w:p>
    <w:p w14:paraId="2FEC367F">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d.进行一次设备重复性、零点漂移、量程漂移试验，试验结果符合国标HJ/T 355-2007规范要求。</w:t>
      </w:r>
    </w:p>
    <w:p w14:paraId="7A0EF39E">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15）年度检查（次/年）</w:t>
      </w:r>
    </w:p>
    <w:p w14:paraId="729D158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a.每年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次对整体系统进行全面检查、维护，如需停用检查的需事先报环保部门批准；</w:t>
      </w:r>
    </w:p>
    <w:p w14:paraId="76FF1186">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lang w:val="en-US" w:eastAsia="zh-CN"/>
        </w:rPr>
        <w:t>乙方应</w:t>
      </w:r>
      <w:r>
        <w:rPr>
          <w:rFonts w:hint="eastAsia" w:ascii="宋体" w:hAnsi="宋体" w:eastAsia="宋体" w:cs="宋体"/>
          <w:color w:val="auto"/>
          <w:sz w:val="21"/>
          <w:szCs w:val="21"/>
          <w:highlight w:val="none"/>
        </w:rPr>
        <w:t>配合环保部门，接受有资质的检查机构进行抽检及校验；</w:t>
      </w:r>
    </w:p>
    <w:p w14:paraId="274D4057">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c.按照国家和地方相关要求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乙方应</w:t>
      </w:r>
      <w:r>
        <w:rPr>
          <w:rFonts w:hint="eastAsia" w:ascii="宋体" w:hAnsi="宋体" w:eastAsia="宋体" w:cs="宋体"/>
          <w:color w:val="auto"/>
          <w:sz w:val="21"/>
          <w:szCs w:val="21"/>
          <w:highlight w:val="none"/>
        </w:rPr>
        <w:t>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委托的第三方公司对仪器设备进行定期计量检定。</w:t>
      </w:r>
    </w:p>
    <w:p w14:paraId="4C5F25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16）设备维修</w:t>
      </w:r>
    </w:p>
    <w:p w14:paraId="7814DF52">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a.维护保养期内，</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负责对其提供的设备整机进行维护和维修，不再向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收取费用（超过3000元零配件与材料费除外）；</w:t>
      </w:r>
    </w:p>
    <w:p w14:paraId="1198B449">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b.对于不易诊断和维修的设备故障，</w:t>
      </w:r>
      <w:r>
        <w:rPr>
          <w:rFonts w:hint="eastAsia" w:ascii="宋体" w:hAnsi="宋体" w:eastAsia="宋体" w:cs="宋体"/>
          <w:color w:val="auto"/>
          <w:sz w:val="21"/>
          <w:szCs w:val="21"/>
          <w:highlight w:val="none"/>
          <w:lang w:val="en-US" w:eastAsia="zh-CN"/>
        </w:rPr>
        <w:t>乙方应</w:t>
      </w:r>
      <w:r>
        <w:rPr>
          <w:rFonts w:hint="eastAsia" w:ascii="宋体" w:hAnsi="宋体" w:eastAsia="宋体" w:cs="宋体"/>
          <w:color w:val="auto"/>
          <w:sz w:val="21"/>
          <w:szCs w:val="21"/>
          <w:highlight w:val="none"/>
        </w:rPr>
        <w:t>与设备生产厂家联系，尽快修复；</w:t>
      </w:r>
    </w:p>
    <w:p w14:paraId="15E31603">
      <w:pPr>
        <w:adjustRightInd w:val="0"/>
        <w:spacing w:line="360" w:lineRule="auto"/>
        <w:ind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c.设备进行维修后，投入使用和运行前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乙方应</w:t>
      </w:r>
      <w:r>
        <w:rPr>
          <w:rFonts w:hint="eastAsia" w:ascii="宋体" w:hAnsi="宋体" w:eastAsia="宋体" w:cs="宋体"/>
          <w:color w:val="auto"/>
          <w:sz w:val="21"/>
          <w:szCs w:val="21"/>
          <w:highlight w:val="none"/>
        </w:rPr>
        <w:t>按国家有关技术规定进行校准检查；如设备进行了更换，在使用和运行前</w:t>
      </w:r>
      <w:r>
        <w:rPr>
          <w:rFonts w:hint="eastAsia" w:ascii="宋体" w:hAnsi="宋体" w:eastAsia="宋体" w:cs="宋体"/>
          <w:color w:val="auto"/>
          <w:sz w:val="21"/>
          <w:szCs w:val="21"/>
          <w:highlight w:val="none"/>
          <w:lang w:eastAsia="zh-CN"/>
        </w:rPr>
        <w:t>，乙方应</w:t>
      </w:r>
      <w:r>
        <w:rPr>
          <w:rFonts w:hint="eastAsia" w:ascii="宋体" w:hAnsi="宋体" w:eastAsia="宋体" w:cs="宋体"/>
          <w:color w:val="auto"/>
          <w:sz w:val="21"/>
          <w:szCs w:val="21"/>
          <w:highlight w:val="none"/>
        </w:rPr>
        <w:t>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对设备进行校验和比对</w:t>
      </w:r>
      <w:r>
        <w:rPr>
          <w:rFonts w:hint="eastAsia" w:ascii="宋体" w:hAnsi="宋体" w:eastAsia="宋体" w:cs="宋体"/>
          <w:color w:val="auto"/>
          <w:sz w:val="21"/>
          <w:szCs w:val="21"/>
          <w:highlight w:val="none"/>
          <w:lang w:eastAsia="zh-CN"/>
        </w:rPr>
        <w:t>；</w:t>
      </w:r>
    </w:p>
    <w:p w14:paraId="15F0DED0">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d.水质在线设备若有隐患，</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应做好应急预案；</w:t>
      </w:r>
    </w:p>
    <w:p w14:paraId="369B72EC">
      <w:pPr>
        <w:adjustRightInd w:val="0"/>
        <w:spacing w:line="360" w:lineRule="auto"/>
        <w:ind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e.水质在线系统出现异常时，</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应及时启动应急预案，并负责相关方面的协调，确保在线监测系统稳定正常运行</w:t>
      </w:r>
      <w:r>
        <w:rPr>
          <w:rFonts w:hint="eastAsia" w:ascii="宋体" w:hAnsi="宋体" w:eastAsia="宋体" w:cs="宋体"/>
          <w:color w:val="auto"/>
          <w:sz w:val="21"/>
          <w:szCs w:val="21"/>
          <w:highlight w:val="none"/>
          <w:lang w:eastAsia="zh-CN"/>
        </w:rPr>
        <w:t>；</w:t>
      </w:r>
    </w:p>
    <w:p w14:paraId="1A6CA34C">
      <w:pPr>
        <w:adjustRightInd w:val="0"/>
        <w:spacing w:line="360" w:lineRule="auto"/>
        <w:ind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f.设备维修后，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需检测和校验检测合格后方可投入运行</w:t>
      </w:r>
      <w:r>
        <w:rPr>
          <w:rFonts w:hint="eastAsia" w:ascii="宋体" w:hAnsi="宋体" w:eastAsia="宋体" w:cs="宋体"/>
          <w:color w:val="auto"/>
          <w:sz w:val="21"/>
          <w:szCs w:val="21"/>
          <w:highlight w:val="none"/>
          <w:lang w:eastAsia="zh-CN"/>
        </w:rPr>
        <w:t>；</w:t>
      </w:r>
    </w:p>
    <w:p w14:paraId="2CD3A7B3">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g.设备维修后，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应填写设备维修记录，仪器校验记录。</w:t>
      </w:r>
    </w:p>
    <w:p w14:paraId="37359511">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17）重要部件或设备更换</w:t>
      </w:r>
    </w:p>
    <w:p w14:paraId="553AF866">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a.设备长期使用（已超过设计使用年限或环保部门规定的使用年限），性能严重下降，经常接触不良或多次故障难以修复的，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建议</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更换；</w:t>
      </w:r>
    </w:p>
    <w:p w14:paraId="1FF11FCD">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b.设备的某些重要性能下降，多次调整修复仍不能达到指标的，</w:t>
      </w:r>
      <w:r>
        <w:rPr>
          <w:rFonts w:hint="eastAsia" w:ascii="宋体" w:hAnsi="宋体" w:eastAsia="宋体" w:cs="宋体"/>
          <w:color w:val="auto"/>
          <w:sz w:val="21"/>
          <w:szCs w:val="21"/>
          <w:highlight w:val="none"/>
          <w:lang w:val="en-US" w:eastAsia="zh-CN"/>
        </w:rPr>
        <w:t>乙方提出更换意见</w:t>
      </w:r>
      <w:r>
        <w:rPr>
          <w:rFonts w:hint="eastAsia" w:ascii="宋体" w:hAnsi="宋体" w:eastAsia="宋体" w:cs="宋体"/>
          <w:color w:val="auto"/>
          <w:sz w:val="21"/>
          <w:szCs w:val="21"/>
          <w:highlight w:val="none"/>
        </w:rPr>
        <w:t>；</w:t>
      </w:r>
    </w:p>
    <w:p w14:paraId="2F57CEAA">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c.设备技术及性能达不到监测要求的，可由其他技术先进的设备代替的，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提出更换建议；</w:t>
      </w:r>
    </w:p>
    <w:p w14:paraId="69020DE0">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d.设备更新前，</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应对设备现状进行详细调查，提出更新的依据和方案，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同意后，报当地环境监测主管部门审批；</w:t>
      </w:r>
    </w:p>
    <w:p w14:paraId="4EEB232A">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e.设备更新后，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进行验收。</w:t>
      </w:r>
    </w:p>
    <w:p w14:paraId="7021EC21">
      <w:pPr>
        <w:adjustRightIn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18）维护保养台账记录</w:t>
      </w:r>
    </w:p>
    <w:p w14:paraId="35A8B21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a.监测仪器校准、零点和量程漂移、重复性、实际水样比对和质控样试验的例行记录；</w:t>
      </w:r>
    </w:p>
    <w:p w14:paraId="4957DA8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b.监测（监控）仪器的运行报告、例行检查、维护保养记录；</w:t>
      </w:r>
    </w:p>
    <w:p w14:paraId="1C4273A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c.检测机构的检定或校验记录；</w:t>
      </w:r>
    </w:p>
    <w:p w14:paraId="116DA1A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d.仪器设备的检修、易耗品的定期更换记录；</w:t>
      </w:r>
    </w:p>
    <w:p w14:paraId="5241048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e.按当地环保部门要求，按时提交所需数据、周报、月报等报告文件；</w:t>
      </w:r>
    </w:p>
    <w:p w14:paraId="01E358B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f.排污证到期，由供应商协助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办理排污证。</w:t>
      </w:r>
    </w:p>
    <w:p w14:paraId="36E27D9C">
      <w:pPr>
        <w:pStyle w:val="33"/>
        <w:keepNext w:val="0"/>
        <w:keepLines w:val="0"/>
        <w:pageBreakBefore w:val="0"/>
        <w:widowControl w:val="0"/>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第</w:t>
      </w:r>
      <w:r>
        <w:rPr>
          <w:rFonts w:hint="eastAsia" w:ascii="宋体" w:hAnsi="宋体" w:eastAsia="宋体" w:cs="宋体"/>
          <w:b/>
          <w:bCs/>
          <w:color w:val="auto"/>
          <w:sz w:val="21"/>
          <w:szCs w:val="21"/>
          <w:lang w:val="en-US" w:eastAsia="zh-CN"/>
        </w:rPr>
        <w:t>七</w:t>
      </w:r>
      <w:r>
        <w:rPr>
          <w:rFonts w:hint="eastAsia" w:ascii="宋体" w:hAnsi="宋体" w:eastAsia="宋体" w:cs="宋体"/>
          <w:b/>
          <w:bCs/>
          <w:color w:val="auto"/>
          <w:sz w:val="21"/>
          <w:szCs w:val="21"/>
        </w:rPr>
        <w:t xml:space="preserve">条 </w:t>
      </w:r>
      <w:r>
        <w:rPr>
          <w:rFonts w:hint="eastAsia" w:ascii="宋体" w:hAnsi="宋体" w:eastAsia="宋体" w:cs="宋体"/>
          <w:b/>
          <w:bCs/>
          <w:color w:val="auto"/>
          <w:sz w:val="21"/>
          <w:szCs w:val="21"/>
          <w:lang w:eastAsia="zh-CN"/>
        </w:rPr>
        <w:t>售后服务要求</w:t>
      </w:r>
    </w:p>
    <w:p w14:paraId="73DE05C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（一）在服务期内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应当为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提供以下技术支持和服务</w:t>
      </w:r>
    </w:p>
    <w:p w14:paraId="152E036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1.电话咨询</w:t>
      </w:r>
    </w:p>
    <w:p w14:paraId="3D81367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提供跟踪服务电话，解答</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在环保服务中遇到的问题，及时提供解决问题的建议。</w:t>
      </w:r>
    </w:p>
    <w:p w14:paraId="57AD07C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2.现场响应</w:t>
      </w:r>
    </w:p>
    <w:p w14:paraId="5F126FC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工作人员遇到技术问题时，电话咨询不能解决的，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小时内到达现场进行处理。当在线设备发生故障时，维修人员发现或接到通知后在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分钟内到达现场进行排障。</w:t>
      </w:r>
    </w:p>
    <w:p w14:paraId="5EFC6479">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须提供在线监测设备的试剂并提供上门安装调试服务，所提供的在线监测设备药剂（cod药剂和氨氮药剂及根据环保部门要求提供配套药剂，费用包含在报价内），均须按环保部门要求的监测频率提供，必须与在线监测设备兼容，监测数据准确无误，试剂要符合环保部门的要求配套。</w:t>
      </w:r>
    </w:p>
    <w:p w14:paraId="7FB0A723">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须安排1名持有污水处理工（员）证书和电工证的固定人员为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提供污水站巡查服务。</w:t>
      </w:r>
    </w:p>
    <w:p w14:paraId="6C467586">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每周对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污水处理站开展一次现场巡查，排查设备运行状况、排查故障隐患并判定故障原因，巡查结果及时报送</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；若发现设备异常或故障，由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及时到场维修并更换配件。维修及配件更换按以下约定执行：单次维修所需零配件价值3000 元（含）以内，由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负责免费提供并安装更换；价值 3000 元以上的零配件，</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评估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由甲方另行</w:t>
      </w:r>
      <w:r>
        <w:rPr>
          <w:rFonts w:hint="eastAsia" w:ascii="宋体" w:hAnsi="宋体" w:eastAsia="宋体" w:cs="宋体"/>
          <w:color w:val="auto"/>
          <w:sz w:val="21"/>
          <w:szCs w:val="21"/>
          <w:highlight w:val="none"/>
        </w:rPr>
        <w:t>采购。</w:t>
      </w:r>
    </w:p>
    <w:p w14:paraId="1AB4DB4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5）为确保污水处理系统正常运行，</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在接到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设备故障通知后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分钟内需到现场对设备进行排查，提出整改意见报告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，确保污水处理后</w:t>
      </w:r>
      <w:r>
        <w:rPr>
          <w:rFonts w:hint="eastAsia" w:ascii="宋体" w:hAnsi="宋体" w:eastAsia="宋体" w:cs="宋体"/>
          <w:color w:val="auto"/>
          <w:sz w:val="21"/>
          <w:szCs w:val="21"/>
          <w:highlight w:val="none"/>
          <w:lang w:val="en-US" w:eastAsia="zh-CN"/>
        </w:rPr>
        <w:t>出水水质</w:t>
      </w:r>
      <w:r>
        <w:rPr>
          <w:rFonts w:hint="eastAsia" w:ascii="宋体" w:hAnsi="宋体" w:eastAsia="宋体" w:cs="宋体"/>
          <w:color w:val="auto"/>
          <w:sz w:val="21"/>
          <w:szCs w:val="21"/>
          <w:highlight w:val="none"/>
        </w:rPr>
        <w:t>要求达到《医疗机构水污染物排放标准》(GB18466-2005)预处理标准。</w:t>
      </w:r>
    </w:p>
    <w:p w14:paraId="6BA89343">
      <w:pPr>
        <w:pStyle w:val="33"/>
        <w:spacing w:line="360" w:lineRule="auto"/>
        <w:ind w:firstLine="422" w:firstLineChars="200"/>
        <w:rPr>
          <w:rFonts w:hint="eastAsia" w:ascii="宋体" w:hAnsi="宋体" w:eastAsia="宋体" w:cs="宋体"/>
          <w:color w:val="auto"/>
          <w:sz w:val="21"/>
          <w:szCs w:val="21"/>
          <w:highlight w:val="none"/>
        </w:rPr>
      </w:pPr>
      <w:r>
        <w:rPr>
          <w:rFonts w:hint="eastAsia" w:ascii="宋体" w:hAnsi="宋体" w:cs="宋体"/>
          <w:b/>
          <w:bCs/>
          <w:color w:val="auto"/>
          <w:szCs w:val="21"/>
        </w:rPr>
        <w:t>第八条 安全管理与应急处理</w:t>
      </w:r>
    </w:p>
    <w:p w14:paraId="1459715B">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甲方污水处理站位于地下负一、二层，属于有限空间，乙方需制定相关安全生产与防护制度，维保人员工作期间需持证上岗，按要求做好安全防护，落实安全措施及环保管控要求，因</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维保人员原因发生安全事故，乙方承担全部责任，对甲方造成影响的，甲方有权解除合同，并追究乙方相关损失。</w:t>
      </w:r>
    </w:p>
    <w:p w14:paraId="5577CB25">
      <w:pPr>
        <w:pStyle w:val="33"/>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乙方应针对本项目制定各类应急预案，包括但不限于水质检测异常、污水泄漏、废液泄漏、设备故障、暴雨溢流、停水停电等，并制定应急演练计划，每年至少一次组织演练。</w:t>
      </w:r>
    </w:p>
    <w:p w14:paraId="67BEC2B9">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第九条 </w:t>
      </w:r>
      <w:r>
        <w:rPr>
          <w:rFonts w:hint="eastAsia" w:ascii="宋体" w:hAnsi="宋体" w:eastAsia="宋体" w:cs="宋体"/>
          <w:b/>
          <w:bCs/>
          <w:color w:val="auto"/>
          <w:sz w:val="21"/>
          <w:szCs w:val="21"/>
          <w:highlight w:val="none"/>
        </w:rPr>
        <w:t>维保服务新旧衔接要求</w:t>
      </w:r>
    </w:p>
    <w:p w14:paraId="487363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无论本项目因合同到期、考核不合格、提前终止或其他原因更换服务商，</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均须无条件配合</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完成新旧维保单位的全面交接工作，不得以任何理由拖延、拒绝、设置障碍。</w:t>
      </w:r>
    </w:p>
    <w:p w14:paraId="75F96EF3">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乙方应完整移交资料包含但不限于以下内容：</w:t>
      </w:r>
    </w:p>
    <w:p w14:paraId="456164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移交污水处理系统全套运行台账、维保记录、设备档案、备品备件清单、易损件/耗材清单等；</w:t>
      </w:r>
    </w:p>
    <w:p w14:paraId="015094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移交在线监测系统账号、数据权限、校准记录、历史数据、环保平台填报权限；</w:t>
      </w:r>
    </w:p>
    <w:p w14:paraId="520BCE99">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移交危废管理台账、排污许可执行报告、环保合规资料全套电子版与纸质版</w:t>
      </w:r>
      <w:r>
        <w:rPr>
          <w:rFonts w:hint="eastAsia" w:ascii="宋体" w:hAnsi="宋体" w:eastAsia="宋体" w:cs="宋体"/>
          <w:color w:val="auto"/>
          <w:sz w:val="21"/>
          <w:szCs w:val="21"/>
          <w:highlight w:val="none"/>
          <w:lang w:eastAsia="zh-CN"/>
        </w:rPr>
        <w:t>。</w:t>
      </w:r>
    </w:p>
    <w:p w14:paraId="3F01FC02">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现场系统现状交底、设备隐患说明、关键操作要点、应急处置流程</w:t>
      </w:r>
      <w:r>
        <w:rPr>
          <w:rFonts w:hint="eastAsia" w:ascii="宋体" w:hAnsi="宋体" w:eastAsia="宋体" w:cs="宋体"/>
          <w:color w:val="auto"/>
          <w:sz w:val="21"/>
          <w:szCs w:val="21"/>
          <w:highlight w:val="none"/>
          <w:lang w:eastAsia="zh-CN"/>
        </w:rPr>
        <w:t>。</w:t>
      </w:r>
    </w:p>
    <w:p w14:paraId="46C171A5">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接到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交接通知后3个工作日内启动交接，5个工作日内完成全部移交</w:t>
      </w:r>
      <w:r>
        <w:rPr>
          <w:rFonts w:hint="eastAsia" w:ascii="宋体" w:hAnsi="宋体" w:eastAsia="宋体" w:cs="宋体"/>
          <w:color w:val="auto"/>
          <w:sz w:val="21"/>
          <w:szCs w:val="21"/>
          <w:highlight w:val="none"/>
          <w:lang w:eastAsia="zh-CN"/>
        </w:rPr>
        <w:t>。</w:t>
      </w:r>
    </w:p>
    <w:p w14:paraId="4B044D43">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设置不少于15天的服务过渡期，</w:t>
      </w:r>
      <w:r>
        <w:rPr>
          <w:rFonts w:hint="eastAsia" w:ascii="宋体" w:hAnsi="宋体" w:eastAsia="宋体" w:cs="宋体"/>
          <w:color w:val="auto"/>
          <w:sz w:val="21"/>
          <w:szCs w:val="21"/>
          <w:highlight w:val="none"/>
          <w:lang w:val="en-US" w:eastAsia="zh-CN"/>
        </w:rPr>
        <w:t>原服务单位</w:t>
      </w:r>
      <w:r>
        <w:rPr>
          <w:rFonts w:hint="eastAsia" w:ascii="宋体" w:hAnsi="宋体" w:eastAsia="宋体" w:cs="宋体"/>
          <w:color w:val="auto"/>
          <w:sz w:val="21"/>
          <w:szCs w:val="21"/>
          <w:highlight w:val="none"/>
        </w:rPr>
        <w:t>须在场配合、指导新服务</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熟悉系统，确保服务连续、无断档、无停机</w:t>
      </w:r>
      <w:r>
        <w:rPr>
          <w:rFonts w:hint="eastAsia" w:ascii="宋体" w:hAnsi="宋体" w:eastAsia="宋体" w:cs="宋体"/>
          <w:color w:val="auto"/>
          <w:sz w:val="21"/>
          <w:szCs w:val="21"/>
          <w:highlight w:val="none"/>
          <w:lang w:eastAsia="zh-CN"/>
        </w:rPr>
        <w:t>。</w:t>
      </w:r>
    </w:p>
    <w:p w14:paraId="49A30B9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因交接不清、资料缺失、拖延交接导致系统停运、数据中断、环保违规等一切损失，由</w:t>
      </w:r>
      <w:r>
        <w:rPr>
          <w:rFonts w:hint="eastAsia" w:ascii="宋体" w:hAnsi="宋体" w:eastAsia="宋体" w:cs="宋体"/>
          <w:color w:val="auto"/>
          <w:sz w:val="21"/>
          <w:szCs w:val="21"/>
          <w:highlight w:val="none"/>
          <w:lang w:val="en-US" w:eastAsia="zh-CN"/>
        </w:rPr>
        <w:t>原服务单位</w:t>
      </w:r>
      <w:r>
        <w:rPr>
          <w:rFonts w:hint="eastAsia" w:ascii="宋体" w:hAnsi="宋体" w:eastAsia="宋体" w:cs="宋体"/>
          <w:color w:val="auto"/>
          <w:sz w:val="21"/>
          <w:szCs w:val="21"/>
          <w:highlight w:val="none"/>
        </w:rPr>
        <w:t>承担全部责任，</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有权扣除</w:t>
      </w:r>
      <w:r>
        <w:rPr>
          <w:rFonts w:hint="eastAsia" w:ascii="宋体" w:hAnsi="宋体" w:eastAsia="宋体" w:cs="宋体"/>
          <w:color w:val="auto"/>
          <w:sz w:val="21"/>
          <w:szCs w:val="21"/>
          <w:highlight w:val="none"/>
          <w:lang w:val="en-US" w:eastAsia="zh-CN"/>
        </w:rPr>
        <w:t>全额</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并追究赔偿。</w:t>
      </w:r>
    </w:p>
    <w:p w14:paraId="0C0DDEFA">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第十条 </w:t>
      </w:r>
      <w:r>
        <w:rPr>
          <w:rFonts w:hint="eastAsia" w:ascii="宋体" w:hAnsi="宋体" w:eastAsia="宋体" w:cs="宋体"/>
          <w:b/>
          <w:bCs/>
          <w:color w:val="auto"/>
          <w:sz w:val="21"/>
          <w:szCs w:val="21"/>
          <w:highlight w:val="none"/>
        </w:rPr>
        <w:t>保密要求</w:t>
      </w:r>
    </w:p>
    <w:p w14:paraId="341B1FD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在服务期间知悉的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排污监测数据、在线监测原始数据、环保台账、危废数据、排污许可信息、</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内部管理资料、患者相关信息、商业与技术信息等均为保密信息，属于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敏感数据。</w:t>
      </w:r>
    </w:p>
    <w:p w14:paraId="0C891DB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须对上述保密信息严格保密，不得向任何第三方泄露、传播、出售、用于本项目以外用途；仅限项目执行必需人员知悉，并签订内部保密承诺。</w:t>
      </w:r>
    </w:p>
    <w:p w14:paraId="2284D7A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保密期限：为永久有效，不因合同终止、解除、期满而失效。</w:t>
      </w:r>
    </w:p>
    <w:p w14:paraId="67EDEE3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四</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发生泄密行为，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有权立即终止合同、扣除全部履约保证金、拒付剩余款项，同时供应商须承担由此造成的行政处罚、名誉损失、经济赔偿、法律责任，构成犯罪的，移交司法机关处理。</w:t>
      </w:r>
    </w:p>
    <w:p w14:paraId="4ED811D4">
      <w:pPr>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w:t>
      </w:r>
      <w:r>
        <w:rPr>
          <w:rFonts w:hint="eastAsia" w:ascii="宋体" w:hAnsi="宋体" w:eastAsia="宋体" w:cs="宋体"/>
          <w:b/>
          <w:color w:val="auto"/>
          <w:sz w:val="21"/>
          <w:szCs w:val="21"/>
          <w:lang w:eastAsia="zh-CN"/>
        </w:rPr>
        <w:t>十</w:t>
      </w:r>
      <w:r>
        <w:rPr>
          <w:rFonts w:hint="eastAsia" w:ascii="宋体" w:hAnsi="宋体" w:eastAsia="宋体" w:cs="宋体"/>
          <w:b/>
          <w:color w:val="auto"/>
          <w:sz w:val="21"/>
          <w:szCs w:val="21"/>
          <w:lang w:val="en-US" w:eastAsia="zh-CN"/>
        </w:rPr>
        <w:t>一</w:t>
      </w:r>
      <w:r>
        <w:rPr>
          <w:rFonts w:hint="eastAsia" w:ascii="宋体" w:hAnsi="宋体" w:eastAsia="宋体" w:cs="宋体"/>
          <w:b/>
          <w:color w:val="auto"/>
          <w:sz w:val="21"/>
          <w:szCs w:val="21"/>
        </w:rPr>
        <w:t>条 双方权利</w:t>
      </w:r>
      <w:r>
        <w:rPr>
          <w:rFonts w:hint="eastAsia" w:ascii="宋体" w:hAnsi="宋体" w:eastAsia="宋体" w:cs="宋体"/>
          <w:b/>
          <w:color w:val="auto"/>
          <w:sz w:val="21"/>
          <w:szCs w:val="21"/>
          <w:lang w:eastAsia="zh-CN"/>
        </w:rPr>
        <w:t>与</w:t>
      </w:r>
      <w:r>
        <w:rPr>
          <w:rFonts w:hint="eastAsia" w:ascii="宋体" w:hAnsi="宋体" w:eastAsia="宋体" w:cs="宋体"/>
          <w:b/>
          <w:color w:val="auto"/>
          <w:sz w:val="21"/>
          <w:szCs w:val="21"/>
        </w:rPr>
        <w:t>义务</w:t>
      </w:r>
    </w:p>
    <w:p w14:paraId="69505870">
      <w:pPr>
        <w:pStyle w:val="65"/>
        <w:spacing w:line="360" w:lineRule="auto"/>
        <w:ind w:firstLine="48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（一）甲方权利与义务</w:t>
      </w:r>
    </w:p>
    <w:p w14:paraId="1BD57371">
      <w:pPr>
        <w:spacing w:before="120" w:line="360" w:lineRule="auto"/>
        <w:ind w:right="-11"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甲方有权监督乙方按合同约定履行</w:t>
      </w:r>
      <w:r>
        <w:rPr>
          <w:rFonts w:hint="eastAsia" w:ascii="宋体" w:hAnsi="宋体" w:eastAsia="宋体" w:cs="宋体"/>
          <w:bCs/>
          <w:color w:val="auto"/>
          <w:sz w:val="21"/>
          <w:szCs w:val="21"/>
          <w:lang w:eastAsia="zh-CN"/>
        </w:rPr>
        <w:t>维护保养</w:t>
      </w:r>
      <w:r>
        <w:rPr>
          <w:rFonts w:hint="eastAsia" w:ascii="宋体" w:hAnsi="宋体" w:eastAsia="宋体" w:cs="宋体"/>
          <w:bCs/>
          <w:color w:val="auto"/>
          <w:sz w:val="21"/>
          <w:szCs w:val="21"/>
        </w:rPr>
        <w:t>义务，发出故障通知或提出建议。</w:t>
      </w:r>
    </w:p>
    <w:p w14:paraId="7932811B">
      <w:pPr>
        <w:spacing w:before="120" w:line="360" w:lineRule="auto"/>
        <w:ind w:right="-11"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2.甲方</w:t>
      </w:r>
      <w:r>
        <w:rPr>
          <w:rFonts w:hint="eastAsia" w:ascii="宋体" w:hAnsi="宋体" w:eastAsia="宋体" w:cs="宋体"/>
          <w:bCs/>
          <w:color w:val="auto"/>
          <w:sz w:val="21"/>
          <w:szCs w:val="21"/>
        </w:rPr>
        <w:t>有权对乙方服务全过程实施监督、检查、考核、抽查、核验，包括但不限于现场巡查、台账查阅、数据复核、人员资质核验、试剂抽检、应急演练抽查。</w:t>
      </w:r>
    </w:p>
    <w:p w14:paraId="6E4BC915">
      <w:pPr>
        <w:spacing w:before="120" w:line="360" w:lineRule="auto"/>
        <w:ind w:right="-11"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3.甲方</w:t>
      </w:r>
      <w:r>
        <w:rPr>
          <w:rFonts w:hint="eastAsia" w:ascii="宋体" w:hAnsi="宋体" w:eastAsia="宋体" w:cs="宋体"/>
          <w:bCs/>
          <w:color w:val="auto"/>
          <w:sz w:val="21"/>
          <w:szCs w:val="21"/>
        </w:rPr>
        <w:t>有权要求乙方对不符合合同、规范及环保要求的事项限期整改；乙方拒不整改或整改不合格的，甲方有权扣除服务费、暂停付款、单方终止合同并追究违约责任。</w:t>
      </w:r>
    </w:p>
    <w:p w14:paraId="6E328960">
      <w:pPr>
        <w:spacing w:before="120" w:line="360" w:lineRule="auto"/>
        <w:ind w:right="-11"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4.甲方有权查阅、复制、调取乙方全部服务资料，包括但不限于巡检记录、维保台账、校准报告、试剂台账、维修记录、应急处置记录、在线数据日志、环保申报材料、危废台账等。</w:t>
      </w:r>
    </w:p>
    <w:p w14:paraId="1D6CDE74">
      <w:pPr>
        <w:spacing w:before="120" w:line="360" w:lineRule="auto"/>
        <w:ind w:right="-11"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5.甲方有权在乙方发生违约、数据异常、水质超标、环保风险、人员无证、漏检、响应超时等情形时，依据本合同约定扣除服务费、没收履约保证金、单方终止合同并追偿全部损失。</w:t>
      </w:r>
    </w:p>
    <w:p w14:paraId="375E4B1B">
      <w:pPr>
        <w:spacing w:before="120" w:line="360" w:lineRule="auto"/>
        <w:ind w:right="-11" w:firstLine="420" w:firstLineChars="20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6.甲方</w:t>
      </w:r>
      <w:r>
        <w:rPr>
          <w:rFonts w:hint="default" w:ascii="宋体" w:hAnsi="宋体" w:eastAsia="宋体" w:cs="宋体"/>
          <w:bCs/>
          <w:color w:val="auto"/>
          <w:sz w:val="21"/>
          <w:szCs w:val="21"/>
          <w:lang w:val="en-US" w:eastAsia="zh-CN"/>
        </w:rPr>
        <w:t>按照本合同约定按时足额支付合同价款。</w:t>
      </w:r>
    </w:p>
    <w:p w14:paraId="76A5E93B">
      <w:pPr>
        <w:pStyle w:val="65"/>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乙方的权利</w:t>
      </w:r>
      <w:r>
        <w:rPr>
          <w:rFonts w:hint="eastAsia" w:ascii="宋体" w:hAnsi="宋体" w:eastAsia="宋体" w:cs="宋体"/>
          <w:color w:val="auto"/>
          <w:sz w:val="21"/>
          <w:szCs w:val="21"/>
          <w:lang w:eastAsia="zh-CN"/>
        </w:rPr>
        <w:t>与</w:t>
      </w:r>
      <w:r>
        <w:rPr>
          <w:rFonts w:hint="eastAsia" w:ascii="宋体" w:hAnsi="宋体" w:eastAsia="宋体" w:cs="宋体"/>
          <w:color w:val="auto"/>
          <w:sz w:val="21"/>
          <w:szCs w:val="21"/>
        </w:rPr>
        <w:t>义务</w:t>
      </w:r>
    </w:p>
    <w:p w14:paraId="40BFE0A0">
      <w:pPr>
        <w:spacing w:before="120" w:line="360" w:lineRule="auto"/>
        <w:ind w:right="-11"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1.乙方</w:t>
      </w:r>
      <w:r>
        <w:rPr>
          <w:rFonts w:hint="eastAsia" w:ascii="宋体" w:hAnsi="宋体" w:eastAsia="宋体" w:cs="宋体"/>
          <w:bCs/>
          <w:color w:val="auto"/>
          <w:sz w:val="21"/>
          <w:szCs w:val="21"/>
        </w:rPr>
        <w:t>严格依照国家、地方环保法律法规、技术规范、排污许可及本合同约定，全面履行维保、在线运维、环保管家、台账申报、危废管理、应急处置义务，确保出水水质持续稳定达标。</w:t>
      </w:r>
    </w:p>
    <w:p w14:paraId="3FB73FDA">
      <w:pPr>
        <w:spacing w:before="120" w:line="360" w:lineRule="auto"/>
        <w:ind w:right="-11" w:firstLine="420" w:firstLineChars="20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2.乙方应</w:t>
      </w:r>
      <w:r>
        <w:rPr>
          <w:rFonts w:hint="eastAsia" w:ascii="宋体" w:hAnsi="宋体" w:eastAsia="宋体" w:cs="宋体"/>
          <w:bCs/>
          <w:color w:val="auto"/>
          <w:sz w:val="21"/>
          <w:szCs w:val="21"/>
        </w:rPr>
        <w:t>建立运维、检修、校准、比对等全套台账，接受甲方与环保部门监督</w:t>
      </w:r>
      <w:r>
        <w:rPr>
          <w:rFonts w:hint="eastAsia" w:ascii="宋体" w:hAnsi="宋体" w:eastAsia="宋体" w:cs="宋体"/>
          <w:bCs/>
          <w:color w:val="auto"/>
          <w:sz w:val="21"/>
          <w:szCs w:val="21"/>
          <w:lang w:eastAsia="zh-CN"/>
        </w:rPr>
        <w:t>。</w:t>
      </w:r>
    </w:p>
    <w:p w14:paraId="4AE89E46">
      <w:pPr>
        <w:spacing w:before="120" w:line="360" w:lineRule="auto"/>
        <w:ind w:right="-11"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3.固定派驻 1 名持证人员（持有污水处理工证书及电工证书）提供服务，人员不得无证上岗、擅自更换；确需更换的，须提前 7 个工作日书面报备甲方并经甲方同意。</w:t>
      </w:r>
    </w:p>
    <w:p w14:paraId="2C485756">
      <w:pPr>
        <w:spacing w:before="120" w:line="360" w:lineRule="auto"/>
        <w:ind w:right="-11"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4.乙方应为运维人员购买人身意外伤害保险，并按社保相关规定为员工缴纳养老、工伤、医疗、失业等社会保险。</w:t>
      </w:r>
      <w:r>
        <w:rPr>
          <w:rFonts w:hint="eastAsia" w:ascii="宋体" w:hAnsi="宋体" w:eastAsia="宋体" w:cs="宋体"/>
          <w:bCs/>
          <w:color w:val="auto"/>
          <w:sz w:val="21"/>
          <w:szCs w:val="21"/>
          <w:lang w:eastAsia="zh-CN"/>
        </w:rPr>
        <w:t>维护保养</w:t>
      </w:r>
      <w:r>
        <w:rPr>
          <w:rFonts w:hint="eastAsia" w:ascii="宋体" w:hAnsi="宋体" w:eastAsia="宋体" w:cs="宋体"/>
          <w:bCs/>
          <w:color w:val="auto"/>
          <w:sz w:val="21"/>
          <w:szCs w:val="21"/>
        </w:rPr>
        <w:t>和施工人员在工作过程中发生的一切人身事故，由乙方承担全部责任。</w:t>
      </w:r>
    </w:p>
    <w:p w14:paraId="14A1811D">
      <w:pPr>
        <w:spacing w:before="120" w:line="360" w:lineRule="auto"/>
        <w:ind w:right="-11"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5.乙方承担因自身服务不到位、操作不当、响应不及时、管理不善、资料缺失、交接延误、数据造假、水质超标、环保处罚、泄密等全部法律责任与经济损失，包括但不限于罚款、赔偿金、整改费、律师费、诉讼费、名誉损失等。</w:t>
      </w:r>
    </w:p>
    <w:p w14:paraId="0F422B59">
      <w:pPr>
        <w:spacing w:before="120" w:line="360" w:lineRule="auto"/>
        <w:ind w:right="-11"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乙方对从事本项目运营管理人员日常作业时，应配置能保证运营人员安全作业的工具和劳动保护用品。</w:t>
      </w:r>
    </w:p>
    <w:p w14:paraId="0BA0CAD5">
      <w:pPr>
        <w:pStyle w:val="55"/>
        <w:spacing w:line="360" w:lineRule="auto"/>
        <w:ind w:firstLine="420"/>
        <w:jc w:val="both"/>
        <w:rPr>
          <w:rFonts w:hint="eastAsia" w:ascii="宋体" w:hAnsi="宋体" w:eastAsia="宋体" w:cs="宋体"/>
          <w:color w:val="auto"/>
          <w:sz w:val="21"/>
          <w:szCs w:val="21"/>
          <w:highlight w:val="none"/>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乙方应保证污水处理站24小时不间断正常运转，确保处理后的污水满足排放标准要求</w:t>
      </w:r>
      <w:r>
        <w:rPr>
          <w:rFonts w:hint="eastAsia" w:ascii="宋体" w:hAnsi="宋体" w:eastAsia="宋体" w:cs="宋体"/>
          <w:color w:val="auto"/>
          <w:sz w:val="21"/>
          <w:szCs w:val="21"/>
          <w:highlight w:val="none"/>
        </w:rPr>
        <w:t>，对系统设备、设施运行中出现的故障及时进行维修维护，定期进行维护保养，定期清淤、清渣等。</w:t>
      </w:r>
    </w:p>
    <w:p w14:paraId="5F01AF66">
      <w:pPr>
        <w:pStyle w:val="55"/>
        <w:spacing w:line="360" w:lineRule="auto"/>
        <w:ind w:firstLine="420"/>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乙方应保证污水处理设备和设施的安全运行和功能完整，防止各类事故的发生，如因管理不善造成的经济损失或重大事故，由乙方承担全部的经济、法律责任。</w:t>
      </w:r>
    </w:p>
    <w:p w14:paraId="7DA2938D">
      <w:pPr>
        <w:pStyle w:val="55"/>
        <w:spacing w:line="360" w:lineRule="auto"/>
        <w:ind w:firstLine="420"/>
        <w:jc w:val="both"/>
        <w:rPr>
          <w:rFonts w:hint="eastAsia" w:ascii="宋体" w:hAnsi="宋体" w:eastAsia="宋体" w:cs="宋体"/>
          <w:bCs/>
          <w:color w:val="auto"/>
          <w:kern w:val="2"/>
          <w:sz w:val="21"/>
          <w:szCs w:val="21"/>
          <w:lang w:val="en-US" w:eastAsia="zh-CN" w:bidi="ar-SA"/>
        </w:rPr>
      </w:pPr>
      <w:r>
        <w:rPr>
          <w:rFonts w:hint="eastAsia" w:ascii="宋体" w:hAnsi="宋体" w:cs="宋体"/>
          <w:bCs/>
          <w:color w:val="auto"/>
          <w:kern w:val="2"/>
          <w:sz w:val="21"/>
          <w:szCs w:val="21"/>
          <w:lang w:val="en-US" w:eastAsia="zh-CN" w:bidi="ar-SA"/>
        </w:rPr>
        <w:t>9.</w:t>
      </w:r>
      <w:r>
        <w:rPr>
          <w:rFonts w:hint="eastAsia" w:ascii="宋体" w:hAnsi="宋体" w:eastAsia="宋体" w:cs="宋体"/>
          <w:bCs/>
          <w:color w:val="auto"/>
          <w:kern w:val="2"/>
          <w:sz w:val="21"/>
          <w:szCs w:val="21"/>
          <w:lang w:val="en-US" w:eastAsia="zh-CN" w:bidi="ar-SA"/>
        </w:rPr>
        <w:t>运营服务合同期限届满前1个月，乙方应将所有资料无条件移交给甲方，且保证资料的真实与完整，如不按要求执行的甲方将拒付当季运营费且拒退保证金。</w:t>
      </w:r>
    </w:p>
    <w:p w14:paraId="2E42265B">
      <w:pPr>
        <w:pStyle w:val="55"/>
        <w:spacing w:line="360" w:lineRule="auto"/>
        <w:ind w:firstLine="420"/>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乙方负责日常设备的检修和维修，设备运行出现故障应立即处理解决，如因乙方未及时发现和处理问题造成设备损坏和系统运行故障，乙方需承担本次维修的全部责任；运营人员操作设备、检修与维修时，应做好安全应急服务防范措施，注意人身安全,运营及维修期间发生的一切安全事故由乙方全额承担。</w:t>
      </w:r>
    </w:p>
    <w:p w14:paraId="2F607E53">
      <w:pPr>
        <w:pStyle w:val="55"/>
        <w:spacing w:line="360" w:lineRule="auto"/>
        <w:ind w:firstLine="420"/>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11.</w:t>
      </w:r>
      <w:r>
        <w:rPr>
          <w:rFonts w:hint="eastAsia" w:ascii="宋体" w:hAnsi="宋体" w:eastAsia="宋体" w:cs="宋体"/>
          <w:color w:val="auto"/>
          <w:sz w:val="21"/>
          <w:szCs w:val="21"/>
        </w:rPr>
        <w:t>乙方工作期间应做好噪音及废气管理，并保持设备及环境卫生的清洁。</w:t>
      </w:r>
    </w:p>
    <w:p w14:paraId="7589C861">
      <w:pPr>
        <w:spacing w:before="120" w:line="360" w:lineRule="auto"/>
        <w:ind w:right="-11"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乙方应当积极响应甲方层级检查制度，积极配合甲方开展层级检查工作并根据甲方层级检查标准完善设备管理现场。</w:t>
      </w:r>
    </w:p>
    <w:p w14:paraId="01DDF6D4">
      <w:pPr>
        <w:spacing w:before="120" w:line="360" w:lineRule="auto"/>
        <w:ind w:right="-11"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13.</w:t>
      </w:r>
      <w:r>
        <w:rPr>
          <w:rFonts w:hint="eastAsia" w:ascii="宋体" w:hAnsi="宋体" w:eastAsia="宋体" w:cs="宋体"/>
          <w:bCs/>
          <w:color w:val="auto"/>
          <w:sz w:val="21"/>
          <w:szCs w:val="21"/>
        </w:rPr>
        <w:t>为甲方提供</w:t>
      </w:r>
      <w:r>
        <w:rPr>
          <w:rFonts w:hint="eastAsia" w:ascii="宋体" w:hAnsi="宋体" w:eastAsia="宋体" w:cs="宋体"/>
          <w:bCs/>
          <w:color w:val="auto"/>
          <w:sz w:val="21"/>
          <w:szCs w:val="21"/>
          <w:lang w:eastAsia="zh-CN"/>
        </w:rPr>
        <w:t>技术</w:t>
      </w:r>
      <w:r>
        <w:rPr>
          <w:rFonts w:hint="eastAsia" w:ascii="宋体" w:hAnsi="宋体" w:eastAsia="宋体" w:cs="宋体"/>
          <w:bCs/>
          <w:color w:val="auto"/>
          <w:sz w:val="21"/>
          <w:szCs w:val="21"/>
        </w:rPr>
        <w:t>培训，指导甲方正确操作及安全使用设备，提供技术咨询服务，协助甲方配合环保部门的检查，指导甲方开展环保其他事项工作，所发生的费用包含在合同总价当中。</w:t>
      </w:r>
    </w:p>
    <w:p w14:paraId="17053471">
      <w:pPr>
        <w:spacing w:before="120" w:line="360" w:lineRule="auto"/>
        <w:ind w:right="-11"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14.</w:t>
      </w:r>
      <w:r>
        <w:rPr>
          <w:rFonts w:hint="eastAsia" w:ascii="宋体" w:hAnsi="宋体" w:eastAsia="宋体" w:cs="宋体"/>
          <w:bCs/>
          <w:color w:val="auto"/>
          <w:sz w:val="21"/>
          <w:szCs w:val="21"/>
        </w:rPr>
        <w:t>定期向甲方报告保养设备的运行情况、零部件使用情况、易损件的更换情况，并做好详细记录。</w:t>
      </w:r>
    </w:p>
    <w:p w14:paraId="39F43DE8">
      <w:pPr>
        <w:spacing w:before="120" w:line="360" w:lineRule="auto"/>
        <w:ind w:right="-11"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15.</w:t>
      </w:r>
      <w:r>
        <w:rPr>
          <w:rFonts w:hint="eastAsia" w:ascii="宋体" w:hAnsi="宋体" w:eastAsia="宋体" w:cs="宋体"/>
          <w:bCs/>
          <w:color w:val="auto"/>
          <w:sz w:val="21"/>
          <w:szCs w:val="21"/>
        </w:rPr>
        <w:t>乙方发现零部件磨损严重或损坏，应立即书面通知甲方，并及时进行紧急有效的处理。</w:t>
      </w:r>
    </w:p>
    <w:p w14:paraId="1B7A082D">
      <w:pPr>
        <w:spacing w:before="120" w:line="360" w:lineRule="auto"/>
        <w:ind w:right="-11"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17.</w:t>
      </w:r>
      <w:r>
        <w:rPr>
          <w:rFonts w:hint="eastAsia" w:ascii="宋体" w:hAnsi="宋体" w:eastAsia="宋体" w:cs="宋体"/>
          <w:bCs/>
          <w:color w:val="auto"/>
          <w:sz w:val="21"/>
          <w:szCs w:val="21"/>
          <w:highlight w:val="none"/>
        </w:rPr>
        <w:t>乙方应按要求完成污水处理设备维护保养作业及培训工作，，每年12月31日前及本合同有效期内的前一个月，乙方应分别向甲方提交本年度的污水处理系统维护保养工作总结（以书面的盖章文件形式）。</w:t>
      </w:r>
    </w:p>
    <w:p w14:paraId="2B4292B2">
      <w:pPr>
        <w:spacing w:before="120" w:line="360" w:lineRule="auto"/>
        <w:ind w:right="-11"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18.</w:t>
      </w:r>
      <w:r>
        <w:rPr>
          <w:rFonts w:hint="eastAsia" w:ascii="宋体" w:hAnsi="宋体" w:eastAsia="宋体" w:cs="宋体"/>
          <w:bCs/>
          <w:color w:val="auto"/>
          <w:sz w:val="21"/>
          <w:szCs w:val="21"/>
          <w:highlight w:val="none"/>
        </w:rPr>
        <w:t>乙方应保证维护保养期内设备维修保养所更换的零部件均是与原厂原配件同一类型，并经有关部门检验合格；核心部件应是原厂家优质产品。如更换的零部件非原厂家配件，需报甲方同意，因此而产生的一切后果由乙方全部负责。更换后的旧零部件交付甲方处理。</w:t>
      </w:r>
    </w:p>
    <w:p w14:paraId="4244FC0B">
      <w:pPr>
        <w:pStyle w:val="5"/>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19.乙方应</w:t>
      </w:r>
      <w:r>
        <w:rPr>
          <w:rFonts w:hint="eastAsia" w:ascii="宋体" w:hAnsi="宋体" w:eastAsia="宋体" w:cs="宋体"/>
          <w:color w:val="auto"/>
          <w:sz w:val="21"/>
          <w:szCs w:val="21"/>
        </w:rPr>
        <w:t>每天</w:t>
      </w:r>
      <w:r>
        <w:rPr>
          <w:rFonts w:hint="eastAsia" w:ascii="宋体" w:hAnsi="宋体" w:eastAsia="宋体" w:cs="宋体"/>
          <w:color w:val="auto"/>
          <w:sz w:val="21"/>
          <w:szCs w:val="21"/>
          <w:u w:val="single"/>
          <w:lang w:val="en-US" w:eastAsia="zh-CN"/>
        </w:rPr>
        <w:t xml:space="preserve">    次，</w:t>
      </w:r>
      <w:r>
        <w:rPr>
          <w:rFonts w:hint="eastAsia" w:ascii="宋体" w:hAnsi="宋体" w:eastAsia="宋体" w:cs="宋体"/>
          <w:color w:val="auto"/>
          <w:sz w:val="21"/>
          <w:szCs w:val="21"/>
        </w:rPr>
        <w:t>查看在线监测设备后台监测数据是否正常</w:t>
      </w:r>
      <w:r>
        <w:rPr>
          <w:rFonts w:hint="eastAsia" w:ascii="宋体" w:hAnsi="宋体" w:eastAsia="宋体" w:cs="宋体"/>
          <w:color w:val="auto"/>
          <w:sz w:val="21"/>
          <w:szCs w:val="21"/>
          <w:lang w:eastAsia="zh-CN"/>
        </w:rPr>
        <w:t>。</w:t>
      </w:r>
    </w:p>
    <w:p w14:paraId="1D1E8F96">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kern w:val="2"/>
          <w:sz w:val="21"/>
          <w:szCs w:val="21"/>
          <w:highlight w:val="none"/>
          <w:lang w:val="en-US" w:eastAsia="zh-CN" w:bidi="ar-SA"/>
        </w:rPr>
        <w:t xml:space="preserve">乙方履行本合同的指定联系人及授权代表为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；身份证号码：</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；职务：</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；联系电话：</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。在履</w:t>
      </w:r>
      <w:r>
        <w:rPr>
          <w:rFonts w:hint="eastAsia" w:ascii="宋体" w:hAnsi="宋体" w:eastAsia="宋体" w:cs="宋体"/>
          <w:color w:val="auto"/>
          <w:sz w:val="21"/>
          <w:szCs w:val="21"/>
          <w:highlight w:val="none"/>
          <w:lang w:val="en-US" w:eastAsia="zh-CN"/>
        </w:rPr>
        <w:t>行合同过程中，该指定联系人及授权代表的行为、意思表示及对甲方所作的任何承诺、通知等，都对乙方直接具有约束力；甲方通知送达该联系人及授权代表时，即视为通知送达乙方。</w:t>
      </w:r>
    </w:p>
    <w:p w14:paraId="2856328E">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21.乙方须接受甲方履约诚信评价。</w:t>
      </w:r>
    </w:p>
    <w:p w14:paraId="184A7BFA">
      <w:pPr>
        <w:numPr>
          <w:ilvl w:val="0"/>
          <w:numId w:val="0"/>
        </w:numPr>
        <w:tabs>
          <w:tab w:val="left" w:pos="6360"/>
          <w:tab w:val="left" w:pos="8280"/>
        </w:tabs>
        <w:spacing w:line="360" w:lineRule="auto"/>
        <w:ind w:firstLine="422" w:firstLineChars="200"/>
        <w:contextualSpacing/>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第十二条</w:t>
      </w:r>
      <w:r>
        <w:rPr>
          <w:rFonts w:hint="eastAsia" w:ascii="宋体" w:hAnsi="宋体" w:eastAsia="宋体" w:cs="宋体"/>
          <w:b/>
          <w:bCs/>
          <w:color w:val="auto"/>
          <w:sz w:val="21"/>
          <w:szCs w:val="21"/>
        </w:rPr>
        <w:t xml:space="preserve"> 违约责任</w:t>
      </w:r>
      <w:r>
        <w:rPr>
          <w:rFonts w:hint="eastAsia" w:ascii="宋体" w:hAnsi="宋体" w:eastAsia="宋体" w:cs="宋体"/>
          <w:b/>
          <w:bCs/>
          <w:color w:val="auto"/>
          <w:sz w:val="21"/>
          <w:szCs w:val="21"/>
          <w:lang w:eastAsia="zh-CN"/>
        </w:rPr>
        <w:t>与处罚</w:t>
      </w:r>
    </w:p>
    <w:p w14:paraId="2595E029">
      <w:pPr>
        <w:keepNext w:val="0"/>
        <w:keepLines w:val="0"/>
        <w:pageBreakBefore w:val="0"/>
        <w:numPr>
          <w:ilvl w:val="0"/>
          <w:numId w:val="8"/>
        </w:numPr>
        <w:kinsoku/>
        <w:wordWrap/>
        <w:overflowPunct/>
        <w:topLinePunct w:val="0"/>
        <w:bidi w:val="0"/>
        <w:adjustRightInd w:val="0"/>
        <w:snapToGrid/>
        <w:spacing w:line="360" w:lineRule="auto"/>
        <w:ind w:firstLine="420" w:firstLineChars="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乙方的违约责任</w:t>
      </w:r>
    </w:p>
    <w:p w14:paraId="2EBE6610">
      <w:pPr>
        <w:keepNext w:val="0"/>
        <w:keepLines w:val="0"/>
        <w:pageBreakBefore w:val="0"/>
        <w:numPr>
          <w:ilvl w:val="0"/>
          <w:numId w:val="0"/>
        </w:numPr>
        <w:kinsoku/>
        <w:wordWrap/>
        <w:overflowPunct/>
        <w:topLinePunct w:val="0"/>
        <w:bidi w:val="0"/>
        <w:adjustRightInd w:val="0"/>
        <w:snapToGrid/>
        <w:spacing w:line="360" w:lineRule="auto"/>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 xml:space="preserve">    1.</w:t>
      </w:r>
      <w:r>
        <w:rPr>
          <w:rFonts w:hint="eastAsia" w:ascii="宋体" w:hAnsi="宋体" w:eastAsia="宋体" w:cs="宋体"/>
          <w:b w:val="0"/>
          <w:bCs/>
          <w:color w:val="auto"/>
          <w:kern w:val="2"/>
          <w:sz w:val="21"/>
          <w:szCs w:val="21"/>
          <w:lang w:val="zh-CN" w:eastAsia="zh-CN" w:bidi="ar-SA"/>
        </w:rPr>
        <w:t>除依本合同约定外，</w:t>
      </w:r>
      <w:r>
        <w:rPr>
          <w:rFonts w:hint="eastAsia" w:ascii="宋体" w:hAnsi="宋体" w:eastAsia="宋体" w:cs="宋体"/>
          <w:b w:val="0"/>
          <w:bCs/>
          <w:color w:val="auto"/>
          <w:kern w:val="2"/>
          <w:sz w:val="21"/>
          <w:szCs w:val="21"/>
          <w:lang w:val="en-US" w:eastAsia="zh-CN" w:bidi="ar-SA"/>
        </w:rPr>
        <w:t>乙</w:t>
      </w:r>
      <w:r>
        <w:rPr>
          <w:rFonts w:hint="eastAsia" w:ascii="宋体" w:hAnsi="宋体" w:eastAsia="宋体" w:cs="宋体"/>
          <w:b w:val="0"/>
          <w:bCs/>
          <w:color w:val="auto"/>
          <w:kern w:val="2"/>
          <w:sz w:val="21"/>
          <w:szCs w:val="21"/>
          <w:lang w:val="zh-CN" w:eastAsia="zh-CN" w:bidi="ar-SA"/>
        </w:rPr>
        <w:t>方单方面无故解除合同，应向</w:t>
      </w:r>
      <w:r>
        <w:rPr>
          <w:rFonts w:hint="eastAsia" w:ascii="宋体" w:hAnsi="宋体" w:eastAsia="宋体" w:cs="宋体"/>
          <w:b w:val="0"/>
          <w:bCs/>
          <w:color w:val="auto"/>
          <w:kern w:val="2"/>
          <w:sz w:val="21"/>
          <w:szCs w:val="21"/>
          <w:lang w:val="en-US" w:eastAsia="zh-CN" w:bidi="ar-SA"/>
        </w:rPr>
        <w:t>甲</w:t>
      </w:r>
      <w:r>
        <w:rPr>
          <w:rFonts w:hint="eastAsia" w:ascii="宋体" w:hAnsi="宋体" w:eastAsia="宋体" w:cs="宋体"/>
          <w:b w:val="0"/>
          <w:bCs/>
          <w:color w:val="auto"/>
          <w:kern w:val="2"/>
          <w:sz w:val="21"/>
          <w:szCs w:val="21"/>
          <w:lang w:val="zh-CN" w:eastAsia="zh-CN" w:bidi="ar-SA"/>
        </w:rPr>
        <w:t>方支付合同总价20%的违约金。</w:t>
      </w:r>
    </w:p>
    <w:p w14:paraId="61C68DBE">
      <w:pPr>
        <w:pStyle w:val="33"/>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乙方违反约定允许非本单位人员从事污水处理系统维修及保养工作的，甲方有权扣除当</w:t>
      </w:r>
      <w:r>
        <w:rPr>
          <w:rFonts w:hint="eastAsia" w:ascii="宋体" w:hAnsi="宋体" w:eastAsia="宋体" w:cs="宋体"/>
          <w:bCs/>
          <w:color w:val="auto"/>
          <w:sz w:val="21"/>
          <w:szCs w:val="21"/>
          <w:lang w:eastAsia="zh-CN"/>
        </w:rPr>
        <w:t>季度维护保养</w:t>
      </w:r>
      <w:r>
        <w:rPr>
          <w:rFonts w:hint="eastAsia" w:ascii="宋体" w:hAnsi="宋体" w:eastAsia="宋体" w:cs="宋体"/>
          <w:bCs/>
          <w:color w:val="auto"/>
          <w:sz w:val="21"/>
          <w:szCs w:val="21"/>
        </w:rPr>
        <w:t>费用支付违约金。</w:t>
      </w:r>
    </w:p>
    <w:p w14:paraId="3D177501">
      <w:pPr>
        <w:spacing w:line="360" w:lineRule="auto"/>
        <w:ind w:right="-11"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乙方需按环保部门政策文件、规章制度管理</w:t>
      </w:r>
      <w:r>
        <w:rPr>
          <w:rFonts w:hint="eastAsia" w:ascii="宋体" w:hAnsi="宋体" w:eastAsia="宋体" w:cs="宋体"/>
          <w:bCs/>
          <w:color w:val="auto"/>
          <w:sz w:val="21"/>
          <w:szCs w:val="21"/>
          <w:lang w:eastAsia="zh-CN"/>
        </w:rPr>
        <w:t>维护保养</w:t>
      </w:r>
      <w:r>
        <w:rPr>
          <w:rFonts w:hint="eastAsia" w:ascii="宋体" w:hAnsi="宋体" w:eastAsia="宋体" w:cs="宋体"/>
          <w:bCs/>
          <w:color w:val="auto"/>
          <w:sz w:val="21"/>
          <w:szCs w:val="21"/>
        </w:rPr>
        <w:t>人员，禁止损坏公物、野蛮施工等行为发生，违反时给予相应的处罚。</w:t>
      </w:r>
    </w:p>
    <w:p w14:paraId="4800A421">
      <w:pPr>
        <w:spacing w:line="360" w:lineRule="auto"/>
        <w:ind w:right="-11"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因乙方保养不当导致设备无法正常使用，若在一个工作日内未能恢复运行的，甲方无条件扣除</w:t>
      </w:r>
      <w:r>
        <w:rPr>
          <w:rFonts w:hint="eastAsia" w:ascii="宋体" w:hAnsi="宋体" w:eastAsia="宋体" w:cs="宋体"/>
          <w:bCs/>
          <w:color w:val="auto"/>
          <w:sz w:val="21"/>
          <w:szCs w:val="21"/>
          <w:lang w:eastAsia="zh-CN"/>
        </w:rPr>
        <w:t>当</w:t>
      </w:r>
      <w:r>
        <w:rPr>
          <w:rFonts w:hint="eastAsia" w:ascii="宋体" w:hAnsi="宋体" w:eastAsia="宋体" w:cs="宋体"/>
          <w:bCs/>
          <w:color w:val="auto"/>
          <w:sz w:val="21"/>
          <w:szCs w:val="21"/>
          <w:lang w:val="en-US" w:eastAsia="zh-CN"/>
        </w:rPr>
        <w:t>月</w:t>
      </w:r>
      <w:r>
        <w:rPr>
          <w:rFonts w:hint="eastAsia" w:ascii="宋体" w:hAnsi="宋体" w:eastAsia="宋体" w:cs="宋体"/>
          <w:bCs/>
          <w:color w:val="auto"/>
          <w:sz w:val="21"/>
          <w:szCs w:val="21"/>
          <w:lang w:eastAsia="zh-CN"/>
        </w:rPr>
        <w:t>维护保养</w:t>
      </w:r>
      <w:r>
        <w:rPr>
          <w:rFonts w:hint="eastAsia" w:ascii="宋体" w:hAnsi="宋体" w:eastAsia="宋体" w:cs="宋体"/>
          <w:bCs/>
          <w:color w:val="auto"/>
          <w:sz w:val="21"/>
          <w:szCs w:val="21"/>
        </w:rPr>
        <w:t>费用，在三个工作日内未能恢复运行的</w:t>
      </w:r>
      <w:r>
        <w:rPr>
          <w:rFonts w:hint="eastAsia" w:ascii="宋体" w:hAnsi="宋体" w:eastAsia="宋体" w:cs="宋体"/>
          <w:bCs/>
          <w:color w:val="auto"/>
          <w:sz w:val="21"/>
          <w:szCs w:val="21"/>
          <w:lang w:eastAsia="zh-CN"/>
        </w:rPr>
        <w:t>，乙方须向甲方支付本合同总价</w:t>
      </w:r>
      <w:r>
        <w:rPr>
          <w:rFonts w:hint="eastAsia" w:ascii="宋体" w:hAnsi="宋体" w:eastAsia="宋体" w:cs="宋体"/>
          <w:bCs/>
          <w:color w:val="auto"/>
          <w:sz w:val="21"/>
          <w:szCs w:val="21"/>
          <w:lang w:val="en-US" w:eastAsia="zh-CN"/>
        </w:rPr>
        <w:t>20%的违约金</w:t>
      </w:r>
      <w:r>
        <w:rPr>
          <w:rFonts w:hint="eastAsia" w:ascii="宋体" w:hAnsi="宋体" w:eastAsia="宋体" w:cs="宋体"/>
          <w:bCs/>
          <w:color w:val="auto"/>
          <w:sz w:val="21"/>
          <w:szCs w:val="21"/>
        </w:rPr>
        <w:t>。</w:t>
      </w:r>
    </w:p>
    <w:p w14:paraId="226CE9A6">
      <w:pPr>
        <w:spacing w:line="360" w:lineRule="auto"/>
        <w:ind w:right="-11"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乙方的</w:t>
      </w:r>
      <w:r>
        <w:rPr>
          <w:rFonts w:hint="eastAsia" w:ascii="宋体" w:hAnsi="宋体" w:eastAsia="宋体" w:cs="宋体"/>
          <w:bCs/>
          <w:color w:val="auto"/>
          <w:sz w:val="21"/>
          <w:szCs w:val="21"/>
          <w:lang w:eastAsia="zh-CN"/>
        </w:rPr>
        <w:t>维护保养</w:t>
      </w:r>
      <w:r>
        <w:rPr>
          <w:rFonts w:hint="eastAsia" w:ascii="宋体" w:hAnsi="宋体" w:eastAsia="宋体" w:cs="宋体"/>
          <w:bCs/>
          <w:color w:val="auto"/>
          <w:sz w:val="21"/>
          <w:szCs w:val="21"/>
        </w:rPr>
        <w:t>工作不符合合同约定的</w:t>
      </w:r>
      <w:r>
        <w:rPr>
          <w:rFonts w:hint="eastAsia" w:ascii="宋体" w:hAnsi="宋体" w:eastAsia="宋体" w:cs="宋体"/>
          <w:bCs/>
          <w:color w:val="auto"/>
          <w:sz w:val="21"/>
          <w:szCs w:val="21"/>
          <w:lang w:eastAsia="zh-CN"/>
        </w:rPr>
        <w:t>维护保养</w:t>
      </w:r>
      <w:r>
        <w:rPr>
          <w:rFonts w:hint="eastAsia" w:ascii="宋体" w:hAnsi="宋体" w:eastAsia="宋体" w:cs="宋体"/>
          <w:bCs/>
          <w:color w:val="auto"/>
          <w:sz w:val="21"/>
          <w:szCs w:val="21"/>
        </w:rPr>
        <w:t>标准或要求的，乙方应当返工，并按当</w:t>
      </w:r>
      <w:r>
        <w:rPr>
          <w:rFonts w:hint="eastAsia" w:ascii="宋体" w:hAnsi="宋体" w:eastAsia="宋体" w:cs="宋体"/>
          <w:bCs/>
          <w:color w:val="auto"/>
          <w:sz w:val="21"/>
          <w:szCs w:val="21"/>
          <w:lang w:val="en-US" w:eastAsia="zh-CN"/>
        </w:rPr>
        <w:t>月</w:t>
      </w:r>
      <w:r>
        <w:rPr>
          <w:rFonts w:hint="eastAsia" w:ascii="宋体" w:hAnsi="宋体" w:eastAsia="宋体" w:cs="宋体"/>
          <w:bCs/>
          <w:color w:val="auto"/>
          <w:sz w:val="21"/>
          <w:szCs w:val="21"/>
          <w:lang w:eastAsia="zh-CN"/>
        </w:rPr>
        <w:t>维护保养</w:t>
      </w:r>
      <w:r>
        <w:rPr>
          <w:rFonts w:hint="eastAsia" w:ascii="宋体" w:hAnsi="宋体" w:eastAsia="宋体" w:cs="宋体"/>
          <w:bCs/>
          <w:color w:val="auto"/>
          <w:sz w:val="21"/>
          <w:szCs w:val="21"/>
        </w:rPr>
        <w:t>费用向甲方支付违约金。</w:t>
      </w:r>
    </w:p>
    <w:p w14:paraId="1C540EB9">
      <w:pPr>
        <w:spacing w:line="360" w:lineRule="auto"/>
        <w:ind w:right="-11"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如因</w:t>
      </w:r>
      <w:r>
        <w:rPr>
          <w:rFonts w:hint="eastAsia" w:ascii="宋体" w:hAnsi="宋体" w:eastAsia="宋体" w:cs="宋体"/>
          <w:bCs/>
          <w:color w:val="auto"/>
          <w:sz w:val="21"/>
          <w:szCs w:val="21"/>
          <w:lang w:eastAsia="zh-CN"/>
        </w:rPr>
        <w:t>维护保养</w:t>
      </w:r>
      <w:r>
        <w:rPr>
          <w:rFonts w:hint="eastAsia" w:ascii="宋体" w:hAnsi="宋体" w:eastAsia="宋体" w:cs="宋体"/>
          <w:bCs/>
          <w:color w:val="auto"/>
          <w:sz w:val="21"/>
          <w:szCs w:val="21"/>
        </w:rPr>
        <w:t>原因导致甲方环保检查不合格，并对因此需要整改的项目，乙方须进行免费整改，且还须按当</w:t>
      </w:r>
      <w:r>
        <w:rPr>
          <w:rFonts w:hint="eastAsia" w:ascii="宋体" w:hAnsi="宋体" w:eastAsia="宋体" w:cs="宋体"/>
          <w:bCs/>
          <w:color w:val="auto"/>
          <w:sz w:val="21"/>
          <w:szCs w:val="21"/>
          <w:lang w:val="en-US" w:eastAsia="zh-CN"/>
        </w:rPr>
        <w:t>月</w:t>
      </w:r>
      <w:r>
        <w:rPr>
          <w:rFonts w:hint="eastAsia" w:ascii="宋体" w:hAnsi="宋体" w:eastAsia="宋体" w:cs="宋体"/>
          <w:bCs/>
          <w:color w:val="auto"/>
          <w:sz w:val="21"/>
          <w:szCs w:val="21"/>
          <w:lang w:eastAsia="zh-CN"/>
        </w:rPr>
        <w:t>维护保养</w:t>
      </w:r>
      <w:r>
        <w:rPr>
          <w:rFonts w:hint="eastAsia" w:ascii="宋体" w:hAnsi="宋体" w:eastAsia="宋体" w:cs="宋体"/>
          <w:bCs/>
          <w:color w:val="auto"/>
          <w:sz w:val="21"/>
          <w:szCs w:val="21"/>
        </w:rPr>
        <w:t>费用向甲方支付违约金。</w:t>
      </w:r>
    </w:p>
    <w:p w14:paraId="45FBB4EB">
      <w:pPr>
        <w:spacing w:line="360" w:lineRule="auto"/>
        <w:ind w:right="-11"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因</w:t>
      </w:r>
      <w:r>
        <w:rPr>
          <w:rFonts w:hint="eastAsia" w:ascii="宋体" w:hAnsi="宋体" w:eastAsia="宋体" w:cs="宋体"/>
          <w:bCs/>
          <w:color w:val="auto"/>
          <w:sz w:val="21"/>
          <w:szCs w:val="21"/>
          <w:lang w:eastAsia="zh-CN"/>
        </w:rPr>
        <w:t>维护保养</w:t>
      </w:r>
      <w:r>
        <w:rPr>
          <w:rFonts w:hint="eastAsia" w:ascii="宋体" w:hAnsi="宋体" w:eastAsia="宋体" w:cs="宋体"/>
          <w:bCs/>
          <w:color w:val="auto"/>
          <w:sz w:val="21"/>
          <w:szCs w:val="21"/>
        </w:rPr>
        <w:t>原因导致人身伤亡或设备损坏、丢失的，由乙方承担全部责任，同时，甲方有权没收履约保证金。</w:t>
      </w:r>
    </w:p>
    <w:p w14:paraId="32D6B290">
      <w:pPr>
        <w:spacing w:line="360" w:lineRule="auto"/>
        <w:ind w:right="-11"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8.</w:t>
      </w:r>
      <w:r>
        <w:rPr>
          <w:rFonts w:hint="eastAsia" w:ascii="宋体" w:hAnsi="宋体" w:eastAsia="宋体" w:cs="宋体"/>
          <w:color w:val="auto"/>
          <w:sz w:val="21"/>
          <w:szCs w:val="21"/>
          <w:lang w:val="en-US" w:eastAsia="zh-CN"/>
        </w:rPr>
        <w:t>如果</w:t>
      </w:r>
      <w:r>
        <w:rPr>
          <w:rFonts w:hint="eastAsia" w:ascii="宋体" w:hAnsi="宋体" w:eastAsia="宋体" w:cs="宋体"/>
          <w:color w:val="auto"/>
          <w:sz w:val="21"/>
          <w:szCs w:val="21"/>
        </w:rPr>
        <w:t>在线监测设备后台监测</w:t>
      </w:r>
      <w:r>
        <w:rPr>
          <w:rFonts w:hint="eastAsia" w:ascii="宋体" w:hAnsi="宋体" w:eastAsia="宋体" w:cs="宋体"/>
          <w:color w:val="auto"/>
          <w:sz w:val="21"/>
          <w:szCs w:val="21"/>
          <w:lang w:val="en-US" w:eastAsia="zh-CN"/>
        </w:rPr>
        <w:t>数据异常超过24小时，乙方没有发现，每次扣除1000元，超过三次未能发现，甲方有权终止合同，造成的损失由乙方承担。</w:t>
      </w:r>
    </w:p>
    <w:p w14:paraId="738EA66A">
      <w:pPr>
        <w:spacing w:line="360" w:lineRule="auto"/>
        <w:ind w:right="-11"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9.</w:t>
      </w:r>
      <w:r>
        <w:rPr>
          <w:rFonts w:hint="eastAsia" w:ascii="宋体" w:hAnsi="宋体" w:eastAsia="宋体" w:cs="宋体"/>
          <w:bCs/>
          <w:color w:val="auto"/>
          <w:sz w:val="21"/>
          <w:szCs w:val="21"/>
        </w:rPr>
        <w:t>乙方</w:t>
      </w:r>
      <w:r>
        <w:rPr>
          <w:rFonts w:hint="eastAsia" w:ascii="宋体" w:hAnsi="宋体" w:eastAsia="宋体" w:cs="宋体"/>
          <w:bCs/>
          <w:color w:val="auto"/>
          <w:sz w:val="21"/>
          <w:szCs w:val="21"/>
          <w:lang w:eastAsia="zh-CN"/>
        </w:rPr>
        <w:t>未能按</w:t>
      </w:r>
      <w:r>
        <w:rPr>
          <w:rFonts w:hint="eastAsia" w:ascii="宋体" w:hAnsi="宋体" w:eastAsia="宋体" w:cs="宋体"/>
          <w:bCs/>
          <w:color w:val="auto"/>
          <w:sz w:val="21"/>
          <w:szCs w:val="21"/>
        </w:rPr>
        <w:t>售后服务要求</w:t>
      </w:r>
      <w:r>
        <w:rPr>
          <w:rFonts w:hint="eastAsia" w:ascii="宋体" w:hAnsi="宋体" w:eastAsia="宋体" w:cs="宋体"/>
          <w:bCs/>
          <w:color w:val="auto"/>
          <w:sz w:val="21"/>
          <w:szCs w:val="21"/>
          <w:lang w:eastAsia="zh-CN"/>
        </w:rPr>
        <w:t>进行响应或故障处理的，</w:t>
      </w:r>
      <w:r>
        <w:rPr>
          <w:rFonts w:hint="eastAsia" w:ascii="宋体" w:hAnsi="宋体" w:eastAsia="宋体" w:cs="宋体"/>
          <w:color w:val="auto"/>
          <w:sz w:val="21"/>
          <w:szCs w:val="21"/>
          <w:lang w:val="en-US" w:eastAsia="zh-CN"/>
        </w:rPr>
        <w:t>每次扣除1000元，累计超过三次的，甲方有权终止合同，造成的损失由乙方承担。</w:t>
      </w:r>
    </w:p>
    <w:p w14:paraId="3924509E">
      <w:pPr>
        <w:spacing w:line="360" w:lineRule="auto"/>
        <w:ind w:right="-11"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rPr>
        <w:t>乙方违反本合同规定，所提供的服务未达到合同要求，甲方书面提出整改通知，乙方未按要求及时整改的，甲方有权终止合同</w:t>
      </w:r>
      <w:r>
        <w:rPr>
          <w:rFonts w:hint="eastAsia" w:ascii="宋体" w:hAnsi="宋体" w:eastAsia="宋体" w:cs="宋体"/>
          <w:bCs/>
          <w:color w:val="auto"/>
          <w:sz w:val="21"/>
          <w:szCs w:val="21"/>
          <w:lang w:eastAsia="zh-CN"/>
        </w:rPr>
        <w:t>并有权没收</w:t>
      </w:r>
      <w:r>
        <w:rPr>
          <w:rFonts w:hint="eastAsia" w:ascii="宋体" w:hAnsi="宋体" w:eastAsia="宋体" w:cs="宋体"/>
          <w:bCs/>
          <w:color w:val="auto"/>
          <w:sz w:val="21"/>
          <w:szCs w:val="21"/>
        </w:rPr>
        <w:t>履约保证金</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由此造成甲方经济损失的，乙方应给予赔偿。</w:t>
      </w:r>
    </w:p>
    <w:p w14:paraId="54CFCEEA">
      <w:pPr>
        <w:spacing w:line="360" w:lineRule="auto"/>
        <w:ind w:right="-11"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11.</w:t>
      </w:r>
      <w:r>
        <w:rPr>
          <w:rFonts w:hint="eastAsia" w:ascii="宋体" w:hAnsi="宋体" w:eastAsia="宋体" w:cs="宋体"/>
          <w:bCs/>
          <w:color w:val="auto"/>
          <w:sz w:val="21"/>
          <w:szCs w:val="21"/>
        </w:rPr>
        <w:t>乙方在</w:t>
      </w:r>
      <w:r>
        <w:rPr>
          <w:rFonts w:hint="eastAsia" w:ascii="宋体" w:hAnsi="宋体" w:eastAsia="宋体" w:cs="宋体"/>
          <w:bCs/>
          <w:color w:val="auto"/>
          <w:sz w:val="21"/>
          <w:szCs w:val="21"/>
          <w:lang w:eastAsia="zh-CN"/>
        </w:rPr>
        <w:t>维护保养</w:t>
      </w:r>
      <w:r>
        <w:rPr>
          <w:rFonts w:hint="eastAsia" w:ascii="宋体" w:hAnsi="宋体" w:eastAsia="宋体" w:cs="宋体"/>
          <w:bCs/>
          <w:color w:val="auto"/>
          <w:sz w:val="21"/>
          <w:szCs w:val="21"/>
        </w:rPr>
        <w:t>期内必须服从政府相关部门和甲方的管理，若乙方人员在保养或维修设备工作过程中因疏忽或失职，或者提供的服务发生其他不符合本合同规定要求的情况，造成甲方设备、其他财产或任何人身的损害，由乙方负责赔偿，并承担相应责任。但因天灾人祸等事故造成的损失或延误，乙方不负任何责任。</w:t>
      </w:r>
    </w:p>
    <w:p w14:paraId="418B8F61">
      <w:pPr>
        <w:spacing w:line="360" w:lineRule="auto"/>
        <w:ind w:right="-11" w:firstLine="420" w:firstLineChars="20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12.</w:t>
      </w:r>
      <w:r>
        <w:rPr>
          <w:rFonts w:hint="eastAsia" w:ascii="宋体" w:hAnsi="宋体" w:eastAsia="宋体" w:cs="宋体"/>
          <w:bCs/>
          <w:color w:val="auto"/>
          <w:sz w:val="21"/>
          <w:szCs w:val="21"/>
        </w:rPr>
        <w:t>因</w:t>
      </w:r>
      <w:r>
        <w:rPr>
          <w:rFonts w:hint="eastAsia" w:ascii="宋体" w:hAnsi="宋体" w:eastAsia="宋体" w:cs="宋体"/>
          <w:bCs/>
          <w:color w:val="auto"/>
          <w:sz w:val="21"/>
          <w:szCs w:val="21"/>
          <w:lang w:eastAsia="zh-CN"/>
        </w:rPr>
        <w:t>维护保养</w:t>
      </w:r>
      <w:r>
        <w:rPr>
          <w:rFonts w:hint="eastAsia" w:ascii="宋体" w:hAnsi="宋体" w:eastAsia="宋体" w:cs="宋体"/>
          <w:bCs/>
          <w:color w:val="auto"/>
          <w:sz w:val="21"/>
          <w:szCs w:val="21"/>
        </w:rPr>
        <w:t>不到位故障造成第三方人身安全事故或财产损失的,乙方须承担全部责任。</w:t>
      </w:r>
    </w:p>
    <w:p w14:paraId="058BD4C9">
      <w:pPr>
        <w:spacing w:line="360" w:lineRule="auto"/>
        <w:ind w:right="-11"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13.</w:t>
      </w:r>
      <w:r>
        <w:rPr>
          <w:rFonts w:hint="eastAsia" w:ascii="宋体" w:hAnsi="宋体" w:eastAsia="宋体" w:cs="宋体"/>
          <w:bCs/>
          <w:color w:val="auto"/>
          <w:sz w:val="21"/>
          <w:szCs w:val="21"/>
        </w:rPr>
        <w:t>由于乙方人员违规操作造成人身安全事故或财产损失，责任由乙方全部承担。</w:t>
      </w:r>
    </w:p>
    <w:p w14:paraId="6382D10A">
      <w:pPr>
        <w:spacing w:line="360" w:lineRule="auto"/>
        <w:ind w:right="-11" w:firstLine="420" w:firstLineChars="200"/>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t>14.在各级环保检查或突击任务中，因乙方服务质量问题导致甲方被上级批评或环保处罚的，甲方有权终止合同；造成甲方经济损失的，乙方应全额赔偿并承担相应法律责任。</w:t>
      </w:r>
    </w:p>
    <w:p w14:paraId="75C83AD6">
      <w:pPr>
        <w:spacing w:line="360" w:lineRule="auto"/>
        <w:ind w:right="-11"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乙方必须接受甲方的监督和管理，对不规范运作和不按合同要求执行时甲方有权要求乙方改正，如乙方连续两次拒不执行，甲方将扣罚当月运营费用的20%作为处罚，如连续三次拒不执行，甲方有权单方面解除合同，乙方需赔偿一切经济损失，赔偿数额为合同总价的20%。</w:t>
      </w:r>
    </w:p>
    <w:p w14:paraId="2EA2F35E">
      <w:pPr>
        <w:spacing w:line="360" w:lineRule="auto"/>
        <w:ind w:right="-11"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16.</w:t>
      </w:r>
      <w:r>
        <w:rPr>
          <w:rFonts w:hint="eastAsia" w:ascii="宋体" w:hAnsi="宋体" w:eastAsia="宋体" w:cs="宋体"/>
          <w:bCs/>
          <w:color w:val="auto"/>
          <w:sz w:val="21"/>
          <w:szCs w:val="21"/>
        </w:rPr>
        <w:t>如期限届满不再由乙方进行</w:t>
      </w:r>
      <w:r>
        <w:rPr>
          <w:rFonts w:hint="eastAsia" w:ascii="宋体" w:hAnsi="宋体" w:eastAsia="宋体" w:cs="宋体"/>
          <w:bCs/>
          <w:color w:val="auto"/>
          <w:sz w:val="21"/>
          <w:szCs w:val="21"/>
          <w:lang w:eastAsia="zh-CN"/>
        </w:rPr>
        <w:t>维护保养</w:t>
      </w:r>
      <w:r>
        <w:rPr>
          <w:rFonts w:hint="eastAsia" w:ascii="宋体" w:hAnsi="宋体" w:eastAsia="宋体" w:cs="宋体"/>
          <w:bCs/>
          <w:color w:val="auto"/>
          <w:sz w:val="21"/>
          <w:szCs w:val="21"/>
        </w:rPr>
        <w:t>工作，乙方有义务协助甲方移交相关资料及对接新乙方工作开展，拒不移交或存在当期应处理问题未处理到位的，甲方有权</w:t>
      </w:r>
      <w:r>
        <w:rPr>
          <w:rFonts w:hint="eastAsia" w:ascii="宋体" w:hAnsi="宋体" w:eastAsia="宋体" w:cs="宋体"/>
          <w:bCs/>
          <w:strike w:val="0"/>
          <w:dstrike w:val="0"/>
          <w:color w:val="auto"/>
          <w:sz w:val="21"/>
          <w:szCs w:val="21"/>
          <w:lang w:eastAsia="zh-CN"/>
        </w:rPr>
        <w:t>拒付当季度维护保养费用</w:t>
      </w:r>
      <w:r>
        <w:rPr>
          <w:rFonts w:hint="eastAsia" w:ascii="宋体" w:hAnsi="宋体" w:eastAsia="宋体" w:cs="宋体"/>
          <w:bCs/>
          <w:color w:val="auto"/>
          <w:sz w:val="21"/>
          <w:szCs w:val="21"/>
        </w:rPr>
        <w:t>，直至处理到位，并由乙方承担由此造成的责任。</w:t>
      </w:r>
    </w:p>
    <w:p w14:paraId="21E6FF4E">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17.</w:t>
      </w:r>
      <w:r>
        <w:rPr>
          <w:rFonts w:hint="eastAsia" w:ascii="宋体" w:hAnsi="宋体" w:eastAsia="宋体" w:cs="宋体"/>
          <w:bCs/>
          <w:color w:val="auto"/>
          <w:sz w:val="21"/>
          <w:szCs w:val="21"/>
        </w:rPr>
        <w:t>乙方委派甲方的</w:t>
      </w:r>
      <w:r>
        <w:rPr>
          <w:rFonts w:hint="eastAsia" w:ascii="宋体" w:hAnsi="宋体" w:eastAsia="宋体" w:cs="宋体"/>
          <w:bCs/>
          <w:color w:val="auto"/>
          <w:sz w:val="21"/>
          <w:szCs w:val="21"/>
          <w:lang w:eastAsia="zh-CN"/>
        </w:rPr>
        <w:t>维护保养</w:t>
      </w:r>
      <w:r>
        <w:rPr>
          <w:rFonts w:hint="eastAsia" w:ascii="宋体" w:hAnsi="宋体" w:eastAsia="宋体" w:cs="宋体"/>
          <w:bCs/>
          <w:color w:val="auto"/>
          <w:sz w:val="21"/>
          <w:szCs w:val="21"/>
        </w:rPr>
        <w:t>人员必须</w:t>
      </w:r>
      <w:r>
        <w:rPr>
          <w:rFonts w:hint="eastAsia" w:ascii="宋体" w:hAnsi="宋体" w:eastAsia="宋体" w:cs="宋体"/>
          <w:color w:val="auto"/>
          <w:sz w:val="21"/>
          <w:szCs w:val="21"/>
        </w:rPr>
        <w:t>持有电工证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污水处理工（员）证书等，必须严格按照国家安全规范和标准执行，</w:t>
      </w:r>
      <w:r>
        <w:rPr>
          <w:rFonts w:hint="eastAsia" w:ascii="宋体" w:hAnsi="宋体" w:eastAsia="宋体" w:cs="宋体"/>
          <w:bCs/>
          <w:color w:val="auto"/>
          <w:sz w:val="21"/>
          <w:szCs w:val="21"/>
        </w:rPr>
        <w:t>违反本合同规定的，甲方有权没收乙方的履约保证金。</w:t>
      </w:r>
    </w:p>
    <w:p w14:paraId="0A6C32A6">
      <w:pPr>
        <w:pStyle w:val="33"/>
        <w:spacing w:line="360" w:lineRule="auto"/>
        <w:ind w:firstLine="420" w:firstLineChars="200"/>
        <w:rPr>
          <w:rFonts w:hint="eastAsia" w:ascii="宋体" w:hAnsi="宋体" w:eastAsia="宋体" w:cs="宋体"/>
          <w:bCs/>
          <w:strike w:val="0"/>
          <w:dstrike w:val="0"/>
          <w:color w:val="auto"/>
          <w:sz w:val="21"/>
          <w:szCs w:val="21"/>
        </w:rPr>
      </w:pPr>
      <w:r>
        <w:rPr>
          <w:rFonts w:hint="eastAsia" w:ascii="宋体" w:hAnsi="宋体" w:eastAsia="宋体" w:cs="宋体"/>
          <w:bCs/>
          <w:color w:val="auto"/>
          <w:sz w:val="21"/>
          <w:szCs w:val="21"/>
          <w:lang w:val="en-US" w:eastAsia="zh-CN"/>
        </w:rPr>
        <w:t>18.</w:t>
      </w:r>
      <w:r>
        <w:rPr>
          <w:rFonts w:hint="eastAsia" w:ascii="宋体" w:hAnsi="宋体" w:eastAsia="宋体" w:cs="宋体"/>
          <w:bCs/>
          <w:color w:val="auto"/>
          <w:sz w:val="21"/>
          <w:szCs w:val="21"/>
        </w:rPr>
        <w:t>甲方发现乙方擅自变更派驻甲方的维保人员的，每次处以100元罚款。</w:t>
      </w:r>
      <w:r>
        <w:rPr>
          <w:rFonts w:hint="eastAsia" w:ascii="宋体" w:hAnsi="宋体" w:eastAsia="宋体" w:cs="宋体"/>
          <w:bCs/>
          <w:strike w:val="0"/>
          <w:dstrike w:val="0"/>
          <w:color w:val="auto"/>
          <w:sz w:val="21"/>
          <w:szCs w:val="21"/>
        </w:rPr>
        <w:t>发现乙方随意变更</w:t>
      </w:r>
      <w:r>
        <w:rPr>
          <w:rFonts w:hint="eastAsia" w:ascii="宋体" w:hAnsi="宋体" w:eastAsia="宋体" w:cs="宋体"/>
          <w:bCs/>
          <w:strike w:val="0"/>
          <w:color w:val="auto"/>
          <w:sz w:val="21"/>
          <w:szCs w:val="21"/>
          <w:lang w:eastAsia="zh-CN"/>
        </w:rPr>
        <w:t>维护保养</w:t>
      </w:r>
      <w:r>
        <w:rPr>
          <w:rFonts w:hint="eastAsia" w:ascii="宋体" w:hAnsi="宋体" w:eastAsia="宋体" w:cs="宋体"/>
          <w:bCs/>
          <w:strike w:val="0"/>
          <w:dstrike w:val="0"/>
          <w:color w:val="auto"/>
          <w:sz w:val="21"/>
          <w:szCs w:val="21"/>
        </w:rPr>
        <w:t>人员三次以上的，甲方亦有权选择单方解除合同，未支付的</w:t>
      </w:r>
      <w:r>
        <w:rPr>
          <w:rFonts w:hint="eastAsia" w:ascii="宋体" w:hAnsi="宋体" w:eastAsia="宋体" w:cs="宋体"/>
          <w:bCs/>
          <w:strike w:val="0"/>
          <w:dstrike w:val="0"/>
          <w:color w:val="auto"/>
          <w:sz w:val="21"/>
          <w:szCs w:val="21"/>
          <w:lang w:eastAsia="zh-CN"/>
        </w:rPr>
        <w:t>维护保养</w:t>
      </w:r>
      <w:r>
        <w:rPr>
          <w:rFonts w:hint="eastAsia" w:ascii="宋体" w:hAnsi="宋体" w:eastAsia="宋体" w:cs="宋体"/>
          <w:bCs/>
          <w:strike w:val="0"/>
          <w:dstrike w:val="0"/>
          <w:color w:val="auto"/>
          <w:sz w:val="21"/>
          <w:szCs w:val="21"/>
        </w:rPr>
        <w:t>费用不再予以结算。</w:t>
      </w:r>
    </w:p>
    <w:p w14:paraId="3B8130C9">
      <w:pPr>
        <w:tabs>
          <w:tab w:val="left" w:pos="6360"/>
          <w:tab w:val="left" w:pos="8280"/>
        </w:tabs>
        <w:adjustRightInd w:val="0"/>
        <w:spacing w:line="360" w:lineRule="auto"/>
        <w:ind w:firstLine="420" w:firstLineChars="200"/>
        <w:outlineLvl w:val="0"/>
        <w:rPr>
          <w:rFonts w:hint="eastAsia" w:ascii="宋体" w:hAnsi="宋体" w:eastAsia="宋体" w:cs="宋体"/>
          <w:bCs/>
          <w:color w:val="auto"/>
          <w:kern w:val="2"/>
          <w:sz w:val="21"/>
          <w:szCs w:val="21"/>
          <w:lang w:val="en-US" w:eastAsia="zh-CN" w:bidi="ar-SA"/>
        </w:rPr>
      </w:pPr>
      <w:bookmarkStart w:id="90" w:name="_Toc23561"/>
      <w:bookmarkStart w:id="91" w:name="_Toc18828"/>
      <w:r>
        <w:rPr>
          <w:rFonts w:hint="eastAsia" w:ascii="宋体" w:hAnsi="宋体" w:eastAsia="宋体" w:cs="宋体"/>
          <w:bCs/>
          <w:color w:val="auto"/>
          <w:kern w:val="2"/>
          <w:sz w:val="21"/>
          <w:szCs w:val="21"/>
          <w:lang w:val="en-US" w:eastAsia="zh-CN" w:bidi="ar-SA"/>
        </w:rPr>
        <w:t>19.乙方不得以任何方式转包、分包本项目，否则甲方有权解除合同，乙方需支付合同总价10%的违约金，并赔偿甲方重新寻找合作方的额外费用。（如紧急采购溢价）</w:t>
      </w:r>
      <w:bookmarkEnd w:id="90"/>
      <w:bookmarkEnd w:id="91"/>
    </w:p>
    <w:p w14:paraId="5C47B2F6">
      <w:pPr>
        <w:pStyle w:val="33"/>
        <w:spacing w:line="360" w:lineRule="auto"/>
        <w:ind w:firstLine="420"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20.乙方发生下列情形之一的，甲方有权单方解除合同、扣除全部履约保证金、拒付剩余款项，并由乙方承担因此产生的罚款、整改费、名誉损失及第三方索赔等全部责任：</w:t>
      </w:r>
    </w:p>
    <w:p w14:paraId="2422A0F4">
      <w:pPr>
        <w:pStyle w:val="33"/>
        <w:spacing w:line="360" w:lineRule="auto"/>
        <w:ind w:firstLine="420"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1）出水水质超标导致环保处罚或通报；</w:t>
      </w:r>
    </w:p>
    <w:p w14:paraId="169AB546">
      <w:pPr>
        <w:pStyle w:val="33"/>
        <w:spacing w:line="360" w:lineRule="auto"/>
        <w:ind w:firstLine="420"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2）伪造、篡改在线监测数据；</w:t>
      </w:r>
    </w:p>
    <w:p w14:paraId="2680B942">
      <w:pPr>
        <w:pStyle w:val="33"/>
        <w:spacing w:line="360" w:lineRule="auto"/>
        <w:ind w:firstLine="420"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3）无持证人员服务或转包、分包项目；</w:t>
      </w:r>
    </w:p>
    <w:p w14:paraId="1F91D103">
      <w:pPr>
        <w:pStyle w:val="33"/>
        <w:spacing w:line="360" w:lineRule="auto"/>
        <w:ind w:firstLine="420"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4）拒不配合交接或擅自中断运维服务；</w:t>
      </w:r>
    </w:p>
    <w:p w14:paraId="06188A00">
      <w:pPr>
        <w:pStyle w:val="33"/>
        <w:spacing w:line="360" w:lineRule="auto"/>
        <w:ind w:firstLine="420"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5）发生危废违规处置、泄密等严重违约行为。</w:t>
      </w:r>
    </w:p>
    <w:p w14:paraId="0C55158F">
      <w:pPr>
        <w:spacing w:line="360" w:lineRule="auto"/>
        <w:ind w:firstLine="420" w:firstLineChars="200"/>
        <w:rPr>
          <w:rFonts w:hint="eastAsia" w:ascii="宋体" w:hAnsi="宋体" w:eastAsia="宋体" w:cs="宋体"/>
          <w:bCs/>
          <w:color w:val="auto"/>
          <w:sz w:val="21"/>
          <w:szCs w:val="21"/>
          <w:lang w:val="zh-CN" w:eastAsia="zh-CN"/>
        </w:rPr>
      </w:pPr>
      <w:r>
        <w:rPr>
          <w:rFonts w:hint="eastAsia" w:ascii="宋体" w:hAnsi="宋体" w:eastAsia="宋体" w:cs="宋体"/>
          <w:bCs/>
          <w:color w:val="auto"/>
          <w:sz w:val="21"/>
          <w:szCs w:val="21"/>
          <w:lang w:val="en-US" w:eastAsia="zh-CN"/>
        </w:rPr>
        <w:t>21.</w:t>
      </w:r>
      <w:r>
        <w:rPr>
          <w:rFonts w:hint="eastAsia" w:ascii="宋体" w:hAnsi="宋体" w:eastAsia="宋体" w:cs="宋体"/>
          <w:bCs/>
          <w:color w:val="auto"/>
          <w:sz w:val="21"/>
          <w:szCs w:val="21"/>
          <w:lang w:val="zh-CN" w:eastAsia="zh-CN"/>
        </w:rPr>
        <w:t>合同期内，如甲方排污许可证到期，乙方应无偿协助甲方办理排污许可证，如乙方不配合办理，甲方有权扣除乙方当年全年维护保养费用的20%作为违约金。</w:t>
      </w:r>
    </w:p>
    <w:p w14:paraId="19602A25">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zh-CN" w:eastAsia="zh-CN"/>
        </w:rPr>
        <w:t>（</w:t>
      </w:r>
      <w:r>
        <w:rPr>
          <w:rFonts w:hint="eastAsia" w:ascii="宋体" w:hAnsi="宋体" w:eastAsia="宋体" w:cs="宋体"/>
          <w:bCs/>
          <w:color w:val="auto"/>
          <w:sz w:val="21"/>
          <w:szCs w:val="21"/>
          <w:lang w:val="en-US" w:eastAsia="zh-CN"/>
        </w:rPr>
        <w:t>二</w:t>
      </w:r>
      <w:r>
        <w:rPr>
          <w:rFonts w:hint="eastAsia" w:ascii="宋体" w:hAnsi="宋体" w:eastAsia="宋体" w:cs="宋体"/>
          <w:bCs/>
          <w:color w:val="auto"/>
          <w:sz w:val="21"/>
          <w:szCs w:val="21"/>
          <w:lang w:val="zh-CN" w:eastAsia="zh-CN"/>
        </w:rPr>
        <w:t>）甲方的违约责任</w:t>
      </w:r>
    </w:p>
    <w:p w14:paraId="4CB72875">
      <w:pPr>
        <w:spacing w:line="360" w:lineRule="auto"/>
        <w:ind w:firstLine="420" w:firstLineChars="200"/>
        <w:rPr>
          <w:rFonts w:hint="eastAsia" w:ascii="宋体" w:hAnsi="宋体" w:eastAsia="宋体" w:cs="宋体"/>
          <w:b w:val="0"/>
          <w:bCs/>
          <w:color w:val="auto"/>
          <w:kern w:val="2"/>
          <w:sz w:val="21"/>
          <w:szCs w:val="21"/>
          <w:lang w:val="zh-CN" w:eastAsia="zh-CN" w:bidi="ar-SA"/>
        </w:rPr>
      </w:pPr>
      <w:r>
        <w:rPr>
          <w:rFonts w:hint="eastAsia" w:ascii="宋体" w:hAnsi="宋体" w:eastAsia="宋体" w:cs="宋体"/>
          <w:b w:val="0"/>
          <w:bCs/>
          <w:color w:val="auto"/>
          <w:kern w:val="2"/>
          <w:sz w:val="21"/>
          <w:szCs w:val="21"/>
          <w:lang w:val="en-US" w:eastAsia="zh-CN" w:bidi="ar-SA"/>
        </w:rPr>
        <w:t>1.</w:t>
      </w:r>
      <w:r>
        <w:rPr>
          <w:rFonts w:hint="eastAsia" w:ascii="宋体" w:hAnsi="宋体" w:eastAsia="宋体" w:cs="宋体"/>
          <w:b w:val="0"/>
          <w:bCs/>
          <w:color w:val="auto"/>
          <w:kern w:val="2"/>
          <w:sz w:val="21"/>
          <w:szCs w:val="21"/>
          <w:lang w:val="zh-CN" w:eastAsia="zh-CN" w:bidi="ar-SA"/>
        </w:rPr>
        <w:t>除依本合同约定外，甲方单方面无故解除合同，应向乙方支付合同总价20%的违约金。</w:t>
      </w:r>
    </w:p>
    <w:p w14:paraId="068D59AF">
      <w:pPr>
        <w:spacing w:line="360" w:lineRule="auto"/>
        <w:ind w:firstLine="420" w:firstLineChars="200"/>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2.</w:t>
      </w:r>
      <w:r>
        <w:rPr>
          <w:rFonts w:hint="eastAsia" w:ascii="宋体" w:hAnsi="宋体" w:eastAsia="宋体" w:cs="宋体"/>
          <w:color w:val="auto"/>
          <w:sz w:val="21"/>
          <w:szCs w:val="21"/>
          <w:highlight w:val="none"/>
          <w:lang w:val="en-US" w:eastAsia="zh-CN"/>
        </w:rPr>
        <w:t>因不可抗力造成的迟延付款或迟延交货等，双方均不承担违约责任。</w:t>
      </w:r>
    </w:p>
    <w:p w14:paraId="6D7DFBE3">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（三）其它违约责任按照《中华人民共和国民法典》中合同编相关规定处理。</w:t>
      </w:r>
    </w:p>
    <w:p w14:paraId="41ECFCE3">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本合同生效后，如任何一方违约，守约方为维护权益，向违约方追偿的一切费用，包括但不限于律师费、诉讼费、财产保全费、保全担保费、鉴定费、差旅费等由违约方承担。由于乙方违约所产生的违约金或赔偿金，甲方有权在应付未付给乙方的合同款项中直接扣除，同时甲方有权根据本合同的相关约定向乙方提出不足部分的赔偿。</w:t>
      </w:r>
    </w:p>
    <w:p w14:paraId="4DFE012C">
      <w:pPr>
        <w:keepNext w:val="0"/>
        <w:keepLines w:val="0"/>
        <w:pageBreakBefore w:val="0"/>
        <w:widowControl w:val="0"/>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第</w:t>
      </w:r>
      <w:r>
        <w:rPr>
          <w:rFonts w:hint="eastAsia" w:ascii="宋体" w:hAnsi="宋体" w:eastAsia="宋体" w:cs="宋体"/>
          <w:b/>
          <w:color w:val="auto"/>
          <w:kern w:val="2"/>
          <w:sz w:val="21"/>
          <w:szCs w:val="21"/>
          <w:highlight w:val="none"/>
          <w:lang w:eastAsia="zh-CN"/>
        </w:rPr>
        <w:t>十</w:t>
      </w:r>
      <w:r>
        <w:rPr>
          <w:rFonts w:hint="eastAsia" w:ascii="宋体" w:hAnsi="宋体" w:eastAsia="宋体" w:cs="宋体"/>
          <w:b/>
          <w:color w:val="auto"/>
          <w:kern w:val="2"/>
          <w:sz w:val="21"/>
          <w:szCs w:val="21"/>
          <w:highlight w:val="none"/>
          <w:lang w:val="en-US" w:eastAsia="zh-CN"/>
        </w:rPr>
        <w:t>三</w:t>
      </w:r>
      <w:r>
        <w:rPr>
          <w:rFonts w:hint="eastAsia" w:ascii="宋体" w:hAnsi="宋体" w:eastAsia="宋体" w:cs="宋体"/>
          <w:b/>
          <w:color w:val="auto"/>
          <w:kern w:val="2"/>
          <w:sz w:val="21"/>
          <w:szCs w:val="21"/>
          <w:highlight w:val="none"/>
        </w:rPr>
        <w:t>条 不可抗力</w:t>
      </w:r>
    </w:p>
    <w:p w14:paraId="3F9D27B6">
      <w:pPr>
        <w:keepNext w:val="0"/>
        <w:keepLines w:val="0"/>
        <w:pageBreakBefore w:val="0"/>
        <w:widowControl w:val="0"/>
        <w:tabs>
          <w:tab w:val="left" w:pos="720"/>
        </w:tabs>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0C78854">
      <w:pPr>
        <w:keepNext w:val="0"/>
        <w:keepLines w:val="0"/>
        <w:pageBreakBefore w:val="0"/>
        <w:widowControl w:val="0"/>
        <w:kinsoku/>
        <w:wordWrap/>
        <w:overflowPunct/>
        <w:topLinePunct w:val="0"/>
        <w:bidi w:val="0"/>
        <w:snapToGrid/>
        <w:spacing w:line="360" w:lineRule="auto"/>
        <w:ind w:firstLine="422" w:firstLineChars="20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条  争议的解决方式</w:t>
      </w:r>
    </w:p>
    <w:p w14:paraId="364417EE">
      <w:pPr>
        <w:keepNext w:val="0"/>
        <w:keepLines w:val="0"/>
        <w:pageBreakBefore w:val="0"/>
        <w:widowControl w:val="0"/>
        <w:kinsoku/>
        <w:wordWrap/>
        <w:overflowPunct/>
        <w:topLinePunct w:val="0"/>
        <w:bidi w:val="0"/>
        <w:snapToGrid/>
        <w:spacing w:line="360" w:lineRule="auto"/>
        <w:ind w:firstLine="420" w:firstLineChars="200"/>
        <w:contextualSpacing/>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签约双方在履约中发生争执和分歧，双方应通过友好协商解决，若经协商不能达成协议时，应向甲方所在地有管辖权的法院提起诉讼。受理期间，不涉及争议部分的条款，双方仍须继续履行。</w:t>
      </w:r>
    </w:p>
    <w:p w14:paraId="6A7F52B0">
      <w:pPr>
        <w:keepNext w:val="0"/>
        <w:keepLines w:val="0"/>
        <w:pageBreakBefore w:val="0"/>
        <w:widowControl w:val="0"/>
        <w:kinsoku/>
        <w:wordWrap/>
        <w:overflowPunct/>
        <w:topLinePunct w:val="0"/>
        <w:bidi w:val="0"/>
        <w:snapToGrid/>
        <w:spacing w:line="360" w:lineRule="auto"/>
        <w:ind w:firstLine="422" w:firstLineChars="200"/>
        <w:contextualSpacing/>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第十五条  合同组成</w:t>
      </w:r>
    </w:p>
    <w:p w14:paraId="0EA412A5">
      <w:pPr>
        <w:keepNext w:val="0"/>
        <w:keepLines w:val="0"/>
        <w:pageBreakBefore w:val="0"/>
        <w:widowControl w:val="0"/>
        <w:kinsoku/>
        <w:wordWrap/>
        <w:overflowPunct/>
        <w:topLinePunct w:val="0"/>
        <w:bidi w:val="0"/>
        <w:snapToGrid/>
        <w:spacing w:line="360" w:lineRule="auto"/>
        <w:ind w:firstLine="420" w:firstLineChars="200"/>
        <w:contextualSpacing/>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（一）</w:t>
      </w:r>
      <w:r>
        <w:rPr>
          <w:rFonts w:hint="eastAsia" w:ascii="宋体" w:hAnsi="宋体" w:eastAsia="宋体" w:cs="宋体"/>
          <w:b w:val="0"/>
          <w:bCs/>
          <w:color w:val="auto"/>
          <w:sz w:val="21"/>
          <w:szCs w:val="21"/>
          <w:highlight w:val="none"/>
        </w:rPr>
        <w:t>合同文件组成内容包括：本合同书、采购文件、响应文件等均</w:t>
      </w:r>
      <w:r>
        <w:rPr>
          <w:rFonts w:hint="eastAsia" w:ascii="宋体" w:hAnsi="宋体" w:eastAsia="宋体" w:cs="宋体"/>
          <w:b w:val="0"/>
          <w:bCs/>
          <w:color w:val="auto"/>
          <w:sz w:val="21"/>
          <w:szCs w:val="21"/>
          <w:highlight w:val="none"/>
          <w:lang w:eastAsia="zh-CN"/>
        </w:rPr>
        <w:t>为本</w:t>
      </w:r>
      <w:r>
        <w:rPr>
          <w:rFonts w:hint="eastAsia" w:ascii="宋体" w:hAnsi="宋体" w:eastAsia="宋体" w:cs="宋体"/>
          <w:b w:val="0"/>
          <w:bCs/>
          <w:color w:val="auto"/>
          <w:sz w:val="21"/>
          <w:szCs w:val="21"/>
          <w:highlight w:val="none"/>
        </w:rPr>
        <w:t>合同的有效组成部分，并纳入本合同条款内容，与本合同具有同等法律效力</w:t>
      </w:r>
      <w:r>
        <w:rPr>
          <w:rFonts w:hint="eastAsia" w:ascii="宋体" w:hAnsi="宋体" w:eastAsia="宋体" w:cs="宋体"/>
          <w:b w:val="0"/>
          <w:bCs/>
          <w:color w:val="auto"/>
          <w:sz w:val="21"/>
          <w:szCs w:val="21"/>
          <w:highlight w:val="none"/>
          <w:lang w:eastAsia="zh-CN"/>
        </w:rPr>
        <w:t>。</w:t>
      </w:r>
    </w:p>
    <w:p w14:paraId="0CE7389D">
      <w:pPr>
        <w:keepNext w:val="0"/>
        <w:keepLines w:val="0"/>
        <w:pageBreakBefore w:val="0"/>
        <w:widowControl w:val="0"/>
        <w:kinsoku/>
        <w:wordWrap/>
        <w:overflowPunct/>
        <w:topLinePunct w:val="0"/>
        <w:bidi w:val="0"/>
        <w:snapToGrid/>
        <w:spacing w:line="360" w:lineRule="auto"/>
        <w:ind w:firstLine="420" w:firstLineChars="200"/>
        <w:contextualSpacing/>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二</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在协商和执行本合同的过程中，所有经双方签署确认的文件（包括会议纪要、补充协议、往来信函）也可成为本合同的有效组成部分。</w:t>
      </w:r>
    </w:p>
    <w:p w14:paraId="4348B0CE">
      <w:pPr>
        <w:keepNext w:val="0"/>
        <w:keepLines w:val="0"/>
        <w:pageBreakBefore w:val="0"/>
        <w:widowControl w:val="0"/>
        <w:kinsoku/>
        <w:wordWrap/>
        <w:overflowPunct/>
        <w:topLinePunct w:val="0"/>
        <w:bidi w:val="0"/>
        <w:snapToGrid/>
        <w:spacing w:line="360" w:lineRule="auto"/>
        <w:ind w:firstLine="420"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val="0"/>
          <w:bCs/>
          <w:color w:val="auto"/>
          <w:sz w:val="21"/>
          <w:szCs w:val="21"/>
          <w:highlight w:val="none"/>
          <w:lang w:val="en-US" w:eastAsia="zh-CN"/>
        </w:rPr>
        <w:t>（三）以上</w:t>
      </w:r>
      <w:r>
        <w:rPr>
          <w:rFonts w:hint="eastAsia" w:ascii="宋体" w:hAnsi="宋体" w:eastAsia="宋体" w:cs="宋体"/>
          <w:b w:val="0"/>
          <w:bCs/>
          <w:color w:val="auto"/>
          <w:sz w:val="21"/>
          <w:szCs w:val="21"/>
          <w:highlight w:val="none"/>
        </w:rPr>
        <w:t>若不同文件之间有冲突的，适用有利于甲方的条款。</w:t>
      </w:r>
    </w:p>
    <w:p w14:paraId="19FCF298">
      <w:pPr>
        <w:keepNext w:val="0"/>
        <w:keepLines w:val="0"/>
        <w:pageBreakBefore w:val="0"/>
        <w:widowControl w:val="0"/>
        <w:kinsoku/>
        <w:wordWrap/>
        <w:overflowPunct/>
        <w:topLinePunct w:val="0"/>
        <w:bidi w:val="0"/>
        <w:snapToGrid/>
        <w:spacing w:line="360" w:lineRule="auto"/>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条 其它</w:t>
      </w:r>
    </w:p>
    <w:p w14:paraId="63B29337">
      <w:pPr>
        <w:keepNext w:val="0"/>
        <w:keepLines w:val="0"/>
        <w:pageBreakBefore w:val="0"/>
        <w:widowControl w:val="0"/>
        <w:kinsoku/>
        <w:wordWrap/>
        <w:overflowPunct/>
        <w:topLinePunct w:val="0"/>
        <w:bidi w:val="0"/>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如一方地址、电话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rPr>
        <w:t>有变更，应在变更当日内书面通知对方，否则，应承担相应责任。</w:t>
      </w:r>
    </w:p>
    <w:p w14:paraId="7614F8E2">
      <w:pPr>
        <w:keepNext w:val="0"/>
        <w:keepLines w:val="0"/>
        <w:pageBreakBefore w:val="0"/>
        <w:widowControl w:val="0"/>
        <w:kinsoku/>
        <w:wordWrap/>
        <w:overflowPunct/>
        <w:topLinePunct w:val="0"/>
        <w:bidi w:val="0"/>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本合同未尽事宜，由双方协商处理,另行签订《补充协议》。</w:t>
      </w:r>
    </w:p>
    <w:p w14:paraId="13FA0CA3">
      <w:pPr>
        <w:keepNext w:val="0"/>
        <w:keepLines w:val="0"/>
        <w:pageBreakBefore w:val="0"/>
        <w:widowControl w:val="0"/>
        <w:tabs>
          <w:tab w:val="left" w:pos="6360"/>
        </w:tabs>
        <w:kinsoku/>
        <w:wordWrap/>
        <w:overflowPunct/>
        <w:topLinePunct w:val="0"/>
        <w:bidi w:val="0"/>
        <w:snapToGrid/>
        <w:spacing w:line="360" w:lineRule="auto"/>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eastAsia="zh-CN"/>
        </w:rPr>
        <w:t>十</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条  合同生效</w:t>
      </w:r>
    </w:p>
    <w:p w14:paraId="4BB5B280">
      <w:pPr>
        <w:keepNext w:val="0"/>
        <w:keepLines w:val="0"/>
        <w:pageBreakBefore w:val="0"/>
        <w:widowControl w:val="0"/>
        <w:tabs>
          <w:tab w:val="left" w:pos="6360"/>
        </w:tabs>
        <w:kinsoku/>
        <w:wordWrap/>
        <w:overflowPunct/>
        <w:topLinePunct w:val="0"/>
        <w:bidi w:val="0"/>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本合同在甲乙双方法定代表人或其授权代表签字并加盖公章后生效。</w:t>
      </w:r>
    </w:p>
    <w:p w14:paraId="00DAC849">
      <w:pPr>
        <w:keepNext w:val="0"/>
        <w:keepLines w:val="0"/>
        <w:pageBreakBefore w:val="0"/>
        <w:widowControl w:val="0"/>
        <w:tabs>
          <w:tab w:val="left" w:pos="6360"/>
        </w:tabs>
        <w:kinsoku/>
        <w:wordWrap/>
        <w:overflowPunct/>
        <w:topLinePunct w:val="0"/>
        <w:bidi w:val="0"/>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本合同一</w:t>
      </w:r>
      <w:r>
        <w:rPr>
          <w:rFonts w:hint="eastAsia" w:ascii="宋体" w:hAnsi="宋体" w:eastAsia="宋体" w:cs="宋体"/>
          <w:color w:val="auto"/>
          <w:sz w:val="21"/>
          <w:szCs w:val="21"/>
          <w:highlight w:val="none"/>
          <w:u w:val="single"/>
        </w:rPr>
        <w:t>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份，甲方执</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份，乙方执</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份</w:t>
      </w:r>
      <w:r>
        <w:rPr>
          <w:rFonts w:hint="eastAsia" w:ascii="宋体" w:hAnsi="宋体" w:eastAsia="宋体" w:cs="宋体"/>
          <w:color w:val="auto"/>
          <w:sz w:val="21"/>
          <w:szCs w:val="21"/>
          <w:highlight w:val="none"/>
        </w:rPr>
        <w:t>。各份合同具有同等法律效力。</w:t>
      </w:r>
    </w:p>
    <w:p w14:paraId="36E42526">
      <w:pPr>
        <w:spacing w:line="360" w:lineRule="auto"/>
        <w:ind w:firstLine="3584" w:firstLineChars="1700"/>
        <w:rPr>
          <w:rFonts w:hint="eastAsia" w:ascii="宋体" w:hAnsi="宋体" w:eastAsia="宋体" w:cs="宋体"/>
          <w:color w:val="auto"/>
          <w:sz w:val="21"/>
          <w:szCs w:val="21"/>
        </w:rPr>
      </w:pPr>
      <w:r>
        <w:rPr>
          <w:rFonts w:hint="eastAsia" w:ascii="宋体" w:hAnsi="宋体" w:eastAsia="宋体" w:cs="宋体"/>
          <w:b/>
          <w:bCs/>
          <w:color w:val="auto"/>
          <w:sz w:val="21"/>
          <w:szCs w:val="21"/>
        </w:rPr>
        <w:t>(以下无正文）</w:t>
      </w:r>
    </w:p>
    <w:p w14:paraId="7FD17900">
      <w:pPr>
        <w:spacing w:line="360" w:lineRule="auto"/>
        <w:ind w:firstLine="632" w:firstLineChars="300"/>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附件：</w:t>
      </w:r>
      <w:r>
        <w:rPr>
          <w:rFonts w:hint="eastAsia" w:ascii="宋体" w:hAnsi="宋体" w:eastAsia="宋体" w:cs="宋体"/>
          <w:color w:val="auto"/>
          <w:sz w:val="21"/>
          <w:szCs w:val="21"/>
          <w:lang w:val="en-US" w:eastAsia="zh-CN"/>
        </w:rPr>
        <w:t>考核表</w:t>
      </w:r>
    </w:p>
    <w:p w14:paraId="645EF67A">
      <w:pPr>
        <w:pStyle w:val="20"/>
        <w:rPr>
          <w:rFonts w:ascii="宋体" w:hAnsi="宋体" w:cs="宋体"/>
          <w:b/>
          <w:color w:val="auto"/>
          <w:sz w:val="21"/>
          <w:szCs w:val="21"/>
        </w:rPr>
      </w:pPr>
    </w:p>
    <w:p w14:paraId="24B39B9E">
      <w:pPr>
        <w:spacing w:line="360" w:lineRule="auto"/>
        <w:jc w:val="center"/>
        <w:rPr>
          <w:rFonts w:ascii="宋体" w:hAnsi="宋体" w:cs="宋体"/>
          <w:b/>
          <w:color w:val="auto"/>
          <w:sz w:val="21"/>
          <w:szCs w:val="21"/>
        </w:rPr>
      </w:pPr>
      <w:r>
        <w:rPr>
          <w:rFonts w:ascii="宋体" w:hAnsi="宋体" w:cs="宋体"/>
          <w:b/>
          <w:color w:val="auto"/>
          <w:sz w:val="21"/>
          <w:szCs w:val="21"/>
        </w:rPr>
        <w:t>签署页</w:t>
      </w:r>
    </w:p>
    <w:p w14:paraId="0B378BCA">
      <w:pPr>
        <w:widowControl/>
        <w:jc w:val="left"/>
        <w:rPr>
          <w:color w:val="auto"/>
          <w:sz w:val="21"/>
          <w:szCs w:val="21"/>
        </w:rPr>
      </w:pPr>
    </w:p>
    <w:p w14:paraId="075DD7BE">
      <w:pPr>
        <w:spacing w:line="360" w:lineRule="auto"/>
        <w:rPr>
          <w:color w:val="auto"/>
        </w:rPr>
      </w:pPr>
      <w:r>
        <w:rPr>
          <w:rFonts w:ascii="宋体" w:hAnsi="宋体" w:cs="宋体"/>
          <w:b/>
          <w:color w:val="auto"/>
          <w:sz w:val="21"/>
          <w:szCs w:val="21"/>
        </w:rPr>
        <w:t xml:space="preserve">甲方：             </w:t>
      </w:r>
      <w:r>
        <w:rPr>
          <w:rFonts w:hint="eastAsia" w:ascii="宋体" w:hAnsi="宋体" w:cs="宋体"/>
          <w:b/>
          <w:color w:val="auto"/>
          <w:sz w:val="21"/>
          <w:szCs w:val="21"/>
          <w:lang w:val="en-US" w:eastAsia="zh-CN"/>
        </w:rPr>
        <w:t xml:space="preserve">                        </w:t>
      </w:r>
      <w:r>
        <w:rPr>
          <w:rFonts w:ascii="宋体" w:hAnsi="宋体" w:cs="宋体"/>
          <w:b/>
          <w:color w:val="auto"/>
          <w:sz w:val="21"/>
          <w:szCs w:val="21"/>
        </w:rPr>
        <w:t>乙方：</w:t>
      </w:r>
    </w:p>
    <w:p w14:paraId="64E9A0DA">
      <w:pPr>
        <w:rPr>
          <w:color w:val="auto"/>
        </w:rPr>
      </w:pPr>
    </w:p>
    <w:p w14:paraId="78FE6377">
      <w:pPr>
        <w:spacing w:line="360" w:lineRule="auto"/>
        <w:jc w:val="left"/>
        <w:rPr>
          <w:rFonts w:ascii="宋体" w:hAnsi="宋体" w:cs="宋体"/>
          <w:b/>
          <w:color w:val="auto"/>
          <w:sz w:val="21"/>
          <w:szCs w:val="21"/>
        </w:rPr>
      </w:pPr>
      <w:r>
        <w:rPr>
          <w:rFonts w:ascii="宋体" w:hAnsi="宋体" w:cs="宋体"/>
          <w:b/>
          <w:color w:val="auto"/>
          <w:sz w:val="21"/>
          <w:szCs w:val="21"/>
        </w:rPr>
        <w:t>法定代表人或授权代表</w:t>
      </w:r>
      <w:r>
        <w:rPr>
          <w:rFonts w:hint="eastAsia" w:ascii="宋体" w:hAnsi="宋体" w:eastAsia="宋体" w:cs="宋体"/>
          <w:b/>
          <w:bCs/>
          <w:color w:val="auto"/>
          <w:sz w:val="24"/>
          <w:szCs w:val="24"/>
          <w:highlight w:val="none"/>
        </w:rPr>
        <w:t>（签字）</w:t>
      </w:r>
      <w:r>
        <w:rPr>
          <w:rFonts w:ascii="宋体" w:hAnsi="宋体" w:cs="宋体"/>
          <w:b/>
          <w:color w:val="auto"/>
          <w:sz w:val="21"/>
          <w:szCs w:val="21"/>
        </w:rPr>
        <w:t>：</w:t>
      </w:r>
      <w:r>
        <w:rPr>
          <w:rFonts w:ascii="宋体" w:hAnsi="宋体" w:cs="宋体"/>
          <w:b/>
          <w:color w:val="auto"/>
          <w:sz w:val="21"/>
          <w:szCs w:val="21"/>
        </w:rPr>
        <w:tab/>
      </w:r>
      <w:r>
        <w:rPr>
          <w:rFonts w:ascii="宋体" w:hAnsi="宋体" w:cs="宋体"/>
          <w:b/>
          <w:color w:val="auto"/>
          <w:sz w:val="21"/>
          <w:szCs w:val="21"/>
        </w:rPr>
        <w:tab/>
      </w:r>
      <w:r>
        <w:rPr>
          <w:rFonts w:ascii="宋体" w:hAnsi="宋体" w:cs="宋体"/>
          <w:b/>
          <w:color w:val="auto"/>
          <w:sz w:val="21"/>
          <w:szCs w:val="21"/>
        </w:rPr>
        <w:t xml:space="preserve">     法定代表人或授权代表</w:t>
      </w:r>
      <w:r>
        <w:rPr>
          <w:rFonts w:hint="eastAsia" w:ascii="宋体" w:hAnsi="宋体" w:eastAsia="宋体" w:cs="宋体"/>
          <w:b/>
          <w:bCs/>
          <w:color w:val="auto"/>
          <w:sz w:val="24"/>
          <w:szCs w:val="24"/>
          <w:highlight w:val="none"/>
        </w:rPr>
        <w:t>（签字）</w:t>
      </w:r>
      <w:r>
        <w:rPr>
          <w:rFonts w:ascii="宋体" w:hAnsi="宋体" w:cs="宋体"/>
          <w:b/>
          <w:color w:val="auto"/>
          <w:sz w:val="21"/>
          <w:szCs w:val="21"/>
        </w:rPr>
        <w:t>：</w:t>
      </w:r>
    </w:p>
    <w:p w14:paraId="77689A14">
      <w:pPr>
        <w:spacing w:line="360" w:lineRule="auto"/>
        <w:jc w:val="left"/>
        <w:rPr>
          <w:rFonts w:ascii="宋体" w:hAnsi="宋体" w:cs="宋体"/>
          <w:b/>
          <w:color w:val="auto"/>
          <w:sz w:val="21"/>
          <w:szCs w:val="21"/>
        </w:rPr>
      </w:pPr>
      <w:r>
        <w:rPr>
          <w:rFonts w:ascii="宋体" w:hAnsi="宋体" w:cs="宋体"/>
          <w:b/>
          <w:color w:val="auto"/>
          <w:sz w:val="21"/>
          <w:szCs w:val="21"/>
        </w:rPr>
        <w:t xml:space="preserve">                           </w:t>
      </w:r>
    </w:p>
    <w:p w14:paraId="414E05AE">
      <w:pPr>
        <w:spacing w:line="360" w:lineRule="auto"/>
        <w:jc w:val="left"/>
        <w:rPr>
          <w:rFonts w:ascii="宋体" w:hAnsi="宋体" w:cs="宋体"/>
          <w:b/>
          <w:color w:val="auto"/>
          <w:sz w:val="21"/>
          <w:szCs w:val="21"/>
        </w:rPr>
      </w:pPr>
    </w:p>
    <w:p w14:paraId="32D77F35">
      <w:pPr>
        <w:spacing w:line="360" w:lineRule="auto"/>
        <w:jc w:val="left"/>
        <w:rPr>
          <w:rFonts w:ascii="宋体" w:hAnsi="宋体" w:cs="宋体"/>
          <w:b/>
          <w:color w:val="auto"/>
          <w:sz w:val="21"/>
          <w:szCs w:val="21"/>
        </w:rPr>
      </w:pPr>
      <w:r>
        <w:rPr>
          <w:rFonts w:ascii="宋体" w:hAnsi="宋体" w:cs="宋体"/>
          <w:b/>
          <w:color w:val="auto"/>
          <w:sz w:val="21"/>
          <w:szCs w:val="21"/>
        </w:rPr>
        <w:t xml:space="preserve">日期：   年   月   日     </w:t>
      </w:r>
      <w:r>
        <w:rPr>
          <w:rFonts w:ascii="宋体" w:hAnsi="宋体" w:cs="宋体"/>
          <w:b/>
          <w:color w:val="auto"/>
          <w:sz w:val="21"/>
          <w:szCs w:val="21"/>
        </w:rPr>
        <w:tab/>
      </w:r>
      <w:r>
        <w:rPr>
          <w:rFonts w:ascii="宋体" w:hAnsi="宋体" w:cs="宋体"/>
          <w:b/>
          <w:color w:val="auto"/>
          <w:sz w:val="21"/>
          <w:szCs w:val="21"/>
        </w:rPr>
        <w:t xml:space="preserve">             </w:t>
      </w:r>
      <w:r>
        <w:rPr>
          <w:rFonts w:hint="default" w:ascii="宋体" w:hAnsi="宋体" w:cs="宋体"/>
          <w:b/>
          <w:color w:val="auto"/>
          <w:sz w:val="21"/>
          <w:szCs w:val="21"/>
        </w:rPr>
        <w:t xml:space="preserve"> </w:t>
      </w:r>
      <w:r>
        <w:rPr>
          <w:rFonts w:ascii="宋体" w:hAnsi="宋体" w:cs="宋体"/>
          <w:b/>
          <w:color w:val="auto"/>
          <w:sz w:val="21"/>
          <w:szCs w:val="21"/>
        </w:rPr>
        <w:t>日期：   年   月   日</w:t>
      </w:r>
    </w:p>
    <w:p w14:paraId="18FB218F">
      <w:pPr>
        <w:jc w:val="center"/>
        <w:outlineLvl w:val="0"/>
        <w:rPr>
          <w:rFonts w:hint="eastAsia" w:ascii="宋体" w:hAnsi="宋体"/>
          <w:b/>
          <w:bCs/>
          <w:color w:val="auto"/>
          <w:sz w:val="28"/>
          <w:szCs w:val="28"/>
        </w:rPr>
      </w:pPr>
      <w:bookmarkStart w:id="92" w:name="_Toc8593"/>
      <w:bookmarkStart w:id="93" w:name="_Toc3483"/>
      <w:bookmarkStart w:id="94" w:name="_Toc22173"/>
    </w:p>
    <w:p w14:paraId="17DF1962">
      <w:pPr>
        <w:jc w:val="center"/>
        <w:outlineLvl w:val="0"/>
        <w:rPr>
          <w:rFonts w:hint="eastAsia" w:ascii="宋体" w:hAnsi="宋体"/>
          <w:b/>
          <w:bCs/>
          <w:color w:val="auto"/>
          <w:sz w:val="28"/>
          <w:szCs w:val="28"/>
        </w:rPr>
      </w:pPr>
    </w:p>
    <w:p w14:paraId="63205ACD">
      <w:pPr>
        <w:jc w:val="center"/>
        <w:outlineLvl w:val="0"/>
        <w:rPr>
          <w:rFonts w:hint="eastAsia" w:ascii="宋体" w:hAnsi="宋体"/>
          <w:b/>
          <w:bCs/>
          <w:color w:val="auto"/>
          <w:sz w:val="28"/>
          <w:szCs w:val="28"/>
        </w:rPr>
      </w:pPr>
    </w:p>
    <w:p w14:paraId="745890ED">
      <w:pPr>
        <w:jc w:val="center"/>
        <w:outlineLvl w:val="0"/>
        <w:rPr>
          <w:rFonts w:hint="eastAsia" w:ascii="宋体" w:hAnsi="宋体"/>
          <w:b/>
          <w:bCs/>
          <w:color w:val="auto"/>
          <w:sz w:val="28"/>
          <w:szCs w:val="28"/>
        </w:rPr>
      </w:pPr>
    </w:p>
    <w:p w14:paraId="29E904B0">
      <w:pPr>
        <w:jc w:val="center"/>
        <w:outlineLvl w:val="0"/>
        <w:rPr>
          <w:rFonts w:hint="eastAsia" w:ascii="宋体" w:hAnsi="宋体"/>
          <w:b/>
          <w:bCs/>
          <w:color w:val="auto"/>
          <w:sz w:val="28"/>
          <w:szCs w:val="28"/>
        </w:rPr>
      </w:pPr>
    </w:p>
    <w:p w14:paraId="373E43F0">
      <w:pPr>
        <w:jc w:val="center"/>
        <w:outlineLvl w:val="0"/>
        <w:rPr>
          <w:rFonts w:hint="eastAsia" w:ascii="宋体" w:hAnsi="宋体"/>
          <w:b/>
          <w:bCs/>
          <w:color w:val="auto"/>
          <w:sz w:val="28"/>
          <w:szCs w:val="28"/>
        </w:rPr>
      </w:pPr>
    </w:p>
    <w:p w14:paraId="1AE92096">
      <w:pPr>
        <w:jc w:val="center"/>
        <w:outlineLvl w:val="0"/>
        <w:rPr>
          <w:rFonts w:hint="eastAsia" w:ascii="宋体" w:hAnsi="宋体"/>
          <w:b/>
          <w:bCs/>
          <w:color w:val="auto"/>
          <w:sz w:val="28"/>
          <w:szCs w:val="28"/>
        </w:rPr>
      </w:pPr>
    </w:p>
    <w:p w14:paraId="29C4C880">
      <w:pPr>
        <w:jc w:val="center"/>
        <w:outlineLvl w:val="0"/>
        <w:rPr>
          <w:rFonts w:ascii="宋体" w:hAnsi="宋体"/>
          <w:b/>
          <w:bCs/>
          <w:color w:val="auto"/>
          <w:sz w:val="28"/>
          <w:szCs w:val="28"/>
        </w:rPr>
      </w:pPr>
      <w:r>
        <w:rPr>
          <w:rFonts w:hint="eastAsia" w:ascii="宋体" w:hAnsi="宋体"/>
          <w:b/>
          <w:bCs/>
          <w:color w:val="auto"/>
          <w:sz w:val="28"/>
          <w:szCs w:val="28"/>
        </w:rPr>
        <w:t xml:space="preserve">第五部分 </w:t>
      </w:r>
      <w:bookmarkEnd w:id="88"/>
      <w:bookmarkEnd w:id="89"/>
      <w:bookmarkEnd w:id="92"/>
      <w:r>
        <w:rPr>
          <w:rFonts w:hint="eastAsia" w:ascii="宋体" w:hAnsi="宋体"/>
          <w:b/>
          <w:bCs/>
          <w:color w:val="auto"/>
          <w:sz w:val="28"/>
          <w:szCs w:val="28"/>
        </w:rPr>
        <w:t>供应商须知</w:t>
      </w:r>
      <w:bookmarkEnd w:id="93"/>
      <w:bookmarkEnd w:id="94"/>
    </w:p>
    <w:bookmarkEnd w:id="74"/>
    <w:bookmarkEnd w:id="75"/>
    <w:bookmarkEnd w:id="76"/>
    <w:bookmarkEnd w:id="82"/>
    <w:p w14:paraId="0032AF2B">
      <w:pPr>
        <w:rPr>
          <w:rFonts w:ascii="宋体" w:hAnsi="宋体"/>
          <w:color w:val="auto"/>
          <w:sz w:val="24"/>
        </w:rPr>
      </w:pPr>
    </w:p>
    <w:p w14:paraId="7649B901">
      <w:pPr>
        <w:pStyle w:val="23"/>
        <w:shd w:val="clear" w:color="auto" w:fill="FFFFFF"/>
        <w:spacing w:before="0" w:beforeAutospacing="0" w:after="0" w:afterAutospacing="0" w:line="360" w:lineRule="auto"/>
        <w:ind w:firstLine="420" w:firstLineChars="200"/>
        <w:rPr>
          <w:color w:val="auto"/>
          <w:sz w:val="21"/>
          <w:szCs w:val="21"/>
        </w:rPr>
      </w:pPr>
      <w:bookmarkStart w:id="95" w:name="_Toc2094450"/>
      <w:bookmarkStart w:id="96" w:name="_Toc2093311"/>
      <w:bookmarkStart w:id="97" w:name="_Toc10962"/>
      <w:r>
        <w:rPr>
          <w:rFonts w:hint="eastAsia"/>
          <w:color w:val="auto"/>
          <w:sz w:val="21"/>
          <w:szCs w:val="21"/>
        </w:rPr>
        <w:t>1.</w:t>
      </w:r>
      <w:bookmarkStart w:id="98" w:name="_Toc2093283"/>
      <w:bookmarkStart w:id="99" w:name="_Toc3184"/>
      <w:bookmarkStart w:id="100" w:name="_Toc2094422"/>
      <w:r>
        <w:rPr>
          <w:rFonts w:hint="eastAsia"/>
          <w:color w:val="auto"/>
          <w:sz w:val="21"/>
          <w:szCs w:val="21"/>
        </w:rPr>
        <w:t>供应商不得相互串通报价，不得妨碍其他供应商的公平竞争，不得损害甲方或其他供应商的合法权益，供应商不得以向甲方、磋商小组成员行贿或者采取其他不正当手段谋取成交。</w:t>
      </w:r>
      <w:bookmarkEnd w:id="98"/>
      <w:bookmarkEnd w:id="99"/>
      <w:bookmarkEnd w:id="100"/>
    </w:p>
    <w:p w14:paraId="759D410F">
      <w:pPr>
        <w:pStyle w:val="23"/>
        <w:shd w:val="clear" w:color="auto" w:fill="FFFFFF"/>
        <w:spacing w:before="0" w:beforeAutospacing="0" w:after="0" w:afterAutospacing="0" w:line="360" w:lineRule="auto"/>
        <w:ind w:firstLine="420" w:firstLineChars="200"/>
        <w:rPr>
          <w:color w:val="auto"/>
          <w:sz w:val="21"/>
          <w:szCs w:val="21"/>
        </w:rPr>
      </w:pPr>
      <w:bookmarkStart w:id="101" w:name="_Toc19652"/>
      <w:bookmarkStart w:id="102" w:name="_Toc2094438"/>
      <w:bookmarkStart w:id="103" w:name="_Toc2093299"/>
      <w:r>
        <w:rPr>
          <w:rFonts w:hint="eastAsia"/>
          <w:color w:val="auto"/>
          <w:sz w:val="21"/>
          <w:szCs w:val="21"/>
        </w:rPr>
        <w:t>2.供应商报名成功后应按采购文件的规定及相关格式要求的内容和格式完整地填写和提供资料。供应商必须对响应文件所提供的全部资料的真实性承担法律责任，并无条件接受采购人和采购人监督管理部门对其中任何资料进行核查（核对原件）的要求。</w:t>
      </w:r>
      <w:bookmarkEnd w:id="101"/>
      <w:bookmarkEnd w:id="102"/>
      <w:bookmarkEnd w:id="103"/>
    </w:p>
    <w:p w14:paraId="619019B1">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3.供应商提交的支持性文件和印制的文件可以用另一种语言，但相应内容应翻译成中文，在解释响应文件时以中文文本为准。</w:t>
      </w:r>
    </w:p>
    <w:p w14:paraId="618A5CB4">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4.采购文件中，凡标有“★”的地方均为须实质响应条款，供应商若有一项带“★”的条款未响应或不满足，将按无效响应处理。</w:t>
      </w:r>
    </w:p>
    <w:p w14:paraId="684A3CAD">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5.供应商应承担所有与编写和提交文件有关的费用，不论投标的结果如何，采购人在任何情况下均无义务和责任承担这些费用。</w:t>
      </w:r>
    </w:p>
    <w:p w14:paraId="677479EA">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6.知识产权</w:t>
      </w:r>
    </w:p>
    <w:p w14:paraId="215E4C9D">
      <w:pPr>
        <w:pStyle w:val="23"/>
        <w:shd w:val="clear" w:color="auto" w:fill="FFFFFF"/>
        <w:spacing w:before="0" w:beforeAutospacing="0" w:after="0" w:afterAutospacing="0" w:line="360" w:lineRule="auto"/>
        <w:ind w:firstLine="420" w:firstLineChars="200"/>
        <w:rPr>
          <w:color w:val="auto"/>
          <w:sz w:val="21"/>
          <w:szCs w:val="21"/>
          <w:lang w:val="en-GB"/>
        </w:rPr>
      </w:pPr>
      <w:r>
        <w:rPr>
          <w:rFonts w:hint="eastAsia"/>
          <w:color w:val="auto"/>
          <w:sz w:val="21"/>
          <w:szCs w:val="21"/>
        </w:rPr>
        <w:t>6.1</w:t>
      </w:r>
      <w:r>
        <w:rPr>
          <w:rFonts w:hint="eastAsia"/>
          <w:color w:val="auto"/>
          <w:sz w:val="21"/>
          <w:szCs w:val="21"/>
        </w:rPr>
        <w:tab/>
      </w:r>
      <w:bookmarkStart w:id="104" w:name="_Toc2093280"/>
      <w:bookmarkStart w:id="105" w:name="_Toc2094419"/>
      <w:bookmarkStart w:id="106" w:name="_Toc11399"/>
      <w:r>
        <w:rPr>
          <w:rFonts w:hint="eastAsia"/>
          <w:color w:val="auto"/>
          <w:sz w:val="21"/>
          <w:szCs w:val="21"/>
        </w:rPr>
        <w:t>供应商必须保证，采购人在中华人民共和国境内使用报价货物、资料、技术、服务或其任何一部分时，享有不受限制的无偿使用权，如有第三方向采购人提出侵犯其专利权、商标权或其他知识产权的主张，该责任应由供应商承担。</w:t>
      </w:r>
      <w:bookmarkEnd w:id="104"/>
      <w:bookmarkEnd w:id="105"/>
      <w:bookmarkEnd w:id="106"/>
    </w:p>
    <w:p w14:paraId="4831638C">
      <w:pPr>
        <w:pStyle w:val="23"/>
        <w:shd w:val="clear" w:color="auto" w:fill="FFFFFF"/>
        <w:spacing w:before="0" w:beforeAutospacing="0" w:after="0" w:afterAutospacing="0" w:line="360" w:lineRule="auto"/>
        <w:ind w:firstLine="420" w:firstLineChars="200"/>
        <w:rPr>
          <w:color w:val="auto"/>
          <w:sz w:val="21"/>
          <w:szCs w:val="21"/>
        </w:rPr>
      </w:pPr>
      <w:bookmarkStart w:id="107" w:name="_Toc9126"/>
      <w:bookmarkStart w:id="108" w:name="_Toc2093281"/>
      <w:bookmarkStart w:id="109" w:name="_Toc2094420"/>
      <w:r>
        <w:rPr>
          <w:rFonts w:hint="eastAsia"/>
          <w:color w:val="auto"/>
          <w:sz w:val="21"/>
          <w:szCs w:val="21"/>
        </w:rPr>
        <w:t>6.2 报价应包含所有应向所有权人支付的专利权、商标权或其他知识产权的一切相关费用。</w:t>
      </w:r>
      <w:bookmarkEnd w:id="107"/>
      <w:bookmarkEnd w:id="108"/>
      <w:bookmarkEnd w:id="109"/>
    </w:p>
    <w:p w14:paraId="650D313D">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7.报价的要求</w:t>
      </w:r>
    </w:p>
    <w:p w14:paraId="12EB7DDB">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7.1供应商必须按采购文件指定的格式填写各种报价，各报价应计算正确。</w:t>
      </w:r>
    </w:p>
    <w:p w14:paraId="0DC3CF50">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7.2 响应文件报价包含货物或服务的（含相关配件、附件、安装、材料）价款、税费、运输费、装卸费、配送、加工、保险费用及其技术和售后服务费等一切有关费用，如涉及软件许可使用或技术指导、人员培训的，还应包括软件许可费以及一切技术服务费、人员培训费，供应商不得再向采购人收取任何费用。</w:t>
      </w:r>
    </w:p>
    <w:p w14:paraId="0FDEEF98">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7.3供应商漏报的单价或每单价报价中漏报、少报的费用，视为此项费用已隐含在报价中，成交后不得再向采购人收取任何费用。</w:t>
      </w:r>
    </w:p>
    <w:p w14:paraId="20BA8F6B">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7.4响应文件的大写金额和小写金额不一致的，以大写金额为准；总价金额与按单价汇总金额不一致的，以单价金额计算结果为准；单价金额小数点有明显错位的，应以总价为准，并修改单价。</w:t>
      </w:r>
    </w:p>
    <w:p w14:paraId="3E11E8EF">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8.响应文件正本必须打印，并按要求签字或盖章，副本可以是响应文件正本复印，正本与副本不符，以正本为准。</w:t>
      </w:r>
    </w:p>
    <w:p w14:paraId="34A0DD1B">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9.响应文件一般不得涂改和增删，如有涂改和增删之处，必须加盖公章或由投标人法定代表人签字或授权代表签字。</w:t>
      </w:r>
    </w:p>
    <w:p w14:paraId="5C937E74">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10.响应文件需要一正肆副共伍份，封面应注明“正本”“副本”字样并须由供应商加盖公章、装订成册，如因装订不牢固导致的任何损失由供应商承担。报名时提供的资料与响应文件不一致时以响应文件为准。</w:t>
      </w:r>
    </w:p>
    <w:p w14:paraId="7EC77E2C">
      <w:pPr>
        <w:pStyle w:val="23"/>
        <w:shd w:val="clear" w:color="auto" w:fill="FFFFFF"/>
        <w:spacing w:before="0" w:beforeAutospacing="0" w:after="0" w:afterAutospacing="0" w:line="360" w:lineRule="auto"/>
        <w:ind w:firstLine="420" w:firstLineChars="200"/>
        <w:rPr>
          <w:rFonts w:cs="宋体"/>
          <w:b/>
          <w:bCs/>
          <w:color w:val="auto"/>
          <w:sz w:val="21"/>
          <w:szCs w:val="21"/>
        </w:rPr>
      </w:pPr>
      <w:r>
        <w:rPr>
          <w:rFonts w:hint="eastAsia"/>
          <w:color w:val="auto"/>
          <w:sz w:val="21"/>
          <w:szCs w:val="21"/>
        </w:rPr>
        <w:t>11.响应</w:t>
      </w:r>
      <w:r>
        <w:rPr>
          <w:rFonts w:hint="eastAsia" w:cs="宋体"/>
          <w:b/>
          <w:bCs/>
          <w:color w:val="auto"/>
          <w:sz w:val="21"/>
          <w:szCs w:val="21"/>
        </w:rPr>
        <w:t>文件除封面外，其他材料须双面打印，各报名供应商应确保所提供</w:t>
      </w:r>
      <w:r>
        <w:rPr>
          <w:rFonts w:hint="eastAsia"/>
          <w:color w:val="auto"/>
          <w:sz w:val="21"/>
          <w:szCs w:val="21"/>
        </w:rPr>
        <w:t>响应</w:t>
      </w:r>
      <w:r>
        <w:rPr>
          <w:rFonts w:hint="eastAsia" w:cs="宋体"/>
          <w:b/>
          <w:bCs/>
          <w:color w:val="auto"/>
          <w:sz w:val="21"/>
          <w:szCs w:val="21"/>
        </w:rPr>
        <w:t>文件资料一定要真实、完整、清晰可辨，</w:t>
      </w:r>
      <w:r>
        <w:rPr>
          <w:rFonts w:hint="eastAsia"/>
          <w:color w:val="auto"/>
          <w:sz w:val="21"/>
          <w:szCs w:val="21"/>
        </w:rPr>
        <w:t>响应</w:t>
      </w:r>
      <w:r>
        <w:rPr>
          <w:rFonts w:hint="eastAsia" w:cs="宋体"/>
          <w:b/>
          <w:bCs/>
          <w:color w:val="auto"/>
          <w:sz w:val="21"/>
          <w:szCs w:val="21"/>
        </w:rPr>
        <w:t>文件模糊不清、难以辨认，视为未提供处理，由此造成不能进入</w:t>
      </w:r>
      <w:r>
        <w:rPr>
          <w:rFonts w:hint="eastAsia" w:cs="宋体"/>
          <w:color w:val="auto"/>
          <w:sz w:val="21"/>
          <w:szCs w:val="21"/>
        </w:rPr>
        <w:t>磋商（谈判）</w:t>
      </w:r>
      <w:r>
        <w:rPr>
          <w:rFonts w:hint="eastAsia" w:cs="宋体"/>
          <w:b/>
          <w:bCs/>
          <w:color w:val="auto"/>
          <w:sz w:val="21"/>
          <w:szCs w:val="21"/>
        </w:rPr>
        <w:t>环节等严重后果由供应商自行负责。</w:t>
      </w:r>
    </w:p>
    <w:p w14:paraId="2D6C97C2">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12.供应商须为其响应文件的正本及所有副本制作目录并标明页码，响应文件应按相关规定和要求签署、加盖公章。</w:t>
      </w:r>
    </w:p>
    <w:p w14:paraId="1CAA5976">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13.所有响应文件须密封在一个不透明的外层封装中；并在封口位置处加盖公章，如因响应文件未密封导致不能进入磋商（谈判）环节者，一切后果由供应商自负。</w:t>
      </w:r>
    </w:p>
    <w:p w14:paraId="3DE633A6">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14.供应商携带密封的响应文件现场参加院内采购会议。</w:t>
      </w:r>
    </w:p>
    <w:p w14:paraId="2A10FBA7">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15.投标人法定代表人或法定代表人授权委托人（如有授权）到场参加采购会议，现场需出示身份证明文件审核。</w:t>
      </w:r>
    </w:p>
    <w:p w14:paraId="495712EA">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16.供应商须认真阅读采购文件中所有的事项、格式、条款和采购人需求等。</w:t>
      </w:r>
    </w:p>
    <w:p w14:paraId="0BC1F978">
      <w:pPr>
        <w:pStyle w:val="12"/>
        <w:numPr>
          <w:ilvl w:val="0"/>
          <w:numId w:val="0"/>
        </w:numPr>
        <w:ind w:left="420"/>
        <w:rPr>
          <w:color w:val="auto"/>
        </w:rPr>
      </w:pPr>
    </w:p>
    <w:p w14:paraId="32D3C862">
      <w:pPr>
        <w:spacing w:line="360" w:lineRule="auto"/>
        <w:ind w:left="535" w:leftChars="99" w:hanging="327" w:hangingChars="156"/>
        <w:rPr>
          <w:color w:val="auto"/>
        </w:rPr>
      </w:pPr>
    </w:p>
    <w:bookmarkEnd w:id="95"/>
    <w:bookmarkEnd w:id="96"/>
    <w:bookmarkEnd w:id="97"/>
    <w:p w14:paraId="222C6AA1">
      <w:pPr>
        <w:spacing w:line="480" w:lineRule="auto"/>
        <w:rPr>
          <w:rFonts w:ascii="宋体" w:hAnsi="宋体"/>
          <w:color w:val="auto"/>
          <w:sz w:val="24"/>
        </w:rPr>
      </w:pPr>
    </w:p>
    <w:p w14:paraId="36D923DF">
      <w:pPr>
        <w:rPr>
          <w:color w:val="auto"/>
        </w:rPr>
      </w:pPr>
      <w:bookmarkStart w:id="110" w:name="_Toc40776107"/>
      <w:bookmarkStart w:id="111" w:name="_Toc40346212"/>
    </w:p>
    <w:bookmarkEnd w:id="110"/>
    <w:bookmarkEnd w:id="111"/>
    <w:p w14:paraId="18FB7C6B">
      <w:pPr>
        <w:rPr>
          <w:rFonts w:ascii="宋体" w:hAnsi="宋体"/>
          <w:color w:val="auto"/>
          <w:sz w:val="40"/>
        </w:rPr>
      </w:pPr>
      <w:bookmarkStart w:id="112" w:name="_Toc2347"/>
      <w:bookmarkStart w:id="113" w:name="_Toc32164"/>
      <w:bookmarkStart w:id="114" w:name="_Toc40346213"/>
      <w:bookmarkStart w:id="115" w:name="_Toc13814"/>
      <w:bookmarkStart w:id="116" w:name="_Toc30230"/>
      <w:bookmarkStart w:id="117" w:name="_Toc30326"/>
      <w:bookmarkStart w:id="118" w:name="_Toc32228"/>
      <w:bookmarkStart w:id="119" w:name="_Toc40776108"/>
      <w:bookmarkStart w:id="120" w:name="_Toc19354"/>
      <w:bookmarkStart w:id="121" w:name="_Toc7581"/>
      <w:bookmarkStart w:id="122" w:name="_Toc2647"/>
      <w:bookmarkStart w:id="123" w:name="_Toc9461"/>
      <w:bookmarkStart w:id="124" w:name="_Toc5829"/>
    </w:p>
    <w:p w14:paraId="4ECFE4D6">
      <w:pPr>
        <w:pStyle w:val="33"/>
        <w:rPr>
          <w:color w:val="auto"/>
        </w:rPr>
      </w:pPr>
    </w:p>
    <w:p w14:paraId="73D326B1">
      <w:pPr>
        <w:pStyle w:val="33"/>
        <w:rPr>
          <w:color w:val="auto"/>
        </w:rPr>
      </w:pPr>
    </w:p>
    <w:p w14:paraId="70C1E85D">
      <w:pPr>
        <w:pStyle w:val="33"/>
        <w:rPr>
          <w:color w:val="auto"/>
        </w:rPr>
      </w:pPr>
    </w:p>
    <w:p w14:paraId="0DBB9269">
      <w:pPr>
        <w:pStyle w:val="33"/>
        <w:rPr>
          <w:color w:val="auto"/>
        </w:rPr>
      </w:pPr>
    </w:p>
    <w:p w14:paraId="1BA277D3">
      <w:pPr>
        <w:pStyle w:val="33"/>
        <w:rPr>
          <w:color w:val="auto"/>
        </w:rPr>
      </w:pPr>
    </w:p>
    <w:p w14:paraId="366E6991">
      <w:pPr>
        <w:pStyle w:val="33"/>
        <w:rPr>
          <w:color w:val="auto"/>
        </w:rPr>
      </w:pPr>
    </w:p>
    <w:p w14:paraId="7885A6BD">
      <w:pPr>
        <w:pStyle w:val="33"/>
        <w:rPr>
          <w:color w:val="auto"/>
        </w:rPr>
      </w:pPr>
    </w:p>
    <w:p w14:paraId="004C9915">
      <w:pPr>
        <w:pStyle w:val="33"/>
        <w:rPr>
          <w:color w:val="auto"/>
        </w:rPr>
      </w:pPr>
    </w:p>
    <w:p w14:paraId="5E7B8961">
      <w:pPr>
        <w:pStyle w:val="33"/>
        <w:rPr>
          <w:color w:val="auto"/>
        </w:rPr>
      </w:pPr>
    </w:p>
    <w:p w14:paraId="0FF4ED73">
      <w:pPr>
        <w:pStyle w:val="33"/>
        <w:rPr>
          <w:color w:val="auto"/>
        </w:rPr>
      </w:pPr>
    </w:p>
    <w:p w14:paraId="33E18C67">
      <w:pPr>
        <w:pStyle w:val="33"/>
        <w:rPr>
          <w:color w:val="auto"/>
        </w:rPr>
      </w:pPr>
    </w:p>
    <w:p w14:paraId="2053356B">
      <w:pPr>
        <w:pStyle w:val="33"/>
        <w:rPr>
          <w:color w:val="auto"/>
        </w:rPr>
      </w:pPr>
    </w:p>
    <w:p w14:paraId="0CBA3534">
      <w:pPr>
        <w:pStyle w:val="33"/>
        <w:rPr>
          <w:color w:val="auto"/>
        </w:rPr>
      </w:pPr>
    </w:p>
    <w:p w14:paraId="691E40F6">
      <w:pPr>
        <w:pStyle w:val="33"/>
        <w:rPr>
          <w:color w:val="auto"/>
        </w:rPr>
      </w:pPr>
    </w:p>
    <w:p w14:paraId="27E353AA">
      <w:pPr>
        <w:pStyle w:val="33"/>
        <w:rPr>
          <w:color w:val="auto"/>
        </w:rPr>
      </w:pPr>
    </w:p>
    <w:p w14:paraId="41A592EB">
      <w:pPr>
        <w:pStyle w:val="33"/>
        <w:rPr>
          <w:color w:val="auto"/>
        </w:rPr>
      </w:pPr>
    </w:p>
    <w:p w14:paraId="762CF90A">
      <w:pPr>
        <w:pStyle w:val="33"/>
        <w:rPr>
          <w:color w:val="auto"/>
        </w:rPr>
      </w:pPr>
    </w:p>
    <w:p w14:paraId="0470B644">
      <w:pPr>
        <w:pStyle w:val="33"/>
        <w:rPr>
          <w:color w:val="auto"/>
        </w:rPr>
      </w:pPr>
    </w:p>
    <w:p w14:paraId="55D78964">
      <w:pPr>
        <w:pStyle w:val="33"/>
        <w:rPr>
          <w:color w:val="auto"/>
        </w:rPr>
      </w:pPr>
    </w:p>
    <w:p w14:paraId="1091FE44">
      <w:pPr>
        <w:pStyle w:val="2"/>
        <w:rPr>
          <w:color w:val="auto"/>
          <w:sz w:val="40"/>
        </w:rPr>
      </w:pPr>
    </w:p>
    <w:p w14:paraId="0F5E273F">
      <w:pPr>
        <w:rPr>
          <w:rFonts w:ascii="宋体" w:hAnsi="宋体"/>
          <w:color w:val="auto"/>
          <w:sz w:val="40"/>
        </w:rPr>
      </w:pPr>
    </w:p>
    <w:p w14:paraId="60FD1769">
      <w:pPr>
        <w:pStyle w:val="2"/>
        <w:rPr>
          <w:color w:val="auto"/>
          <w:sz w:val="40"/>
        </w:rPr>
      </w:pPr>
    </w:p>
    <w:p w14:paraId="70F1FD4A">
      <w:pPr>
        <w:rPr>
          <w:color w:val="auto"/>
          <w:sz w:val="40"/>
        </w:rPr>
      </w:pPr>
    </w:p>
    <w:p w14:paraId="62A10E9F">
      <w:pPr>
        <w:jc w:val="left"/>
        <w:outlineLvl w:val="0"/>
        <w:rPr>
          <w:rFonts w:ascii="宋体" w:hAnsi="宋体"/>
          <w:b/>
          <w:bCs/>
          <w:color w:val="auto"/>
          <w:sz w:val="28"/>
          <w:szCs w:val="28"/>
        </w:rPr>
      </w:pPr>
      <w:bookmarkStart w:id="125" w:name="_Toc2059"/>
      <w:bookmarkStart w:id="126" w:name="_Toc15479"/>
      <w:bookmarkStart w:id="127" w:name="_Toc10184"/>
      <w:bookmarkStart w:id="128" w:name="_Toc3228"/>
      <w:bookmarkStart w:id="129" w:name="_Toc6767"/>
      <w:r>
        <w:rPr>
          <w:rFonts w:hint="eastAsia" w:ascii="宋体" w:hAnsi="宋体"/>
          <w:b/>
          <w:bCs/>
          <w:color w:val="auto"/>
          <w:sz w:val="28"/>
          <w:szCs w:val="28"/>
        </w:rPr>
        <w:t>第六部分  相关格式文件</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24B57B11">
      <w:pPr>
        <w:rPr>
          <w:rFonts w:ascii="宋体" w:hAnsi="宋体"/>
          <w:b/>
          <w:bCs/>
          <w:color w:val="auto"/>
          <w:sz w:val="28"/>
          <w:szCs w:val="28"/>
        </w:rPr>
      </w:pPr>
      <w:r>
        <w:rPr>
          <w:rFonts w:hint="eastAsia" w:ascii="宋体" w:hAnsi="宋体"/>
          <w:b/>
          <w:bCs/>
          <w:color w:val="auto"/>
          <w:sz w:val="28"/>
          <w:szCs w:val="28"/>
        </w:rPr>
        <w:t>1.封面</w:t>
      </w:r>
    </w:p>
    <w:p w14:paraId="2D073265">
      <w:pPr>
        <w:pStyle w:val="13"/>
        <w:adjustRightInd w:val="0"/>
        <w:snapToGrid w:val="0"/>
        <w:ind w:left="1" w:firstLine="359"/>
        <w:rPr>
          <w:rFonts w:hAnsi="宋体" w:cs="Times New Roman"/>
          <w:b/>
          <w:color w:val="auto"/>
        </w:rPr>
      </w:pPr>
    </w:p>
    <w:p w14:paraId="45B604E4">
      <w:pPr>
        <w:jc w:val="center"/>
        <w:rPr>
          <w:rFonts w:ascii="宋体" w:hAnsi="宋体" w:cs="宋体"/>
          <w:b/>
          <w:color w:val="auto"/>
          <w:kern w:val="0"/>
          <w:sz w:val="52"/>
          <w:szCs w:val="52"/>
        </w:rPr>
      </w:pPr>
      <w:bookmarkStart w:id="130" w:name="_Toc22145"/>
      <w:bookmarkStart w:id="131" w:name="_Toc23156"/>
      <w:bookmarkStart w:id="132" w:name="_Toc40346222"/>
      <w:bookmarkStart w:id="133" w:name="_Toc12431"/>
      <w:bookmarkStart w:id="134" w:name="_Toc3784"/>
      <w:bookmarkStart w:id="135" w:name="_Toc25470"/>
      <w:bookmarkStart w:id="136" w:name="_Toc18837"/>
      <w:bookmarkStart w:id="137" w:name="_Toc28217"/>
      <w:bookmarkStart w:id="138" w:name="_Toc10213"/>
      <w:bookmarkStart w:id="139" w:name="_Toc40346381"/>
      <w:bookmarkStart w:id="140" w:name="_Toc4407"/>
      <w:bookmarkStart w:id="141" w:name="_Toc9134"/>
      <w:bookmarkStart w:id="142" w:name="_Toc40776117"/>
      <w:bookmarkStart w:id="143" w:name="_Toc22864"/>
    </w:p>
    <w:p w14:paraId="2692A618">
      <w:pPr>
        <w:jc w:val="center"/>
        <w:rPr>
          <w:rFonts w:ascii="宋体" w:hAnsi="宋体" w:cs="宋体"/>
          <w:b/>
          <w:color w:val="auto"/>
          <w:kern w:val="0"/>
          <w:sz w:val="52"/>
          <w:szCs w:val="52"/>
        </w:rPr>
      </w:pPr>
    </w:p>
    <w:p w14:paraId="06995BA1">
      <w:pPr>
        <w:jc w:val="center"/>
        <w:rPr>
          <w:rFonts w:ascii="宋体" w:hAnsi="宋体" w:cs="宋体"/>
          <w:b/>
          <w:color w:val="auto"/>
          <w:kern w:val="0"/>
          <w:sz w:val="52"/>
          <w:szCs w:val="52"/>
        </w:rPr>
      </w:pPr>
      <w:r>
        <w:rPr>
          <w:rFonts w:hint="eastAsia" w:ascii="宋体" w:hAnsi="宋体" w:cs="宋体"/>
          <w:b/>
          <w:color w:val="auto"/>
          <w:kern w:val="0"/>
          <w:sz w:val="52"/>
          <w:szCs w:val="52"/>
        </w:rPr>
        <w:t>南方医科大学第五附属医院</w:t>
      </w:r>
    </w:p>
    <w:p w14:paraId="28A8F270">
      <w:pPr>
        <w:jc w:val="center"/>
        <w:rPr>
          <w:rFonts w:ascii="宋体" w:hAnsi="宋体" w:cs="宋体"/>
          <w:b/>
          <w:color w:val="auto"/>
          <w:kern w:val="0"/>
          <w:sz w:val="28"/>
          <w:szCs w:val="28"/>
        </w:rPr>
      </w:pPr>
    </w:p>
    <w:p w14:paraId="620FD618">
      <w:pPr>
        <w:jc w:val="center"/>
        <w:rPr>
          <w:rFonts w:ascii="宋体" w:hAnsi="宋体" w:cs="宋体"/>
          <w:b/>
          <w:color w:val="auto"/>
          <w:kern w:val="0"/>
          <w:sz w:val="52"/>
          <w:szCs w:val="52"/>
        </w:rPr>
      </w:pPr>
      <w:r>
        <w:rPr>
          <w:rFonts w:hint="eastAsia" w:ascii="宋体" w:hAnsi="宋体" w:cs="宋体"/>
          <w:b/>
          <w:color w:val="auto"/>
          <w:kern w:val="0"/>
          <w:sz w:val="52"/>
          <w:szCs w:val="52"/>
        </w:rPr>
        <w:t>**********采购项目</w:t>
      </w:r>
    </w:p>
    <w:p w14:paraId="54C036E7">
      <w:pPr>
        <w:spacing w:line="480" w:lineRule="auto"/>
        <w:jc w:val="center"/>
        <w:rPr>
          <w:rFonts w:ascii="宋体" w:hAnsi="宋体"/>
          <w:b/>
          <w:bCs/>
          <w:color w:val="auto"/>
          <w:sz w:val="28"/>
          <w:szCs w:val="28"/>
        </w:rPr>
      </w:pPr>
    </w:p>
    <w:p w14:paraId="598ADE91">
      <w:pPr>
        <w:spacing w:line="480" w:lineRule="auto"/>
        <w:jc w:val="center"/>
        <w:rPr>
          <w:rFonts w:ascii="宋体" w:hAnsi="宋体"/>
          <w:b/>
          <w:bCs/>
          <w:color w:val="auto"/>
          <w:sz w:val="72"/>
          <w:szCs w:val="72"/>
        </w:rPr>
      </w:pPr>
    </w:p>
    <w:p w14:paraId="7DFD2D37">
      <w:pPr>
        <w:spacing w:line="480" w:lineRule="auto"/>
        <w:jc w:val="center"/>
        <w:rPr>
          <w:rFonts w:ascii="宋体" w:hAnsi="宋体"/>
          <w:b/>
          <w:bCs/>
          <w:color w:val="auto"/>
          <w:sz w:val="72"/>
          <w:szCs w:val="72"/>
        </w:rPr>
      </w:pPr>
      <w:r>
        <w:rPr>
          <w:rFonts w:hint="eastAsia" w:ascii="宋体" w:hAnsi="宋体"/>
          <w:b/>
          <w:bCs/>
          <w:color w:val="auto"/>
          <w:sz w:val="72"/>
          <w:szCs w:val="72"/>
        </w:rPr>
        <w:t>响应文件</w:t>
      </w:r>
    </w:p>
    <w:p w14:paraId="7A5881BC">
      <w:pPr>
        <w:widowControl/>
        <w:spacing w:line="360" w:lineRule="auto"/>
        <w:ind w:firstLine="600"/>
        <w:rPr>
          <w:rFonts w:ascii="宋体" w:hAnsi="宋体" w:cs="宋体"/>
          <w:color w:val="auto"/>
          <w:kern w:val="0"/>
          <w:sz w:val="30"/>
          <w:szCs w:val="30"/>
        </w:rPr>
      </w:pPr>
      <w:bookmarkStart w:id="144" w:name="_Toc12520"/>
      <w:bookmarkStart w:id="145" w:name="_Toc435"/>
      <w:bookmarkStart w:id="146" w:name="_Toc26267"/>
      <w:bookmarkStart w:id="147" w:name="_Toc40776111"/>
      <w:bookmarkStart w:id="148" w:name="_Toc40346375"/>
      <w:bookmarkStart w:id="149" w:name="_Toc28703"/>
      <w:bookmarkStart w:id="150" w:name="_Toc6547"/>
      <w:bookmarkStart w:id="151" w:name="_Toc3471"/>
      <w:bookmarkStart w:id="152" w:name="_Toc1994"/>
      <w:bookmarkStart w:id="153" w:name="_Toc11305"/>
      <w:bookmarkStart w:id="154" w:name="_Toc29113"/>
      <w:bookmarkStart w:id="155" w:name="_Toc40346216"/>
      <w:bookmarkStart w:id="156" w:name="_Toc8364"/>
      <w:bookmarkStart w:id="157" w:name="_Toc11075"/>
      <w:bookmarkStart w:id="158" w:name="_Toc7291"/>
      <w:bookmarkStart w:id="159" w:name="_Toc15870"/>
      <w:bookmarkStart w:id="160" w:name="_Toc21249"/>
    </w:p>
    <w:p w14:paraId="739A353D">
      <w:pPr>
        <w:widowControl/>
        <w:spacing w:line="360" w:lineRule="auto"/>
        <w:ind w:firstLine="600"/>
        <w:outlineLvl w:val="0"/>
        <w:rPr>
          <w:color w:val="auto"/>
        </w:rPr>
      </w:pPr>
      <w:bookmarkStart w:id="161" w:name="_Toc28222"/>
      <w:bookmarkStart w:id="162" w:name="_Toc21513"/>
      <w:bookmarkStart w:id="163" w:name="_Toc15947"/>
      <w:bookmarkStart w:id="164" w:name="_Toc937"/>
      <w:bookmarkStart w:id="165" w:name="_Toc4116"/>
      <w:bookmarkStart w:id="166" w:name="_Toc335"/>
      <w:bookmarkStart w:id="167" w:name="_Toc13633"/>
      <w:bookmarkStart w:id="168" w:name="_Toc27329"/>
      <w:bookmarkStart w:id="169" w:name="_Toc22456"/>
      <w:bookmarkStart w:id="170" w:name="_Toc25934"/>
      <w:bookmarkStart w:id="171" w:name="_Toc11245"/>
      <w:bookmarkStart w:id="172" w:name="_Toc13141"/>
      <w:r>
        <w:rPr>
          <w:rFonts w:ascii="宋体" w:hAnsi="宋体" w:cs="宋体"/>
          <w:color w:val="auto"/>
          <w:kern w:val="0"/>
          <w:sz w:val="30"/>
          <w:szCs w:val="30"/>
        </w:rPr>
        <w:t>项目编号：</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Start w:id="173" w:name="_Toc27997"/>
      <w:bookmarkStart w:id="174" w:name="_Toc40776112"/>
      <w:bookmarkStart w:id="175" w:name="_Toc40346376"/>
      <w:bookmarkStart w:id="176" w:name="_Toc2916"/>
      <w:bookmarkStart w:id="177" w:name="_Toc1743"/>
      <w:bookmarkStart w:id="178" w:name="_Toc17709"/>
      <w:bookmarkStart w:id="179" w:name="_Toc20884"/>
      <w:bookmarkStart w:id="180" w:name="_Toc40346217"/>
    </w:p>
    <w:p w14:paraId="3DA55A96">
      <w:pPr>
        <w:widowControl/>
        <w:spacing w:line="360" w:lineRule="auto"/>
        <w:ind w:firstLine="600"/>
        <w:outlineLvl w:val="0"/>
        <w:rPr>
          <w:rFonts w:cs="宋体"/>
          <w:color w:val="auto"/>
          <w:kern w:val="0"/>
          <w:sz w:val="30"/>
          <w:szCs w:val="30"/>
        </w:rPr>
      </w:pPr>
      <w:bookmarkStart w:id="181" w:name="_Toc25075"/>
      <w:bookmarkStart w:id="182" w:name="_Toc3677"/>
      <w:bookmarkStart w:id="183" w:name="_Toc11603"/>
      <w:bookmarkStart w:id="184" w:name="_Toc26785"/>
      <w:bookmarkStart w:id="185" w:name="_Toc29102"/>
      <w:bookmarkStart w:id="186" w:name="_Toc5238"/>
      <w:bookmarkStart w:id="187" w:name="_Toc23097"/>
      <w:bookmarkStart w:id="188" w:name="_Toc2012"/>
      <w:bookmarkStart w:id="189" w:name="_Toc31538"/>
      <w:bookmarkStart w:id="190" w:name="_Toc2786"/>
      <w:bookmarkStart w:id="191" w:name="_Toc2029"/>
      <w:bookmarkStart w:id="192" w:name="_Toc22817"/>
      <w:bookmarkStart w:id="193" w:name="_Toc30958"/>
      <w:bookmarkStart w:id="194" w:name="_Toc23155"/>
      <w:bookmarkStart w:id="195" w:name="_Toc29330"/>
      <w:bookmarkStart w:id="196" w:name="_Toc3075"/>
      <w:bookmarkStart w:id="197" w:name="_Toc20386"/>
      <w:bookmarkStart w:id="198" w:name="_Toc11485"/>
      <w:bookmarkStart w:id="199" w:name="_Toc19699"/>
      <w:bookmarkStart w:id="200" w:name="_Toc30979"/>
      <w:bookmarkStart w:id="201" w:name="_Toc30220"/>
      <w:r>
        <w:rPr>
          <w:rFonts w:ascii="宋体" w:hAnsi="宋体" w:cs="宋体"/>
          <w:color w:val="auto"/>
          <w:kern w:val="0"/>
          <w:sz w:val="30"/>
          <w:szCs w:val="30"/>
        </w:rPr>
        <w:t>公司名称：</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4D04E9FF">
      <w:pPr>
        <w:widowControl/>
        <w:spacing w:line="360" w:lineRule="auto"/>
        <w:ind w:firstLine="600"/>
        <w:outlineLvl w:val="0"/>
        <w:rPr>
          <w:rFonts w:cs="宋体"/>
          <w:color w:val="auto"/>
          <w:kern w:val="0"/>
          <w:sz w:val="30"/>
          <w:szCs w:val="30"/>
        </w:rPr>
      </w:pPr>
      <w:bookmarkStart w:id="202" w:name="_Toc40346218"/>
      <w:bookmarkStart w:id="203" w:name="_Toc32315"/>
      <w:bookmarkStart w:id="204" w:name="_Toc16794"/>
      <w:bookmarkStart w:id="205" w:name="_Toc11141"/>
      <w:bookmarkStart w:id="206" w:name="_Toc17930"/>
      <w:bookmarkStart w:id="207" w:name="_Toc29767"/>
      <w:bookmarkStart w:id="208" w:name="_Toc12645"/>
      <w:bookmarkStart w:id="209" w:name="_Toc15278"/>
      <w:bookmarkStart w:id="210" w:name="_Toc40776113"/>
      <w:bookmarkStart w:id="211" w:name="_Toc27812"/>
      <w:bookmarkStart w:id="212" w:name="_Toc26700"/>
      <w:bookmarkStart w:id="213" w:name="_Toc14824"/>
      <w:bookmarkStart w:id="214" w:name="_Toc31993"/>
      <w:bookmarkStart w:id="215" w:name="_Toc40346377"/>
      <w:bookmarkStart w:id="216" w:name="_Toc28064"/>
      <w:bookmarkStart w:id="217" w:name="_Toc11288"/>
      <w:bookmarkStart w:id="218" w:name="_Toc20623"/>
      <w:bookmarkStart w:id="219" w:name="_Toc27867"/>
      <w:bookmarkStart w:id="220" w:name="_Toc24763"/>
      <w:bookmarkStart w:id="221" w:name="_Toc14474"/>
      <w:bookmarkStart w:id="222" w:name="_Toc13522"/>
      <w:bookmarkStart w:id="223" w:name="_Toc13212"/>
      <w:bookmarkStart w:id="224" w:name="_Toc32592"/>
      <w:bookmarkStart w:id="225" w:name="_Toc7052"/>
      <w:bookmarkStart w:id="226" w:name="_Toc20322"/>
      <w:bookmarkStart w:id="227" w:name="_Toc11558"/>
      <w:bookmarkStart w:id="228" w:name="_Toc4013"/>
      <w:bookmarkStart w:id="229" w:name="_Toc21483"/>
      <w:bookmarkStart w:id="230" w:name="_Toc18843"/>
      <w:r>
        <w:rPr>
          <w:rFonts w:ascii="宋体" w:hAnsi="宋体" w:cs="宋体"/>
          <w:color w:val="auto"/>
          <w:kern w:val="0"/>
          <w:sz w:val="30"/>
          <w:szCs w:val="30"/>
        </w:rPr>
        <w:t>业务代表：</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5770F421">
      <w:pPr>
        <w:widowControl/>
        <w:spacing w:line="360" w:lineRule="auto"/>
        <w:ind w:firstLine="600"/>
        <w:outlineLvl w:val="0"/>
        <w:rPr>
          <w:rFonts w:cs="宋体"/>
          <w:color w:val="auto"/>
          <w:kern w:val="0"/>
          <w:sz w:val="30"/>
          <w:szCs w:val="30"/>
        </w:rPr>
      </w:pPr>
      <w:bookmarkStart w:id="231" w:name="_Toc1324"/>
      <w:bookmarkStart w:id="232" w:name="_Toc14287"/>
      <w:bookmarkStart w:id="233" w:name="_Toc27594"/>
      <w:bookmarkStart w:id="234" w:name="_Toc13060"/>
      <w:bookmarkStart w:id="235" w:name="_Toc8017"/>
      <w:bookmarkStart w:id="236" w:name="_Toc1070"/>
      <w:bookmarkStart w:id="237" w:name="_Toc18920"/>
      <w:bookmarkStart w:id="238" w:name="_Toc10942"/>
      <w:bookmarkStart w:id="239" w:name="_Toc9889"/>
      <w:bookmarkStart w:id="240" w:name="_Toc9883"/>
      <w:bookmarkStart w:id="241" w:name="_Toc32709"/>
      <w:bookmarkStart w:id="242" w:name="_Toc11334"/>
      <w:bookmarkStart w:id="243" w:name="_Toc40346219"/>
      <w:bookmarkStart w:id="244" w:name="_Toc24651"/>
      <w:bookmarkStart w:id="245" w:name="_Toc182"/>
      <w:bookmarkStart w:id="246" w:name="_Toc3687"/>
      <w:bookmarkStart w:id="247" w:name="_Toc40776114"/>
      <w:bookmarkStart w:id="248" w:name="_Toc17537"/>
      <w:bookmarkStart w:id="249" w:name="_Toc4563"/>
      <w:bookmarkStart w:id="250" w:name="_Toc27771"/>
      <w:bookmarkStart w:id="251" w:name="_Toc14973"/>
      <w:bookmarkStart w:id="252" w:name="_Toc26029"/>
      <w:bookmarkStart w:id="253" w:name="_Toc16813"/>
      <w:bookmarkStart w:id="254" w:name="_Toc6438"/>
      <w:bookmarkStart w:id="255" w:name="_Toc11565"/>
      <w:bookmarkStart w:id="256" w:name="_Toc19831"/>
      <w:bookmarkStart w:id="257" w:name="_Toc9504"/>
      <w:bookmarkStart w:id="258" w:name="_Toc40346378"/>
      <w:bookmarkStart w:id="259" w:name="_Toc31197"/>
      <w:r>
        <w:rPr>
          <w:rFonts w:ascii="宋体" w:hAnsi="宋体" w:cs="宋体"/>
          <w:color w:val="auto"/>
          <w:kern w:val="0"/>
          <w:sz w:val="30"/>
          <w:szCs w:val="30"/>
        </w:rPr>
        <w:t>联系电话：</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55CFD22C">
      <w:pPr>
        <w:widowControl/>
        <w:spacing w:line="360" w:lineRule="auto"/>
        <w:ind w:firstLine="600"/>
        <w:outlineLvl w:val="0"/>
        <w:rPr>
          <w:rFonts w:cs="宋体"/>
          <w:color w:val="auto"/>
          <w:kern w:val="0"/>
          <w:sz w:val="30"/>
          <w:szCs w:val="30"/>
        </w:rPr>
      </w:pPr>
      <w:bookmarkStart w:id="260" w:name="_Toc27206"/>
      <w:bookmarkStart w:id="261" w:name="_Toc27868"/>
      <w:bookmarkStart w:id="262" w:name="_Toc40346379"/>
      <w:bookmarkStart w:id="263" w:name="_Toc5189"/>
      <w:bookmarkStart w:id="264" w:name="_Toc13222"/>
      <w:bookmarkStart w:id="265" w:name="_Toc5811"/>
      <w:bookmarkStart w:id="266" w:name="_Toc14586"/>
      <w:bookmarkStart w:id="267" w:name="_Toc21940"/>
      <w:bookmarkStart w:id="268" w:name="_Toc5634"/>
      <w:bookmarkStart w:id="269" w:name="_Toc13854"/>
      <w:bookmarkStart w:id="270" w:name="_Toc28261"/>
      <w:bookmarkStart w:id="271" w:name="_Toc19045"/>
      <w:bookmarkStart w:id="272" w:name="_Toc40346220"/>
      <w:bookmarkStart w:id="273" w:name="_Toc8912"/>
      <w:bookmarkStart w:id="274" w:name="_Toc21686"/>
      <w:bookmarkStart w:id="275" w:name="_Toc17671"/>
      <w:bookmarkStart w:id="276" w:name="_Toc40776115"/>
      <w:bookmarkStart w:id="277" w:name="_Toc22178"/>
      <w:bookmarkStart w:id="278" w:name="_Toc30336"/>
      <w:bookmarkStart w:id="279" w:name="_Toc15130"/>
      <w:bookmarkStart w:id="280" w:name="_Toc20994"/>
      <w:bookmarkStart w:id="281" w:name="_Toc12650"/>
      <w:bookmarkStart w:id="282" w:name="_Toc30285"/>
      <w:bookmarkStart w:id="283" w:name="_Toc17483"/>
      <w:bookmarkStart w:id="284" w:name="_Toc13284"/>
      <w:bookmarkStart w:id="285" w:name="_Toc18353"/>
      <w:bookmarkStart w:id="286" w:name="_Toc15554"/>
      <w:bookmarkStart w:id="287" w:name="_Toc9963"/>
      <w:bookmarkStart w:id="288" w:name="_Toc3895"/>
      <w:r>
        <w:rPr>
          <w:rFonts w:ascii="宋体" w:hAnsi="宋体" w:cs="宋体"/>
          <w:color w:val="auto"/>
          <w:kern w:val="0"/>
          <w:sz w:val="30"/>
          <w:szCs w:val="30"/>
        </w:rPr>
        <w:t>联系邮箱：</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5734199D">
      <w:pPr>
        <w:widowControl/>
        <w:spacing w:line="360" w:lineRule="auto"/>
        <w:ind w:firstLine="600"/>
        <w:outlineLvl w:val="0"/>
        <w:rPr>
          <w:rFonts w:cs="宋体"/>
          <w:color w:val="auto"/>
          <w:kern w:val="0"/>
          <w:sz w:val="30"/>
          <w:szCs w:val="30"/>
        </w:rPr>
      </w:pPr>
      <w:bookmarkStart w:id="289" w:name="_Toc12649"/>
      <w:bookmarkStart w:id="290" w:name="_Toc8526"/>
      <w:bookmarkStart w:id="291" w:name="_Toc40346221"/>
      <w:bookmarkStart w:id="292" w:name="_Toc40776116"/>
      <w:bookmarkStart w:id="293" w:name="_Toc32371"/>
      <w:bookmarkStart w:id="294" w:name="_Toc40346380"/>
      <w:bookmarkStart w:id="295" w:name="_Toc7054"/>
      <w:bookmarkStart w:id="296" w:name="_Toc8003"/>
      <w:bookmarkStart w:id="297" w:name="_Toc14462"/>
      <w:bookmarkStart w:id="298" w:name="_Toc10454"/>
      <w:bookmarkStart w:id="299" w:name="_Toc30616"/>
      <w:bookmarkStart w:id="300" w:name="_Toc3498"/>
      <w:bookmarkStart w:id="301" w:name="_Toc5688"/>
      <w:bookmarkStart w:id="302" w:name="_Toc30856"/>
      <w:bookmarkStart w:id="303" w:name="_Toc4"/>
      <w:bookmarkStart w:id="304" w:name="_Toc30904"/>
      <w:bookmarkStart w:id="305" w:name="_Toc11243"/>
      <w:bookmarkStart w:id="306" w:name="_Toc12453"/>
      <w:bookmarkStart w:id="307" w:name="_Toc21449"/>
      <w:bookmarkStart w:id="308" w:name="_Toc12127"/>
      <w:bookmarkStart w:id="309" w:name="_Toc9282"/>
      <w:bookmarkStart w:id="310" w:name="_Toc19694"/>
      <w:bookmarkStart w:id="311" w:name="_Toc27186"/>
      <w:bookmarkStart w:id="312" w:name="_Toc27009"/>
      <w:bookmarkStart w:id="313" w:name="_Toc5220"/>
      <w:bookmarkStart w:id="314" w:name="_Toc11547"/>
      <w:bookmarkStart w:id="315" w:name="_Toc10170"/>
      <w:bookmarkStart w:id="316" w:name="_Toc27646"/>
      <w:bookmarkStart w:id="317" w:name="_Toc21960"/>
      <w:r>
        <w:rPr>
          <w:rFonts w:ascii="宋体" w:hAnsi="宋体" w:cs="宋体"/>
          <w:color w:val="auto"/>
          <w:kern w:val="0"/>
          <w:sz w:val="30"/>
          <w:szCs w:val="30"/>
        </w:rPr>
        <w:t>日    期：</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46375CE7">
      <w:pPr>
        <w:widowControl/>
        <w:spacing w:line="360" w:lineRule="auto"/>
        <w:jc w:val="center"/>
        <w:rPr>
          <w:rFonts w:ascii="黑体" w:hAnsi="黑体" w:eastAsia="黑体" w:cs="宋体"/>
          <w:color w:val="auto"/>
          <w:kern w:val="0"/>
          <w:sz w:val="30"/>
          <w:szCs w:val="30"/>
        </w:rPr>
      </w:pPr>
    </w:p>
    <w:p w14:paraId="43DAB818">
      <w:pPr>
        <w:widowControl/>
        <w:spacing w:line="360" w:lineRule="auto"/>
        <w:jc w:val="center"/>
        <w:rPr>
          <w:rFonts w:ascii="黑体" w:hAnsi="黑体" w:eastAsia="黑体" w:cs="宋体"/>
          <w:color w:val="auto"/>
          <w:kern w:val="0"/>
          <w:sz w:val="30"/>
          <w:szCs w:val="30"/>
        </w:rPr>
      </w:pPr>
    </w:p>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14:paraId="30CF48F4">
      <w:pPr>
        <w:rPr>
          <w:rFonts w:ascii="宋体" w:hAnsi="宋体"/>
          <w:b/>
          <w:bCs/>
          <w:color w:val="auto"/>
          <w:sz w:val="28"/>
          <w:szCs w:val="28"/>
        </w:rPr>
      </w:pPr>
      <w:bookmarkStart w:id="318" w:name="_Toc14353"/>
      <w:bookmarkStart w:id="319" w:name="_Toc26575"/>
    </w:p>
    <w:p w14:paraId="7567DF7D">
      <w:pPr>
        <w:rPr>
          <w:b/>
          <w:bCs/>
          <w:color w:val="auto"/>
          <w:kern w:val="0"/>
          <w:sz w:val="32"/>
          <w:szCs w:val="36"/>
        </w:rPr>
      </w:pPr>
      <w:r>
        <w:rPr>
          <w:rFonts w:hint="eastAsia" w:ascii="宋体" w:hAnsi="宋体"/>
          <w:b/>
          <w:bCs/>
          <w:color w:val="auto"/>
          <w:sz w:val="28"/>
          <w:szCs w:val="28"/>
        </w:rPr>
        <w:t>2.目录</w:t>
      </w:r>
    </w:p>
    <w:bookmarkEnd w:id="318"/>
    <w:bookmarkEnd w:id="319"/>
    <w:p w14:paraId="3D167D5A">
      <w:pPr>
        <w:pStyle w:val="12"/>
        <w:numPr>
          <w:ilvl w:val="0"/>
          <w:numId w:val="0"/>
        </w:numPr>
        <w:rPr>
          <w:color w:val="auto"/>
        </w:rPr>
      </w:pPr>
    </w:p>
    <w:tbl>
      <w:tblPr>
        <w:tblStyle w:val="24"/>
        <w:tblW w:w="9703" w:type="dxa"/>
        <w:jc w:val="center"/>
        <w:tblLayout w:type="fixed"/>
        <w:tblCellMar>
          <w:top w:w="0" w:type="dxa"/>
          <w:left w:w="108" w:type="dxa"/>
          <w:bottom w:w="0" w:type="dxa"/>
          <w:right w:w="108" w:type="dxa"/>
        </w:tblCellMar>
      </w:tblPr>
      <w:tblGrid>
        <w:gridCol w:w="690"/>
        <w:gridCol w:w="7094"/>
        <w:gridCol w:w="1919"/>
      </w:tblGrid>
      <w:tr w14:paraId="6A80C0D5">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8EA7F2A">
            <w:pPr>
              <w:widowControl/>
              <w:jc w:val="center"/>
              <w:rPr>
                <w:rFonts w:ascii="宋体" w:hAnsi="宋体" w:cs="宋体"/>
                <w:b/>
                <w:bCs/>
                <w:color w:val="auto"/>
                <w:kern w:val="0"/>
                <w:szCs w:val="21"/>
              </w:rPr>
            </w:pPr>
            <w:r>
              <w:rPr>
                <w:rFonts w:hint="eastAsia" w:ascii="宋体" w:hAnsi="宋体" w:cs="宋体"/>
                <w:b/>
                <w:bCs/>
                <w:color w:val="auto"/>
                <w:kern w:val="0"/>
                <w:szCs w:val="21"/>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19575146">
            <w:pPr>
              <w:widowControl/>
              <w:jc w:val="center"/>
              <w:rPr>
                <w:rFonts w:ascii="宋体" w:hAnsi="宋体" w:cs="宋体"/>
                <w:b/>
                <w:bCs/>
                <w:color w:val="auto"/>
                <w:kern w:val="0"/>
                <w:szCs w:val="21"/>
              </w:rPr>
            </w:pPr>
            <w:r>
              <w:rPr>
                <w:rFonts w:hint="eastAsia" w:ascii="宋体" w:hAnsi="宋体" w:cs="宋体"/>
                <w:b/>
                <w:bCs/>
                <w:color w:val="auto"/>
                <w:kern w:val="0"/>
                <w:szCs w:val="21"/>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74EB1753">
            <w:pPr>
              <w:widowControl/>
              <w:jc w:val="center"/>
              <w:rPr>
                <w:rFonts w:ascii="宋体" w:hAnsi="宋体" w:cs="宋体"/>
                <w:b/>
                <w:bCs/>
                <w:color w:val="auto"/>
                <w:kern w:val="0"/>
                <w:szCs w:val="21"/>
              </w:rPr>
            </w:pPr>
            <w:r>
              <w:rPr>
                <w:rFonts w:hint="eastAsia" w:ascii="宋体" w:hAnsi="宋体" w:cs="宋体"/>
                <w:b/>
                <w:bCs/>
                <w:color w:val="auto"/>
                <w:kern w:val="0"/>
                <w:szCs w:val="21"/>
              </w:rPr>
              <w:t>证明文件索引</w:t>
            </w:r>
          </w:p>
        </w:tc>
      </w:tr>
      <w:tr w14:paraId="6C393FF1">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EFA5B9B">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1</w:t>
            </w:r>
          </w:p>
        </w:tc>
        <w:tc>
          <w:tcPr>
            <w:tcW w:w="7094" w:type="dxa"/>
            <w:tcBorders>
              <w:top w:val="nil"/>
              <w:left w:val="nil"/>
              <w:bottom w:val="single" w:color="auto" w:sz="4" w:space="0"/>
              <w:right w:val="single" w:color="auto" w:sz="4" w:space="0"/>
            </w:tcBorders>
            <w:shd w:val="clear" w:color="auto" w:fill="auto"/>
            <w:vAlign w:val="center"/>
          </w:tcPr>
          <w:p w14:paraId="70BA2850">
            <w:pPr>
              <w:pStyle w:val="36"/>
              <w:widowControl/>
              <w:spacing w:line="400" w:lineRule="exact"/>
              <w:ind w:firstLine="0" w:firstLineChars="0"/>
              <w:rPr>
                <w:rFonts w:ascii="宋体" w:hAnsi="宋体" w:cs="宋体"/>
                <w:bCs/>
                <w:color w:val="auto"/>
                <w:szCs w:val="21"/>
              </w:rPr>
            </w:pPr>
            <w:r>
              <w:rPr>
                <w:rFonts w:hint="eastAsia" w:ascii="宋体" w:hAnsi="宋体" w:cs="宋体"/>
                <w:color w:val="auto"/>
                <w:szCs w:val="21"/>
              </w:rPr>
              <w:t>封面</w:t>
            </w:r>
            <w:r>
              <w:rPr>
                <w:rFonts w:hint="eastAsia" w:ascii="宋体" w:hAnsi="宋体" w:cs="宋体"/>
                <w:b/>
                <w:bCs/>
                <w:color w:val="auto"/>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6C7E0AB7">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3626231C">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EB7C670">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2</w:t>
            </w:r>
          </w:p>
        </w:tc>
        <w:tc>
          <w:tcPr>
            <w:tcW w:w="7094" w:type="dxa"/>
            <w:tcBorders>
              <w:top w:val="nil"/>
              <w:left w:val="nil"/>
              <w:bottom w:val="single" w:color="auto" w:sz="4" w:space="0"/>
              <w:right w:val="single" w:color="auto" w:sz="4" w:space="0"/>
            </w:tcBorders>
            <w:shd w:val="clear" w:color="auto" w:fill="auto"/>
            <w:vAlign w:val="center"/>
          </w:tcPr>
          <w:p w14:paraId="10A4B8BD">
            <w:pPr>
              <w:pStyle w:val="36"/>
              <w:widowControl/>
              <w:spacing w:line="400" w:lineRule="exact"/>
              <w:ind w:firstLine="0" w:firstLineChars="0"/>
              <w:rPr>
                <w:rFonts w:ascii="宋体" w:hAnsi="宋体" w:cs="宋体"/>
                <w:bCs/>
                <w:color w:val="auto"/>
                <w:szCs w:val="21"/>
              </w:rPr>
            </w:pPr>
            <w:r>
              <w:rPr>
                <w:rFonts w:hint="eastAsia" w:ascii="宋体" w:hAnsi="宋体" w:cs="宋体"/>
                <w:color w:val="auto"/>
                <w:szCs w:val="21"/>
              </w:rPr>
              <w:t>目录</w:t>
            </w:r>
            <w:r>
              <w:rPr>
                <w:rFonts w:hint="eastAsia" w:ascii="宋体" w:hAnsi="宋体" w:cs="宋体"/>
                <w:b/>
                <w:bCs/>
                <w:color w:val="auto"/>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2C136A7">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0D39367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70E1E3A">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3</w:t>
            </w:r>
          </w:p>
        </w:tc>
        <w:tc>
          <w:tcPr>
            <w:tcW w:w="7094" w:type="dxa"/>
            <w:tcBorders>
              <w:top w:val="nil"/>
              <w:left w:val="nil"/>
              <w:bottom w:val="single" w:color="auto" w:sz="4" w:space="0"/>
              <w:right w:val="single" w:color="auto" w:sz="4" w:space="0"/>
            </w:tcBorders>
            <w:shd w:val="clear" w:color="auto" w:fill="auto"/>
            <w:vAlign w:val="center"/>
          </w:tcPr>
          <w:p w14:paraId="4C8E7E5D">
            <w:pPr>
              <w:pStyle w:val="36"/>
              <w:widowControl/>
              <w:spacing w:line="400" w:lineRule="exact"/>
              <w:ind w:firstLine="0" w:firstLineChars="0"/>
              <w:rPr>
                <w:rFonts w:ascii="宋体" w:hAnsi="宋体" w:cs="宋体"/>
                <w:color w:val="auto"/>
                <w:szCs w:val="21"/>
              </w:rPr>
            </w:pPr>
            <w:r>
              <w:rPr>
                <w:rFonts w:hint="eastAsia" w:ascii="宋体" w:hAnsi="宋体" w:cs="宋体"/>
                <w:color w:val="auto"/>
                <w:szCs w:val="21"/>
              </w:rPr>
              <w:t>响应文件自查</w:t>
            </w:r>
            <w:r>
              <w:rPr>
                <w:rFonts w:hint="eastAsia" w:ascii="宋体" w:hAnsi="宋体" w:cs="宋体"/>
                <w:b/>
                <w:bCs/>
                <w:color w:val="auto"/>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65019163">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3EBE1AF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8CFBDBF">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4</w:t>
            </w:r>
          </w:p>
        </w:tc>
        <w:tc>
          <w:tcPr>
            <w:tcW w:w="7094" w:type="dxa"/>
            <w:tcBorders>
              <w:top w:val="nil"/>
              <w:left w:val="nil"/>
              <w:bottom w:val="single" w:color="auto" w:sz="4" w:space="0"/>
              <w:right w:val="single" w:color="auto" w:sz="4" w:space="0"/>
            </w:tcBorders>
            <w:shd w:val="clear" w:color="auto" w:fill="auto"/>
            <w:vAlign w:val="center"/>
          </w:tcPr>
          <w:p w14:paraId="7EC74123">
            <w:pPr>
              <w:pStyle w:val="36"/>
              <w:widowControl/>
              <w:spacing w:line="400" w:lineRule="exact"/>
              <w:ind w:firstLine="0" w:firstLineChars="0"/>
              <w:rPr>
                <w:rFonts w:ascii="宋体" w:hAnsi="宋体" w:cs="宋体"/>
                <w:b/>
                <w:bCs/>
                <w:color w:val="auto"/>
                <w:szCs w:val="21"/>
              </w:rPr>
            </w:pPr>
            <w:r>
              <w:rPr>
                <w:rFonts w:hint="eastAsia" w:ascii="宋体" w:hAnsi="宋体" w:cs="宋体"/>
                <w:color w:val="auto"/>
                <w:szCs w:val="21"/>
              </w:rPr>
              <w:t>报价/承诺</w:t>
            </w:r>
            <w:r>
              <w:rPr>
                <w:rFonts w:hint="eastAsia" w:ascii="宋体" w:hAnsi="宋体" w:cs="宋体"/>
                <w:b/>
                <w:bCs/>
                <w:color w:val="auto"/>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1F6D83F">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50A0C008">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A08F91A">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5</w:t>
            </w:r>
          </w:p>
        </w:tc>
        <w:tc>
          <w:tcPr>
            <w:tcW w:w="7094" w:type="dxa"/>
            <w:tcBorders>
              <w:top w:val="nil"/>
              <w:left w:val="nil"/>
              <w:bottom w:val="single" w:color="auto" w:sz="4" w:space="0"/>
              <w:right w:val="single" w:color="auto" w:sz="4" w:space="0"/>
            </w:tcBorders>
            <w:shd w:val="clear" w:color="auto" w:fill="auto"/>
            <w:vAlign w:val="center"/>
          </w:tcPr>
          <w:p w14:paraId="39ED768E">
            <w:pPr>
              <w:pStyle w:val="36"/>
              <w:widowControl/>
              <w:spacing w:line="400" w:lineRule="exact"/>
              <w:ind w:firstLine="0" w:firstLineChars="0"/>
              <w:rPr>
                <w:rFonts w:ascii="宋体" w:hAnsi="宋体" w:cs="宋体"/>
                <w:b/>
                <w:bCs/>
                <w:color w:val="auto"/>
                <w:szCs w:val="21"/>
              </w:rPr>
            </w:pPr>
            <w:r>
              <w:rPr>
                <w:rFonts w:hint="eastAsia" w:ascii="宋体" w:hAnsi="宋体" w:cs="宋体"/>
                <w:color w:val="auto"/>
                <w:szCs w:val="21"/>
              </w:rPr>
              <w:t>采购需求偏离表</w:t>
            </w:r>
            <w:r>
              <w:rPr>
                <w:rFonts w:hint="eastAsia" w:ascii="宋体" w:hAnsi="宋体" w:cs="宋体"/>
                <w:b/>
                <w:bCs/>
                <w:color w:val="auto"/>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6CDBEF2C">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4C55D82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71E8B55">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6</w:t>
            </w:r>
          </w:p>
        </w:tc>
        <w:tc>
          <w:tcPr>
            <w:tcW w:w="7094" w:type="dxa"/>
            <w:tcBorders>
              <w:top w:val="nil"/>
              <w:left w:val="nil"/>
              <w:bottom w:val="single" w:color="auto" w:sz="4" w:space="0"/>
              <w:right w:val="single" w:color="auto" w:sz="4" w:space="0"/>
            </w:tcBorders>
            <w:shd w:val="clear" w:color="auto" w:fill="auto"/>
            <w:vAlign w:val="center"/>
          </w:tcPr>
          <w:p w14:paraId="314923A7">
            <w:pPr>
              <w:pStyle w:val="36"/>
              <w:widowControl/>
              <w:spacing w:line="400" w:lineRule="exact"/>
              <w:ind w:firstLine="0" w:firstLineChars="0"/>
              <w:rPr>
                <w:rFonts w:ascii="宋体" w:hAnsi="宋体" w:cs="宋体"/>
                <w:bCs/>
                <w:color w:val="auto"/>
                <w:szCs w:val="21"/>
              </w:rPr>
            </w:pPr>
            <w:r>
              <w:rPr>
                <w:rFonts w:hint="eastAsia" w:ascii="宋体" w:hAnsi="宋体" w:cs="宋体"/>
                <w:color w:val="auto"/>
                <w:szCs w:val="21"/>
              </w:rPr>
              <w:t>评分自查表</w:t>
            </w:r>
            <w:r>
              <w:rPr>
                <w:rFonts w:hint="eastAsia" w:ascii="宋体" w:hAnsi="宋体" w:cs="宋体"/>
                <w:b/>
                <w:bCs/>
                <w:color w:val="auto"/>
                <w:szCs w:val="21"/>
              </w:rPr>
              <w:t>（资格+评分）</w:t>
            </w:r>
          </w:p>
        </w:tc>
        <w:tc>
          <w:tcPr>
            <w:tcW w:w="1919" w:type="dxa"/>
            <w:tcBorders>
              <w:top w:val="nil"/>
              <w:left w:val="nil"/>
              <w:bottom w:val="single" w:color="auto" w:sz="4" w:space="0"/>
              <w:right w:val="single" w:color="auto" w:sz="4" w:space="0"/>
            </w:tcBorders>
            <w:shd w:val="clear" w:color="auto" w:fill="auto"/>
            <w:vAlign w:val="center"/>
          </w:tcPr>
          <w:p w14:paraId="117C2D2E">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32EE6BC0">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CD43B8D">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7</w:t>
            </w:r>
          </w:p>
        </w:tc>
        <w:tc>
          <w:tcPr>
            <w:tcW w:w="7094" w:type="dxa"/>
            <w:tcBorders>
              <w:top w:val="nil"/>
              <w:left w:val="nil"/>
              <w:bottom w:val="single" w:color="auto" w:sz="4" w:space="0"/>
              <w:right w:val="single" w:color="auto" w:sz="4" w:space="0"/>
            </w:tcBorders>
            <w:shd w:val="clear" w:color="auto" w:fill="auto"/>
            <w:vAlign w:val="center"/>
          </w:tcPr>
          <w:p w14:paraId="5B34A487">
            <w:pPr>
              <w:pStyle w:val="36"/>
              <w:widowControl/>
              <w:spacing w:line="400" w:lineRule="exact"/>
              <w:ind w:firstLine="0" w:firstLineChars="0"/>
              <w:rPr>
                <w:rFonts w:ascii="宋体" w:hAnsi="宋体" w:cs="宋体"/>
                <w:color w:val="auto"/>
                <w:szCs w:val="21"/>
              </w:rPr>
            </w:pPr>
            <w:r>
              <w:rPr>
                <w:rFonts w:hint="eastAsia" w:ascii="宋体" w:hAnsi="宋体" w:cs="宋体"/>
                <w:color w:val="auto"/>
                <w:szCs w:val="21"/>
              </w:rPr>
              <w:t>公司简介</w:t>
            </w:r>
          </w:p>
        </w:tc>
        <w:tc>
          <w:tcPr>
            <w:tcW w:w="1919" w:type="dxa"/>
            <w:tcBorders>
              <w:top w:val="nil"/>
              <w:left w:val="nil"/>
              <w:bottom w:val="single" w:color="auto" w:sz="4" w:space="0"/>
              <w:right w:val="single" w:color="auto" w:sz="4" w:space="0"/>
            </w:tcBorders>
            <w:shd w:val="clear" w:color="auto" w:fill="auto"/>
            <w:vAlign w:val="center"/>
          </w:tcPr>
          <w:p w14:paraId="5B76BF67">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09B535B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EE20CE5">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8</w:t>
            </w:r>
          </w:p>
        </w:tc>
        <w:tc>
          <w:tcPr>
            <w:tcW w:w="7094" w:type="dxa"/>
            <w:tcBorders>
              <w:top w:val="nil"/>
              <w:left w:val="nil"/>
              <w:bottom w:val="single" w:color="auto" w:sz="4" w:space="0"/>
              <w:right w:val="single" w:color="auto" w:sz="4" w:space="0"/>
            </w:tcBorders>
            <w:shd w:val="clear" w:color="auto" w:fill="auto"/>
            <w:vAlign w:val="center"/>
          </w:tcPr>
          <w:p w14:paraId="4925F4DA">
            <w:pPr>
              <w:pStyle w:val="36"/>
              <w:widowControl/>
              <w:spacing w:line="400" w:lineRule="exact"/>
              <w:ind w:firstLine="0" w:firstLineChars="0"/>
              <w:rPr>
                <w:rFonts w:ascii="宋体" w:hAnsi="宋体" w:cs="宋体"/>
                <w:color w:val="auto"/>
                <w:szCs w:val="21"/>
              </w:rPr>
            </w:pPr>
            <w:r>
              <w:rPr>
                <w:rFonts w:hint="eastAsia" w:ascii="宋体" w:hAnsi="宋体" w:cs="宋体"/>
                <w:color w:val="auto"/>
                <w:szCs w:val="21"/>
              </w:rPr>
              <w:t>服务方案</w:t>
            </w:r>
          </w:p>
        </w:tc>
        <w:tc>
          <w:tcPr>
            <w:tcW w:w="1919" w:type="dxa"/>
            <w:tcBorders>
              <w:top w:val="nil"/>
              <w:left w:val="nil"/>
              <w:bottom w:val="single" w:color="auto" w:sz="4" w:space="0"/>
              <w:right w:val="single" w:color="auto" w:sz="4" w:space="0"/>
            </w:tcBorders>
            <w:shd w:val="clear" w:color="auto" w:fill="auto"/>
            <w:vAlign w:val="center"/>
          </w:tcPr>
          <w:p w14:paraId="73E5A144">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56203168">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E0DDFD1">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9</w:t>
            </w:r>
          </w:p>
        </w:tc>
        <w:tc>
          <w:tcPr>
            <w:tcW w:w="7094" w:type="dxa"/>
            <w:tcBorders>
              <w:top w:val="nil"/>
              <w:left w:val="nil"/>
              <w:bottom w:val="single" w:color="auto" w:sz="4" w:space="0"/>
              <w:right w:val="single" w:color="auto" w:sz="4" w:space="0"/>
            </w:tcBorders>
            <w:shd w:val="clear" w:color="auto" w:fill="auto"/>
            <w:vAlign w:val="center"/>
          </w:tcPr>
          <w:p w14:paraId="0666D5CD">
            <w:pPr>
              <w:pStyle w:val="36"/>
              <w:widowControl/>
              <w:spacing w:line="400" w:lineRule="exact"/>
              <w:ind w:firstLine="0" w:firstLineChars="0"/>
              <w:rPr>
                <w:rFonts w:ascii="宋体" w:hAnsi="宋体" w:cs="宋体"/>
                <w:color w:val="auto"/>
                <w:szCs w:val="21"/>
              </w:rPr>
            </w:pPr>
            <w:r>
              <w:rPr>
                <w:rFonts w:hint="eastAsia" w:ascii="宋体" w:hAnsi="宋体" w:cs="宋体"/>
                <w:color w:val="auto"/>
                <w:szCs w:val="21"/>
              </w:rPr>
              <w:t>2024年1月1日至今同类项目的业绩用户名单</w:t>
            </w:r>
            <w:r>
              <w:rPr>
                <w:rFonts w:hint="eastAsia" w:ascii="宋体" w:hAnsi="宋体" w:cs="宋体"/>
                <w:b/>
                <w:bCs/>
                <w:color w:val="auto"/>
                <w:szCs w:val="21"/>
              </w:rPr>
              <w:t>（按评分标准要求提供）</w:t>
            </w:r>
          </w:p>
        </w:tc>
        <w:tc>
          <w:tcPr>
            <w:tcW w:w="1919" w:type="dxa"/>
            <w:tcBorders>
              <w:top w:val="nil"/>
              <w:left w:val="nil"/>
              <w:bottom w:val="single" w:color="auto" w:sz="4" w:space="0"/>
              <w:right w:val="single" w:color="auto" w:sz="4" w:space="0"/>
            </w:tcBorders>
            <w:shd w:val="clear" w:color="auto" w:fill="auto"/>
            <w:vAlign w:val="center"/>
          </w:tcPr>
          <w:p w14:paraId="5EF857ED">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2D72A6F5">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F3F86E">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10</w:t>
            </w:r>
          </w:p>
        </w:tc>
        <w:tc>
          <w:tcPr>
            <w:tcW w:w="7094" w:type="dxa"/>
            <w:tcBorders>
              <w:top w:val="nil"/>
              <w:left w:val="nil"/>
              <w:bottom w:val="single" w:color="auto" w:sz="4" w:space="0"/>
              <w:right w:val="single" w:color="auto" w:sz="4" w:space="0"/>
            </w:tcBorders>
            <w:shd w:val="clear" w:color="auto" w:fill="auto"/>
            <w:vAlign w:val="center"/>
          </w:tcPr>
          <w:p w14:paraId="6474B0C7">
            <w:pPr>
              <w:pStyle w:val="36"/>
              <w:widowControl/>
              <w:spacing w:line="400" w:lineRule="exact"/>
              <w:ind w:firstLine="0" w:firstLineChars="0"/>
              <w:rPr>
                <w:rFonts w:ascii="宋体" w:hAnsi="宋体" w:cs="宋体"/>
                <w:bCs/>
                <w:strike/>
                <w:color w:val="auto"/>
                <w:szCs w:val="21"/>
              </w:rPr>
            </w:pPr>
            <w:r>
              <w:rPr>
                <w:rFonts w:hint="eastAsia" w:ascii="宋体" w:hAnsi="宋体" w:cs="宋体"/>
                <w:bCs/>
                <w:color w:val="auto"/>
                <w:szCs w:val="21"/>
              </w:rPr>
              <w:t>公平竞争承诺书</w:t>
            </w:r>
            <w:r>
              <w:rPr>
                <w:rFonts w:hint="eastAsia" w:ascii="宋体" w:hAnsi="宋体" w:cs="宋体"/>
                <w:b/>
                <w:bCs/>
                <w:color w:val="auto"/>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30DC1F4">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2D2E7FA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8F4A0ED">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11</w:t>
            </w:r>
          </w:p>
        </w:tc>
        <w:tc>
          <w:tcPr>
            <w:tcW w:w="7094" w:type="dxa"/>
            <w:tcBorders>
              <w:top w:val="nil"/>
              <w:left w:val="nil"/>
              <w:bottom w:val="single" w:color="auto" w:sz="4" w:space="0"/>
              <w:right w:val="single" w:color="auto" w:sz="4" w:space="0"/>
            </w:tcBorders>
            <w:shd w:val="clear" w:color="auto" w:fill="auto"/>
          </w:tcPr>
          <w:p w14:paraId="32E45FED">
            <w:pPr>
              <w:widowControl/>
              <w:spacing w:line="400" w:lineRule="exact"/>
              <w:rPr>
                <w:rFonts w:ascii="宋体" w:hAnsi="宋体" w:cs="宋体"/>
                <w:bCs/>
                <w:strike/>
                <w:color w:val="auto"/>
                <w:szCs w:val="21"/>
              </w:rPr>
            </w:pPr>
            <w:r>
              <w:rPr>
                <w:rFonts w:hint="eastAsia" w:ascii="宋体" w:hAnsi="宋体" w:cs="宋体"/>
                <w:color w:val="auto"/>
                <w:szCs w:val="21"/>
              </w:rPr>
              <w:t>关于资格和响应文件的声明函</w:t>
            </w:r>
            <w:r>
              <w:rPr>
                <w:rFonts w:hint="eastAsia" w:ascii="宋体" w:hAnsi="宋体" w:cs="宋体"/>
                <w:b/>
                <w:bCs/>
                <w:color w:val="auto"/>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4A97AD5">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4F4D8887">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D8ABCCC">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12</w:t>
            </w:r>
          </w:p>
        </w:tc>
        <w:tc>
          <w:tcPr>
            <w:tcW w:w="7094" w:type="dxa"/>
            <w:tcBorders>
              <w:top w:val="nil"/>
              <w:left w:val="nil"/>
              <w:bottom w:val="single" w:color="auto" w:sz="4" w:space="0"/>
              <w:right w:val="single" w:color="auto" w:sz="4" w:space="0"/>
            </w:tcBorders>
            <w:shd w:val="clear" w:color="auto" w:fill="auto"/>
          </w:tcPr>
          <w:p w14:paraId="22C56773">
            <w:pPr>
              <w:widowControl/>
              <w:spacing w:line="400" w:lineRule="exact"/>
              <w:rPr>
                <w:rFonts w:ascii="宋体" w:hAnsi="宋体" w:cs="宋体"/>
                <w:bCs/>
                <w:strike/>
                <w:color w:val="auto"/>
                <w:szCs w:val="21"/>
              </w:rPr>
            </w:pPr>
            <w:r>
              <w:rPr>
                <w:rFonts w:hint="eastAsia" w:ascii="宋体" w:hAnsi="宋体" w:cs="宋体"/>
                <w:b/>
                <w:bCs/>
                <w:color w:val="auto"/>
                <w:kern w:val="0"/>
                <w:szCs w:val="21"/>
              </w:rPr>
              <w:t>其他重要事项说明及承诺（如有，请扼要叙述）（格式自拟）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1B7FC290">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3B2BF01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3DF8F27">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13</w:t>
            </w:r>
          </w:p>
        </w:tc>
        <w:tc>
          <w:tcPr>
            <w:tcW w:w="7094" w:type="dxa"/>
            <w:tcBorders>
              <w:top w:val="nil"/>
              <w:left w:val="nil"/>
              <w:bottom w:val="single" w:color="auto" w:sz="4" w:space="0"/>
              <w:right w:val="single" w:color="auto" w:sz="4" w:space="0"/>
            </w:tcBorders>
            <w:shd w:val="clear" w:color="auto" w:fill="auto"/>
          </w:tcPr>
          <w:p w14:paraId="5C88EFAF">
            <w:pPr>
              <w:widowControl/>
              <w:spacing w:line="400" w:lineRule="exact"/>
              <w:rPr>
                <w:rFonts w:ascii="宋体" w:hAnsi="宋体" w:cs="宋体"/>
                <w:bCs/>
                <w:strike/>
                <w:color w:val="auto"/>
                <w:szCs w:val="21"/>
              </w:rPr>
            </w:pPr>
            <w:r>
              <w:rPr>
                <w:rFonts w:hint="eastAsia" w:ascii="宋体" w:hAnsi="宋体" w:cs="宋体"/>
                <w:b/>
                <w:bCs/>
                <w:color w:val="auto"/>
                <w:kern w:val="0"/>
                <w:szCs w:val="21"/>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615F0D9B">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0AE3ED28">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85BF2FA">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14</w:t>
            </w:r>
          </w:p>
        </w:tc>
        <w:tc>
          <w:tcPr>
            <w:tcW w:w="7094" w:type="dxa"/>
            <w:tcBorders>
              <w:top w:val="nil"/>
              <w:left w:val="nil"/>
              <w:bottom w:val="single" w:color="auto" w:sz="4" w:space="0"/>
              <w:right w:val="single" w:color="auto" w:sz="4" w:space="0"/>
            </w:tcBorders>
            <w:shd w:val="clear" w:color="auto" w:fill="auto"/>
          </w:tcPr>
          <w:p w14:paraId="31E281A9">
            <w:pPr>
              <w:widowControl/>
              <w:spacing w:line="400" w:lineRule="exact"/>
              <w:jc w:val="left"/>
              <w:rPr>
                <w:rFonts w:ascii="宋体" w:hAnsi="宋体" w:cs="宋体"/>
                <w:bCs/>
                <w:strike/>
                <w:color w:val="auto"/>
                <w:szCs w:val="21"/>
              </w:rPr>
            </w:pPr>
            <w:r>
              <w:rPr>
                <w:rFonts w:hint="eastAsia" w:ascii="宋体" w:hAnsi="宋体" w:cs="宋体"/>
                <w:b/>
                <w:bCs/>
                <w:color w:val="auto"/>
                <w:szCs w:val="21"/>
              </w:rPr>
              <w:t>根据评分标准需提供的佐证资料</w:t>
            </w:r>
          </w:p>
        </w:tc>
        <w:tc>
          <w:tcPr>
            <w:tcW w:w="1919" w:type="dxa"/>
            <w:tcBorders>
              <w:top w:val="nil"/>
              <w:left w:val="nil"/>
              <w:bottom w:val="single" w:color="auto" w:sz="4" w:space="0"/>
              <w:right w:val="single" w:color="auto" w:sz="4" w:space="0"/>
            </w:tcBorders>
            <w:shd w:val="clear" w:color="auto" w:fill="auto"/>
            <w:vAlign w:val="center"/>
          </w:tcPr>
          <w:p w14:paraId="6EBD5D9F">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bl>
    <w:p w14:paraId="0971CE65">
      <w:pPr>
        <w:rPr>
          <w:rFonts w:ascii="仿宋" w:hAnsi="仿宋" w:eastAsia="仿宋" w:cs="宋体"/>
          <w:b/>
          <w:color w:val="auto"/>
          <w:kern w:val="0"/>
          <w:sz w:val="24"/>
          <w:szCs w:val="32"/>
        </w:rPr>
      </w:pPr>
    </w:p>
    <w:p w14:paraId="31B566EA">
      <w:pPr>
        <w:tabs>
          <w:tab w:val="left" w:pos="3656"/>
        </w:tabs>
        <w:jc w:val="left"/>
        <w:outlineLvl w:val="0"/>
        <w:rPr>
          <w:b/>
          <w:color w:val="auto"/>
          <w:sz w:val="24"/>
        </w:rPr>
      </w:pPr>
      <w:bookmarkStart w:id="320" w:name="_Toc32435"/>
      <w:bookmarkStart w:id="321" w:name="_Toc15777"/>
      <w:bookmarkStart w:id="322" w:name="_Toc30674"/>
      <w:bookmarkStart w:id="323" w:name="_Toc27925"/>
      <w:bookmarkStart w:id="324" w:name="_Toc29844"/>
      <w:bookmarkStart w:id="325" w:name="_Toc889"/>
      <w:bookmarkStart w:id="326" w:name="_Toc22627"/>
      <w:bookmarkStart w:id="327" w:name="_Toc9431"/>
      <w:bookmarkStart w:id="328" w:name="_Toc11635"/>
      <w:bookmarkStart w:id="329" w:name="_Toc18655"/>
      <w:bookmarkStart w:id="330" w:name="_Toc23197"/>
      <w:bookmarkStart w:id="331" w:name="_Toc3724"/>
      <w:bookmarkStart w:id="332" w:name="_Toc4088"/>
      <w:r>
        <w:rPr>
          <w:rFonts w:hint="eastAsia"/>
          <w:b/>
          <w:color w:val="auto"/>
          <w:sz w:val="24"/>
        </w:rPr>
        <w:t>2.1响应文件自查表</w:t>
      </w:r>
      <w:bookmarkEnd w:id="320"/>
      <w:bookmarkEnd w:id="321"/>
      <w:bookmarkEnd w:id="322"/>
      <w:bookmarkEnd w:id="323"/>
      <w:bookmarkEnd w:id="324"/>
      <w:bookmarkEnd w:id="325"/>
      <w:bookmarkEnd w:id="326"/>
      <w:bookmarkEnd w:id="327"/>
      <w:bookmarkEnd w:id="328"/>
      <w:bookmarkEnd w:id="329"/>
      <w:bookmarkEnd w:id="330"/>
      <w:bookmarkEnd w:id="331"/>
    </w:p>
    <w:p w14:paraId="2AB30644">
      <w:pPr>
        <w:tabs>
          <w:tab w:val="left" w:pos="3656"/>
        </w:tabs>
        <w:jc w:val="center"/>
        <w:outlineLvl w:val="0"/>
        <w:rPr>
          <w:b/>
          <w:color w:val="auto"/>
          <w:sz w:val="24"/>
        </w:rPr>
      </w:pPr>
      <w:bookmarkStart w:id="333" w:name="_Toc16629"/>
      <w:bookmarkStart w:id="334" w:name="_Toc18164"/>
      <w:bookmarkStart w:id="335" w:name="_Toc26331"/>
      <w:bookmarkStart w:id="336" w:name="_Toc14126"/>
      <w:bookmarkStart w:id="337" w:name="_Toc7584"/>
      <w:bookmarkStart w:id="338" w:name="_Toc5440"/>
      <w:bookmarkStart w:id="339" w:name="_Toc11925"/>
      <w:bookmarkStart w:id="340" w:name="_Toc17107"/>
      <w:bookmarkStart w:id="341" w:name="_Toc22079"/>
      <w:bookmarkStart w:id="342" w:name="_Toc7824"/>
      <w:bookmarkStart w:id="343" w:name="_Toc12435"/>
      <w:bookmarkStart w:id="344" w:name="_Toc26151"/>
      <w:r>
        <w:rPr>
          <w:rFonts w:hint="eastAsia"/>
          <w:b/>
          <w:color w:val="auto"/>
          <w:sz w:val="24"/>
        </w:rPr>
        <w:t>响应文件自查表</w:t>
      </w:r>
      <w:bookmarkEnd w:id="333"/>
      <w:bookmarkEnd w:id="334"/>
      <w:bookmarkEnd w:id="335"/>
      <w:bookmarkEnd w:id="336"/>
      <w:bookmarkEnd w:id="337"/>
      <w:bookmarkEnd w:id="338"/>
      <w:bookmarkEnd w:id="339"/>
      <w:bookmarkEnd w:id="340"/>
      <w:bookmarkEnd w:id="341"/>
      <w:bookmarkEnd w:id="342"/>
      <w:bookmarkEnd w:id="343"/>
      <w:bookmarkEnd w:id="344"/>
    </w:p>
    <w:p w14:paraId="10C3855E">
      <w:pPr>
        <w:tabs>
          <w:tab w:val="left" w:pos="3656"/>
        </w:tabs>
        <w:jc w:val="center"/>
        <w:rPr>
          <w:b/>
          <w:color w:val="auto"/>
          <w:sz w:val="24"/>
        </w:rPr>
      </w:pPr>
    </w:p>
    <w:p w14:paraId="0287289B">
      <w:pPr>
        <w:tabs>
          <w:tab w:val="left" w:pos="3656"/>
        </w:tabs>
        <w:outlineLvl w:val="0"/>
        <w:rPr>
          <w:b/>
          <w:color w:val="auto"/>
          <w:sz w:val="24"/>
        </w:rPr>
      </w:pPr>
      <w:bookmarkStart w:id="345" w:name="_Toc16277"/>
      <w:bookmarkStart w:id="346" w:name="_Toc4912"/>
      <w:bookmarkStart w:id="347" w:name="_Toc10710"/>
      <w:bookmarkStart w:id="348" w:name="_Toc32141"/>
      <w:bookmarkStart w:id="349" w:name="_Toc10238"/>
      <w:bookmarkStart w:id="350" w:name="_Toc13332"/>
      <w:bookmarkStart w:id="351" w:name="_Toc2350"/>
      <w:bookmarkStart w:id="352" w:name="_Toc20489"/>
      <w:bookmarkStart w:id="353" w:name="_Toc19842"/>
      <w:bookmarkStart w:id="354" w:name="_Toc20261"/>
      <w:bookmarkStart w:id="355" w:name="_Toc32471"/>
      <w:bookmarkStart w:id="356" w:name="_Toc7034"/>
      <w:r>
        <w:rPr>
          <w:rFonts w:hint="eastAsia"/>
          <w:b/>
          <w:bCs/>
          <w:color w:val="auto"/>
        </w:rPr>
        <w:t>（1）资格符合性审查内容</w:t>
      </w:r>
      <w:bookmarkEnd w:id="345"/>
      <w:bookmarkEnd w:id="346"/>
      <w:bookmarkEnd w:id="347"/>
      <w:bookmarkEnd w:id="348"/>
      <w:bookmarkEnd w:id="349"/>
      <w:bookmarkEnd w:id="350"/>
      <w:bookmarkEnd w:id="351"/>
      <w:bookmarkEnd w:id="352"/>
      <w:bookmarkEnd w:id="353"/>
      <w:bookmarkEnd w:id="354"/>
      <w:bookmarkEnd w:id="355"/>
      <w:bookmarkEnd w:id="356"/>
    </w:p>
    <w:tbl>
      <w:tblPr>
        <w:tblStyle w:val="24"/>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89"/>
        <w:gridCol w:w="1665"/>
        <w:gridCol w:w="1230"/>
      </w:tblGrid>
      <w:tr w14:paraId="0A2E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vAlign w:val="center"/>
          </w:tcPr>
          <w:p w14:paraId="1B78E23F">
            <w:pPr>
              <w:spacing w:line="360" w:lineRule="auto"/>
              <w:jc w:val="center"/>
              <w:rPr>
                <w:b/>
                <w:bCs/>
                <w:color w:val="auto"/>
              </w:rPr>
            </w:pPr>
            <w:r>
              <w:rPr>
                <w:rFonts w:hint="eastAsia"/>
                <w:b/>
                <w:bCs/>
                <w:color w:val="auto"/>
              </w:rPr>
              <w:t>序号</w:t>
            </w:r>
          </w:p>
        </w:tc>
        <w:tc>
          <w:tcPr>
            <w:tcW w:w="6489" w:type="dxa"/>
            <w:vAlign w:val="center"/>
          </w:tcPr>
          <w:p w14:paraId="39EC8A6A">
            <w:pPr>
              <w:spacing w:line="360" w:lineRule="auto"/>
              <w:jc w:val="center"/>
              <w:rPr>
                <w:b/>
                <w:bCs/>
                <w:color w:val="auto"/>
              </w:rPr>
            </w:pPr>
            <w:r>
              <w:rPr>
                <w:rFonts w:hint="eastAsia"/>
                <w:b/>
                <w:bCs/>
                <w:color w:val="auto"/>
              </w:rPr>
              <w:t>自</w:t>
            </w:r>
            <w:r>
              <w:rPr>
                <w:b/>
                <w:bCs/>
                <w:color w:val="auto"/>
              </w:rPr>
              <w:t>查内容</w:t>
            </w:r>
          </w:p>
        </w:tc>
        <w:tc>
          <w:tcPr>
            <w:tcW w:w="1665" w:type="dxa"/>
            <w:vAlign w:val="center"/>
          </w:tcPr>
          <w:p w14:paraId="1E13A90E">
            <w:pPr>
              <w:jc w:val="center"/>
              <w:rPr>
                <w:b/>
                <w:bCs/>
                <w:color w:val="auto"/>
              </w:rPr>
            </w:pPr>
            <w:r>
              <w:rPr>
                <w:rFonts w:hint="eastAsia"/>
                <w:b/>
                <w:bCs/>
                <w:color w:val="auto"/>
              </w:rPr>
              <w:t>自查结果</w:t>
            </w:r>
          </w:p>
          <w:p w14:paraId="5E877D0C">
            <w:pPr>
              <w:jc w:val="center"/>
              <w:rPr>
                <w:b/>
                <w:bCs/>
                <w:color w:val="auto"/>
              </w:rPr>
            </w:pPr>
            <w:r>
              <w:rPr>
                <w:rFonts w:hint="eastAsia"/>
                <w:b/>
                <w:bCs/>
                <w:color w:val="auto"/>
              </w:rPr>
              <w:t>（确认则打√）</w:t>
            </w:r>
          </w:p>
        </w:tc>
        <w:tc>
          <w:tcPr>
            <w:tcW w:w="1230" w:type="dxa"/>
            <w:vAlign w:val="center"/>
          </w:tcPr>
          <w:p w14:paraId="25EAA94F">
            <w:pPr>
              <w:jc w:val="center"/>
              <w:rPr>
                <w:b/>
                <w:bCs/>
                <w:color w:val="auto"/>
              </w:rPr>
            </w:pPr>
            <w:r>
              <w:rPr>
                <w:rFonts w:hint="eastAsia"/>
                <w:b/>
                <w:bCs/>
                <w:color w:val="auto"/>
              </w:rPr>
              <w:t>证明文件</w:t>
            </w:r>
          </w:p>
          <w:p w14:paraId="176690B1">
            <w:pPr>
              <w:jc w:val="center"/>
              <w:rPr>
                <w:b/>
                <w:bCs/>
                <w:color w:val="auto"/>
              </w:rPr>
            </w:pPr>
            <w:r>
              <w:rPr>
                <w:rFonts w:hint="eastAsia"/>
                <w:b/>
                <w:bCs/>
                <w:color w:val="auto"/>
              </w:rPr>
              <w:t>（如有）</w:t>
            </w:r>
          </w:p>
        </w:tc>
      </w:tr>
      <w:tr w14:paraId="0117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vAlign w:val="center"/>
          </w:tcPr>
          <w:p w14:paraId="3BB78BB6">
            <w:pPr>
              <w:widowControl/>
              <w:spacing w:line="360" w:lineRule="exact"/>
              <w:jc w:val="center"/>
              <w:rPr>
                <w:rFonts w:ascii="宋体" w:hAnsi="宋体" w:cs="宋体"/>
                <w:bCs/>
                <w:color w:val="auto"/>
                <w:kern w:val="0"/>
                <w:szCs w:val="21"/>
              </w:rPr>
            </w:pPr>
            <w:r>
              <w:rPr>
                <w:rFonts w:hint="eastAsia" w:ascii="宋体" w:hAnsi="宋体" w:cs="宋体"/>
                <w:bCs/>
                <w:color w:val="auto"/>
                <w:kern w:val="0"/>
                <w:szCs w:val="21"/>
              </w:rPr>
              <w:t>1</w:t>
            </w:r>
          </w:p>
        </w:tc>
        <w:tc>
          <w:tcPr>
            <w:tcW w:w="6489" w:type="dxa"/>
            <w:vAlign w:val="center"/>
          </w:tcPr>
          <w:p w14:paraId="2CBE811B">
            <w:pPr>
              <w:widowControl/>
              <w:spacing w:line="400" w:lineRule="exact"/>
              <w:jc w:val="left"/>
              <w:rPr>
                <w:color w:val="auto"/>
                <w:szCs w:val="21"/>
              </w:rPr>
            </w:pPr>
            <w:r>
              <w:rPr>
                <w:rFonts w:hint="eastAsia" w:ascii="宋体" w:hAnsi="宋体" w:cs="宋体"/>
                <w:bCs/>
                <w:color w:val="auto"/>
                <w:kern w:val="0"/>
                <w:szCs w:val="21"/>
              </w:rPr>
              <w:t>具有独立承担民事责任的能力：</w:t>
            </w:r>
            <w:r>
              <w:rPr>
                <w:rFonts w:hint="eastAsia" w:ascii="宋体" w:hAnsi="宋体" w:cs="宋体"/>
                <w:b/>
                <w:color w:val="auto"/>
                <w:kern w:val="0"/>
                <w:szCs w:val="21"/>
              </w:rPr>
              <w:t>在中华人民共和国境内注册的法人或其他组织或自然人，响应时提交有效的营业执照（或事业法人登记证或身份证等相关证明）副本复印件，并加盖公章。（如分支机构投标，须取得总公司（总所）出具给分支机构的授权书，并提供总公司（总所）和分支机构的营业执照（执业许可证）复印件，并加盖供应商公章。已由总公司（总所）授权的，总公司（总所）取得的相关资质证书对分支机构有效，法律法规或者行业另有规定的除外。如国家另有规定的，则从其规定）</w:t>
            </w:r>
          </w:p>
        </w:tc>
        <w:tc>
          <w:tcPr>
            <w:tcW w:w="1665" w:type="dxa"/>
            <w:vAlign w:val="center"/>
          </w:tcPr>
          <w:p w14:paraId="1A547F5F">
            <w:pPr>
              <w:spacing w:line="360" w:lineRule="auto"/>
              <w:jc w:val="center"/>
              <w:rPr>
                <w:color w:val="auto"/>
              </w:rPr>
            </w:pPr>
          </w:p>
        </w:tc>
        <w:tc>
          <w:tcPr>
            <w:tcW w:w="1230" w:type="dxa"/>
            <w:vAlign w:val="center"/>
          </w:tcPr>
          <w:p w14:paraId="6660CDC5">
            <w:pPr>
              <w:spacing w:line="360" w:lineRule="auto"/>
              <w:jc w:val="center"/>
              <w:rPr>
                <w:color w:val="auto"/>
              </w:rPr>
            </w:pPr>
            <w:r>
              <w:rPr>
                <w:rFonts w:hint="eastAsia"/>
                <w:color w:val="auto"/>
              </w:rPr>
              <w:t>第   页</w:t>
            </w:r>
          </w:p>
        </w:tc>
      </w:tr>
      <w:tr w14:paraId="7FB5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right"/>
        </w:trPr>
        <w:tc>
          <w:tcPr>
            <w:tcW w:w="952" w:type="dxa"/>
            <w:vAlign w:val="center"/>
          </w:tcPr>
          <w:p w14:paraId="07AE1967">
            <w:pPr>
              <w:widowControl/>
              <w:spacing w:line="360" w:lineRule="exact"/>
              <w:jc w:val="center"/>
              <w:rPr>
                <w:rFonts w:ascii="宋体" w:hAnsi="宋体" w:cs="宋体"/>
                <w:bCs/>
                <w:color w:val="auto"/>
                <w:kern w:val="0"/>
                <w:szCs w:val="21"/>
              </w:rPr>
            </w:pPr>
            <w:r>
              <w:rPr>
                <w:rFonts w:hint="eastAsia" w:ascii="宋体" w:hAnsi="宋体" w:cs="宋体"/>
                <w:bCs/>
                <w:color w:val="auto"/>
                <w:kern w:val="0"/>
                <w:szCs w:val="21"/>
              </w:rPr>
              <w:t>2</w:t>
            </w:r>
          </w:p>
        </w:tc>
        <w:tc>
          <w:tcPr>
            <w:tcW w:w="6489" w:type="dxa"/>
            <w:shd w:val="clear" w:color="auto" w:fill="auto"/>
            <w:vAlign w:val="center"/>
          </w:tcPr>
          <w:p w14:paraId="0D9B8364">
            <w:pPr>
              <w:widowControl/>
              <w:spacing w:line="400" w:lineRule="exact"/>
              <w:jc w:val="left"/>
              <w:rPr>
                <w:rFonts w:ascii="宋体" w:hAnsi="宋体" w:cs="宋体"/>
                <w:color w:val="auto"/>
                <w:kern w:val="0"/>
                <w:szCs w:val="21"/>
              </w:rPr>
            </w:pPr>
            <w:r>
              <w:rPr>
                <w:rFonts w:hint="eastAsia" w:ascii="宋体" w:hAnsi="宋体" w:cs="宋体"/>
                <w:bCs/>
                <w:color w:val="auto"/>
                <w:kern w:val="0"/>
                <w:szCs w:val="21"/>
              </w:rPr>
              <w:t>参加采购活动前3年内，在经营活动中没有重大违法记录。</w:t>
            </w:r>
            <w:r>
              <w:rPr>
                <w:rFonts w:hint="eastAsia" w:ascii="宋体" w:hAnsi="宋体" w:cs="宋体"/>
                <w:b/>
                <w:color w:val="auto"/>
                <w:kern w:val="0"/>
                <w:szCs w:val="21"/>
              </w:rPr>
              <w:t>提供书面声明函或承诺函，格式自拟，并加盖供应商公章。</w:t>
            </w:r>
          </w:p>
        </w:tc>
        <w:tc>
          <w:tcPr>
            <w:tcW w:w="1665" w:type="dxa"/>
            <w:vAlign w:val="center"/>
          </w:tcPr>
          <w:p w14:paraId="2A1CA48D">
            <w:pPr>
              <w:spacing w:line="360" w:lineRule="auto"/>
              <w:jc w:val="center"/>
              <w:rPr>
                <w:color w:val="auto"/>
              </w:rPr>
            </w:pPr>
          </w:p>
        </w:tc>
        <w:tc>
          <w:tcPr>
            <w:tcW w:w="1230" w:type="dxa"/>
            <w:vAlign w:val="center"/>
          </w:tcPr>
          <w:p w14:paraId="2F18C8E1">
            <w:pPr>
              <w:spacing w:line="360" w:lineRule="auto"/>
              <w:jc w:val="center"/>
              <w:rPr>
                <w:color w:val="auto"/>
              </w:rPr>
            </w:pPr>
            <w:r>
              <w:rPr>
                <w:rFonts w:hint="eastAsia"/>
                <w:color w:val="auto"/>
              </w:rPr>
              <w:t>第   页</w:t>
            </w:r>
          </w:p>
        </w:tc>
      </w:tr>
      <w:tr w14:paraId="2EAB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right"/>
        </w:trPr>
        <w:tc>
          <w:tcPr>
            <w:tcW w:w="952" w:type="dxa"/>
            <w:vAlign w:val="center"/>
          </w:tcPr>
          <w:p w14:paraId="2BBCCC41">
            <w:pPr>
              <w:widowControl/>
              <w:spacing w:line="360" w:lineRule="exact"/>
              <w:jc w:val="center"/>
              <w:rPr>
                <w:rFonts w:ascii="宋体" w:hAnsi="宋体" w:cs="宋体"/>
                <w:bCs/>
                <w:color w:val="auto"/>
                <w:kern w:val="0"/>
                <w:szCs w:val="21"/>
              </w:rPr>
            </w:pPr>
            <w:r>
              <w:rPr>
                <w:rFonts w:hint="eastAsia" w:ascii="宋体" w:hAnsi="宋体" w:cs="宋体"/>
                <w:bCs/>
                <w:color w:val="auto"/>
                <w:kern w:val="0"/>
                <w:szCs w:val="21"/>
              </w:rPr>
              <w:t>3</w:t>
            </w:r>
          </w:p>
        </w:tc>
        <w:tc>
          <w:tcPr>
            <w:tcW w:w="6489" w:type="dxa"/>
            <w:shd w:val="clear" w:color="auto" w:fill="auto"/>
            <w:vAlign w:val="center"/>
          </w:tcPr>
          <w:p w14:paraId="6E16424D">
            <w:pPr>
              <w:widowControl/>
              <w:spacing w:line="400" w:lineRule="exact"/>
              <w:jc w:val="left"/>
              <w:rPr>
                <w:rFonts w:ascii="宋体" w:hAnsi="宋体" w:cs="宋体"/>
                <w:bCs/>
                <w:color w:val="auto"/>
                <w:kern w:val="0"/>
                <w:szCs w:val="21"/>
              </w:rPr>
            </w:pPr>
            <w:r>
              <w:rPr>
                <w:rFonts w:hint="eastAsia" w:ascii="宋体" w:hAnsi="宋体" w:cs="宋体"/>
                <w:color w:val="auto"/>
                <w:szCs w:val="21"/>
              </w:rPr>
              <w:t>本项目不接受联合体投标、分包、转包。</w:t>
            </w:r>
            <w:r>
              <w:rPr>
                <w:rFonts w:hint="eastAsia" w:ascii="宋体" w:hAnsi="宋体" w:cs="宋体"/>
                <w:b/>
                <w:color w:val="auto"/>
                <w:kern w:val="0"/>
                <w:szCs w:val="21"/>
              </w:rPr>
              <w:t>提供书面声明函或承诺函，格式自拟，并加盖供应商公章。</w:t>
            </w:r>
          </w:p>
        </w:tc>
        <w:tc>
          <w:tcPr>
            <w:tcW w:w="1665" w:type="dxa"/>
            <w:vAlign w:val="center"/>
          </w:tcPr>
          <w:p w14:paraId="3E161E6C">
            <w:pPr>
              <w:spacing w:line="360" w:lineRule="auto"/>
              <w:jc w:val="center"/>
              <w:rPr>
                <w:color w:val="auto"/>
              </w:rPr>
            </w:pPr>
          </w:p>
        </w:tc>
        <w:tc>
          <w:tcPr>
            <w:tcW w:w="1230" w:type="dxa"/>
            <w:vAlign w:val="center"/>
          </w:tcPr>
          <w:p w14:paraId="4623D8A1">
            <w:pPr>
              <w:spacing w:line="360" w:lineRule="auto"/>
              <w:jc w:val="center"/>
              <w:rPr>
                <w:color w:val="auto"/>
              </w:rPr>
            </w:pPr>
            <w:r>
              <w:rPr>
                <w:rFonts w:hint="eastAsia"/>
                <w:color w:val="auto"/>
              </w:rPr>
              <w:t>第   页</w:t>
            </w:r>
          </w:p>
        </w:tc>
      </w:tr>
      <w:tr w14:paraId="28C1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6D94DFCF">
            <w:pPr>
              <w:widowControl/>
              <w:spacing w:line="360" w:lineRule="exact"/>
              <w:jc w:val="center"/>
              <w:rPr>
                <w:rFonts w:ascii="宋体" w:hAnsi="宋体" w:cs="宋体"/>
                <w:bCs/>
                <w:color w:val="auto"/>
                <w:kern w:val="0"/>
                <w:szCs w:val="21"/>
              </w:rPr>
            </w:pPr>
            <w:r>
              <w:rPr>
                <w:rFonts w:hint="eastAsia" w:ascii="宋体" w:hAnsi="宋体" w:cs="宋体"/>
                <w:bCs/>
                <w:color w:val="auto"/>
                <w:kern w:val="0"/>
                <w:szCs w:val="21"/>
              </w:rPr>
              <w:t>4</w:t>
            </w:r>
          </w:p>
        </w:tc>
        <w:tc>
          <w:tcPr>
            <w:tcW w:w="6489" w:type="dxa"/>
            <w:shd w:val="clear" w:color="auto" w:fill="auto"/>
            <w:vAlign w:val="center"/>
          </w:tcPr>
          <w:p w14:paraId="5C972E49">
            <w:pPr>
              <w:widowControl/>
              <w:jc w:val="left"/>
              <w:rPr>
                <w:rFonts w:ascii="宋体" w:hAnsi="宋体" w:cs="宋体"/>
                <w:color w:val="auto"/>
                <w:szCs w:val="21"/>
              </w:rPr>
            </w:pPr>
            <w:r>
              <w:rPr>
                <w:rFonts w:hint="eastAsia" w:ascii="宋体" w:hAnsi="宋体" w:cs="宋体"/>
                <w:bCs/>
                <w:color w:val="auto"/>
                <w:kern w:val="0"/>
                <w:szCs w:val="21"/>
              </w:rPr>
              <w:t>4.单位负责人为同一人或者存在直接控股、管理关系的不同供应商，不得同时参加本采购项目。</w:t>
            </w:r>
            <w:r>
              <w:rPr>
                <w:rFonts w:hint="eastAsia" w:ascii="宋体" w:hAnsi="宋体" w:cs="宋体"/>
                <w:b/>
                <w:color w:val="auto"/>
                <w:kern w:val="0"/>
                <w:szCs w:val="21"/>
              </w:rPr>
              <w:t>提供书面声明函或承诺函，格式自拟，并加盖供应商公章。</w:t>
            </w:r>
          </w:p>
        </w:tc>
        <w:tc>
          <w:tcPr>
            <w:tcW w:w="1665" w:type="dxa"/>
            <w:vAlign w:val="center"/>
          </w:tcPr>
          <w:p w14:paraId="1B4DC2D5">
            <w:pPr>
              <w:spacing w:line="360" w:lineRule="auto"/>
              <w:jc w:val="center"/>
              <w:rPr>
                <w:color w:val="auto"/>
              </w:rPr>
            </w:pPr>
          </w:p>
        </w:tc>
        <w:tc>
          <w:tcPr>
            <w:tcW w:w="1230" w:type="dxa"/>
            <w:vAlign w:val="center"/>
          </w:tcPr>
          <w:p w14:paraId="77518754">
            <w:pPr>
              <w:spacing w:line="360" w:lineRule="auto"/>
              <w:jc w:val="center"/>
              <w:rPr>
                <w:color w:val="auto"/>
              </w:rPr>
            </w:pPr>
            <w:r>
              <w:rPr>
                <w:rFonts w:hint="eastAsia"/>
                <w:color w:val="auto"/>
              </w:rPr>
              <w:t>第   页</w:t>
            </w:r>
          </w:p>
        </w:tc>
      </w:tr>
      <w:tr w14:paraId="5582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6DA0717F">
            <w:pPr>
              <w:widowControl/>
              <w:spacing w:line="360" w:lineRule="exact"/>
              <w:jc w:val="center"/>
              <w:rPr>
                <w:rFonts w:ascii="宋体" w:hAnsi="宋体" w:cs="宋体"/>
                <w:bCs/>
                <w:color w:val="auto"/>
                <w:kern w:val="0"/>
                <w:szCs w:val="21"/>
              </w:rPr>
            </w:pPr>
            <w:r>
              <w:rPr>
                <w:rFonts w:hint="eastAsia" w:ascii="宋体" w:hAnsi="宋体" w:cs="宋体"/>
                <w:bCs/>
                <w:color w:val="auto"/>
                <w:kern w:val="0"/>
                <w:szCs w:val="21"/>
              </w:rPr>
              <w:t>5</w:t>
            </w:r>
          </w:p>
        </w:tc>
        <w:tc>
          <w:tcPr>
            <w:tcW w:w="6489" w:type="dxa"/>
            <w:shd w:val="clear" w:color="auto" w:fill="auto"/>
            <w:vAlign w:val="center"/>
          </w:tcPr>
          <w:p w14:paraId="45AD079B">
            <w:pPr>
              <w:widowControl/>
              <w:jc w:val="left"/>
              <w:rPr>
                <w:rFonts w:ascii="宋体" w:hAnsi="宋体" w:cs="宋体"/>
                <w:color w:val="auto"/>
                <w:kern w:val="0"/>
                <w:szCs w:val="21"/>
              </w:rPr>
            </w:pPr>
            <w:r>
              <w:rPr>
                <w:rFonts w:hint="eastAsia" w:ascii="宋体" w:hAnsi="宋体"/>
                <w:color w:val="auto"/>
                <w:kern w:val="0"/>
                <w:szCs w:val="21"/>
              </w:rPr>
              <w:t>提供</w:t>
            </w:r>
            <w:r>
              <w:rPr>
                <w:rFonts w:hint="eastAsia" w:ascii="宋体" w:hAnsi="宋体"/>
                <w:color w:val="auto"/>
                <w:szCs w:val="21"/>
              </w:rPr>
              <w:t>法定代表人资格证明书及法定代表人授权委托书</w:t>
            </w:r>
            <w:r>
              <w:rPr>
                <w:rFonts w:hint="eastAsia" w:ascii="宋体" w:hAnsi="宋体" w:cs="宋体"/>
                <w:b/>
                <w:color w:val="auto"/>
                <w:kern w:val="0"/>
                <w:szCs w:val="21"/>
              </w:rPr>
              <w:t>（响应文件按照采购文件规定要求签署、盖章）</w:t>
            </w:r>
          </w:p>
        </w:tc>
        <w:tc>
          <w:tcPr>
            <w:tcW w:w="1665" w:type="dxa"/>
            <w:shd w:val="clear" w:color="auto" w:fill="auto"/>
            <w:vAlign w:val="center"/>
          </w:tcPr>
          <w:p w14:paraId="1133F9D7">
            <w:pPr>
              <w:spacing w:line="360" w:lineRule="auto"/>
              <w:jc w:val="center"/>
              <w:rPr>
                <w:color w:val="auto"/>
              </w:rPr>
            </w:pPr>
          </w:p>
        </w:tc>
        <w:tc>
          <w:tcPr>
            <w:tcW w:w="1230" w:type="dxa"/>
            <w:shd w:val="clear" w:color="auto" w:fill="auto"/>
            <w:vAlign w:val="center"/>
          </w:tcPr>
          <w:p w14:paraId="6F0E8B40">
            <w:pPr>
              <w:spacing w:line="360" w:lineRule="auto"/>
              <w:jc w:val="center"/>
              <w:rPr>
                <w:color w:val="auto"/>
              </w:rPr>
            </w:pPr>
            <w:r>
              <w:rPr>
                <w:rFonts w:hint="eastAsia"/>
                <w:color w:val="auto"/>
              </w:rPr>
              <w:t>第   页</w:t>
            </w:r>
          </w:p>
        </w:tc>
      </w:tr>
      <w:tr w14:paraId="7F7C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333CDEC9">
            <w:pPr>
              <w:widowControl/>
              <w:spacing w:line="360" w:lineRule="exact"/>
              <w:jc w:val="center"/>
              <w:rPr>
                <w:rFonts w:ascii="宋体" w:hAnsi="宋体" w:cs="宋体"/>
                <w:bCs/>
                <w:color w:val="auto"/>
                <w:kern w:val="0"/>
                <w:szCs w:val="21"/>
              </w:rPr>
            </w:pPr>
            <w:r>
              <w:rPr>
                <w:rFonts w:hint="eastAsia" w:ascii="宋体" w:hAnsi="宋体" w:cs="宋体"/>
                <w:bCs/>
                <w:color w:val="auto"/>
                <w:kern w:val="0"/>
                <w:szCs w:val="21"/>
              </w:rPr>
              <w:t>6</w:t>
            </w:r>
          </w:p>
        </w:tc>
        <w:tc>
          <w:tcPr>
            <w:tcW w:w="6489" w:type="dxa"/>
            <w:shd w:val="clear" w:color="auto" w:fill="auto"/>
            <w:vAlign w:val="center"/>
          </w:tcPr>
          <w:p w14:paraId="3C004096">
            <w:pPr>
              <w:rPr>
                <w:color w:val="auto"/>
              </w:rPr>
            </w:pPr>
            <w:r>
              <w:rPr>
                <w:rFonts w:hint="eastAsia"/>
                <w:color w:val="auto"/>
              </w:rPr>
              <w:t>①对所投包号的全部内容进行投标报价；</w:t>
            </w:r>
          </w:p>
          <w:p w14:paraId="2718D9BD">
            <w:pPr>
              <w:rPr>
                <w:color w:val="auto"/>
              </w:rPr>
            </w:pPr>
            <w:r>
              <w:rPr>
                <w:rFonts w:hint="eastAsia"/>
                <w:color w:val="auto"/>
              </w:rPr>
              <w:t>②投标报价不低于成本价，且是确定的；</w:t>
            </w:r>
          </w:p>
          <w:p w14:paraId="1C3D32A9">
            <w:pPr>
              <w:rPr>
                <w:color w:val="auto"/>
              </w:rPr>
            </w:pPr>
            <w:r>
              <w:rPr>
                <w:rFonts w:hint="eastAsia"/>
                <w:color w:val="auto"/>
              </w:rPr>
              <w:t>③投标报价未超过投标限价。</w:t>
            </w:r>
          </w:p>
        </w:tc>
        <w:tc>
          <w:tcPr>
            <w:tcW w:w="1665" w:type="dxa"/>
            <w:shd w:val="clear" w:color="auto" w:fill="auto"/>
            <w:vAlign w:val="center"/>
          </w:tcPr>
          <w:p w14:paraId="7C296471">
            <w:pPr>
              <w:jc w:val="center"/>
              <w:rPr>
                <w:color w:val="auto"/>
              </w:rPr>
            </w:pPr>
          </w:p>
        </w:tc>
        <w:tc>
          <w:tcPr>
            <w:tcW w:w="1230" w:type="dxa"/>
            <w:shd w:val="clear" w:color="auto" w:fill="auto"/>
            <w:vAlign w:val="center"/>
          </w:tcPr>
          <w:p w14:paraId="3B583A00">
            <w:pPr>
              <w:jc w:val="center"/>
              <w:rPr>
                <w:color w:val="auto"/>
              </w:rPr>
            </w:pPr>
            <w:r>
              <w:rPr>
                <w:rFonts w:hint="eastAsia"/>
                <w:color w:val="auto"/>
              </w:rPr>
              <w:t>自查</w:t>
            </w:r>
          </w:p>
        </w:tc>
      </w:tr>
      <w:tr w14:paraId="79E3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4E9B2BF0">
            <w:pPr>
              <w:widowControl/>
              <w:spacing w:line="360" w:lineRule="exact"/>
              <w:jc w:val="center"/>
              <w:rPr>
                <w:rFonts w:ascii="宋体" w:hAnsi="宋体" w:cs="宋体"/>
                <w:bCs/>
                <w:color w:val="auto"/>
                <w:kern w:val="0"/>
                <w:szCs w:val="21"/>
              </w:rPr>
            </w:pPr>
            <w:r>
              <w:rPr>
                <w:rFonts w:hint="eastAsia" w:ascii="宋体" w:hAnsi="宋体" w:cs="宋体"/>
                <w:bCs/>
                <w:color w:val="auto"/>
                <w:kern w:val="0"/>
                <w:szCs w:val="21"/>
              </w:rPr>
              <w:t>7</w:t>
            </w:r>
          </w:p>
        </w:tc>
        <w:tc>
          <w:tcPr>
            <w:tcW w:w="6489" w:type="dxa"/>
            <w:shd w:val="clear" w:color="auto" w:fill="auto"/>
            <w:vAlign w:val="center"/>
          </w:tcPr>
          <w:p w14:paraId="2DAC3A29">
            <w:pPr>
              <w:spacing w:line="280" w:lineRule="exact"/>
              <w:rPr>
                <w:rFonts w:ascii="宋体" w:hAnsi="宋体"/>
                <w:color w:val="auto"/>
                <w:kern w:val="0"/>
                <w:szCs w:val="21"/>
              </w:rPr>
            </w:pPr>
            <w:r>
              <w:rPr>
                <w:rFonts w:hint="eastAsia" w:ascii="宋体" w:hAnsi="宋体"/>
                <w:color w:val="auto"/>
                <w:szCs w:val="21"/>
              </w:rPr>
              <w:t>按照采购文件规定要求签署、盖章</w:t>
            </w:r>
          </w:p>
        </w:tc>
        <w:tc>
          <w:tcPr>
            <w:tcW w:w="1665" w:type="dxa"/>
            <w:shd w:val="clear" w:color="auto" w:fill="auto"/>
            <w:vAlign w:val="center"/>
          </w:tcPr>
          <w:p w14:paraId="3FBF67D7">
            <w:pPr>
              <w:spacing w:line="360" w:lineRule="auto"/>
              <w:jc w:val="center"/>
              <w:rPr>
                <w:color w:val="auto"/>
              </w:rPr>
            </w:pPr>
          </w:p>
        </w:tc>
        <w:tc>
          <w:tcPr>
            <w:tcW w:w="1230" w:type="dxa"/>
            <w:shd w:val="clear" w:color="auto" w:fill="auto"/>
            <w:vAlign w:val="center"/>
          </w:tcPr>
          <w:p w14:paraId="452CE939">
            <w:pPr>
              <w:spacing w:line="360" w:lineRule="auto"/>
              <w:jc w:val="center"/>
              <w:rPr>
                <w:color w:val="auto"/>
              </w:rPr>
            </w:pPr>
            <w:r>
              <w:rPr>
                <w:rFonts w:hint="eastAsia"/>
                <w:color w:val="auto"/>
              </w:rPr>
              <w:t>自查</w:t>
            </w:r>
          </w:p>
        </w:tc>
      </w:tr>
      <w:tr w14:paraId="02EB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vAlign w:val="center"/>
          </w:tcPr>
          <w:p w14:paraId="32ACF125">
            <w:pPr>
              <w:jc w:val="center"/>
              <w:rPr>
                <w:color w:val="auto"/>
              </w:rPr>
            </w:pPr>
            <w:r>
              <w:rPr>
                <w:rFonts w:hint="eastAsia"/>
                <w:color w:val="auto"/>
              </w:rPr>
              <w:t>8</w:t>
            </w:r>
          </w:p>
        </w:tc>
        <w:tc>
          <w:tcPr>
            <w:tcW w:w="6489" w:type="dxa"/>
            <w:shd w:val="clear" w:color="auto" w:fill="auto"/>
            <w:vAlign w:val="center"/>
          </w:tcPr>
          <w:p w14:paraId="0495E1CA">
            <w:pPr>
              <w:spacing w:line="280" w:lineRule="exact"/>
              <w:rPr>
                <w:rFonts w:ascii="宋体" w:hAnsi="宋体"/>
                <w:bCs/>
                <w:color w:val="auto"/>
                <w:szCs w:val="21"/>
              </w:rPr>
            </w:pPr>
            <w:r>
              <w:rPr>
                <w:rFonts w:hint="eastAsia" w:ascii="宋体" w:hAnsi="宋体"/>
                <w:bCs/>
                <w:color w:val="auto"/>
                <w:szCs w:val="21"/>
              </w:rPr>
              <w:t>响应文件对采购文件的实质性技术与商务的（即标注★号条款）条款不产生偏离（响应文件中技术参数、功能或其他内容优于采购要求部分不视作偏离）</w:t>
            </w:r>
          </w:p>
        </w:tc>
        <w:tc>
          <w:tcPr>
            <w:tcW w:w="1665" w:type="dxa"/>
            <w:shd w:val="clear" w:color="auto" w:fill="auto"/>
            <w:vAlign w:val="center"/>
          </w:tcPr>
          <w:p w14:paraId="2F9BD503">
            <w:pPr>
              <w:spacing w:line="360" w:lineRule="auto"/>
              <w:jc w:val="center"/>
              <w:rPr>
                <w:color w:val="auto"/>
              </w:rPr>
            </w:pPr>
          </w:p>
        </w:tc>
        <w:tc>
          <w:tcPr>
            <w:tcW w:w="1230" w:type="dxa"/>
            <w:shd w:val="clear" w:color="auto" w:fill="auto"/>
            <w:vAlign w:val="center"/>
          </w:tcPr>
          <w:p w14:paraId="576A49FC">
            <w:pPr>
              <w:spacing w:line="280" w:lineRule="exact"/>
              <w:jc w:val="center"/>
              <w:rPr>
                <w:color w:val="auto"/>
              </w:rPr>
            </w:pPr>
            <w:r>
              <w:rPr>
                <w:rFonts w:hint="eastAsia"/>
                <w:color w:val="auto"/>
              </w:rPr>
              <w:t>自查</w:t>
            </w:r>
          </w:p>
        </w:tc>
      </w:tr>
      <w:tr w14:paraId="3585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vAlign w:val="center"/>
          </w:tcPr>
          <w:p w14:paraId="66E060CE">
            <w:pPr>
              <w:spacing w:line="280" w:lineRule="exact"/>
              <w:jc w:val="center"/>
              <w:rPr>
                <w:rFonts w:ascii="宋体" w:hAnsi="宋体"/>
                <w:color w:val="auto"/>
                <w:szCs w:val="21"/>
              </w:rPr>
            </w:pPr>
            <w:r>
              <w:rPr>
                <w:rFonts w:hint="eastAsia" w:ascii="宋体" w:hAnsi="宋体"/>
                <w:color w:val="auto"/>
                <w:szCs w:val="21"/>
              </w:rPr>
              <w:t>9</w:t>
            </w:r>
          </w:p>
        </w:tc>
        <w:tc>
          <w:tcPr>
            <w:tcW w:w="6489" w:type="dxa"/>
            <w:shd w:val="clear" w:color="auto" w:fill="auto"/>
            <w:vAlign w:val="center"/>
          </w:tcPr>
          <w:p w14:paraId="2A2A676F">
            <w:pPr>
              <w:spacing w:line="280" w:lineRule="exact"/>
              <w:rPr>
                <w:color w:val="auto"/>
              </w:rPr>
            </w:pPr>
            <w:r>
              <w:rPr>
                <w:rFonts w:hint="eastAsia"/>
                <w:color w:val="auto"/>
              </w:rPr>
              <w:t>符合采购文件中规定的其他实质性要求。</w:t>
            </w:r>
          </w:p>
        </w:tc>
        <w:tc>
          <w:tcPr>
            <w:tcW w:w="1665" w:type="dxa"/>
            <w:shd w:val="clear" w:color="auto" w:fill="auto"/>
            <w:vAlign w:val="center"/>
          </w:tcPr>
          <w:p w14:paraId="69DC0C29">
            <w:pPr>
              <w:spacing w:line="360" w:lineRule="auto"/>
              <w:jc w:val="center"/>
              <w:rPr>
                <w:color w:val="auto"/>
              </w:rPr>
            </w:pPr>
          </w:p>
        </w:tc>
        <w:tc>
          <w:tcPr>
            <w:tcW w:w="1230" w:type="dxa"/>
            <w:shd w:val="clear" w:color="auto" w:fill="auto"/>
            <w:vAlign w:val="center"/>
          </w:tcPr>
          <w:p w14:paraId="4439BBDC">
            <w:pPr>
              <w:spacing w:line="280" w:lineRule="exact"/>
              <w:jc w:val="center"/>
              <w:rPr>
                <w:color w:val="auto"/>
              </w:rPr>
            </w:pPr>
            <w:r>
              <w:rPr>
                <w:rFonts w:hint="eastAsia"/>
                <w:color w:val="auto"/>
              </w:rPr>
              <w:t>自查</w:t>
            </w:r>
          </w:p>
        </w:tc>
      </w:tr>
      <w:tr w14:paraId="5E3C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vAlign w:val="center"/>
          </w:tcPr>
          <w:p w14:paraId="619598AB">
            <w:pPr>
              <w:spacing w:line="280" w:lineRule="exact"/>
              <w:jc w:val="center"/>
              <w:rPr>
                <w:rFonts w:ascii="宋体" w:hAnsi="宋体"/>
                <w:bCs/>
                <w:color w:val="auto"/>
                <w:szCs w:val="21"/>
              </w:rPr>
            </w:pPr>
            <w:r>
              <w:rPr>
                <w:rFonts w:hint="eastAsia" w:ascii="宋体" w:hAnsi="宋体"/>
                <w:bCs/>
                <w:color w:val="auto"/>
                <w:szCs w:val="21"/>
              </w:rPr>
              <w:t>10</w:t>
            </w:r>
          </w:p>
        </w:tc>
        <w:tc>
          <w:tcPr>
            <w:tcW w:w="6489" w:type="dxa"/>
            <w:shd w:val="clear" w:color="auto" w:fill="auto"/>
            <w:vAlign w:val="center"/>
          </w:tcPr>
          <w:p w14:paraId="187B4DD0">
            <w:pPr>
              <w:spacing w:line="280" w:lineRule="exact"/>
              <w:rPr>
                <w:rFonts w:ascii="宋体" w:hAnsi="宋体"/>
                <w:bCs/>
                <w:color w:val="auto"/>
                <w:szCs w:val="21"/>
              </w:rPr>
            </w:pPr>
            <w:r>
              <w:rPr>
                <w:rFonts w:hint="eastAsia"/>
                <w:color w:val="auto"/>
              </w:rPr>
              <w:t>符合法律法规规定的其他实质性要求。</w:t>
            </w:r>
          </w:p>
        </w:tc>
        <w:tc>
          <w:tcPr>
            <w:tcW w:w="1665" w:type="dxa"/>
            <w:shd w:val="clear" w:color="auto" w:fill="auto"/>
            <w:vAlign w:val="center"/>
          </w:tcPr>
          <w:p w14:paraId="0E19932B">
            <w:pPr>
              <w:spacing w:line="360" w:lineRule="auto"/>
              <w:jc w:val="center"/>
              <w:rPr>
                <w:color w:val="auto"/>
              </w:rPr>
            </w:pPr>
          </w:p>
        </w:tc>
        <w:tc>
          <w:tcPr>
            <w:tcW w:w="1230" w:type="dxa"/>
            <w:shd w:val="clear" w:color="auto" w:fill="auto"/>
            <w:vAlign w:val="center"/>
          </w:tcPr>
          <w:p w14:paraId="1FDF7BF3">
            <w:pPr>
              <w:spacing w:line="280" w:lineRule="exact"/>
              <w:jc w:val="center"/>
              <w:rPr>
                <w:color w:val="auto"/>
              </w:rPr>
            </w:pPr>
            <w:r>
              <w:rPr>
                <w:rFonts w:hint="eastAsia"/>
                <w:color w:val="auto"/>
              </w:rPr>
              <w:t>自查</w:t>
            </w:r>
          </w:p>
        </w:tc>
      </w:tr>
    </w:tbl>
    <w:p w14:paraId="6F7491AD">
      <w:pPr>
        <w:tabs>
          <w:tab w:val="left" w:pos="3656"/>
        </w:tabs>
        <w:rPr>
          <w:b/>
          <w:color w:val="auto"/>
          <w:sz w:val="24"/>
        </w:rPr>
      </w:pPr>
    </w:p>
    <w:p w14:paraId="1977ADCF">
      <w:pPr>
        <w:widowControl/>
        <w:numPr>
          <w:ilvl w:val="0"/>
          <w:numId w:val="9"/>
        </w:numPr>
        <w:tabs>
          <w:tab w:val="left" w:pos="3656"/>
        </w:tabs>
        <w:outlineLvl w:val="0"/>
        <w:rPr>
          <w:b/>
          <w:bCs/>
          <w:color w:val="auto"/>
        </w:rPr>
      </w:pPr>
      <w:bookmarkStart w:id="357" w:name="_Toc16921"/>
      <w:bookmarkStart w:id="358" w:name="_Toc19923"/>
      <w:bookmarkStart w:id="359" w:name="_Toc22868"/>
      <w:bookmarkStart w:id="360" w:name="_Toc24066"/>
      <w:bookmarkStart w:id="361" w:name="_Toc29754"/>
      <w:bookmarkStart w:id="362" w:name="_Toc29414"/>
      <w:bookmarkStart w:id="363" w:name="_Toc27659"/>
      <w:bookmarkStart w:id="364" w:name="_Toc7316"/>
      <w:bookmarkStart w:id="365" w:name="_Toc3741"/>
      <w:bookmarkStart w:id="366" w:name="_Toc16128"/>
      <w:bookmarkStart w:id="367" w:name="_Toc4011"/>
      <w:bookmarkStart w:id="368" w:name="_Toc19939"/>
      <w:r>
        <w:rPr>
          <w:rFonts w:hint="eastAsia"/>
          <w:b/>
          <w:bCs/>
          <w:color w:val="auto"/>
        </w:rPr>
        <w:t>评分部分自查</w:t>
      </w:r>
      <w:bookmarkEnd w:id="332"/>
      <w:bookmarkEnd w:id="357"/>
      <w:bookmarkEnd w:id="358"/>
      <w:bookmarkEnd w:id="359"/>
      <w:bookmarkEnd w:id="360"/>
      <w:bookmarkEnd w:id="361"/>
      <w:bookmarkEnd w:id="362"/>
      <w:bookmarkEnd w:id="363"/>
      <w:bookmarkEnd w:id="364"/>
      <w:bookmarkEnd w:id="365"/>
      <w:bookmarkEnd w:id="366"/>
      <w:bookmarkEnd w:id="367"/>
      <w:bookmarkEnd w:id="368"/>
    </w:p>
    <w:p w14:paraId="3E5BC891">
      <w:pPr>
        <w:tabs>
          <w:tab w:val="left" w:pos="3656"/>
        </w:tabs>
        <w:outlineLvl w:val="0"/>
        <w:rPr>
          <w:b/>
          <w:bCs/>
          <w:color w:val="auto"/>
        </w:rPr>
      </w:pPr>
    </w:p>
    <w:tbl>
      <w:tblPr>
        <w:tblStyle w:val="24"/>
        <w:tblW w:w="1038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485"/>
        <w:gridCol w:w="5655"/>
        <w:gridCol w:w="855"/>
        <w:gridCol w:w="810"/>
        <w:gridCol w:w="1005"/>
      </w:tblGrid>
      <w:tr w14:paraId="1C42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78" w:type="dxa"/>
            <w:vAlign w:val="top"/>
          </w:tcPr>
          <w:p w14:paraId="60CDA27A">
            <w:pPr>
              <w:jc w:val="center"/>
              <w:rPr>
                <w:rFonts w:hAnsi="Calibri"/>
                <w:b/>
                <w:bCs/>
                <w:color w:val="auto"/>
                <w:szCs w:val="21"/>
              </w:rPr>
            </w:pPr>
            <w:r>
              <w:rPr>
                <w:rFonts w:hint="eastAsia" w:ascii="宋体" w:hAnsi="宋体" w:cs="宋体"/>
                <w:b/>
                <w:bCs/>
                <w:color w:val="auto"/>
                <w:szCs w:val="21"/>
              </w:rPr>
              <w:t>序号</w:t>
            </w:r>
          </w:p>
        </w:tc>
        <w:tc>
          <w:tcPr>
            <w:tcW w:w="1485" w:type="dxa"/>
            <w:vAlign w:val="center"/>
          </w:tcPr>
          <w:p w14:paraId="49AA22B5">
            <w:pPr>
              <w:jc w:val="center"/>
              <w:rPr>
                <w:rFonts w:hAnsi="Calibri"/>
                <w:b/>
                <w:bCs/>
                <w:color w:val="auto"/>
                <w:szCs w:val="21"/>
              </w:rPr>
            </w:pPr>
            <w:r>
              <w:rPr>
                <w:rFonts w:hint="eastAsia" w:ascii="宋体" w:hAnsi="宋体" w:cs="宋体"/>
                <w:b/>
                <w:bCs/>
                <w:color w:val="auto"/>
                <w:szCs w:val="21"/>
              </w:rPr>
              <w:t>评审项</w:t>
            </w:r>
          </w:p>
        </w:tc>
        <w:tc>
          <w:tcPr>
            <w:tcW w:w="5655" w:type="dxa"/>
            <w:vAlign w:val="center"/>
          </w:tcPr>
          <w:p w14:paraId="5D8DE1AC">
            <w:pPr>
              <w:jc w:val="center"/>
              <w:rPr>
                <w:rFonts w:hAnsi="Calibri"/>
                <w:b/>
                <w:bCs/>
                <w:color w:val="auto"/>
                <w:szCs w:val="21"/>
              </w:rPr>
            </w:pPr>
            <w:r>
              <w:rPr>
                <w:rFonts w:hint="eastAsia" w:ascii="宋体" w:hAnsi="宋体" w:cs="宋体"/>
                <w:b/>
                <w:bCs/>
                <w:color w:val="auto"/>
                <w:szCs w:val="21"/>
              </w:rPr>
              <w:t>评审细则</w:t>
            </w:r>
          </w:p>
        </w:tc>
        <w:tc>
          <w:tcPr>
            <w:tcW w:w="855" w:type="dxa"/>
            <w:vAlign w:val="center"/>
          </w:tcPr>
          <w:p w14:paraId="20E3E3F2">
            <w:pPr>
              <w:jc w:val="center"/>
              <w:rPr>
                <w:rFonts w:hAnsi="Calibri"/>
                <w:b/>
                <w:bCs/>
                <w:color w:val="auto"/>
                <w:szCs w:val="21"/>
              </w:rPr>
            </w:pPr>
            <w:r>
              <w:rPr>
                <w:rFonts w:hint="eastAsia" w:ascii="宋体" w:hAnsi="宋体" w:cs="宋体"/>
                <w:b/>
                <w:bCs/>
                <w:color w:val="auto"/>
                <w:szCs w:val="21"/>
              </w:rPr>
              <w:t>分值</w:t>
            </w:r>
          </w:p>
        </w:tc>
        <w:tc>
          <w:tcPr>
            <w:tcW w:w="810" w:type="dxa"/>
            <w:shd w:val="clear" w:color="auto" w:fill="auto"/>
            <w:vAlign w:val="center"/>
          </w:tcPr>
          <w:p w14:paraId="0CC62298">
            <w:pPr>
              <w:pStyle w:val="7"/>
              <w:jc w:val="center"/>
              <w:rPr>
                <w:rFonts w:ascii="宋体" w:hAnsi="宋体" w:cs="宋体"/>
                <w:b/>
                <w:color w:val="auto"/>
                <w:kern w:val="0"/>
                <w:sz w:val="20"/>
                <w:szCs w:val="20"/>
              </w:rPr>
            </w:pPr>
            <w:r>
              <w:rPr>
                <w:rFonts w:hint="eastAsia" w:ascii="宋体" w:hAnsi="宋体" w:cs="宋体"/>
                <w:b/>
                <w:bCs/>
                <w:color w:val="auto"/>
                <w:szCs w:val="21"/>
              </w:rPr>
              <w:t>自评得分</w:t>
            </w:r>
          </w:p>
        </w:tc>
        <w:tc>
          <w:tcPr>
            <w:tcW w:w="1005" w:type="dxa"/>
            <w:shd w:val="clear" w:color="auto" w:fill="auto"/>
            <w:vAlign w:val="center"/>
          </w:tcPr>
          <w:p w14:paraId="61A57C46">
            <w:pPr>
              <w:pStyle w:val="7"/>
              <w:jc w:val="center"/>
              <w:rPr>
                <w:rFonts w:ascii="宋体" w:hAnsi="宋体" w:cs="宋体"/>
                <w:b/>
                <w:color w:val="auto"/>
                <w:kern w:val="0"/>
                <w:sz w:val="20"/>
                <w:szCs w:val="20"/>
              </w:rPr>
            </w:pPr>
            <w:r>
              <w:rPr>
                <w:rFonts w:hint="eastAsia" w:ascii="宋体" w:hAnsi="宋体" w:cs="宋体"/>
                <w:b/>
                <w:bCs/>
                <w:color w:val="auto"/>
                <w:szCs w:val="21"/>
              </w:rPr>
              <w:t>证明文件指引</w:t>
            </w:r>
          </w:p>
        </w:tc>
      </w:tr>
      <w:tr w14:paraId="7441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578" w:type="dxa"/>
            <w:vAlign w:val="center"/>
          </w:tcPr>
          <w:p w14:paraId="406A11BC">
            <w:pPr>
              <w:jc w:val="center"/>
              <w:rPr>
                <w:rFonts w:cs="宋体"/>
                <w:b/>
                <w:color w:val="auto"/>
                <w:szCs w:val="21"/>
              </w:rPr>
            </w:pPr>
            <w:r>
              <w:rPr>
                <w:rFonts w:hint="eastAsia" w:ascii="宋体" w:hAnsi="宋体" w:cs="宋体"/>
                <w:b/>
                <w:bCs/>
                <w:color w:val="auto"/>
                <w:szCs w:val="21"/>
              </w:rPr>
              <w:t>1</w:t>
            </w:r>
          </w:p>
        </w:tc>
        <w:tc>
          <w:tcPr>
            <w:tcW w:w="1485" w:type="dxa"/>
            <w:vAlign w:val="center"/>
          </w:tcPr>
          <w:p w14:paraId="1117477E">
            <w:pPr>
              <w:pStyle w:val="51"/>
              <w:widowControl w:val="0"/>
              <w:jc w:val="center"/>
              <w:rPr>
                <w:rFonts w:cs="宋体"/>
                <w:b/>
                <w:color w:val="auto"/>
                <w:sz w:val="21"/>
                <w:szCs w:val="21"/>
                <w:lang w:bidi="ar"/>
              </w:rPr>
            </w:pPr>
            <w:r>
              <w:rPr>
                <w:rFonts w:hint="eastAsia" w:ascii="宋体" w:cs="宋体"/>
                <w:b/>
                <w:color w:val="auto"/>
                <w:sz w:val="21"/>
                <w:szCs w:val="21"/>
                <w:lang w:bidi="ar"/>
              </w:rPr>
              <w:t>采购需求响应情况（20分）</w:t>
            </w:r>
          </w:p>
        </w:tc>
        <w:tc>
          <w:tcPr>
            <w:tcW w:w="5655" w:type="dxa"/>
            <w:vAlign w:val="top"/>
          </w:tcPr>
          <w:p w14:paraId="43E74C65">
            <w:pPr>
              <w:jc w:val="left"/>
              <w:textAlignment w:val="center"/>
              <w:rPr>
                <w:rFonts w:ascii="宋体" w:hAnsi="宋体" w:cs="宋体"/>
                <w:color w:val="auto"/>
                <w:szCs w:val="21"/>
              </w:rPr>
            </w:pPr>
            <w:r>
              <w:rPr>
                <w:rFonts w:hint="eastAsia" w:ascii="宋体" w:hAnsi="宋体" w:cs="宋体"/>
                <w:color w:val="auto"/>
                <w:szCs w:val="21"/>
              </w:rPr>
              <w:t>根据供应商“采购需求偏离表”中对本项目需求响应情况进行评价：</w:t>
            </w:r>
          </w:p>
          <w:p w14:paraId="531BED9B">
            <w:pPr>
              <w:jc w:val="left"/>
              <w:textAlignment w:val="center"/>
              <w:rPr>
                <w:rFonts w:ascii="宋体" w:hAnsi="宋体" w:cs="宋体"/>
                <w:color w:val="auto"/>
                <w:szCs w:val="21"/>
              </w:rPr>
            </w:pPr>
            <w:r>
              <w:rPr>
                <w:rFonts w:hint="eastAsia" w:ascii="宋体" w:hAnsi="宋体" w:cs="宋体"/>
                <w:color w:val="auto"/>
                <w:szCs w:val="21"/>
              </w:rPr>
              <w:t>（1）对采购文件中各条款的响应非常全面，优于采购文件要求的，得20分；</w:t>
            </w:r>
          </w:p>
          <w:p w14:paraId="63FB10F3">
            <w:pPr>
              <w:jc w:val="left"/>
              <w:textAlignment w:val="center"/>
              <w:rPr>
                <w:rFonts w:ascii="宋体" w:hAnsi="宋体" w:cs="宋体"/>
                <w:color w:val="auto"/>
                <w:szCs w:val="21"/>
              </w:rPr>
            </w:pPr>
            <w:r>
              <w:rPr>
                <w:rFonts w:hint="eastAsia" w:ascii="宋体" w:hAnsi="宋体" w:cs="宋体"/>
                <w:color w:val="auto"/>
                <w:szCs w:val="21"/>
              </w:rPr>
              <w:t>（2）对采购文件中各条款的响应全面，符合采购文件要求的，得15分；</w:t>
            </w:r>
          </w:p>
          <w:p w14:paraId="26B9096D">
            <w:pPr>
              <w:jc w:val="left"/>
              <w:textAlignment w:val="center"/>
              <w:rPr>
                <w:rFonts w:ascii="宋体" w:hAnsi="宋体" w:cs="宋体"/>
                <w:color w:val="auto"/>
                <w:szCs w:val="21"/>
              </w:rPr>
            </w:pPr>
            <w:r>
              <w:rPr>
                <w:rFonts w:hint="eastAsia" w:ascii="宋体" w:hAnsi="宋体" w:cs="宋体"/>
                <w:color w:val="auto"/>
                <w:szCs w:val="21"/>
              </w:rPr>
              <w:t>（3）对采购文件中各条款的响应较全面，基本满足采购文件要求的，得10分；</w:t>
            </w:r>
          </w:p>
          <w:p w14:paraId="69134B41">
            <w:pPr>
              <w:jc w:val="left"/>
              <w:textAlignment w:val="center"/>
              <w:rPr>
                <w:rFonts w:ascii="宋体" w:hAnsi="宋体" w:cs="宋体"/>
                <w:color w:val="auto"/>
                <w:szCs w:val="21"/>
              </w:rPr>
            </w:pPr>
            <w:r>
              <w:rPr>
                <w:rFonts w:hint="eastAsia" w:ascii="宋体" w:hAnsi="宋体" w:cs="宋体"/>
                <w:color w:val="auto"/>
                <w:szCs w:val="21"/>
              </w:rPr>
              <w:t>（4）对采购文件中各条款的响应较差，只有部分满足采购文件要求的，得5分。</w:t>
            </w:r>
          </w:p>
          <w:p w14:paraId="7E1797FC">
            <w:pPr>
              <w:pStyle w:val="51"/>
              <w:widowControl w:val="0"/>
              <w:rPr>
                <w:rFonts w:hAnsi="Times New Roman"/>
                <w:b/>
                <w:bCs/>
                <w:color w:val="auto"/>
                <w:sz w:val="20"/>
                <w:szCs w:val="20"/>
              </w:rPr>
            </w:pPr>
            <w:r>
              <w:rPr>
                <w:rFonts w:hint="eastAsia" w:ascii="宋体" w:cs="宋体"/>
                <w:b/>
                <w:bCs/>
                <w:color w:val="auto"/>
                <w:sz w:val="21"/>
                <w:szCs w:val="21"/>
              </w:rPr>
              <w:t>注：①如采购需求中有明确要求提供证明材料的，供应商应按采购需求要求提供相关佐证材料，否则视为负偏离。②如采购需求中无明确要求提供证明材料的，根据供应商提供的采购需求偏离表响应为准。③未提供的不得分。</w:t>
            </w:r>
          </w:p>
        </w:tc>
        <w:tc>
          <w:tcPr>
            <w:tcW w:w="855" w:type="dxa"/>
            <w:vAlign w:val="center"/>
          </w:tcPr>
          <w:p w14:paraId="104B4D1D">
            <w:pPr>
              <w:jc w:val="center"/>
              <w:rPr>
                <w:rFonts w:hAnsi="Calibri"/>
                <w:color w:val="auto"/>
                <w:szCs w:val="21"/>
              </w:rPr>
            </w:pPr>
            <w:r>
              <w:rPr>
                <w:rFonts w:hint="eastAsia" w:ascii="宋体" w:hAnsi="宋体" w:cs="宋体"/>
                <w:color w:val="auto"/>
                <w:szCs w:val="21"/>
              </w:rPr>
              <w:t>20分</w:t>
            </w:r>
          </w:p>
        </w:tc>
        <w:tc>
          <w:tcPr>
            <w:tcW w:w="810" w:type="dxa"/>
            <w:vAlign w:val="center"/>
          </w:tcPr>
          <w:p w14:paraId="20DA7EB1">
            <w:pPr>
              <w:widowControl/>
              <w:spacing w:line="192" w:lineRule="auto"/>
              <w:jc w:val="center"/>
              <w:textAlignment w:val="center"/>
              <w:rPr>
                <w:rFonts w:hAnsi="Calibri"/>
                <w:color w:val="auto"/>
                <w:szCs w:val="21"/>
              </w:rPr>
            </w:pPr>
          </w:p>
        </w:tc>
        <w:tc>
          <w:tcPr>
            <w:tcW w:w="1005" w:type="dxa"/>
            <w:shd w:val="clear" w:color="auto" w:fill="auto"/>
            <w:vAlign w:val="center"/>
          </w:tcPr>
          <w:p w14:paraId="09A81497">
            <w:pPr>
              <w:spacing w:line="240" w:lineRule="exact"/>
              <w:jc w:val="center"/>
              <w:textAlignment w:val="center"/>
              <w:rPr>
                <w:rFonts w:ascii="宋体" w:hAnsi="宋体" w:cs="宋体"/>
                <w:color w:val="auto"/>
                <w:kern w:val="0"/>
                <w:sz w:val="20"/>
                <w:szCs w:val="20"/>
              </w:rPr>
            </w:pPr>
            <w:r>
              <w:rPr>
                <w:rFonts w:hint="eastAsia"/>
                <w:color w:val="auto"/>
              </w:rPr>
              <w:t>第   页</w:t>
            </w:r>
          </w:p>
        </w:tc>
      </w:tr>
      <w:tr w14:paraId="3E07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78" w:type="dxa"/>
            <w:vAlign w:val="center"/>
          </w:tcPr>
          <w:p w14:paraId="68065554">
            <w:pPr>
              <w:jc w:val="center"/>
              <w:rPr>
                <w:rFonts w:cs="宋体"/>
                <w:b/>
                <w:color w:val="auto"/>
                <w:szCs w:val="21"/>
              </w:rPr>
            </w:pPr>
            <w:r>
              <w:rPr>
                <w:rFonts w:hint="eastAsia" w:ascii="宋体" w:hAnsi="宋体" w:cs="宋体"/>
                <w:b/>
                <w:bCs/>
                <w:color w:val="auto"/>
                <w:szCs w:val="21"/>
              </w:rPr>
              <w:t>2</w:t>
            </w:r>
          </w:p>
        </w:tc>
        <w:tc>
          <w:tcPr>
            <w:tcW w:w="1485" w:type="dxa"/>
            <w:vAlign w:val="center"/>
          </w:tcPr>
          <w:p w14:paraId="284FD906">
            <w:pPr>
              <w:jc w:val="center"/>
              <w:rPr>
                <w:rFonts w:ascii="宋体" w:hAnsi="宋体" w:cs="宋体"/>
                <w:b/>
                <w:bCs/>
                <w:color w:val="auto"/>
                <w:szCs w:val="21"/>
              </w:rPr>
            </w:pPr>
            <w:r>
              <w:rPr>
                <w:rFonts w:hint="eastAsia" w:ascii="宋体" w:hAnsi="宋体" w:cs="宋体"/>
                <w:b/>
                <w:bCs/>
                <w:color w:val="auto"/>
                <w:szCs w:val="21"/>
              </w:rPr>
              <w:t>同类业绩</w:t>
            </w:r>
          </w:p>
          <w:p w14:paraId="1BC0AD11">
            <w:pPr>
              <w:jc w:val="center"/>
              <w:rPr>
                <w:rFonts w:cs="宋体"/>
                <w:b/>
                <w:color w:val="auto"/>
                <w:szCs w:val="21"/>
                <w:lang w:bidi="ar"/>
              </w:rPr>
            </w:pPr>
            <w:r>
              <w:rPr>
                <w:rFonts w:hint="eastAsia" w:ascii="宋体" w:hAnsi="宋体" w:cs="宋体"/>
                <w:b/>
                <w:bCs/>
                <w:color w:val="auto"/>
                <w:szCs w:val="21"/>
              </w:rPr>
              <w:t>（12分）</w:t>
            </w:r>
          </w:p>
        </w:tc>
        <w:tc>
          <w:tcPr>
            <w:tcW w:w="5655" w:type="dxa"/>
            <w:vAlign w:val="top"/>
          </w:tcPr>
          <w:p w14:paraId="4FF826EA">
            <w:pPr>
              <w:rPr>
                <w:rFonts w:ascii="宋体" w:hAnsi="宋体" w:cs="宋体"/>
                <w:color w:val="auto"/>
                <w:szCs w:val="21"/>
              </w:rPr>
            </w:pPr>
            <w:r>
              <w:rPr>
                <w:rFonts w:hint="eastAsia" w:ascii="宋体" w:hAnsi="宋体" w:cs="宋体"/>
                <w:color w:val="auto"/>
                <w:szCs w:val="21"/>
              </w:rPr>
              <w:t>2024年1月1日以来，供应商具有污水处理系统运营维保服务（需包含在线监测系统维护）的项目经验的，每提供一个业绩，得1.5分，本项最高得12分。</w:t>
            </w:r>
          </w:p>
          <w:p w14:paraId="63635C2E">
            <w:pPr>
              <w:pStyle w:val="51"/>
              <w:rPr>
                <w:rFonts w:hAnsi="Calibri"/>
                <w:color w:val="auto"/>
                <w:sz w:val="22"/>
                <w:szCs w:val="22"/>
              </w:rPr>
            </w:pPr>
            <w:r>
              <w:rPr>
                <w:rFonts w:hint="eastAsia" w:ascii="宋体" w:cs="宋体"/>
                <w:b/>
                <w:bCs/>
                <w:color w:val="auto"/>
                <w:sz w:val="21"/>
                <w:szCs w:val="21"/>
              </w:rPr>
              <w:t>注：提供合同关键页（包含项目名称、合同双方名称、合同标的和金额、签字盖章页、合同签订日期、在线监测系统维护等关键页内容）复印件，并加盖公章，同一业主按一个同类项目计分，未提供或所提供文件不清晰造成评委无法判定则不得分。</w:t>
            </w:r>
          </w:p>
        </w:tc>
        <w:tc>
          <w:tcPr>
            <w:tcW w:w="855" w:type="dxa"/>
            <w:vAlign w:val="center"/>
          </w:tcPr>
          <w:p w14:paraId="63C43633">
            <w:pPr>
              <w:jc w:val="center"/>
              <w:rPr>
                <w:rFonts w:hAnsi="Calibri"/>
                <w:color w:val="auto"/>
                <w:szCs w:val="21"/>
              </w:rPr>
            </w:pPr>
            <w:r>
              <w:rPr>
                <w:rFonts w:hint="eastAsia" w:ascii="宋体" w:hAnsi="宋体" w:cs="宋体"/>
                <w:color w:val="auto"/>
                <w:szCs w:val="21"/>
              </w:rPr>
              <w:t>12分</w:t>
            </w:r>
          </w:p>
        </w:tc>
        <w:tc>
          <w:tcPr>
            <w:tcW w:w="810" w:type="dxa"/>
            <w:vAlign w:val="center"/>
          </w:tcPr>
          <w:p w14:paraId="279DB2F1">
            <w:pPr>
              <w:widowControl/>
              <w:spacing w:line="192" w:lineRule="auto"/>
              <w:jc w:val="center"/>
              <w:textAlignment w:val="center"/>
              <w:rPr>
                <w:rFonts w:hAnsi="Calibri"/>
                <w:color w:val="auto"/>
                <w:szCs w:val="21"/>
              </w:rPr>
            </w:pPr>
          </w:p>
        </w:tc>
        <w:tc>
          <w:tcPr>
            <w:tcW w:w="1005" w:type="dxa"/>
            <w:shd w:val="clear" w:color="auto" w:fill="auto"/>
            <w:vAlign w:val="center"/>
          </w:tcPr>
          <w:p w14:paraId="0148B0A5">
            <w:pPr>
              <w:spacing w:line="240" w:lineRule="exact"/>
              <w:jc w:val="center"/>
              <w:textAlignment w:val="center"/>
              <w:rPr>
                <w:rFonts w:ascii="宋体" w:hAnsi="宋体" w:cs="宋体"/>
                <w:color w:val="auto"/>
                <w:kern w:val="0"/>
                <w:sz w:val="20"/>
                <w:szCs w:val="20"/>
              </w:rPr>
            </w:pPr>
            <w:r>
              <w:rPr>
                <w:rFonts w:hint="eastAsia"/>
                <w:color w:val="auto"/>
              </w:rPr>
              <w:t>第   页</w:t>
            </w:r>
          </w:p>
        </w:tc>
      </w:tr>
      <w:tr w14:paraId="4CF5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578" w:type="dxa"/>
            <w:vAlign w:val="center"/>
          </w:tcPr>
          <w:p w14:paraId="12775D0F">
            <w:pPr>
              <w:jc w:val="center"/>
              <w:rPr>
                <w:rFonts w:cs="宋体"/>
                <w:b/>
                <w:color w:val="auto"/>
                <w:szCs w:val="21"/>
              </w:rPr>
            </w:pPr>
            <w:r>
              <w:rPr>
                <w:rFonts w:hint="eastAsia" w:ascii="宋体" w:hAnsi="宋体" w:cs="宋体"/>
                <w:b/>
                <w:bCs/>
                <w:color w:val="auto"/>
                <w:szCs w:val="21"/>
              </w:rPr>
              <w:t>3</w:t>
            </w:r>
          </w:p>
        </w:tc>
        <w:tc>
          <w:tcPr>
            <w:tcW w:w="1485" w:type="dxa"/>
            <w:vAlign w:val="center"/>
          </w:tcPr>
          <w:p w14:paraId="3F307FC1">
            <w:pPr>
              <w:jc w:val="center"/>
              <w:rPr>
                <w:rFonts w:ascii="宋体" w:hAnsi="宋体" w:cs="宋体"/>
                <w:b/>
                <w:bCs/>
                <w:color w:val="auto"/>
                <w:szCs w:val="21"/>
              </w:rPr>
            </w:pPr>
            <w:r>
              <w:rPr>
                <w:rFonts w:hint="eastAsia" w:ascii="宋体" w:hAnsi="宋体" w:cs="宋体"/>
                <w:b/>
                <w:bCs/>
                <w:color w:val="auto"/>
                <w:szCs w:val="21"/>
              </w:rPr>
              <w:t>业主评分</w:t>
            </w:r>
          </w:p>
          <w:p w14:paraId="26E17DCB">
            <w:pPr>
              <w:jc w:val="center"/>
              <w:rPr>
                <w:rFonts w:cs="宋体"/>
                <w:b/>
                <w:color w:val="auto"/>
                <w:szCs w:val="21"/>
                <w:lang w:bidi="ar"/>
              </w:rPr>
            </w:pPr>
            <w:r>
              <w:rPr>
                <w:rFonts w:hint="eastAsia" w:ascii="宋体" w:hAnsi="宋体" w:cs="宋体"/>
                <w:b/>
                <w:bCs/>
                <w:color w:val="auto"/>
                <w:szCs w:val="21"/>
              </w:rPr>
              <w:t>（6分）</w:t>
            </w:r>
          </w:p>
        </w:tc>
        <w:tc>
          <w:tcPr>
            <w:tcW w:w="5655" w:type="dxa"/>
            <w:vAlign w:val="top"/>
          </w:tcPr>
          <w:p w14:paraId="383A5F1E">
            <w:pPr>
              <w:pStyle w:val="51"/>
              <w:widowControl w:val="0"/>
              <w:rPr>
                <w:rFonts w:ascii="宋体" w:cs="宋体"/>
                <w:color w:val="auto"/>
                <w:sz w:val="21"/>
                <w:szCs w:val="21"/>
              </w:rPr>
            </w:pPr>
            <w:r>
              <w:rPr>
                <w:rFonts w:hint="eastAsia" w:ascii="宋体" w:cs="宋体"/>
                <w:color w:val="auto"/>
                <w:sz w:val="21"/>
                <w:szCs w:val="21"/>
              </w:rPr>
              <w:t>依据报价供应商提供与上述同类项目业绩对应的用户评价，用户评价须为良好或以上（含同等意义的评价，如80分或以上、满意或以上等），每提供一项得1分，最高得6分。</w:t>
            </w:r>
          </w:p>
          <w:p w14:paraId="6B7C90F5">
            <w:pPr>
              <w:rPr>
                <w:rFonts w:hAnsi="Calibri"/>
                <w:color w:val="auto"/>
                <w:sz w:val="22"/>
                <w:szCs w:val="22"/>
              </w:rPr>
            </w:pPr>
            <w:r>
              <w:rPr>
                <w:rFonts w:hint="eastAsia" w:ascii="宋体" w:hAnsi="宋体" w:cs="宋体"/>
                <w:b/>
                <w:bCs/>
                <w:color w:val="auto"/>
                <w:szCs w:val="21"/>
              </w:rPr>
              <w:t>注：提供加盖客户公章的评价证明材料复印件，不满足要求或所提供材料无法体现用户评价的不得分。</w:t>
            </w:r>
          </w:p>
        </w:tc>
        <w:tc>
          <w:tcPr>
            <w:tcW w:w="855" w:type="dxa"/>
            <w:vAlign w:val="center"/>
          </w:tcPr>
          <w:p w14:paraId="0F12E028">
            <w:pPr>
              <w:jc w:val="center"/>
              <w:rPr>
                <w:rFonts w:hAnsi="Calibri"/>
                <w:color w:val="auto"/>
                <w:szCs w:val="21"/>
              </w:rPr>
            </w:pPr>
            <w:r>
              <w:rPr>
                <w:rFonts w:hint="eastAsia" w:ascii="宋体" w:hAnsi="宋体" w:cs="宋体"/>
                <w:color w:val="auto"/>
                <w:szCs w:val="21"/>
              </w:rPr>
              <w:t>6分</w:t>
            </w:r>
          </w:p>
        </w:tc>
        <w:tc>
          <w:tcPr>
            <w:tcW w:w="810" w:type="dxa"/>
            <w:vAlign w:val="center"/>
          </w:tcPr>
          <w:p w14:paraId="186B5AF7">
            <w:pPr>
              <w:widowControl/>
              <w:spacing w:line="192" w:lineRule="auto"/>
              <w:jc w:val="center"/>
              <w:textAlignment w:val="center"/>
              <w:rPr>
                <w:rFonts w:hAnsi="Calibri"/>
                <w:color w:val="auto"/>
                <w:szCs w:val="21"/>
              </w:rPr>
            </w:pPr>
          </w:p>
        </w:tc>
        <w:tc>
          <w:tcPr>
            <w:tcW w:w="1005" w:type="dxa"/>
            <w:shd w:val="clear" w:color="auto" w:fill="auto"/>
            <w:vAlign w:val="center"/>
          </w:tcPr>
          <w:p w14:paraId="1C24BE77">
            <w:pPr>
              <w:widowControl/>
              <w:jc w:val="center"/>
              <w:textAlignment w:val="center"/>
              <w:rPr>
                <w:rFonts w:ascii="宋体" w:hAnsi="宋体" w:cs="宋体"/>
                <w:color w:val="auto"/>
                <w:kern w:val="0"/>
                <w:sz w:val="20"/>
                <w:szCs w:val="20"/>
                <w:lang w:bidi="ar"/>
              </w:rPr>
            </w:pPr>
            <w:r>
              <w:rPr>
                <w:rFonts w:hint="eastAsia"/>
                <w:color w:val="auto"/>
              </w:rPr>
              <w:t>第   页</w:t>
            </w:r>
          </w:p>
        </w:tc>
      </w:tr>
      <w:tr w14:paraId="3FAE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578" w:type="dxa"/>
            <w:vAlign w:val="center"/>
          </w:tcPr>
          <w:p w14:paraId="0B896E21">
            <w:pPr>
              <w:jc w:val="center"/>
              <w:rPr>
                <w:rFonts w:cs="宋体"/>
                <w:b/>
                <w:color w:val="auto"/>
                <w:szCs w:val="21"/>
              </w:rPr>
            </w:pPr>
            <w:r>
              <w:rPr>
                <w:rFonts w:hint="eastAsia" w:ascii="宋体" w:hAnsi="宋体" w:cs="宋体"/>
                <w:b/>
                <w:bCs/>
                <w:color w:val="auto"/>
                <w:szCs w:val="21"/>
              </w:rPr>
              <w:t>4</w:t>
            </w:r>
          </w:p>
        </w:tc>
        <w:tc>
          <w:tcPr>
            <w:tcW w:w="1485" w:type="dxa"/>
            <w:vAlign w:val="center"/>
          </w:tcPr>
          <w:p w14:paraId="6FA4E50E">
            <w:pPr>
              <w:jc w:val="center"/>
              <w:rPr>
                <w:rFonts w:cs="宋体"/>
                <w:b/>
                <w:color w:val="auto"/>
                <w:szCs w:val="21"/>
                <w:lang w:bidi="ar"/>
              </w:rPr>
            </w:pPr>
            <w:r>
              <w:rPr>
                <w:rFonts w:hint="eastAsia" w:ascii="宋体" w:hAnsi="宋体" w:cs="宋体"/>
                <w:b/>
                <w:bCs/>
                <w:color w:val="auto"/>
                <w:kern w:val="0"/>
                <w:szCs w:val="21"/>
                <w:lang w:bidi="ar"/>
              </w:rPr>
              <w:t>质量管控及达标保障措施（12分）</w:t>
            </w:r>
          </w:p>
        </w:tc>
        <w:tc>
          <w:tcPr>
            <w:tcW w:w="5655" w:type="dxa"/>
            <w:vAlign w:val="top"/>
          </w:tcPr>
          <w:p w14:paraId="315BB86E">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根据各供应商针对本项目质量管控及达标保障措施，包含环保管家服务、在线监测运维、水质日常检测、数据记录、设备维保、水质达标保障、环保合规达标管控、超标预警、台账管理等全套质量保障体系，进行综合评分：</w:t>
            </w:r>
          </w:p>
          <w:p w14:paraId="1722CD31">
            <w:pPr>
              <w:widowControl/>
              <w:numPr>
                <w:ilvl w:val="0"/>
                <w:numId w:val="4"/>
              </w:numPr>
              <w:jc w:val="left"/>
              <w:rPr>
                <w:rFonts w:ascii="宋体" w:hAnsi="宋体" w:cs="宋体"/>
                <w:color w:val="auto"/>
                <w:kern w:val="0"/>
                <w:szCs w:val="21"/>
                <w:lang w:bidi="ar"/>
              </w:rPr>
            </w:pPr>
            <w:r>
              <w:rPr>
                <w:rFonts w:hint="eastAsia" w:ascii="宋体" w:hAnsi="宋体" w:cs="宋体"/>
                <w:color w:val="auto"/>
                <w:kern w:val="0"/>
                <w:szCs w:val="21"/>
                <w:lang w:bidi="ar"/>
              </w:rPr>
              <w:t>制度健全、管控流程闭环、可有效保障出水水质稳定达标的得12分；</w:t>
            </w:r>
          </w:p>
          <w:p w14:paraId="7EDBA8CE">
            <w:pPr>
              <w:widowControl/>
              <w:numPr>
                <w:ilvl w:val="0"/>
                <w:numId w:val="4"/>
              </w:numPr>
              <w:jc w:val="left"/>
              <w:rPr>
                <w:rFonts w:ascii="宋体" w:hAnsi="宋体" w:cs="宋体"/>
                <w:color w:val="auto"/>
                <w:szCs w:val="21"/>
              </w:rPr>
            </w:pPr>
            <w:r>
              <w:rPr>
                <w:rFonts w:hint="eastAsia" w:ascii="宋体" w:hAnsi="宋体" w:cs="宋体"/>
                <w:color w:val="auto"/>
                <w:kern w:val="0"/>
                <w:szCs w:val="21"/>
                <w:lang w:bidi="ar"/>
              </w:rPr>
              <w:t>管控措施基本完善、流程完整的得8分；</w:t>
            </w:r>
          </w:p>
          <w:p w14:paraId="7F761BDC">
            <w:pPr>
              <w:widowControl/>
              <w:numPr>
                <w:ilvl w:val="0"/>
                <w:numId w:val="4"/>
              </w:numPr>
              <w:jc w:val="left"/>
              <w:rPr>
                <w:rFonts w:ascii="宋体" w:hAnsi="宋体" w:cs="宋体"/>
                <w:color w:val="auto"/>
                <w:szCs w:val="21"/>
              </w:rPr>
            </w:pPr>
            <w:r>
              <w:rPr>
                <w:rFonts w:hint="eastAsia" w:ascii="宋体" w:hAnsi="宋体" w:cs="宋体"/>
                <w:color w:val="auto"/>
                <w:kern w:val="0"/>
                <w:szCs w:val="21"/>
                <w:lang w:bidi="ar"/>
              </w:rPr>
              <w:t>措施简单、管控环节缺失的得4分；</w:t>
            </w:r>
          </w:p>
          <w:p w14:paraId="306C0145">
            <w:pPr>
              <w:widowControl/>
              <w:numPr>
                <w:ilvl w:val="0"/>
                <w:numId w:val="4"/>
              </w:numPr>
              <w:jc w:val="left"/>
              <w:rPr>
                <w:b/>
                <w:bCs/>
                <w:color w:val="auto"/>
                <w:sz w:val="22"/>
                <w:szCs w:val="22"/>
              </w:rPr>
            </w:pPr>
            <w:r>
              <w:rPr>
                <w:rFonts w:hint="eastAsia" w:ascii="宋体" w:hAnsi="宋体" w:cs="宋体"/>
                <w:color w:val="auto"/>
                <w:kern w:val="0"/>
                <w:szCs w:val="21"/>
                <w:lang w:bidi="ar"/>
              </w:rPr>
              <w:t>无质量保障措施不得分。</w:t>
            </w:r>
          </w:p>
        </w:tc>
        <w:tc>
          <w:tcPr>
            <w:tcW w:w="855" w:type="dxa"/>
            <w:vAlign w:val="center"/>
          </w:tcPr>
          <w:p w14:paraId="20D3A927">
            <w:pPr>
              <w:jc w:val="center"/>
              <w:rPr>
                <w:rFonts w:hAnsi="Calibri"/>
                <w:color w:val="auto"/>
                <w:szCs w:val="21"/>
              </w:rPr>
            </w:pPr>
            <w:r>
              <w:rPr>
                <w:rFonts w:hint="eastAsia" w:ascii="宋体" w:hAnsi="宋体" w:cs="宋体"/>
                <w:color w:val="auto"/>
                <w:szCs w:val="21"/>
              </w:rPr>
              <w:t>12分</w:t>
            </w:r>
          </w:p>
        </w:tc>
        <w:tc>
          <w:tcPr>
            <w:tcW w:w="810" w:type="dxa"/>
            <w:vAlign w:val="center"/>
          </w:tcPr>
          <w:p w14:paraId="51709083">
            <w:pPr>
              <w:widowControl/>
              <w:spacing w:line="192" w:lineRule="auto"/>
              <w:jc w:val="center"/>
              <w:textAlignment w:val="center"/>
              <w:rPr>
                <w:rFonts w:hAnsi="Calibri"/>
                <w:color w:val="auto"/>
                <w:szCs w:val="21"/>
              </w:rPr>
            </w:pPr>
          </w:p>
        </w:tc>
        <w:tc>
          <w:tcPr>
            <w:tcW w:w="1005" w:type="dxa"/>
            <w:shd w:val="clear" w:color="auto" w:fill="auto"/>
            <w:vAlign w:val="center"/>
          </w:tcPr>
          <w:p w14:paraId="0CEF0C55">
            <w:pPr>
              <w:jc w:val="center"/>
              <w:textAlignment w:val="center"/>
              <w:rPr>
                <w:rFonts w:ascii="宋体" w:hAnsi="宋体" w:cs="宋体"/>
                <w:color w:val="auto"/>
                <w:kern w:val="0"/>
                <w:sz w:val="20"/>
                <w:szCs w:val="20"/>
              </w:rPr>
            </w:pPr>
            <w:r>
              <w:rPr>
                <w:rFonts w:hint="eastAsia"/>
                <w:color w:val="auto"/>
              </w:rPr>
              <w:t>第   页</w:t>
            </w:r>
          </w:p>
        </w:tc>
      </w:tr>
      <w:tr w14:paraId="4B20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578" w:type="dxa"/>
            <w:vAlign w:val="center"/>
          </w:tcPr>
          <w:p w14:paraId="36D09319">
            <w:pPr>
              <w:jc w:val="center"/>
              <w:rPr>
                <w:rFonts w:cs="宋体"/>
                <w:b/>
                <w:color w:val="auto"/>
                <w:szCs w:val="21"/>
              </w:rPr>
            </w:pPr>
            <w:r>
              <w:rPr>
                <w:rFonts w:hint="eastAsia" w:ascii="宋体" w:hAnsi="宋体" w:cs="宋体"/>
                <w:b/>
                <w:bCs/>
                <w:color w:val="auto"/>
                <w:szCs w:val="21"/>
              </w:rPr>
              <w:t>5</w:t>
            </w:r>
          </w:p>
        </w:tc>
        <w:tc>
          <w:tcPr>
            <w:tcW w:w="1485" w:type="dxa"/>
            <w:vAlign w:val="center"/>
          </w:tcPr>
          <w:p w14:paraId="76D0E5F7">
            <w:pPr>
              <w:widowControl/>
              <w:jc w:val="left"/>
              <w:rPr>
                <w:rFonts w:ascii="宋体" w:hAnsi="宋体" w:cs="宋体"/>
                <w:b/>
                <w:bCs/>
                <w:color w:val="auto"/>
                <w:szCs w:val="21"/>
              </w:rPr>
            </w:pPr>
            <w:r>
              <w:rPr>
                <w:rFonts w:hint="eastAsia" w:ascii="宋体" w:hAnsi="宋体" w:cs="宋体"/>
                <w:b/>
                <w:bCs/>
                <w:color w:val="auto"/>
                <w:kern w:val="0"/>
                <w:szCs w:val="21"/>
                <w:lang w:bidi="ar"/>
              </w:rPr>
              <w:t>安全管理及应急处置方案（10分）</w:t>
            </w:r>
          </w:p>
          <w:p w14:paraId="6B382C25">
            <w:pPr>
              <w:jc w:val="center"/>
              <w:rPr>
                <w:rFonts w:cs="宋体"/>
                <w:b/>
                <w:color w:val="auto"/>
                <w:szCs w:val="21"/>
                <w:lang w:bidi="ar"/>
              </w:rPr>
            </w:pPr>
          </w:p>
        </w:tc>
        <w:tc>
          <w:tcPr>
            <w:tcW w:w="5655" w:type="dxa"/>
            <w:vAlign w:val="top"/>
          </w:tcPr>
          <w:p w14:paraId="4666DD9C">
            <w:pPr>
              <w:widowControl/>
              <w:numPr>
                <w:ilvl w:val="255"/>
                <w:numId w:val="0"/>
              </w:numPr>
              <w:jc w:val="left"/>
              <w:rPr>
                <w:rFonts w:ascii="宋体" w:hAnsi="宋体" w:cs="宋体"/>
                <w:color w:val="auto"/>
                <w:kern w:val="0"/>
                <w:szCs w:val="21"/>
                <w:lang w:bidi="ar"/>
              </w:rPr>
            </w:pPr>
            <w:r>
              <w:rPr>
                <w:rFonts w:hint="eastAsia" w:ascii="宋体" w:hAnsi="宋体" w:cs="宋体"/>
                <w:color w:val="auto"/>
                <w:kern w:val="0"/>
                <w:szCs w:val="21"/>
                <w:lang w:bidi="ar"/>
              </w:rPr>
              <w:t>根据各供应商针对本项目安全管理及应急处置方案，包含安全生产管理制度、现场作业安全规范、有限空间作业防护、用电安全、环保安全管控，同时配备水质超标、设备故障、暴雨溢流、停水停电等突发事件应急预案，进行综合评分：</w:t>
            </w:r>
          </w:p>
          <w:p w14:paraId="558C05E8">
            <w:pPr>
              <w:widowControl/>
              <w:numPr>
                <w:ilvl w:val="0"/>
                <w:numId w:val="5"/>
              </w:numPr>
              <w:jc w:val="left"/>
              <w:rPr>
                <w:rFonts w:ascii="宋体" w:hAnsi="宋体" w:cs="宋体"/>
                <w:color w:val="auto"/>
                <w:kern w:val="0"/>
                <w:szCs w:val="21"/>
                <w:lang w:bidi="ar"/>
              </w:rPr>
            </w:pPr>
            <w:r>
              <w:rPr>
                <w:rFonts w:hint="eastAsia" w:ascii="宋体" w:hAnsi="宋体" w:cs="宋体"/>
                <w:color w:val="auto"/>
                <w:kern w:val="0"/>
                <w:szCs w:val="21"/>
                <w:lang w:bidi="ar"/>
              </w:rPr>
              <w:t>安全及应急方案具备可操作性、分工明确、处置流程完整、报备机制完善的得10分；</w:t>
            </w:r>
          </w:p>
          <w:p w14:paraId="2B32FA0F">
            <w:pPr>
              <w:widowControl/>
              <w:numPr>
                <w:ilvl w:val="0"/>
                <w:numId w:val="5"/>
              </w:numPr>
              <w:jc w:val="left"/>
              <w:rPr>
                <w:rFonts w:ascii="宋体" w:hAnsi="宋体" w:cs="宋体"/>
                <w:color w:val="auto"/>
                <w:szCs w:val="21"/>
              </w:rPr>
            </w:pPr>
            <w:r>
              <w:rPr>
                <w:rFonts w:hint="eastAsia" w:ascii="宋体" w:hAnsi="宋体" w:cs="宋体"/>
                <w:color w:val="auto"/>
                <w:kern w:val="0"/>
                <w:szCs w:val="21"/>
                <w:lang w:bidi="ar"/>
              </w:rPr>
              <w:t>安全及应急方案较完整、基本满足需求的得6分；</w:t>
            </w:r>
          </w:p>
          <w:p w14:paraId="5B7789A2">
            <w:pPr>
              <w:widowControl/>
              <w:numPr>
                <w:ilvl w:val="0"/>
                <w:numId w:val="5"/>
              </w:numPr>
              <w:jc w:val="left"/>
              <w:rPr>
                <w:rFonts w:ascii="宋体" w:hAnsi="宋体" w:cs="宋体"/>
                <w:color w:val="auto"/>
                <w:szCs w:val="21"/>
              </w:rPr>
            </w:pPr>
            <w:r>
              <w:rPr>
                <w:rFonts w:hint="eastAsia" w:ascii="宋体" w:hAnsi="宋体" w:cs="宋体"/>
                <w:color w:val="auto"/>
                <w:kern w:val="0"/>
                <w:szCs w:val="21"/>
                <w:lang w:bidi="ar"/>
              </w:rPr>
              <w:t>安全及应急方案内容简略、关键处置流程缺失的得3分；</w:t>
            </w:r>
          </w:p>
          <w:p w14:paraId="49246084">
            <w:pPr>
              <w:widowControl/>
              <w:numPr>
                <w:ilvl w:val="0"/>
                <w:numId w:val="5"/>
              </w:numPr>
              <w:jc w:val="left"/>
              <w:rPr>
                <w:b/>
                <w:bCs/>
                <w:color w:val="auto"/>
                <w:sz w:val="22"/>
                <w:szCs w:val="22"/>
              </w:rPr>
            </w:pPr>
            <w:r>
              <w:rPr>
                <w:rFonts w:hint="eastAsia" w:ascii="宋体" w:hAnsi="宋体" w:cs="宋体"/>
                <w:color w:val="auto"/>
                <w:kern w:val="0"/>
                <w:szCs w:val="21"/>
                <w:lang w:bidi="ar"/>
              </w:rPr>
              <w:t>未提供方案不得分。</w:t>
            </w:r>
          </w:p>
        </w:tc>
        <w:tc>
          <w:tcPr>
            <w:tcW w:w="855" w:type="dxa"/>
            <w:vAlign w:val="center"/>
          </w:tcPr>
          <w:p w14:paraId="027FEB3A">
            <w:pPr>
              <w:jc w:val="center"/>
              <w:rPr>
                <w:rFonts w:hAnsi="Calibri"/>
                <w:color w:val="auto"/>
                <w:szCs w:val="21"/>
              </w:rPr>
            </w:pPr>
            <w:r>
              <w:rPr>
                <w:rFonts w:hint="eastAsia" w:ascii="宋体" w:hAnsi="宋体" w:cs="宋体"/>
                <w:color w:val="auto"/>
                <w:szCs w:val="21"/>
              </w:rPr>
              <w:t>10分</w:t>
            </w:r>
          </w:p>
        </w:tc>
        <w:tc>
          <w:tcPr>
            <w:tcW w:w="810" w:type="dxa"/>
            <w:vAlign w:val="center"/>
          </w:tcPr>
          <w:p w14:paraId="353A1180">
            <w:pPr>
              <w:widowControl/>
              <w:spacing w:line="192" w:lineRule="auto"/>
              <w:jc w:val="center"/>
              <w:textAlignment w:val="center"/>
              <w:rPr>
                <w:rFonts w:hAnsi="Calibri"/>
                <w:color w:val="auto"/>
                <w:szCs w:val="21"/>
              </w:rPr>
            </w:pPr>
          </w:p>
        </w:tc>
        <w:tc>
          <w:tcPr>
            <w:tcW w:w="1005" w:type="dxa"/>
            <w:shd w:val="clear" w:color="auto" w:fill="auto"/>
            <w:vAlign w:val="center"/>
          </w:tcPr>
          <w:p w14:paraId="37A3E7B9">
            <w:pPr>
              <w:spacing w:line="240" w:lineRule="exact"/>
              <w:jc w:val="center"/>
              <w:textAlignment w:val="center"/>
              <w:rPr>
                <w:color w:val="auto"/>
                <w:sz w:val="20"/>
                <w:szCs w:val="20"/>
              </w:rPr>
            </w:pPr>
            <w:r>
              <w:rPr>
                <w:rFonts w:hint="eastAsia"/>
                <w:color w:val="auto"/>
              </w:rPr>
              <w:t>第   页</w:t>
            </w:r>
          </w:p>
        </w:tc>
      </w:tr>
      <w:tr w14:paraId="56DE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78" w:type="dxa"/>
            <w:vAlign w:val="center"/>
          </w:tcPr>
          <w:p w14:paraId="2F5CD5D6">
            <w:pPr>
              <w:jc w:val="center"/>
              <w:rPr>
                <w:rFonts w:ascii="宋体" w:hAnsi="宋体" w:cs="宋体"/>
                <w:b/>
                <w:bCs/>
                <w:color w:val="auto"/>
                <w:szCs w:val="21"/>
              </w:rPr>
            </w:pPr>
            <w:r>
              <w:rPr>
                <w:rFonts w:hint="eastAsia" w:ascii="宋体" w:hAnsi="宋体" w:cs="宋体"/>
                <w:b/>
                <w:bCs/>
                <w:color w:val="auto"/>
                <w:szCs w:val="21"/>
              </w:rPr>
              <w:t>6</w:t>
            </w:r>
          </w:p>
        </w:tc>
        <w:tc>
          <w:tcPr>
            <w:tcW w:w="1485" w:type="dxa"/>
            <w:vAlign w:val="center"/>
          </w:tcPr>
          <w:p w14:paraId="2BC51FCD">
            <w:pPr>
              <w:jc w:val="center"/>
              <w:rPr>
                <w:rFonts w:ascii="宋体" w:hAnsi="宋体" w:cs="宋体"/>
                <w:b/>
                <w:bCs/>
                <w:color w:val="auto"/>
                <w:szCs w:val="21"/>
              </w:rPr>
            </w:pPr>
            <w:r>
              <w:rPr>
                <w:rFonts w:hint="eastAsia" w:ascii="宋体" w:hAnsi="宋体" w:cs="宋体"/>
                <w:b/>
                <w:bCs/>
                <w:color w:val="auto"/>
                <w:szCs w:val="21"/>
              </w:rPr>
              <w:t>售后方案</w:t>
            </w:r>
          </w:p>
          <w:p w14:paraId="4BE377B2">
            <w:pPr>
              <w:jc w:val="center"/>
              <w:rPr>
                <w:rFonts w:hAnsi="宋体" w:cs="宋体"/>
                <w:b/>
                <w:color w:val="auto"/>
                <w:szCs w:val="21"/>
                <w:lang w:bidi="ar"/>
              </w:rPr>
            </w:pPr>
            <w:r>
              <w:rPr>
                <w:rFonts w:hint="eastAsia" w:ascii="宋体" w:hAnsi="宋体" w:cs="宋体"/>
                <w:b/>
                <w:bCs/>
                <w:color w:val="auto"/>
                <w:szCs w:val="21"/>
              </w:rPr>
              <w:t>（12分）</w:t>
            </w:r>
          </w:p>
        </w:tc>
        <w:tc>
          <w:tcPr>
            <w:tcW w:w="5655" w:type="dxa"/>
            <w:vAlign w:val="top"/>
          </w:tcPr>
          <w:p w14:paraId="28F70191">
            <w:pPr>
              <w:widowControl/>
              <w:snapToGrid w:val="0"/>
              <w:jc w:val="left"/>
              <w:textAlignment w:val="auto"/>
              <w:rPr>
                <w:rFonts w:ascii="宋体" w:hAnsi="宋体" w:cs="宋体"/>
                <w:color w:val="auto"/>
                <w:kern w:val="0"/>
                <w:szCs w:val="21"/>
                <w:lang w:bidi="ar"/>
              </w:rPr>
            </w:pPr>
            <w:r>
              <w:rPr>
                <w:rFonts w:hint="eastAsia" w:ascii="宋体" w:hAnsi="宋体" w:cs="宋体"/>
                <w:color w:val="auto"/>
                <w:kern w:val="0"/>
                <w:szCs w:val="21"/>
                <w:lang w:bidi="ar"/>
              </w:rPr>
              <w:t>根据各供应商针对本项目售后服务方案，内容包含但不限于</w:t>
            </w:r>
            <w:r>
              <w:rPr>
                <w:rFonts w:ascii="宋体" w:hAnsi="宋体" w:cs="宋体"/>
                <w:color w:val="auto"/>
                <w:szCs w:val="21"/>
              </w:rPr>
              <w:t>故障响应、配件更换、培训、保密、交接过渡期、投诉处理、考核保障</w:t>
            </w:r>
            <w:r>
              <w:rPr>
                <w:rFonts w:hint="eastAsia" w:ascii="宋体" w:hAnsi="宋体" w:cs="宋体"/>
                <w:color w:val="auto"/>
                <w:kern w:val="0"/>
                <w:szCs w:val="21"/>
                <w:lang w:bidi="ar"/>
              </w:rPr>
              <w:t>等，进行综合评分：</w:t>
            </w:r>
          </w:p>
          <w:p w14:paraId="3DA65938">
            <w:pPr>
              <w:widowControl/>
              <w:snapToGrid w:val="0"/>
              <w:rPr>
                <w:rFonts w:ascii="宋体" w:hAnsi="宋体" w:cs="宋体"/>
                <w:b/>
                <w:bCs/>
                <w:color w:val="auto"/>
                <w:kern w:val="0"/>
                <w:sz w:val="22"/>
                <w:szCs w:val="22"/>
                <w:lang w:bidi="ar"/>
              </w:rPr>
            </w:pPr>
            <w:r>
              <w:rPr>
                <w:rFonts w:hint="eastAsia" w:ascii="宋体" w:hAnsi="宋体" w:cs="宋体"/>
                <w:color w:val="auto"/>
                <w:kern w:val="0"/>
                <w:szCs w:val="21"/>
                <w:lang w:bidi="ar"/>
              </w:rPr>
              <w:t>（1）售后方案内容完整，且内容详细，描述清晰，措施可行，完全满足或优于项目采购需求，得12分；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（2）售后方案内容完整，且内容较详细，描述较清晰，措施较可行，基本满足项目采购需求，得8分；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（3）售后方案要点完整，内容简单，措施一般，不满足项目采购需求的得5分；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（4）售后方案要点不完整，内容缺失，措施不明确</w:t>
            </w:r>
            <w:r>
              <w:rPr>
                <w:rFonts w:hint="eastAsia" w:ascii="宋体" w:hAnsi="宋体" w:cs="宋体"/>
                <w:color w:val="auto"/>
                <w:kern w:val="0"/>
                <w:szCs w:val="21"/>
                <w:lang w:val="en-US" w:eastAsia="zh-CN" w:bidi="ar"/>
              </w:rPr>
              <w:t>或未提供</w:t>
            </w:r>
            <w:r>
              <w:rPr>
                <w:rFonts w:hint="eastAsia" w:ascii="宋体" w:hAnsi="宋体" w:cs="宋体"/>
                <w:color w:val="auto"/>
                <w:kern w:val="0"/>
                <w:szCs w:val="21"/>
                <w:lang w:bidi="ar"/>
              </w:rPr>
              <w:t>，得</w:t>
            </w:r>
            <w:r>
              <w:rPr>
                <w:rFonts w:hint="eastAsia" w:ascii="宋体" w:hAnsi="宋体" w:cs="宋体"/>
                <w:color w:val="auto"/>
                <w:kern w:val="0"/>
                <w:szCs w:val="21"/>
                <w:lang w:val="en-US" w:eastAsia="zh-CN" w:bidi="ar"/>
              </w:rPr>
              <w:t>0</w:t>
            </w:r>
            <w:r>
              <w:rPr>
                <w:rFonts w:hint="eastAsia" w:ascii="宋体" w:hAnsi="宋体" w:cs="宋体"/>
                <w:color w:val="auto"/>
                <w:kern w:val="0"/>
                <w:szCs w:val="21"/>
                <w:lang w:bidi="ar"/>
              </w:rPr>
              <w:t>分。</w:t>
            </w:r>
          </w:p>
        </w:tc>
        <w:tc>
          <w:tcPr>
            <w:tcW w:w="855" w:type="dxa"/>
            <w:vAlign w:val="center"/>
          </w:tcPr>
          <w:p w14:paraId="57ED987C">
            <w:pPr>
              <w:jc w:val="center"/>
              <w:rPr>
                <w:rFonts w:ascii="宋体" w:hAnsi="宋体" w:cs="宋体"/>
                <w:color w:val="auto"/>
                <w:szCs w:val="21"/>
              </w:rPr>
            </w:pPr>
            <w:r>
              <w:rPr>
                <w:rFonts w:hint="eastAsia" w:ascii="宋体" w:hAnsi="宋体" w:cs="宋体"/>
                <w:color w:val="auto"/>
                <w:szCs w:val="21"/>
              </w:rPr>
              <w:t>12分</w:t>
            </w:r>
          </w:p>
        </w:tc>
        <w:tc>
          <w:tcPr>
            <w:tcW w:w="810" w:type="dxa"/>
            <w:vAlign w:val="center"/>
          </w:tcPr>
          <w:p w14:paraId="537507EA">
            <w:pPr>
              <w:widowControl/>
              <w:spacing w:line="192" w:lineRule="auto"/>
              <w:jc w:val="center"/>
              <w:textAlignment w:val="center"/>
              <w:rPr>
                <w:rFonts w:hAnsi="Calibri"/>
                <w:color w:val="auto"/>
                <w:szCs w:val="21"/>
              </w:rPr>
            </w:pPr>
          </w:p>
        </w:tc>
        <w:tc>
          <w:tcPr>
            <w:tcW w:w="1005" w:type="dxa"/>
            <w:shd w:val="clear" w:color="auto" w:fill="auto"/>
            <w:vAlign w:val="center"/>
          </w:tcPr>
          <w:p w14:paraId="6A239E54">
            <w:pPr>
              <w:spacing w:line="240" w:lineRule="exact"/>
              <w:jc w:val="center"/>
              <w:textAlignment w:val="center"/>
              <w:rPr>
                <w:color w:val="auto"/>
              </w:rPr>
            </w:pPr>
            <w:r>
              <w:rPr>
                <w:rFonts w:hint="eastAsia"/>
                <w:color w:val="auto"/>
              </w:rPr>
              <w:t>第   页</w:t>
            </w:r>
          </w:p>
        </w:tc>
      </w:tr>
      <w:tr w14:paraId="06E9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78" w:type="dxa"/>
            <w:vAlign w:val="center"/>
          </w:tcPr>
          <w:p w14:paraId="145227E0">
            <w:pPr>
              <w:jc w:val="center"/>
              <w:rPr>
                <w:rFonts w:ascii="宋体" w:hAnsi="宋体" w:cs="宋体"/>
                <w:b/>
                <w:bCs/>
                <w:color w:val="auto"/>
                <w:szCs w:val="21"/>
              </w:rPr>
            </w:pPr>
            <w:r>
              <w:rPr>
                <w:rFonts w:hint="eastAsia" w:ascii="宋体" w:hAnsi="宋体" w:cs="宋体"/>
                <w:b/>
                <w:bCs/>
                <w:color w:val="auto"/>
                <w:szCs w:val="21"/>
              </w:rPr>
              <w:t>7</w:t>
            </w:r>
          </w:p>
        </w:tc>
        <w:tc>
          <w:tcPr>
            <w:tcW w:w="1485" w:type="dxa"/>
            <w:vAlign w:val="center"/>
          </w:tcPr>
          <w:p w14:paraId="6F4F0D67">
            <w:pPr>
              <w:jc w:val="center"/>
              <w:rPr>
                <w:rFonts w:hAnsi="宋体" w:cs="宋体"/>
                <w:b/>
                <w:color w:val="auto"/>
                <w:szCs w:val="21"/>
                <w:lang w:bidi="ar"/>
              </w:rPr>
            </w:pPr>
            <w:r>
              <w:rPr>
                <w:rFonts w:hint="eastAsia" w:ascii="宋体" w:hAnsi="宋体" w:cs="宋体"/>
                <w:b/>
                <w:bCs/>
                <w:color w:val="auto"/>
                <w:szCs w:val="21"/>
              </w:rPr>
              <w:t>投入人员情况（3分）</w:t>
            </w:r>
          </w:p>
        </w:tc>
        <w:tc>
          <w:tcPr>
            <w:tcW w:w="5655" w:type="dxa"/>
            <w:vAlign w:val="top"/>
          </w:tcPr>
          <w:p w14:paraId="50C0FA08">
            <w:pPr>
              <w:rPr>
                <w:rFonts w:ascii="宋体" w:hAnsi="宋体" w:cs="宋体"/>
                <w:color w:val="auto"/>
                <w:szCs w:val="21"/>
              </w:rPr>
            </w:pPr>
            <w:r>
              <w:rPr>
                <w:rFonts w:hint="eastAsia" w:ascii="宋体" w:hAnsi="宋体" w:cs="宋体"/>
                <w:color w:val="auto"/>
                <w:szCs w:val="21"/>
              </w:rPr>
              <w:t>每提供1名具有污水处理工（员）证及电工证的，得1.5分，本项最高得3分。</w:t>
            </w:r>
          </w:p>
          <w:p w14:paraId="30AEA106">
            <w:pPr>
              <w:rPr>
                <w:rFonts w:ascii="宋体" w:hAnsi="宋体" w:cs="宋体"/>
                <w:b/>
                <w:bCs/>
                <w:color w:val="auto"/>
                <w:kern w:val="0"/>
                <w:sz w:val="22"/>
                <w:szCs w:val="22"/>
                <w:lang w:bidi="ar"/>
              </w:rPr>
            </w:pPr>
            <w:r>
              <w:rPr>
                <w:rFonts w:hint="eastAsia" w:ascii="宋体" w:hAnsi="宋体" w:cs="宋体"/>
                <w:b/>
                <w:bCs/>
                <w:color w:val="auto"/>
                <w:szCs w:val="21"/>
              </w:rPr>
              <w:t>注：提供相关证明材料，同时提供以上人员投标截止日前3个月内任意1个月在供应商单位缴纳社保的证明材料，不提供不得分。</w:t>
            </w:r>
          </w:p>
        </w:tc>
        <w:tc>
          <w:tcPr>
            <w:tcW w:w="855" w:type="dxa"/>
            <w:vAlign w:val="center"/>
          </w:tcPr>
          <w:p w14:paraId="5FFAB38B">
            <w:pPr>
              <w:jc w:val="center"/>
              <w:rPr>
                <w:rFonts w:ascii="宋体" w:hAnsi="宋体" w:cs="宋体"/>
                <w:color w:val="auto"/>
                <w:szCs w:val="21"/>
              </w:rPr>
            </w:pPr>
            <w:r>
              <w:rPr>
                <w:rFonts w:hint="eastAsia" w:ascii="宋体" w:hAnsi="宋体" w:cs="宋体"/>
                <w:color w:val="auto"/>
                <w:szCs w:val="21"/>
              </w:rPr>
              <w:t>3分</w:t>
            </w:r>
          </w:p>
        </w:tc>
        <w:tc>
          <w:tcPr>
            <w:tcW w:w="810" w:type="dxa"/>
            <w:vAlign w:val="center"/>
          </w:tcPr>
          <w:p w14:paraId="61AB1F8A">
            <w:pPr>
              <w:widowControl/>
              <w:spacing w:line="192" w:lineRule="auto"/>
              <w:jc w:val="center"/>
              <w:textAlignment w:val="center"/>
              <w:rPr>
                <w:rFonts w:hAnsi="Calibri"/>
                <w:color w:val="auto"/>
                <w:szCs w:val="21"/>
              </w:rPr>
            </w:pPr>
          </w:p>
        </w:tc>
        <w:tc>
          <w:tcPr>
            <w:tcW w:w="1005" w:type="dxa"/>
            <w:shd w:val="clear" w:color="auto" w:fill="auto"/>
            <w:vAlign w:val="center"/>
          </w:tcPr>
          <w:p w14:paraId="5DAF4EDB">
            <w:pPr>
              <w:spacing w:line="240" w:lineRule="exact"/>
              <w:jc w:val="center"/>
              <w:textAlignment w:val="center"/>
              <w:rPr>
                <w:color w:val="auto"/>
              </w:rPr>
            </w:pPr>
            <w:r>
              <w:rPr>
                <w:rFonts w:hint="eastAsia"/>
                <w:color w:val="auto"/>
              </w:rPr>
              <w:t>第   页</w:t>
            </w:r>
          </w:p>
        </w:tc>
      </w:tr>
      <w:tr w14:paraId="3F9F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78" w:type="dxa"/>
            <w:vAlign w:val="center"/>
          </w:tcPr>
          <w:p w14:paraId="287E41E5">
            <w:pPr>
              <w:jc w:val="center"/>
              <w:rPr>
                <w:rFonts w:ascii="宋体" w:hAnsi="宋体" w:cs="宋体"/>
                <w:b/>
                <w:bCs/>
                <w:color w:val="auto"/>
                <w:szCs w:val="21"/>
              </w:rPr>
            </w:pPr>
            <w:r>
              <w:rPr>
                <w:rFonts w:hint="eastAsia" w:ascii="宋体" w:hAnsi="宋体" w:cs="宋体"/>
                <w:b/>
                <w:bCs/>
                <w:color w:val="auto"/>
                <w:szCs w:val="21"/>
              </w:rPr>
              <w:t>8</w:t>
            </w:r>
          </w:p>
        </w:tc>
        <w:tc>
          <w:tcPr>
            <w:tcW w:w="1485" w:type="dxa"/>
            <w:vAlign w:val="center"/>
          </w:tcPr>
          <w:p w14:paraId="2B266603">
            <w:pPr>
              <w:jc w:val="center"/>
              <w:textAlignment w:val="center"/>
              <w:rPr>
                <w:rFonts w:ascii="宋体" w:hAnsi="宋体" w:cs="宋体"/>
                <w:b/>
                <w:bCs/>
                <w:color w:val="auto"/>
                <w:szCs w:val="21"/>
                <w:lang w:bidi="ar"/>
              </w:rPr>
            </w:pPr>
            <w:r>
              <w:rPr>
                <w:rFonts w:hint="eastAsia" w:ascii="宋体" w:hAnsi="宋体" w:cs="宋体"/>
                <w:b/>
                <w:bCs/>
                <w:color w:val="auto"/>
                <w:szCs w:val="21"/>
                <w:lang w:bidi="ar"/>
              </w:rPr>
              <w:t>价格分</w:t>
            </w:r>
          </w:p>
          <w:p w14:paraId="4B309EBC">
            <w:pPr>
              <w:jc w:val="center"/>
              <w:rPr>
                <w:rFonts w:hAnsi="宋体" w:cs="宋体"/>
                <w:b/>
                <w:color w:val="auto"/>
                <w:szCs w:val="21"/>
                <w:lang w:bidi="ar"/>
              </w:rPr>
            </w:pPr>
            <w:r>
              <w:rPr>
                <w:rFonts w:hint="eastAsia" w:ascii="宋体" w:hAnsi="宋体" w:cs="宋体"/>
                <w:b/>
                <w:bCs/>
                <w:color w:val="auto"/>
                <w:szCs w:val="21"/>
                <w:lang w:bidi="ar"/>
              </w:rPr>
              <w:t>（25分）</w:t>
            </w:r>
          </w:p>
        </w:tc>
        <w:tc>
          <w:tcPr>
            <w:tcW w:w="5655" w:type="dxa"/>
            <w:vAlign w:val="top"/>
          </w:tcPr>
          <w:p w14:paraId="611580C4">
            <w:pPr>
              <w:rPr>
                <w:rFonts w:ascii="宋体" w:hAnsi="宋体" w:cs="宋体"/>
                <w:b/>
                <w:bCs/>
                <w:color w:val="auto"/>
                <w:kern w:val="0"/>
                <w:sz w:val="22"/>
                <w:szCs w:val="22"/>
                <w:lang w:bidi="ar"/>
              </w:rPr>
            </w:pPr>
            <w:r>
              <w:rPr>
                <w:rFonts w:hint="eastAsia" w:ascii="宋体" w:hAnsi="宋体" w:cs="宋体"/>
                <w:color w:val="auto"/>
                <w:szCs w:val="21"/>
                <w:lang w:bidi="ar"/>
              </w:rPr>
              <w:t>本项目的价格分：通过本项目审查且报价最低的报价为评审基准价，其价格分为满分。报价得分 = （评审基准价/最终报价）×价格权值</w:t>
            </w:r>
          </w:p>
        </w:tc>
        <w:tc>
          <w:tcPr>
            <w:tcW w:w="855" w:type="dxa"/>
            <w:vAlign w:val="center"/>
          </w:tcPr>
          <w:p w14:paraId="7A6CBA60">
            <w:pPr>
              <w:jc w:val="center"/>
              <w:rPr>
                <w:rFonts w:ascii="宋体" w:hAnsi="宋体" w:cs="宋体"/>
                <w:color w:val="auto"/>
                <w:szCs w:val="21"/>
              </w:rPr>
            </w:pPr>
            <w:r>
              <w:rPr>
                <w:rFonts w:hint="eastAsia" w:ascii="宋体" w:hAnsi="宋体" w:cs="宋体"/>
                <w:color w:val="auto"/>
                <w:szCs w:val="21"/>
              </w:rPr>
              <w:t>25分</w:t>
            </w:r>
          </w:p>
        </w:tc>
        <w:tc>
          <w:tcPr>
            <w:tcW w:w="810" w:type="dxa"/>
            <w:vAlign w:val="center"/>
          </w:tcPr>
          <w:p w14:paraId="31AE45AA">
            <w:pPr>
              <w:widowControl/>
              <w:spacing w:line="192" w:lineRule="auto"/>
              <w:jc w:val="center"/>
              <w:textAlignment w:val="center"/>
              <w:rPr>
                <w:rFonts w:hAnsi="Calibri"/>
                <w:color w:val="auto"/>
                <w:szCs w:val="21"/>
              </w:rPr>
            </w:pPr>
            <w:r>
              <w:rPr>
                <w:rFonts w:hint="eastAsia" w:hAnsi="Calibri"/>
                <w:color w:val="auto"/>
                <w:szCs w:val="21"/>
              </w:rPr>
              <w:t>/</w:t>
            </w:r>
          </w:p>
        </w:tc>
        <w:tc>
          <w:tcPr>
            <w:tcW w:w="1005" w:type="dxa"/>
            <w:shd w:val="clear" w:color="auto" w:fill="auto"/>
            <w:vAlign w:val="center"/>
          </w:tcPr>
          <w:p w14:paraId="098E3DC2">
            <w:pPr>
              <w:spacing w:line="240" w:lineRule="exact"/>
              <w:jc w:val="center"/>
              <w:textAlignment w:val="center"/>
              <w:rPr>
                <w:color w:val="auto"/>
              </w:rPr>
            </w:pPr>
            <w:r>
              <w:rPr>
                <w:rFonts w:hint="eastAsia"/>
                <w:color w:val="auto"/>
              </w:rPr>
              <w:t>/</w:t>
            </w:r>
          </w:p>
        </w:tc>
      </w:tr>
      <w:tr w14:paraId="0673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718" w:type="dxa"/>
            <w:gridSpan w:val="3"/>
            <w:vAlign w:val="center"/>
          </w:tcPr>
          <w:p w14:paraId="46613C56">
            <w:pPr>
              <w:jc w:val="center"/>
              <w:rPr>
                <w:rFonts w:hint="eastAsia" w:ascii="宋体" w:hAnsi="宋体" w:eastAsia="宋体" w:cs="宋体"/>
                <w:color w:val="auto"/>
                <w:szCs w:val="21"/>
                <w:lang w:val="en-US" w:eastAsia="zh-CN" w:bidi="ar"/>
              </w:rPr>
            </w:pPr>
            <w:r>
              <w:rPr>
                <w:rFonts w:hint="eastAsia" w:ascii="Times New Roman" w:hAnsi="Times New Roman" w:eastAsia="宋体" w:cs="Times New Roman"/>
                <w:b/>
                <w:bCs/>
                <w:color w:val="auto"/>
                <w:sz w:val="21"/>
                <w:szCs w:val="21"/>
                <w:lang w:val="en-US" w:eastAsia="zh-CN" w:bidi="ar"/>
              </w:rPr>
              <w:t>合   计</w:t>
            </w:r>
          </w:p>
        </w:tc>
        <w:tc>
          <w:tcPr>
            <w:tcW w:w="855" w:type="dxa"/>
            <w:vAlign w:val="center"/>
          </w:tcPr>
          <w:p w14:paraId="0518034F">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100分</w:t>
            </w:r>
          </w:p>
        </w:tc>
        <w:tc>
          <w:tcPr>
            <w:tcW w:w="810" w:type="dxa"/>
            <w:vAlign w:val="center"/>
          </w:tcPr>
          <w:p w14:paraId="323048C4">
            <w:pPr>
              <w:widowControl/>
              <w:spacing w:line="192" w:lineRule="auto"/>
              <w:jc w:val="center"/>
              <w:textAlignment w:val="center"/>
              <w:rPr>
                <w:rFonts w:hint="eastAsia" w:hAnsi="Calibri" w:eastAsia="宋体"/>
                <w:color w:val="auto"/>
                <w:szCs w:val="21"/>
                <w:lang w:val="en-US" w:eastAsia="zh-CN"/>
              </w:rPr>
            </w:pPr>
            <w:r>
              <w:rPr>
                <w:rFonts w:hint="eastAsia" w:hAnsi="Calibri"/>
                <w:color w:val="auto"/>
                <w:szCs w:val="21"/>
                <w:lang w:val="en-US" w:eastAsia="zh-CN"/>
              </w:rPr>
              <w:t>/</w:t>
            </w:r>
          </w:p>
        </w:tc>
        <w:tc>
          <w:tcPr>
            <w:tcW w:w="1005" w:type="dxa"/>
            <w:shd w:val="clear" w:color="auto" w:fill="auto"/>
            <w:vAlign w:val="center"/>
          </w:tcPr>
          <w:p w14:paraId="26D5FAFD">
            <w:pPr>
              <w:spacing w:line="240" w:lineRule="exact"/>
              <w:jc w:val="center"/>
              <w:textAlignment w:val="center"/>
              <w:rPr>
                <w:rFonts w:hint="eastAsia" w:eastAsia="宋体"/>
                <w:color w:val="auto"/>
                <w:lang w:val="en-US" w:eastAsia="zh-CN"/>
              </w:rPr>
            </w:pPr>
            <w:r>
              <w:rPr>
                <w:rFonts w:hint="eastAsia"/>
                <w:color w:val="auto"/>
                <w:lang w:val="en-US" w:eastAsia="zh-CN"/>
              </w:rPr>
              <w:t>/</w:t>
            </w:r>
          </w:p>
        </w:tc>
      </w:tr>
    </w:tbl>
    <w:p w14:paraId="6866AC47">
      <w:pPr>
        <w:pStyle w:val="37"/>
        <w:tabs>
          <w:tab w:val="left" w:pos="1050"/>
          <w:tab w:val="center" w:pos="4535"/>
        </w:tabs>
        <w:jc w:val="right"/>
        <w:rPr>
          <w:rFonts w:ascii="Calibri" w:hAnsi="Calibri"/>
          <w:color w:val="auto"/>
          <w:kern w:val="2"/>
          <w:sz w:val="21"/>
          <w:szCs w:val="21"/>
          <w:lang w:val="zh-CN"/>
        </w:rPr>
      </w:pPr>
      <w:r>
        <w:rPr>
          <w:rFonts w:hint="eastAsia" w:ascii="Calibri" w:hAnsi="Calibri"/>
          <w:b/>
          <w:bCs/>
          <w:color w:val="auto"/>
          <w:kern w:val="2"/>
          <w:sz w:val="21"/>
          <w:szCs w:val="21"/>
          <w:lang w:val="zh-CN"/>
        </w:rPr>
        <w:t>重要提示：请供应商认真核对上述条目相关资料提供情况，并标明页内码，以利于评委评审时快速查对。</w:t>
      </w:r>
      <w:r>
        <w:rPr>
          <w:rFonts w:hint="eastAsia" w:ascii="Calibri" w:hAnsi="Calibri"/>
          <w:color w:val="auto"/>
          <w:kern w:val="2"/>
          <w:sz w:val="21"/>
          <w:szCs w:val="21"/>
        </w:rPr>
        <w:t xml:space="preserve"> 供应商</w:t>
      </w:r>
      <w:r>
        <w:rPr>
          <w:rFonts w:hint="eastAsia" w:ascii="Calibri" w:hAnsi="Calibri"/>
          <w:color w:val="auto"/>
          <w:kern w:val="2"/>
          <w:sz w:val="21"/>
          <w:szCs w:val="21"/>
          <w:lang w:val="zh-CN"/>
        </w:rPr>
        <w:t>名称（加盖公章）：</w:t>
      </w:r>
    </w:p>
    <w:p w14:paraId="5857D05B">
      <w:pPr>
        <w:pStyle w:val="37"/>
        <w:tabs>
          <w:tab w:val="left" w:pos="1050"/>
          <w:tab w:val="center" w:pos="4535"/>
        </w:tabs>
        <w:jc w:val="right"/>
        <w:rPr>
          <w:b/>
          <w:bCs/>
          <w:color w:val="auto"/>
          <w:sz w:val="21"/>
          <w:szCs w:val="21"/>
        </w:rPr>
      </w:pPr>
      <w:r>
        <w:rPr>
          <w:rFonts w:hint="eastAsia" w:ascii="Calibri" w:hAnsi="Calibri"/>
          <w:color w:val="auto"/>
          <w:kern w:val="2"/>
          <w:sz w:val="21"/>
          <w:szCs w:val="21"/>
        </w:rPr>
        <w:t xml:space="preserve"> </w:t>
      </w:r>
      <w:r>
        <w:rPr>
          <w:rFonts w:hint="eastAsia" w:ascii="Calibri" w:hAnsi="Calibri"/>
          <w:color w:val="auto"/>
          <w:kern w:val="2"/>
          <w:sz w:val="21"/>
          <w:szCs w:val="21"/>
          <w:lang w:val="zh-CN"/>
        </w:rPr>
        <w:t>日期：   年   月   日</w:t>
      </w:r>
    </w:p>
    <w:p w14:paraId="5E978B0F">
      <w:pPr>
        <w:spacing w:line="360" w:lineRule="auto"/>
        <w:jc w:val="left"/>
        <w:rPr>
          <w:rFonts w:hint="eastAsia" w:ascii="宋体" w:hAnsi="宋体" w:cs="宋体"/>
          <w:b/>
          <w:bCs/>
          <w:color w:val="auto"/>
          <w:szCs w:val="21"/>
        </w:rPr>
      </w:pPr>
    </w:p>
    <w:p w14:paraId="1BE24691">
      <w:pPr>
        <w:spacing w:line="360" w:lineRule="auto"/>
        <w:jc w:val="left"/>
        <w:rPr>
          <w:rFonts w:ascii="宋体" w:hAnsi="宋体" w:cs="宋体"/>
          <w:b/>
          <w:bCs/>
          <w:color w:val="auto"/>
          <w:szCs w:val="21"/>
        </w:rPr>
      </w:pPr>
      <w:r>
        <w:rPr>
          <w:rFonts w:hint="eastAsia" w:ascii="宋体" w:hAnsi="宋体" w:cs="宋体"/>
          <w:b/>
          <w:bCs/>
          <w:color w:val="auto"/>
          <w:szCs w:val="21"/>
        </w:rPr>
        <w:t>2.2报价及承诺</w:t>
      </w:r>
      <w:bookmarkStart w:id="369" w:name="_Toc17193"/>
      <w:bookmarkStart w:id="370" w:name="_Toc5184"/>
      <w:bookmarkStart w:id="371" w:name="_Toc337"/>
      <w:bookmarkStart w:id="372" w:name="_Toc6121"/>
      <w:bookmarkStart w:id="373" w:name="_Toc8677"/>
      <w:bookmarkStart w:id="374" w:name="_Toc6838"/>
      <w:bookmarkStart w:id="375" w:name="_Toc21593"/>
    </w:p>
    <w:p w14:paraId="4DF92F7B">
      <w:pPr>
        <w:pStyle w:val="5"/>
        <w:ind w:firstLine="0"/>
        <w:jc w:val="center"/>
        <w:outlineLvl w:val="0"/>
        <w:rPr>
          <w:rFonts w:hint="eastAsia" w:ascii="宋体" w:hAnsi="宋体" w:cs="宋体"/>
          <w:b/>
          <w:bCs/>
          <w:color w:val="auto"/>
          <w:sz w:val="32"/>
          <w:szCs w:val="32"/>
        </w:rPr>
      </w:pPr>
      <w:bookmarkStart w:id="376" w:name="_Toc12731"/>
      <w:bookmarkStart w:id="377" w:name="_Toc24486"/>
      <w:bookmarkStart w:id="378" w:name="_Toc13386"/>
      <w:bookmarkStart w:id="379" w:name="_Toc31486"/>
      <w:bookmarkStart w:id="380" w:name="_Toc5160"/>
      <w:bookmarkStart w:id="381" w:name="_Toc10856"/>
      <w:bookmarkStart w:id="382" w:name="_Toc31467"/>
      <w:bookmarkStart w:id="383" w:name="_Toc1133"/>
      <w:r>
        <w:rPr>
          <w:rFonts w:hint="eastAsia" w:ascii="宋体" w:hAnsi="宋体" w:cs="宋体"/>
          <w:b/>
          <w:bCs/>
          <w:color w:val="auto"/>
          <w:sz w:val="32"/>
          <w:szCs w:val="32"/>
        </w:rPr>
        <w:t>报价</w:t>
      </w:r>
      <w:bookmarkEnd w:id="376"/>
      <w:bookmarkEnd w:id="377"/>
      <w:r>
        <w:rPr>
          <w:rFonts w:hint="eastAsia" w:ascii="宋体" w:hAnsi="宋体" w:cs="宋体"/>
          <w:b/>
          <w:bCs/>
          <w:color w:val="auto"/>
          <w:sz w:val="32"/>
          <w:szCs w:val="32"/>
        </w:rPr>
        <w:t>表</w:t>
      </w:r>
      <w:bookmarkEnd w:id="378"/>
      <w:bookmarkEnd w:id="379"/>
      <w:bookmarkEnd w:id="380"/>
      <w:bookmarkEnd w:id="381"/>
      <w:bookmarkEnd w:id="382"/>
      <w:bookmarkEnd w:id="383"/>
    </w:p>
    <w:tbl>
      <w:tblPr>
        <w:tblStyle w:val="24"/>
        <w:tblW w:w="4998"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860"/>
        <w:gridCol w:w="4179"/>
        <w:gridCol w:w="2625"/>
      </w:tblGrid>
      <w:tr w14:paraId="3C1E50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019" w:hRule="atLeast"/>
        </w:trPr>
        <w:tc>
          <w:tcPr>
            <w:tcW w:w="1480" w:type="pct"/>
            <w:tcBorders>
              <w:right w:val="single" w:color="000000" w:sz="4" w:space="0"/>
            </w:tcBorders>
            <w:noWrap w:val="0"/>
            <w:vAlign w:val="center"/>
          </w:tcPr>
          <w:p w14:paraId="57219249">
            <w:pPr>
              <w:ind w:left="634" w:right="616"/>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内容</w:t>
            </w:r>
          </w:p>
        </w:tc>
        <w:tc>
          <w:tcPr>
            <w:tcW w:w="2162" w:type="pct"/>
            <w:tcBorders>
              <w:left w:val="single" w:color="000000" w:sz="4" w:space="0"/>
              <w:right w:val="single" w:color="000000" w:sz="4" w:space="0"/>
            </w:tcBorders>
            <w:noWrap w:val="0"/>
            <w:vAlign w:val="center"/>
          </w:tcPr>
          <w:p w14:paraId="5AAF8F4F">
            <w:pPr>
              <w:spacing w:before="140"/>
              <w:ind w:right="45"/>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报价（</w:t>
            </w:r>
            <w:r>
              <w:rPr>
                <w:rFonts w:hint="eastAsia" w:ascii="宋体" w:hAnsi="宋体" w:cs="宋体"/>
                <w:b/>
                <w:bCs w:val="0"/>
                <w:color w:val="auto"/>
                <w:sz w:val="21"/>
                <w:szCs w:val="21"/>
                <w:lang w:val="zh-CN" w:bidi="zh-CN"/>
              </w:rPr>
              <w:t>人民币：</w:t>
            </w:r>
            <w:r>
              <w:rPr>
                <w:rFonts w:hint="eastAsia" w:ascii="宋体" w:hAnsi="宋体" w:eastAsia="宋体" w:cs="宋体"/>
                <w:b/>
                <w:bCs w:val="0"/>
                <w:color w:val="auto"/>
                <w:sz w:val="21"/>
                <w:szCs w:val="21"/>
                <w:lang w:val="zh-CN" w:bidi="zh-CN"/>
              </w:rPr>
              <w:t>元</w:t>
            </w:r>
            <w:r>
              <w:rPr>
                <w:rFonts w:hint="eastAsia" w:ascii="宋体" w:hAnsi="宋体" w:cs="宋体"/>
                <w:b/>
                <w:bCs w:val="0"/>
                <w:color w:val="auto"/>
                <w:sz w:val="21"/>
                <w:szCs w:val="21"/>
                <w:lang w:val="en-US" w:bidi="zh-CN"/>
              </w:rPr>
              <w:t>/年</w:t>
            </w:r>
            <w:r>
              <w:rPr>
                <w:rFonts w:hint="eastAsia" w:ascii="宋体" w:hAnsi="宋体" w:eastAsia="宋体" w:cs="宋体"/>
                <w:b/>
                <w:bCs w:val="0"/>
                <w:color w:val="auto"/>
                <w:sz w:val="21"/>
                <w:szCs w:val="21"/>
                <w:lang w:val="zh-CN" w:bidi="zh-CN"/>
              </w:rPr>
              <w:t>）</w:t>
            </w:r>
          </w:p>
        </w:tc>
        <w:tc>
          <w:tcPr>
            <w:tcW w:w="1357" w:type="pct"/>
            <w:tcBorders>
              <w:left w:val="single" w:color="000000" w:sz="4" w:space="0"/>
            </w:tcBorders>
            <w:noWrap w:val="0"/>
            <w:vAlign w:val="center"/>
          </w:tcPr>
          <w:p w14:paraId="10D7D054">
            <w:pPr>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备注</w:t>
            </w:r>
          </w:p>
        </w:tc>
      </w:tr>
      <w:tr w14:paraId="09CE0B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480" w:type="pct"/>
            <w:tcBorders>
              <w:top w:val="single" w:color="000000" w:sz="4" w:space="0"/>
              <w:bottom w:val="single" w:color="000000" w:sz="4" w:space="0"/>
              <w:right w:val="single" w:color="000000" w:sz="4" w:space="0"/>
            </w:tcBorders>
            <w:noWrap w:val="0"/>
            <w:vAlign w:val="center"/>
          </w:tcPr>
          <w:p w14:paraId="296F66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1"/>
                <w:szCs w:val="21"/>
                <w:lang w:val="zh-CN" w:bidi="zh-CN"/>
              </w:rPr>
            </w:pPr>
            <w:r>
              <w:rPr>
                <w:rFonts w:hint="eastAsia" w:ascii="Arial" w:hAnsi="Arial" w:cs="Arial"/>
                <w:bCs/>
                <w:color w:val="auto"/>
                <w:lang w:val="zh-CN"/>
              </w:rPr>
              <w:t>南方医科大学第五附属医院污水处理系统维护保养服务项目</w:t>
            </w:r>
          </w:p>
        </w:tc>
        <w:tc>
          <w:tcPr>
            <w:tcW w:w="2162" w:type="pct"/>
            <w:tcBorders>
              <w:top w:val="single" w:color="000000" w:sz="4" w:space="0"/>
              <w:left w:val="single" w:color="000000" w:sz="4" w:space="0"/>
              <w:bottom w:val="single" w:color="000000" w:sz="4" w:space="0"/>
              <w:right w:val="single" w:color="000000" w:sz="4" w:space="0"/>
            </w:tcBorders>
            <w:noWrap w:val="0"/>
            <w:vAlign w:val="center"/>
          </w:tcPr>
          <w:p w14:paraId="70A99F33">
            <w:pPr>
              <w:spacing w:before="86" w:line="364" w:lineRule="auto"/>
              <w:ind w:right="188"/>
              <w:jc w:val="both"/>
              <w:rPr>
                <w:rFonts w:hint="eastAsia" w:ascii="宋体" w:hAnsi="宋体" w:eastAsia="宋体" w:cs="宋体"/>
                <w:b w:val="0"/>
                <w:bCs/>
                <w:color w:val="auto"/>
                <w:sz w:val="21"/>
                <w:szCs w:val="21"/>
                <w:lang w:val="zh-CN" w:eastAsia="zh-CN" w:bidi="zh-CN"/>
              </w:rPr>
            </w:pPr>
            <w:r>
              <w:rPr>
                <w:rFonts w:hint="eastAsia" w:ascii="宋体" w:hAnsi="宋体" w:eastAsia="宋体" w:cs="宋体"/>
                <w:b w:val="0"/>
                <w:bCs/>
                <w:color w:val="auto"/>
                <w:sz w:val="21"/>
                <w:szCs w:val="21"/>
                <w:lang w:val="zh-CN" w:eastAsia="zh-CN" w:bidi="zh-CN"/>
              </w:rPr>
              <w:t>大写：</w:t>
            </w:r>
          </w:p>
          <w:p w14:paraId="3AA1B41A">
            <w:pPr>
              <w:spacing w:before="86" w:line="364" w:lineRule="auto"/>
              <w:ind w:right="188"/>
              <w:jc w:val="both"/>
              <w:rPr>
                <w:rFonts w:hint="eastAsia" w:ascii="宋体" w:hAnsi="宋体" w:eastAsia="宋体" w:cs="宋体"/>
                <w:b w:val="0"/>
                <w:bCs/>
                <w:color w:val="auto"/>
                <w:sz w:val="21"/>
                <w:szCs w:val="21"/>
                <w:lang w:val="zh-CN" w:eastAsia="zh-CN" w:bidi="zh-CN"/>
              </w:rPr>
            </w:pPr>
          </w:p>
          <w:p w14:paraId="6ED07DEE">
            <w:pPr>
              <w:spacing w:before="86" w:line="364" w:lineRule="auto"/>
              <w:ind w:right="188"/>
              <w:jc w:val="both"/>
              <w:rPr>
                <w:rFonts w:hint="eastAsia" w:ascii="宋体" w:hAnsi="宋体" w:eastAsia="宋体" w:cs="宋体"/>
                <w:b w:val="0"/>
                <w:bCs/>
                <w:color w:val="auto"/>
                <w:w w:val="99"/>
                <w:sz w:val="21"/>
                <w:szCs w:val="21"/>
                <w:lang w:val="zh-CN" w:bidi="zh-CN"/>
              </w:rPr>
            </w:pPr>
            <w:r>
              <w:rPr>
                <w:rFonts w:hint="eastAsia" w:ascii="宋体" w:hAnsi="宋体" w:eastAsia="宋体" w:cs="宋体"/>
                <w:b w:val="0"/>
                <w:bCs/>
                <w:color w:val="auto"/>
                <w:sz w:val="21"/>
                <w:szCs w:val="21"/>
                <w:lang w:val="zh-CN" w:eastAsia="zh-CN" w:bidi="zh-CN"/>
              </w:rPr>
              <w:t>小写：￥</w:t>
            </w:r>
            <w:r>
              <w:rPr>
                <w:rFonts w:hint="eastAsia" w:ascii="宋体" w:hAnsi="宋体" w:eastAsia="宋体" w:cs="宋体"/>
                <w:b w:val="0"/>
                <w:bCs/>
                <w:color w:val="auto"/>
                <w:w w:val="99"/>
                <w:sz w:val="21"/>
                <w:szCs w:val="21"/>
                <w:lang w:val="zh-CN" w:bidi="zh-CN"/>
              </w:rPr>
              <w:t xml:space="preserve">                         </w:t>
            </w:r>
          </w:p>
        </w:tc>
        <w:tc>
          <w:tcPr>
            <w:tcW w:w="1357" w:type="pct"/>
            <w:tcBorders>
              <w:top w:val="single" w:color="000000" w:sz="4" w:space="0"/>
              <w:left w:val="single" w:color="000000" w:sz="4" w:space="0"/>
              <w:bottom w:val="single" w:color="000000" w:sz="4" w:space="0"/>
            </w:tcBorders>
            <w:noWrap w:val="0"/>
            <w:vAlign w:val="center"/>
          </w:tcPr>
          <w:p w14:paraId="6548E50A">
            <w:pPr>
              <w:spacing w:before="86" w:line="364" w:lineRule="auto"/>
              <w:ind w:right="188"/>
              <w:jc w:val="center"/>
              <w:rPr>
                <w:rFonts w:hint="eastAsia" w:ascii="宋体" w:hAnsi="宋体" w:eastAsia="宋体" w:cs="宋体"/>
                <w:b w:val="0"/>
                <w:bCs/>
                <w:color w:val="auto"/>
                <w:sz w:val="21"/>
                <w:szCs w:val="21"/>
                <w:lang w:val="zh-CN" w:bidi="zh-CN"/>
              </w:rPr>
            </w:pPr>
            <w:r>
              <w:rPr>
                <w:rFonts w:hint="eastAsia" w:ascii="宋体" w:hAnsi="宋体" w:eastAsia="宋体" w:cs="宋体"/>
                <w:b w:val="0"/>
                <w:bCs/>
                <w:color w:val="auto"/>
                <w:sz w:val="21"/>
                <w:szCs w:val="21"/>
                <w:lang w:val="zh-CN" w:eastAsia="zh-CN" w:bidi="zh-CN"/>
              </w:rPr>
              <w:t>服务期两</w:t>
            </w:r>
            <w:r>
              <w:rPr>
                <w:rFonts w:hint="eastAsia" w:ascii="宋体" w:hAnsi="宋体" w:eastAsia="宋体" w:cs="宋体"/>
                <w:b w:val="0"/>
                <w:bCs/>
                <w:color w:val="auto"/>
                <w:sz w:val="21"/>
                <w:szCs w:val="21"/>
                <w:lang w:val="zh-CN" w:bidi="zh-CN"/>
              </w:rPr>
              <w:t>年</w:t>
            </w:r>
          </w:p>
        </w:tc>
      </w:tr>
      <w:tr w14:paraId="74BFF0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5000" w:type="pct"/>
            <w:gridSpan w:val="3"/>
            <w:tcBorders>
              <w:top w:val="single" w:color="000000" w:sz="4" w:space="0"/>
            </w:tcBorders>
            <w:noWrap w:val="0"/>
            <w:vAlign w:val="center"/>
          </w:tcPr>
          <w:p w14:paraId="4FBD97E8">
            <w:pPr>
              <w:spacing w:before="86" w:line="364" w:lineRule="auto"/>
              <w:ind w:right="188"/>
              <w:jc w:val="left"/>
              <w:rPr>
                <w:rFonts w:hint="eastAsia" w:ascii="宋体" w:hAnsi="宋体" w:cs="宋体"/>
                <w:b w:val="0"/>
                <w:bCs/>
                <w:color w:val="auto"/>
                <w:sz w:val="21"/>
                <w:szCs w:val="21"/>
                <w:lang w:val="zh-CN" w:eastAsia="zh-CN" w:bidi="zh-CN"/>
              </w:rPr>
            </w:pPr>
            <w:r>
              <w:rPr>
                <w:rFonts w:hint="eastAsia" w:ascii="宋体" w:hAnsi="宋体" w:cs="宋体"/>
                <w:b w:val="0"/>
                <w:bCs/>
                <w:color w:val="auto"/>
                <w:sz w:val="21"/>
                <w:szCs w:val="21"/>
                <w:lang w:val="zh-CN" w:eastAsia="zh-CN" w:bidi="zh-CN"/>
              </w:rPr>
              <w:t>总合计（两年）人民币大写：</w:t>
            </w:r>
          </w:p>
          <w:p w14:paraId="5A0174A0">
            <w:pPr>
              <w:pStyle w:val="33"/>
              <w:jc w:val="left"/>
              <w:rPr>
                <w:rFonts w:hint="default"/>
                <w:color w:val="auto"/>
                <w:lang w:val="en-US" w:eastAsia="zh-CN"/>
              </w:rPr>
            </w:pPr>
            <w:r>
              <w:rPr>
                <w:rFonts w:hint="eastAsia" w:ascii="宋体" w:hAnsi="宋体" w:cs="宋体"/>
                <w:b w:val="0"/>
                <w:bCs/>
                <w:color w:val="auto"/>
                <w:sz w:val="21"/>
                <w:szCs w:val="21"/>
                <w:lang w:val="en-US" w:eastAsia="zh-CN" w:bidi="zh-CN"/>
              </w:rPr>
              <w:t xml:space="preserve">                    小写：</w:t>
            </w:r>
            <w:r>
              <w:rPr>
                <w:rFonts w:hint="eastAsia" w:ascii="宋体" w:hAnsi="宋体" w:eastAsia="宋体" w:cs="宋体"/>
                <w:b w:val="0"/>
                <w:bCs/>
                <w:color w:val="auto"/>
                <w:sz w:val="21"/>
                <w:szCs w:val="21"/>
                <w:lang w:val="zh-CN" w:eastAsia="zh-CN" w:bidi="zh-CN"/>
              </w:rPr>
              <w:t>￥</w:t>
            </w:r>
          </w:p>
        </w:tc>
      </w:tr>
    </w:tbl>
    <w:p w14:paraId="16BE7A41">
      <w:pPr>
        <w:spacing w:line="365" w:lineRule="auto"/>
        <w:ind w:right="221"/>
        <w:rPr>
          <w:rFonts w:hAnsi="宋体" w:cs="宋体"/>
          <w:b/>
          <w:bCs/>
          <w:color w:val="auto"/>
          <w:spacing w:val="-3"/>
          <w:lang w:val="zh-CN" w:bidi="zh-CN"/>
        </w:rPr>
      </w:pPr>
    </w:p>
    <w:p w14:paraId="7BF7543A">
      <w:pPr>
        <w:pStyle w:val="5"/>
        <w:keepNext w:val="0"/>
        <w:keepLines w:val="0"/>
        <w:pageBreakBefore w:val="0"/>
        <w:kinsoku/>
        <w:wordWrap/>
        <w:overflowPunct/>
        <w:topLinePunct w:val="0"/>
        <w:autoSpaceDE/>
        <w:autoSpaceDN/>
        <w:bidi w:val="0"/>
        <w:spacing w:line="360" w:lineRule="exact"/>
        <w:ind w:left="0" w:leftChars="0" w:firstLine="410" w:firstLineChars="200"/>
        <w:textAlignment w:val="auto"/>
        <w:rPr>
          <w:rFonts w:hAnsi="宋体" w:cs="宋体"/>
          <w:b/>
          <w:bCs/>
          <w:color w:val="auto"/>
          <w:spacing w:val="-3"/>
          <w:lang w:val="zh-CN" w:bidi="zh-CN"/>
        </w:rPr>
      </w:pPr>
      <w:r>
        <w:rPr>
          <w:rFonts w:hAnsi="宋体" w:cs="宋体"/>
          <w:b/>
          <w:bCs/>
          <w:color w:val="auto"/>
          <w:spacing w:val="-3"/>
          <w:lang w:val="zh-CN" w:bidi="zh-CN"/>
        </w:rPr>
        <w:t>备注：</w:t>
      </w:r>
    </w:p>
    <w:p w14:paraId="1A21E559">
      <w:pPr>
        <w:pStyle w:val="5"/>
        <w:keepNext w:val="0"/>
        <w:keepLines w:val="0"/>
        <w:pageBreakBefore w:val="0"/>
        <w:numPr>
          <w:ilvl w:val="0"/>
          <w:numId w:val="0"/>
        </w:numPr>
        <w:kinsoku/>
        <w:wordWrap/>
        <w:overflowPunct/>
        <w:topLinePunct w:val="0"/>
        <w:autoSpaceDE/>
        <w:autoSpaceDN/>
        <w:bidi w:val="0"/>
        <w:spacing w:line="360" w:lineRule="auto"/>
        <w:ind w:left="0" w:leftChars="0" w:firstLine="41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Times New Roman" w:hAnsi="宋体" w:eastAsia="宋体" w:cs="宋体"/>
          <w:b/>
          <w:bCs/>
          <w:color w:val="auto"/>
          <w:spacing w:val="-3"/>
          <w:kern w:val="2"/>
          <w:sz w:val="21"/>
          <w:szCs w:val="24"/>
          <w:lang w:val="en-US" w:eastAsia="zh-CN" w:bidi="zh-CN"/>
        </w:rPr>
        <w:t>1.</w:t>
      </w:r>
      <w:r>
        <w:rPr>
          <w:rFonts w:hint="eastAsia" w:ascii="宋体" w:hAnsi="宋体" w:eastAsia="宋体" w:cs="宋体"/>
          <w:b/>
          <w:bCs/>
          <w:color w:val="auto"/>
          <w:kern w:val="2"/>
          <w:sz w:val="21"/>
          <w:szCs w:val="21"/>
          <w:lang w:val="en-US" w:eastAsia="zh-CN" w:bidi="ar-SA"/>
        </w:rPr>
        <w:t>温馨提示（金额大写）：</w:t>
      </w:r>
      <w:r>
        <w:rPr>
          <w:rFonts w:hint="eastAsia" w:ascii="宋体" w:hAnsi="宋体" w:eastAsia="宋体" w:cs="宋体"/>
          <w:b w:val="0"/>
          <w:bCs w:val="0"/>
          <w:color w:val="auto"/>
          <w:kern w:val="2"/>
          <w:sz w:val="21"/>
          <w:szCs w:val="21"/>
          <w:lang w:val="en-US" w:eastAsia="zh-CN" w:bidi="ar-SA"/>
        </w:rPr>
        <w:t>壹、贰、叁、肆、伍、陆、柒、捌、玖、拾 、佰、仟、万。</w:t>
      </w:r>
    </w:p>
    <w:p w14:paraId="5F43F6A0">
      <w:pPr>
        <w:pStyle w:val="13"/>
        <w:tabs>
          <w:tab w:val="left" w:pos="2340"/>
        </w:tabs>
        <w:adjustRightInd w:val="0"/>
        <w:snapToGrid w:val="0"/>
        <w:spacing w:line="360" w:lineRule="auto"/>
        <w:ind w:firstLine="410" w:firstLineChars="200"/>
        <w:rPr>
          <w:rFonts w:hint="eastAsia" w:ascii="宋体" w:hAnsi="宋体" w:eastAsia="宋体" w:cs="宋体"/>
          <w:color w:val="auto"/>
          <w:sz w:val="21"/>
          <w:szCs w:val="21"/>
          <w:highlight w:val="none"/>
          <w:u w:val="none"/>
        </w:rPr>
      </w:pPr>
      <w:r>
        <w:rPr>
          <w:rFonts w:hint="eastAsia" w:hAnsi="宋体" w:eastAsia="宋体" w:cs="宋体"/>
          <w:b/>
          <w:bCs/>
          <w:color w:val="auto"/>
          <w:spacing w:val="-3"/>
          <w:kern w:val="2"/>
          <w:sz w:val="21"/>
          <w:szCs w:val="24"/>
          <w:lang w:val="en-US" w:eastAsia="zh-CN" w:bidi="zh-CN"/>
        </w:rPr>
        <w:t>2.报价说明：</w:t>
      </w:r>
      <w:r>
        <w:rPr>
          <w:rFonts w:hint="eastAsia" w:ascii="宋体" w:hAnsi="宋体" w:eastAsia="宋体" w:cs="宋体"/>
          <w:color w:val="auto"/>
          <w:sz w:val="21"/>
          <w:szCs w:val="21"/>
          <w:highlight w:val="none"/>
          <w:u w:val="none"/>
        </w:rPr>
        <w:t>价格包含但不限于污水处理系统设备维护保养费用、环保管家、在线监测设备所需的药剂、人工费、单次维修或更换3000元以下（含3000元）零配件费用、调试、</w:t>
      </w:r>
      <w:r>
        <w:rPr>
          <w:rFonts w:hint="eastAsia" w:hAnsi="宋体" w:cs="宋体"/>
          <w:color w:val="auto"/>
          <w:sz w:val="21"/>
          <w:szCs w:val="21"/>
          <w:highlight w:val="none"/>
          <w:u w:val="none"/>
          <w:lang w:val="en-US" w:eastAsia="zh-CN"/>
        </w:rPr>
        <w:t>各种</w:t>
      </w:r>
      <w:r>
        <w:rPr>
          <w:rFonts w:hint="eastAsia" w:ascii="宋体" w:hAnsi="宋体" w:eastAsia="宋体" w:cs="宋体"/>
          <w:color w:val="auto"/>
          <w:sz w:val="21"/>
          <w:szCs w:val="21"/>
          <w:highlight w:val="none"/>
          <w:u w:val="none"/>
        </w:rPr>
        <w:t>税费等一切费用。</w:t>
      </w:r>
    </w:p>
    <w:p w14:paraId="3303356B">
      <w:pPr>
        <w:pStyle w:val="5"/>
        <w:keepNext w:val="0"/>
        <w:keepLines w:val="0"/>
        <w:pageBreakBefore w:val="0"/>
        <w:numPr>
          <w:ilvl w:val="0"/>
          <w:numId w:val="0"/>
        </w:numPr>
        <w:kinsoku/>
        <w:wordWrap/>
        <w:overflowPunct/>
        <w:topLinePunct w:val="0"/>
        <w:autoSpaceDE/>
        <w:autoSpaceDN/>
        <w:bidi w:val="0"/>
        <w:spacing w:line="360" w:lineRule="exact"/>
        <w:ind w:leftChars="200"/>
        <w:textAlignment w:val="auto"/>
        <w:rPr>
          <w:rFonts w:hint="default" w:ascii="Times New Roman" w:hAnsi="宋体" w:eastAsia="宋体" w:cs="宋体"/>
          <w:b/>
          <w:bCs/>
          <w:color w:val="auto"/>
          <w:spacing w:val="-3"/>
          <w:kern w:val="2"/>
          <w:sz w:val="21"/>
          <w:szCs w:val="24"/>
          <w:lang w:val="en-US" w:eastAsia="zh-CN" w:bidi="zh-CN"/>
        </w:rPr>
      </w:pPr>
    </w:p>
    <w:p w14:paraId="3B7D07C6">
      <w:pPr>
        <w:pStyle w:val="33"/>
        <w:keepNext w:val="0"/>
        <w:keepLines w:val="0"/>
        <w:pageBreakBefore w:val="0"/>
        <w:kinsoku/>
        <w:wordWrap/>
        <w:overflowPunct/>
        <w:topLinePunct w:val="0"/>
        <w:autoSpaceDE/>
        <w:autoSpaceDN/>
        <w:bidi w:val="0"/>
        <w:spacing w:line="360" w:lineRule="exact"/>
        <w:ind w:firstLine="420" w:firstLineChars="0"/>
        <w:textAlignment w:val="auto"/>
        <w:rPr>
          <w:rFonts w:hint="eastAsia" w:ascii="宋体" w:hAnsi="宋体" w:eastAsia="宋体" w:cs="宋体"/>
          <w:b/>
          <w:color w:val="auto"/>
          <w:kern w:val="2"/>
          <w:sz w:val="21"/>
          <w:szCs w:val="21"/>
          <w:lang w:val="en-US" w:eastAsia="zh-CN" w:bidi="ar-SA"/>
        </w:rPr>
      </w:pPr>
      <w:r>
        <w:rPr>
          <w:rFonts w:hint="eastAsia" w:hAnsi="宋体" w:eastAsia="宋体" w:cs="宋体"/>
          <w:b/>
          <w:bCs/>
          <w:color w:val="auto"/>
          <w:spacing w:val="-3"/>
          <w:kern w:val="2"/>
          <w:sz w:val="21"/>
          <w:szCs w:val="24"/>
          <w:lang w:val="en-US" w:eastAsia="zh-CN" w:bidi="zh-CN"/>
        </w:rPr>
        <w:t>3</w:t>
      </w:r>
      <w:r>
        <w:rPr>
          <w:rFonts w:hint="eastAsia" w:ascii="Times New Roman" w:hAnsi="宋体" w:eastAsia="宋体" w:cs="宋体"/>
          <w:b/>
          <w:bCs/>
          <w:color w:val="auto"/>
          <w:spacing w:val="-3"/>
          <w:kern w:val="2"/>
          <w:sz w:val="21"/>
          <w:szCs w:val="24"/>
          <w:lang w:val="en-US" w:eastAsia="zh-CN" w:bidi="zh-CN"/>
        </w:rPr>
        <w:t>.其他承</w:t>
      </w:r>
      <w:r>
        <w:rPr>
          <w:rFonts w:hint="eastAsia" w:ascii="宋体" w:hAnsi="宋体" w:eastAsia="宋体" w:cs="宋体"/>
          <w:b/>
          <w:color w:val="auto"/>
          <w:kern w:val="2"/>
          <w:sz w:val="21"/>
          <w:szCs w:val="21"/>
          <w:lang w:val="en-US" w:eastAsia="zh-CN" w:bidi="ar-SA"/>
        </w:rPr>
        <w:t>诺：</w:t>
      </w:r>
    </w:p>
    <w:p w14:paraId="032C803E">
      <w:pPr>
        <w:widowControl/>
        <w:spacing w:line="360" w:lineRule="auto"/>
        <w:jc w:val="left"/>
        <w:rPr>
          <w:rFonts w:hint="eastAsia" w:ascii="宋体" w:hAnsi="宋体"/>
          <w:color w:val="auto"/>
          <w:sz w:val="21"/>
          <w:szCs w:val="21"/>
          <w:lang w:eastAsia="zh-CN"/>
        </w:rPr>
      </w:pPr>
    </w:p>
    <w:p w14:paraId="0EF36587">
      <w:pPr>
        <w:widowControl/>
        <w:spacing w:line="360" w:lineRule="auto"/>
        <w:jc w:val="left"/>
        <w:rPr>
          <w:rFonts w:hint="eastAsia" w:ascii="宋体" w:hAnsi="宋体"/>
          <w:color w:val="auto"/>
          <w:sz w:val="21"/>
          <w:szCs w:val="21"/>
          <w:lang w:eastAsia="zh-CN"/>
        </w:rPr>
      </w:pPr>
    </w:p>
    <w:p w14:paraId="6EE039FE">
      <w:pPr>
        <w:widowControl/>
        <w:spacing w:line="360" w:lineRule="auto"/>
        <w:jc w:val="left"/>
        <w:rPr>
          <w:rFonts w:hint="eastAsia" w:ascii="宋体" w:hAnsi="宋体"/>
          <w:color w:val="auto"/>
          <w:sz w:val="21"/>
          <w:szCs w:val="21"/>
          <w:lang w:eastAsia="zh-CN"/>
        </w:rPr>
      </w:pPr>
    </w:p>
    <w:p w14:paraId="091EAB1C">
      <w:pPr>
        <w:widowControl/>
        <w:spacing w:line="360" w:lineRule="auto"/>
        <w:jc w:val="center"/>
        <w:rPr>
          <w:rFonts w:hint="eastAsia" w:ascii="宋体" w:hAnsi="宋体"/>
          <w:color w:val="auto"/>
          <w:sz w:val="21"/>
          <w:szCs w:val="21"/>
          <w:lang w:eastAsia="zh-CN"/>
        </w:rPr>
      </w:pPr>
    </w:p>
    <w:p w14:paraId="199EB50C">
      <w:pPr>
        <w:widowControl/>
        <w:spacing w:line="360" w:lineRule="auto"/>
        <w:ind w:firstLine="4410" w:firstLineChars="2100"/>
        <w:jc w:val="left"/>
        <w:rPr>
          <w:rFonts w:hint="eastAsia" w:ascii="宋体" w:hAnsi="宋体"/>
          <w:color w:val="auto"/>
          <w:sz w:val="21"/>
          <w:szCs w:val="21"/>
          <w:lang w:eastAsia="zh-CN"/>
        </w:rPr>
      </w:pPr>
    </w:p>
    <w:p w14:paraId="44669CD1">
      <w:pPr>
        <w:widowControl/>
        <w:spacing w:line="360" w:lineRule="auto"/>
        <w:ind w:firstLine="4410" w:firstLineChars="2100"/>
        <w:jc w:val="left"/>
        <w:rPr>
          <w:rFonts w:hint="eastAsia" w:ascii="宋体" w:hAnsi="宋体"/>
          <w:color w:val="auto"/>
          <w:sz w:val="21"/>
          <w:szCs w:val="21"/>
        </w:rPr>
      </w:pPr>
      <w:r>
        <w:rPr>
          <w:rFonts w:hint="eastAsia" w:ascii="宋体" w:hAnsi="宋体"/>
          <w:color w:val="auto"/>
          <w:sz w:val="21"/>
          <w:szCs w:val="21"/>
          <w:lang w:val="en-US" w:eastAsia="zh-CN"/>
        </w:rPr>
        <w:t>供应商名称（公章）</w:t>
      </w:r>
      <w:r>
        <w:rPr>
          <w:rFonts w:hint="eastAsia" w:ascii="宋体" w:hAnsi="宋体"/>
          <w:color w:val="auto"/>
          <w:sz w:val="21"/>
          <w:szCs w:val="21"/>
          <w:lang w:eastAsia="zh-CN"/>
        </w:rPr>
        <w:t>：</w:t>
      </w:r>
    </w:p>
    <w:p w14:paraId="1536FC34">
      <w:pPr>
        <w:widowControl/>
        <w:spacing w:line="360" w:lineRule="auto"/>
        <w:ind w:firstLine="3990" w:firstLineChars="1900"/>
        <w:jc w:val="both"/>
        <w:rPr>
          <w:rFonts w:hint="eastAsia" w:ascii="宋体" w:hAnsi="宋体"/>
          <w:color w:val="auto"/>
          <w:sz w:val="21"/>
          <w:szCs w:val="21"/>
        </w:rPr>
      </w:pPr>
      <w:r>
        <w:rPr>
          <w:rFonts w:hint="eastAsia" w:ascii="宋体" w:hAnsi="宋体"/>
          <w:color w:val="auto"/>
          <w:sz w:val="21"/>
          <w:szCs w:val="21"/>
          <w:lang w:val="en-US" w:eastAsia="zh-CN"/>
        </w:rPr>
        <w:t>供应商</w:t>
      </w:r>
      <w:r>
        <w:rPr>
          <w:rFonts w:hint="eastAsia" w:ascii="宋体" w:hAnsi="宋体"/>
          <w:color w:val="auto"/>
          <w:sz w:val="21"/>
          <w:szCs w:val="21"/>
        </w:rPr>
        <w:t xml:space="preserve">法定代表人或授权代表签名：              </w:t>
      </w:r>
    </w:p>
    <w:p w14:paraId="3119E2E9">
      <w:pPr>
        <w:widowControl/>
        <w:spacing w:line="360" w:lineRule="auto"/>
        <w:ind w:firstLine="5880" w:firstLineChars="2800"/>
        <w:jc w:val="both"/>
        <w:rPr>
          <w:rFonts w:hint="eastAsia" w:ascii="宋体" w:hAnsi="宋体"/>
          <w:color w:val="auto"/>
          <w:sz w:val="21"/>
          <w:szCs w:val="21"/>
        </w:rPr>
      </w:pPr>
      <w:r>
        <w:rPr>
          <w:rFonts w:hint="eastAsia" w:ascii="宋体" w:hAnsi="宋体"/>
          <w:color w:val="auto"/>
          <w:sz w:val="21"/>
          <w:szCs w:val="21"/>
        </w:rPr>
        <w:t>日</w:t>
      </w:r>
      <w:r>
        <w:rPr>
          <w:rFonts w:hint="eastAsia" w:ascii="宋体" w:hAnsi="宋体"/>
          <w:color w:val="auto"/>
          <w:sz w:val="21"/>
          <w:szCs w:val="21"/>
          <w:lang w:val="en-US" w:eastAsia="zh-CN"/>
        </w:rPr>
        <w:t xml:space="preserve">  </w:t>
      </w:r>
      <w:r>
        <w:rPr>
          <w:rFonts w:hint="eastAsia" w:ascii="宋体" w:hAnsi="宋体"/>
          <w:color w:val="auto"/>
          <w:sz w:val="21"/>
          <w:szCs w:val="21"/>
        </w:rPr>
        <w:t>期：</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年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月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日</w:t>
      </w:r>
    </w:p>
    <w:p w14:paraId="0F5615F9">
      <w:pPr>
        <w:spacing w:line="360" w:lineRule="auto"/>
        <w:jc w:val="left"/>
        <w:rPr>
          <w:rFonts w:ascii="宋体" w:hAnsi="宋体" w:cs="宋体"/>
          <w:b/>
          <w:bCs/>
          <w:color w:val="auto"/>
          <w:szCs w:val="21"/>
        </w:rPr>
      </w:pPr>
    </w:p>
    <w:p w14:paraId="2D8FC091">
      <w:pPr>
        <w:spacing w:line="360" w:lineRule="auto"/>
        <w:jc w:val="left"/>
        <w:rPr>
          <w:rFonts w:ascii="宋体" w:hAnsi="宋体" w:cs="宋体"/>
          <w:b/>
          <w:bCs/>
          <w:color w:val="auto"/>
          <w:szCs w:val="21"/>
        </w:rPr>
      </w:pPr>
    </w:p>
    <w:p w14:paraId="55BE1EC3">
      <w:pPr>
        <w:spacing w:line="360" w:lineRule="auto"/>
        <w:jc w:val="left"/>
        <w:rPr>
          <w:rFonts w:ascii="宋体" w:hAnsi="宋体" w:cs="宋体"/>
          <w:b/>
          <w:bCs/>
          <w:color w:val="auto"/>
          <w:szCs w:val="21"/>
        </w:rPr>
      </w:pPr>
    </w:p>
    <w:p w14:paraId="4A1C4C8E">
      <w:pPr>
        <w:spacing w:line="360" w:lineRule="auto"/>
        <w:jc w:val="left"/>
        <w:rPr>
          <w:rFonts w:ascii="宋体" w:hAnsi="宋体" w:cs="宋体"/>
          <w:b/>
          <w:bCs/>
          <w:color w:val="auto"/>
          <w:szCs w:val="21"/>
        </w:rPr>
      </w:pPr>
    </w:p>
    <w:p w14:paraId="55A76571">
      <w:pPr>
        <w:spacing w:line="360" w:lineRule="auto"/>
        <w:jc w:val="left"/>
        <w:rPr>
          <w:rFonts w:ascii="宋体" w:hAnsi="宋体" w:cs="宋体"/>
          <w:b/>
          <w:bCs/>
          <w:color w:val="auto"/>
          <w:szCs w:val="21"/>
        </w:rPr>
      </w:pPr>
    </w:p>
    <w:p w14:paraId="1D43D728">
      <w:pPr>
        <w:spacing w:line="360" w:lineRule="auto"/>
        <w:jc w:val="left"/>
        <w:rPr>
          <w:rFonts w:ascii="宋体" w:hAnsi="宋体" w:cs="宋体"/>
          <w:b/>
          <w:bCs/>
          <w:color w:val="auto"/>
          <w:szCs w:val="21"/>
        </w:rPr>
      </w:pPr>
    </w:p>
    <w:p w14:paraId="504B85C0">
      <w:pPr>
        <w:spacing w:line="360" w:lineRule="auto"/>
        <w:jc w:val="left"/>
        <w:rPr>
          <w:rFonts w:ascii="宋体" w:hAnsi="宋体" w:cs="宋体"/>
          <w:b/>
          <w:bCs/>
          <w:color w:val="auto"/>
          <w:szCs w:val="21"/>
        </w:rPr>
      </w:pPr>
    </w:p>
    <w:p w14:paraId="5720B299">
      <w:pPr>
        <w:spacing w:line="360" w:lineRule="auto"/>
        <w:jc w:val="left"/>
        <w:rPr>
          <w:rFonts w:ascii="宋体" w:hAnsi="宋体" w:cs="宋体"/>
          <w:b/>
          <w:bCs/>
          <w:color w:val="auto"/>
          <w:szCs w:val="21"/>
        </w:rPr>
      </w:pPr>
    </w:p>
    <w:p w14:paraId="6D3893AB">
      <w:pPr>
        <w:spacing w:line="360" w:lineRule="auto"/>
        <w:jc w:val="left"/>
        <w:rPr>
          <w:rFonts w:ascii="宋体" w:hAnsi="宋体" w:cs="宋体"/>
          <w:b/>
          <w:bCs/>
          <w:color w:val="auto"/>
          <w:szCs w:val="21"/>
        </w:rPr>
      </w:pPr>
    </w:p>
    <w:bookmarkEnd w:id="369"/>
    <w:bookmarkEnd w:id="370"/>
    <w:bookmarkEnd w:id="371"/>
    <w:bookmarkEnd w:id="372"/>
    <w:bookmarkEnd w:id="373"/>
    <w:bookmarkEnd w:id="374"/>
    <w:bookmarkEnd w:id="375"/>
    <w:p w14:paraId="7F804BEB">
      <w:pPr>
        <w:spacing w:line="320" w:lineRule="atLeast"/>
        <w:jc w:val="left"/>
        <w:rPr>
          <w:rFonts w:ascii="宋体" w:hAnsi="宋体" w:cs="宋体"/>
          <w:b/>
          <w:bCs/>
          <w:color w:val="auto"/>
          <w:szCs w:val="21"/>
        </w:rPr>
      </w:pPr>
      <w:r>
        <w:rPr>
          <w:rFonts w:hint="eastAsia" w:ascii="宋体" w:hAnsi="宋体" w:cs="宋体"/>
          <w:b/>
          <w:bCs/>
          <w:color w:val="auto"/>
          <w:szCs w:val="21"/>
        </w:rPr>
        <w:t>2.3 采购需求偏离表</w:t>
      </w:r>
    </w:p>
    <w:p w14:paraId="3D57A290">
      <w:pPr>
        <w:spacing w:line="360" w:lineRule="atLeast"/>
        <w:jc w:val="center"/>
        <w:rPr>
          <w:rFonts w:ascii="宋体" w:hAnsi="宋体" w:cs="宋体"/>
          <w:b/>
          <w:bCs/>
          <w:color w:val="auto"/>
          <w:szCs w:val="21"/>
        </w:rPr>
      </w:pPr>
    </w:p>
    <w:p w14:paraId="7DD8B1BF">
      <w:pPr>
        <w:spacing w:line="360" w:lineRule="atLeast"/>
        <w:jc w:val="center"/>
        <w:rPr>
          <w:rFonts w:ascii="宋体" w:hAnsi="宋体" w:cs="宋体"/>
          <w:b/>
          <w:bCs/>
          <w:color w:val="auto"/>
          <w:sz w:val="28"/>
          <w:szCs w:val="28"/>
        </w:rPr>
      </w:pPr>
      <w:r>
        <w:rPr>
          <w:rFonts w:hint="eastAsia" w:ascii="宋体" w:hAnsi="宋体" w:cs="宋体"/>
          <w:b/>
          <w:bCs/>
          <w:color w:val="auto"/>
          <w:sz w:val="28"/>
          <w:szCs w:val="28"/>
        </w:rPr>
        <w:t>采购需求偏离表</w:t>
      </w:r>
    </w:p>
    <w:p w14:paraId="125598F6">
      <w:pPr>
        <w:spacing w:line="360" w:lineRule="atLeast"/>
        <w:rPr>
          <w:rFonts w:ascii="宋体" w:hAnsi="宋体"/>
          <w:b/>
          <w:color w:val="auto"/>
          <w:szCs w:val="21"/>
        </w:rPr>
      </w:pPr>
      <w:r>
        <w:rPr>
          <w:rFonts w:hint="eastAsia" w:ascii="宋体" w:hAnsi="宋体"/>
          <w:b/>
          <w:color w:val="auto"/>
          <w:szCs w:val="21"/>
        </w:rPr>
        <w:t>★”的条款均为必须完全满足指标，供应商须进行实质性响应，供应商若有一项带“★”的条款未响应或不满足，将按无效投标处理。</w:t>
      </w:r>
    </w:p>
    <w:p w14:paraId="0CD0CCB3">
      <w:pPr>
        <w:spacing w:line="360" w:lineRule="atLeast"/>
        <w:rPr>
          <w:rFonts w:ascii="宋体" w:hAnsi="宋体"/>
          <w:b/>
          <w:color w:val="auto"/>
          <w:szCs w:val="21"/>
        </w:rPr>
      </w:pPr>
      <w:r>
        <w:rPr>
          <w:rFonts w:hint="eastAsia" w:ascii="宋体" w:hAnsi="宋体"/>
          <w:b/>
          <w:color w:val="auto"/>
          <w:szCs w:val="21"/>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1617A0A3">
      <w:pPr>
        <w:spacing w:line="360" w:lineRule="atLeast"/>
        <w:rPr>
          <w:rFonts w:ascii="宋体" w:hAnsi="宋体"/>
          <w:b/>
          <w:color w:val="auto"/>
          <w:szCs w:val="21"/>
        </w:rPr>
      </w:pPr>
      <w:r>
        <w:rPr>
          <w:rFonts w:hint="eastAsia" w:ascii="宋体" w:hAnsi="宋体"/>
          <w:b/>
          <w:color w:val="auto"/>
          <w:szCs w:val="21"/>
        </w:rPr>
        <w:t>无偏离：所投产品/服务响应采购文件需求；</w:t>
      </w:r>
    </w:p>
    <w:p w14:paraId="1673E8B6">
      <w:pPr>
        <w:spacing w:line="360" w:lineRule="atLeast"/>
        <w:rPr>
          <w:rFonts w:ascii="宋体" w:hAnsi="宋体"/>
          <w:b/>
          <w:color w:val="auto"/>
          <w:szCs w:val="21"/>
        </w:rPr>
      </w:pPr>
      <w:r>
        <w:rPr>
          <w:rFonts w:hint="eastAsia" w:ascii="宋体" w:hAnsi="宋体"/>
          <w:b/>
          <w:color w:val="auto"/>
          <w:szCs w:val="21"/>
        </w:rPr>
        <w:t>正偏离：所投产品/服务优于/高于采购文件需求；</w:t>
      </w:r>
    </w:p>
    <w:p w14:paraId="47C22C06">
      <w:pPr>
        <w:spacing w:line="360" w:lineRule="atLeast"/>
        <w:rPr>
          <w:rFonts w:ascii="宋体" w:hAnsi="宋体"/>
          <w:b/>
          <w:color w:val="auto"/>
          <w:szCs w:val="21"/>
        </w:rPr>
      </w:pPr>
      <w:r>
        <w:rPr>
          <w:rFonts w:hint="eastAsia" w:ascii="宋体" w:hAnsi="宋体"/>
          <w:b/>
          <w:color w:val="auto"/>
          <w:szCs w:val="21"/>
        </w:rPr>
        <w:t>负偏离：所投产品/服务不符合采购文件需求。</w:t>
      </w:r>
    </w:p>
    <w:p w14:paraId="29918118">
      <w:pPr>
        <w:spacing w:line="360" w:lineRule="atLeast"/>
        <w:rPr>
          <w:rFonts w:ascii="宋体" w:hAnsi="宋体"/>
          <w:b/>
          <w:color w:val="auto"/>
          <w:szCs w:val="21"/>
        </w:rPr>
      </w:pPr>
      <w:r>
        <w:rPr>
          <w:rFonts w:hint="eastAsia" w:ascii="宋体" w:hAnsi="宋体"/>
          <w:b/>
          <w:color w:val="auto"/>
          <w:szCs w:val="21"/>
        </w:rPr>
        <w:t>本表所列条款必须一一予以响应，“响应文件实际响应”一栏应填写具体的响应内容。</w:t>
      </w:r>
      <w:r>
        <w:rPr>
          <w:rFonts w:hint="eastAsia" w:ascii="宋体" w:hAnsi="宋体"/>
          <w:b/>
          <w:color w:val="auto"/>
          <w:szCs w:val="21"/>
          <w:lang w:val="en-GB"/>
        </w:rPr>
        <w:t>如无偏离则</w:t>
      </w:r>
      <w:r>
        <w:rPr>
          <w:rFonts w:hint="eastAsia" w:ascii="宋体" w:hAnsi="宋体"/>
          <w:b/>
          <w:color w:val="auto"/>
          <w:szCs w:val="21"/>
        </w:rPr>
        <w:t>在“偏离差异说明”一栏中填写“无”；有偏离则在“偏离差异说明”一栏填写具体说明。</w:t>
      </w:r>
    </w:p>
    <w:p w14:paraId="3567A7B0">
      <w:pPr>
        <w:spacing w:line="360" w:lineRule="atLeast"/>
        <w:rPr>
          <w:b/>
          <w:bCs/>
          <w:color w:val="auto"/>
          <w:szCs w:val="21"/>
        </w:rPr>
      </w:pPr>
      <w:r>
        <w:rPr>
          <w:rFonts w:hint="eastAsia" w:ascii="宋体" w:hAnsi="宋体" w:cs="宋体"/>
          <w:b/>
          <w:bCs/>
          <w:color w:val="auto"/>
          <w:szCs w:val="21"/>
        </w:rPr>
        <w:t>一、服务期限条款响应表</w:t>
      </w:r>
    </w:p>
    <w:tbl>
      <w:tblPr>
        <w:tblStyle w:val="24"/>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2211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083F636">
            <w:pPr>
              <w:spacing w:line="240" w:lineRule="atLeast"/>
              <w:rPr>
                <w:b/>
                <w:bCs/>
                <w:color w:val="auto"/>
                <w:szCs w:val="21"/>
              </w:rPr>
            </w:pPr>
            <w:r>
              <w:rPr>
                <w:b/>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230993A4">
            <w:pPr>
              <w:spacing w:line="240" w:lineRule="atLeast"/>
              <w:rPr>
                <w:b/>
                <w:bCs/>
                <w:color w:val="auto"/>
                <w:szCs w:val="21"/>
              </w:rPr>
            </w:pPr>
            <w:r>
              <w:rPr>
                <w:rFonts w:hint="eastAsia"/>
                <w:b/>
                <w:bCs/>
                <w:color w:val="auto"/>
                <w:szCs w:val="21"/>
              </w:rPr>
              <w:t>采购文件的要求</w:t>
            </w:r>
          </w:p>
        </w:tc>
        <w:tc>
          <w:tcPr>
            <w:tcW w:w="1417" w:type="dxa"/>
            <w:tcBorders>
              <w:top w:val="single" w:color="auto" w:sz="4" w:space="0"/>
              <w:left w:val="single" w:color="auto" w:sz="4" w:space="0"/>
              <w:bottom w:val="single" w:color="auto" w:sz="4" w:space="0"/>
              <w:right w:val="single" w:color="auto" w:sz="4" w:space="0"/>
            </w:tcBorders>
            <w:vAlign w:val="center"/>
          </w:tcPr>
          <w:p w14:paraId="3C4FB9CF">
            <w:pPr>
              <w:spacing w:line="240" w:lineRule="atLeast"/>
              <w:rPr>
                <w:b/>
                <w:bCs/>
                <w:color w:val="auto"/>
                <w:szCs w:val="21"/>
              </w:rPr>
            </w:pPr>
            <w:r>
              <w:rPr>
                <w:rFonts w:hint="eastAsia"/>
                <w:b/>
                <w:bCs/>
                <w:color w:val="auto"/>
                <w:szCs w:val="21"/>
              </w:rPr>
              <w:t>响应文件实际响应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7E23F4F9">
            <w:pPr>
              <w:spacing w:line="240" w:lineRule="atLeast"/>
              <w:ind w:firstLine="211" w:firstLineChars="100"/>
              <w:jc w:val="center"/>
              <w:rPr>
                <w:color w:val="auto"/>
                <w:szCs w:val="21"/>
              </w:rPr>
            </w:pPr>
            <w:r>
              <w:rPr>
                <w:rFonts w:ascii="Arial" w:hAnsi="Arial" w:cs="Arial"/>
                <w:b/>
                <w:color w:val="auto"/>
                <w:szCs w:val="21"/>
              </w:rPr>
              <w:t>是否偏离</w:t>
            </w:r>
          </w:p>
          <w:p w14:paraId="0DF7A360">
            <w:pPr>
              <w:spacing w:line="240" w:lineRule="atLeast"/>
              <w:jc w:val="center"/>
              <w:rPr>
                <w:color w:val="auto"/>
                <w:szCs w:val="21"/>
              </w:rPr>
            </w:pPr>
            <w:r>
              <w:rPr>
                <w:color w:val="auto"/>
                <w:szCs w:val="21"/>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16625A3C">
            <w:pPr>
              <w:spacing w:line="240" w:lineRule="atLeast"/>
              <w:rPr>
                <w:rFonts w:ascii="宋体" w:hAnsi="宋体" w:cs="宋体"/>
                <w:b/>
                <w:bCs/>
                <w:color w:val="auto"/>
                <w:kern w:val="0"/>
                <w:szCs w:val="21"/>
              </w:rPr>
            </w:pPr>
            <w:r>
              <w:rPr>
                <w:rFonts w:hint="eastAsia" w:ascii="宋体" w:hAnsi="宋体" w:cs="宋体"/>
                <w:b/>
                <w:bCs/>
                <w:color w:val="auto"/>
                <w:kern w:val="0"/>
                <w:szCs w:val="21"/>
              </w:rPr>
              <w:t>偏离差异</w:t>
            </w:r>
          </w:p>
          <w:p w14:paraId="20084A81">
            <w:pPr>
              <w:spacing w:line="240" w:lineRule="atLeast"/>
              <w:rPr>
                <w:color w:val="auto"/>
                <w:szCs w:val="21"/>
              </w:rPr>
            </w:pPr>
            <w:r>
              <w:rPr>
                <w:rFonts w:hint="eastAsia" w:ascii="宋体" w:hAnsi="宋体" w:cs="宋体"/>
                <w:b/>
                <w:bCs/>
                <w:color w:val="auto"/>
                <w:kern w:val="0"/>
                <w:szCs w:val="21"/>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2E4729C9">
            <w:pPr>
              <w:spacing w:line="240" w:lineRule="atLeast"/>
              <w:rPr>
                <w:color w:val="auto"/>
                <w:szCs w:val="21"/>
              </w:rPr>
            </w:pPr>
            <w:r>
              <w:rPr>
                <w:rFonts w:hint="eastAsia" w:ascii="宋体" w:hAnsi="宋体" w:cs="宋体"/>
                <w:b/>
                <w:bCs/>
                <w:color w:val="auto"/>
                <w:kern w:val="0"/>
                <w:szCs w:val="21"/>
              </w:rPr>
              <w:t>证明文件索引</w:t>
            </w:r>
          </w:p>
        </w:tc>
      </w:tr>
      <w:tr w14:paraId="6713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6931914">
            <w:pPr>
              <w:spacing w:line="360" w:lineRule="atLeast"/>
              <w:rPr>
                <w:color w:val="auto"/>
                <w:szCs w:val="21"/>
              </w:rPr>
            </w:pPr>
            <w:r>
              <w:rPr>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70E2E6CB">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B4AA914">
            <w:pPr>
              <w:spacing w:line="360" w:lineRule="atLeast"/>
              <w:rPr>
                <w:color w:val="auto"/>
                <w:szCs w:val="21"/>
              </w:rPr>
            </w:pPr>
          </w:p>
        </w:tc>
        <w:tc>
          <w:tcPr>
            <w:tcW w:w="2572" w:type="dxa"/>
            <w:tcBorders>
              <w:top w:val="single" w:color="auto" w:sz="4" w:space="0"/>
              <w:left w:val="single" w:color="auto" w:sz="4" w:space="0"/>
              <w:bottom w:val="single" w:color="auto" w:sz="4" w:space="0"/>
              <w:right w:val="single" w:color="auto" w:sz="4" w:space="0"/>
            </w:tcBorders>
            <w:vAlign w:val="center"/>
          </w:tcPr>
          <w:p w14:paraId="41ECFE16">
            <w:pPr>
              <w:spacing w:line="360" w:lineRule="atLeast"/>
              <w:rPr>
                <w:color w:val="auto"/>
                <w:szCs w:val="21"/>
              </w:rPr>
            </w:pPr>
          </w:p>
        </w:tc>
        <w:tc>
          <w:tcPr>
            <w:tcW w:w="1372" w:type="dxa"/>
            <w:tcBorders>
              <w:top w:val="single" w:color="auto" w:sz="4" w:space="0"/>
              <w:left w:val="single" w:color="auto" w:sz="4" w:space="0"/>
              <w:bottom w:val="single" w:color="auto" w:sz="4" w:space="0"/>
              <w:right w:val="single" w:color="auto" w:sz="4" w:space="0"/>
            </w:tcBorders>
            <w:vAlign w:val="center"/>
          </w:tcPr>
          <w:p w14:paraId="24FBC1A1">
            <w:pPr>
              <w:spacing w:line="360" w:lineRule="atLeast"/>
              <w:rPr>
                <w:color w:val="auto"/>
                <w:szCs w:val="21"/>
              </w:rPr>
            </w:pPr>
          </w:p>
        </w:tc>
        <w:tc>
          <w:tcPr>
            <w:tcW w:w="1974" w:type="dxa"/>
            <w:tcBorders>
              <w:top w:val="single" w:color="auto" w:sz="4" w:space="0"/>
              <w:left w:val="single" w:color="auto" w:sz="4" w:space="0"/>
              <w:bottom w:val="single" w:color="auto" w:sz="4" w:space="0"/>
              <w:right w:val="single" w:color="auto" w:sz="4" w:space="0"/>
            </w:tcBorders>
            <w:vAlign w:val="center"/>
          </w:tcPr>
          <w:p w14:paraId="0AB69E8B">
            <w:pPr>
              <w:spacing w:line="360" w:lineRule="atLeast"/>
              <w:rPr>
                <w:color w:val="auto"/>
                <w:szCs w:val="21"/>
              </w:rPr>
            </w:pPr>
            <w:r>
              <w:rPr>
                <w:color w:val="auto"/>
                <w:szCs w:val="21"/>
              </w:rPr>
              <w:t>第</w:t>
            </w:r>
            <w:r>
              <w:rPr>
                <w:rFonts w:hint="eastAsia"/>
                <w:color w:val="auto"/>
                <w:szCs w:val="21"/>
              </w:rPr>
              <w:t>（   ～    ）</w:t>
            </w:r>
            <w:r>
              <w:rPr>
                <w:color w:val="auto"/>
                <w:szCs w:val="21"/>
              </w:rPr>
              <w:t>页</w:t>
            </w:r>
          </w:p>
        </w:tc>
      </w:tr>
      <w:tr w14:paraId="467F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8473018">
            <w:pPr>
              <w:spacing w:line="360" w:lineRule="atLeast"/>
              <w:rPr>
                <w:color w:val="auto"/>
                <w:szCs w:val="21"/>
              </w:rPr>
            </w:pPr>
            <w:r>
              <w:rPr>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3301D76D">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F11F3F2">
            <w:pPr>
              <w:spacing w:line="360" w:lineRule="atLeast"/>
              <w:rPr>
                <w:color w:val="auto"/>
                <w:szCs w:val="21"/>
              </w:rPr>
            </w:pPr>
          </w:p>
        </w:tc>
        <w:tc>
          <w:tcPr>
            <w:tcW w:w="2572" w:type="dxa"/>
            <w:tcBorders>
              <w:top w:val="single" w:color="auto" w:sz="4" w:space="0"/>
              <w:left w:val="single" w:color="auto" w:sz="4" w:space="0"/>
              <w:bottom w:val="single" w:color="auto" w:sz="4" w:space="0"/>
              <w:right w:val="single" w:color="auto" w:sz="4" w:space="0"/>
            </w:tcBorders>
            <w:vAlign w:val="center"/>
          </w:tcPr>
          <w:p w14:paraId="338F834E">
            <w:pPr>
              <w:spacing w:line="360" w:lineRule="atLeast"/>
              <w:rPr>
                <w:color w:val="auto"/>
                <w:szCs w:val="21"/>
              </w:rPr>
            </w:pPr>
          </w:p>
        </w:tc>
        <w:tc>
          <w:tcPr>
            <w:tcW w:w="1372" w:type="dxa"/>
            <w:tcBorders>
              <w:top w:val="single" w:color="auto" w:sz="4" w:space="0"/>
              <w:left w:val="single" w:color="auto" w:sz="4" w:space="0"/>
              <w:bottom w:val="single" w:color="auto" w:sz="4" w:space="0"/>
              <w:right w:val="single" w:color="auto" w:sz="4" w:space="0"/>
            </w:tcBorders>
            <w:vAlign w:val="center"/>
          </w:tcPr>
          <w:p w14:paraId="7616BEB1">
            <w:pPr>
              <w:spacing w:line="360" w:lineRule="atLeast"/>
              <w:rPr>
                <w:color w:val="auto"/>
                <w:szCs w:val="21"/>
              </w:rPr>
            </w:pPr>
          </w:p>
        </w:tc>
        <w:tc>
          <w:tcPr>
            <w:tcW w:w="1974" w:type="dxa"/>
            <w:tcBorders>
              <w:top w:val="single" w:color="auto" w:sz="4" w:space="0"/>
              <w:left w:val="single" w:color="auto" w:sz="4" w:space="0"/>
              <w:bottom w:val="single" w:color="auto" w:sz="4" w:space="0"/>
              <w:right w:val="single" w:color="auto" w:sz="4" w:space="0"/>
            </w:tcBorders>
            <w:vAlign w:val="center"/>
          </w:tcPr>
          <w:p w14:paraId="2AE7AD4D">
            <w:pPr>
              <w:spacing w:line="360" w:lineRule="atLeast"/>
              <w:rPr>
                <w:color w:val="auto"/>
                <w:szCs w:val="21"/>
              </w:rPr>
            </w:pPr>
            <w:r>
              <w:rPr>
                <w:color w:val="auto"/>
                <w:szCs w:val="21"/>
              </w:rPr>
              <w:t>第</w:t>
            </w:r>
            <w:r>
              <w:rPr>
                <w:rFonts w:hint="eastAsia"/>
                <w:color w:val="auto"/>
                <w:szCs w:val="21"/>
              </w:rPr>
              <w:t>（   ～    ）</w:t>
            </w:r>
            <w:r>
              <w:rPr>
                <w:color w:val="auto"/>
                <w:szCs w:val="21"/>
              </w:rPr>
              <w:t>页</w:t>
            </w:r>
          </w:p>
        </w:tc>
      </w:tr>
      <w:tr w14:paraId="7545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65AF0D9">
            <w:pPr>
              <w:spacing w:line="360" w:lineRule="atLeast"/>
              <w:rPr>
                <w:color w:val="auto"/>
                <w:szCs w:val="21"/>
              </w:rPr>
            </w:pPr>
            <w:r>
              <w:rPr>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6FA08097">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5068239">
            <w:pPr>
              <w:spacing w:line="360" w:lineRule="atLeast"/>
              <w:rPr>
                <w:color w:val="auto"/>
                <w:szCs w:val="21"/>
              </w:rPr>
            </w:pPr>
          </w:p>
        </w:tc>
        <w:tc>
          <w:tcPr>
            <w:tcW w:w="2572" w:type="dxa"/>
            <w:tcBorders>
              <w:top w:val="single" w:color="auto" w:sz="4" w:space="0"/>
              <w:left w:val="single" w:color="auto" w:sz="4" w:space="0"/>
              <w:bottom w:val="single" w:color="auto" w:sz="4" w:space="0"/>
              <w:right w:val="single" w:color="auto" w:sz="4" w:space="0"/>
            </w:tcBorders>
            <w:vAlign w:val="center"/>
          </w:tcPr>
          <w:p w14:paraId="1501C061">
            <w:pPr>
              <w:spacing w:line="360" w:lineRule="atLeast"/>
              <w:rPr>
                <w:color w:val="auto"/>
                <w:szCs w:val="21"/>
              </w:rPr>
            </w:pPr>
          </w:p>
        </w:tc>
        <w:tc>
          <w:tcPr>
            <w:tcW w:w="1372" w:type="dxa"/>
            <w:tcBorders>
              <w:top w:val="single" w:color="auto" w:sz="4" w:space="0"/>
              <w:left w:val="single" w:color="auto" w:sz="4" w:space="0"/>
              <w:bottom w:val="single" w:color="auto" w:sz="4" w:space="0"/>
              <w:right w:val="single" w:color="auto" w:sz="4" w:space="0"/>
            </w:tcBorders>
            <w:vAlign w:val="center"/>
          </w:tcPr>
          <w:p w14:paraId="2E742C06">
            <w:pPr>
              <w:spacing w:line="360" w:lineRule="atLeast"/>
              <w:rPr>
                <w:color w:val="auto"/>
                <w:szCs w:val="21"/>
              </w:rPr>
            </w:pPr>
          </w:p>
        </w:tc>
        <w:tc>
          <w:tcPr>
            <w:tcW w:w="1974" w:type="dxa"/>
            <w:tcBorders>
              <w:top w:val="single" w:color="auto" w:sz="4" w:space="0"/>
              <w:left w:val="single" w:color="auto" w:sz="4" w:space="0"/>
              <w:bottom w:val="single" w:color="auto" w:sz="4" w:space="0"/>
              <w:right w:val="single" w:color="auto" w:sz="4" w:space="0"/>
            </w:tcBorders>
            <w:vAlign w:val="center"/>
          </w:tcPr>
          <w:p w14:paraId="25449C78">
            <w:pPr>
              <w:spacing w:line="360" w:lineRule="atLeast"/>
              <w:rPr>
                <w:color w:val="auto"/>
                <w:szCs w:val="21"/>
              </w:rPr>
            </w:pPr>
            <w:r>
              <w:rPr>
                <w:color w:val="auto"/>
                <w:szCs w:val="21"/>
              </w:rPr>
              <w:t>第</w:t>
            </w:r>
            <w:r>
              <w:rPr>
                <w:rFonts w:hint="eastAsia"/>
                <w:color w:val="auto"/>
                <w:szCs w:val="21"/>
              </w:rPr>
              <w:t>（   ～    ）</w:t>
            </w:r>
            <w:r>
              <w:rPr>
                <w:color w:val="auto"/>
                <w:szCs w:val="21"/>
              </w:rPr>
              <w:t>页</w:t>
            </w:r>
          </w:p>
        </w:tc>
      </w:tr>
    </w:tbl>
    <w:p w14:paraId="57DC4AD5">
      <w:pPr>
        <w:spacing w:line="360" w:lineRule="atLeast"/>
        <w:rPr>
          <w:b/>
          <w:bCs/>
          <w:color w:val="auto"/>
          <w:szCs w:val="21"/>
        </w:rPr>
      </w:pPr>
      <w:r>
        <w:rPr>
          <w:rFonts w:hint="eastAsia"/>
          <w:b/>
          <w:bCs/>
          <w:color w:val="auto"/>
          <w:szCs w:val="21"/>
        </w:rPr>
        <w:t>二、</w:t>
      </w:r>
      <w:r>
        <w:rPr>
          <w:rFonts w:hint="eastAsia" w:ascii="宋体" w:hAnsi="宋体" w:cs="宋体"/>
          <w:b/>
          <w:bCs/>
          <w:color w:val="auto"/>
          <w:szCs w:val="21"/>
        </w:rPr>
        <w:t>报价要求条款</w:t>
      </w:r>
      <w:r>
        <w:rPr>
          <w:rFonts w:hint="eastAsia" w:hAnsi="宋体"/>
          <w:b/>
          <w:color w:val="auto"/>
          <w:szCs w:val="21"/>
        </w:rPr>
        <w:t>响应表</w:t>
      </w:r>
    </w:p>
    <w:tbl>
      <w:tblPr>
        <w:tblStyle w:val="24"/>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0815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05B07DB">
            <w:pPr>
              <w:spacing w:line="240" w:lineRule="atLeast"/>
              <w:rPr>
                <w:b/>
                <w:bCs/>
                <w:color w:val="auto"/>
                <w:szCs w:val="21"/>
              </w:rPr>
            </w:pPr>
            <w:r>
              <w:rPr>
                <w:b/>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2403E79F">
            <w:pPr>
              <w:spacing w:line="240" w:lineRule="atLeast"/>
              <w:rPr>
                <w:b/>
                <w:bCs/>
                <w:color w:val="auto"/>
                <w:szCs w:val="21"/>
              </w:rPr>
            </w:pPr>
            <w:r>
              <w:rPr>
                <w:rFonts w:hint="eastAsia"/>
                <w:b/>
                <w:bCs/>
                <w:color w:val="auto"/>
                <w:szCs w:val="21"/>
              </w:rPr>
              <w:t>采购文件的要求</w:t>
            </w:r>
          </w:p>
        </w:tc>
        <w:tc>
          <w:tcPr>
            <w:tcW w:w="1417" w:type="dxa"/>
            <w:tcBorders>
              <w:top w:val="single" w:color="auto" w:sz="4" w:space="0"/>
              <w:left w:val="single" w:color="auto" w:sz="4" w:space="0"/>
              <w:bottom w:val="single" w:color="auto" w:sz="4" w:space="0"/>
              <w:right w:val="single" w:color="auto" w:sz="4" w:space="0"/>
            </w:tcBorders>
            <w:vAlign w:val="center"/>
          </w:tcPr>
          <w:p w14:paraId="74B71CF2">
            <w:pPr>
              <w:spacing w:line="240" w:lineRule="atLeast"/>
              <w:rPr>
                <w:b/>
                <w:bCs/>
                <w:color w:val="auto"/>
                <w:szCs w:val="21"/>
              </w:rPr>
            </w:pPr>
            <w:r>
              <w:rPr>
                <w:rFonts w:hint="eastAsia"/>
                <w:b/>
                <w:bCs/>
                <w:color w:val="auto"/>
                <w:szCs w:val="21"/>
              </w:rPr>
              <w:t>响应文件实际响应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7B51A4C2">
            <w:pPr>
              <w:spacing w:line="240" w:lineRule="atLeast"/>
              <w:jc w:val="center"/>
              <w:rPr>
                <w:rFonts w:ascii="Arial" w:hAnsi="Arial" w:cs="Arial"/>
                <w:b/>
                <w:bCs/>
                <w:color w:val="auto"/>
                <w:szCs w:val="21"/>
              </w:rPr>
            </w:pPr>
            <w:r>
              <w:rPr>
                <w:rFonts w:ascii="Arial" w:hAnsi="Arial" w:cs="Arial"/>
                <w:b/>
                <w:bCs/>
                <w:color w:val="auto"/>
                <w:szCs w:val="21"/>
              </w:rPr>
              <w:t>是否偏离</w:t>
            </w:r>
          </w:p>
          <w:p w14:paraId="4D243A8F">
            <w:pPr>
              <w:spacing w:line="240" w:lineRule="atLeast"/>
              <w:jc w:val="center"/>
              <w:rPr>
                <w:b/>
                <w:bCs/>
                <w:color w:val="auto"/>
                <w:szCs w:val="21"/>
              </w:rPr>
            </w:pPr>
            <w:r>
              <w:rPr>
                <w:b/>
                <w:bCs/>
                <w:color w:val="auto"/>
                <w:szCs w:val="21"/>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7DD1DD44">
            <w:pPr>
              <w:spacing w:line="240" w:lineRule="atLeast"/>
              <w:rPr>
                <w:rFonts w:ascii="宋体" w:hAnsi="宋体" w:cs="宋体"/>
                <w:b/>
                <w:bCs/>
                <w:color w:val="auto"/>
                <w:kern w:val="0"/>
                <w:szCs w:val="21"/>
              </w:rPr>
            </w:pPr>
            <w:r>
              <w:rPr>
                <w:rFonts w:hint="eastAsia" w:ascii="宋体" w:hAnsi="宋体" w:cs="宋体"/>
                <w:b/>
                <w:bCs/>
                <w:color w:val="auto"/>
                <w:kern w:val="0"/>
                <w:szCs w:val="21"/>
              </w:rPr>
              <w:t>偏离差异</w:t>
            </w:r>
          </w:p>
          <w:p w14:paraId="15B9E26D">
            <w:pPr>
              <w:spacing w:line="240" w:lineRule="atLeast"/>
              <w:rPr>
                <w:color w:val="auto"/>
                <w:szCs w:val="21"/>
              </w:rPr>
            </w:pPr>
            <w:r>
              <w:rPr>
                <w:rFonts w:hint="eastAsia" w:ascii="宋体" w:hAnsi="宋体" w:cs="宋体"/>
                <w:b/>
                <w:bCs/>
                <w:color w:val="auto"/>
                <w:kern w:val="0"/>
                <w:szCs w:val="21"/>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46E06903">
            <w:pPr>
              <w:spacing w:line="240" w:lineRule="atLeast"/>
              <w:rPr>
                <w:color w:val="auto"/>
                <w:szCs w:val="21"/>
              </w:rPr>
            </w:pPr>
            <w:r>
              <w:rPr>
                <w:rFonts w:hint="eastAsia" w:ascii="宋体" w:hAnsi="宋体" w:cs="宋体"/>
                <w:b/>
                <w:bCs/>
                <w:color w:val="auto"/>
                <w:kern w:val="0"/>
                <w:szCs w:val="21"/>
              </w:rPr>
              <w:t>证明文件索引</w:t>
            </w:r>
          </w:p>
        </w:tc>
      </w:tr>
      <w:tr w14:paraId="7169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D08202E">
            <w:pPr>
              <w:spacing w:line="360" w:lineRule="atLeast"/>
              <w:rPr>
                <w:color w:val="auto"/>
                <w:szCs w:val="21"/>
              </w:rPr>
            </w:pPr>
            <w:r>
              <w:rPr>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17B01B2A">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1390B76">
            <w:pPr>
              <w:spacing w:line="360" w:lineRule="atLeast"/>
              <w:rPr>
                <w:color w:val="auto"/>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06208E5E">
            <w:pPr>
              <w:spacing w:line="360" w:lineRule="atLeast"/>
              <w:rPr>
                <w:color w:val="auto"/>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7FAFE5A7">
            <w:pPr>
              <w:spacing w:line="360" w:lineRule="atLeast"/>
              <w:rPr>
                <w:color w:val="auto"/>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68C13A5F">
            <w:pPr>
              <w:spacing w:line="360" w:lineRule="atLeast"/>
              <w:rPr>
                <w:color w:val="auto"/>
                <w:szCs w:val="21"/>
              </w:rPr>
            </w:pPr>
            <w:r>
              <w:rPr>
                <w:color w:val="auto"/>
                <w:szCs w:val="21"/>
              </w:rPr>
              <w:t>第</w:t>
            </w:r>
            <w:r>
              <w:rPr>
                <w:rFonts w:hint="eastAsia"/>
                <w:color w:val="auto"/>
                <w:szCs w:val="21"/>
              </w:rPr>
              <w:t>（   ～    ）</w:t>
            </w:r>
            <w:r>
              <w:rPr>
                <w:color w:val="auto"/>
                <w:szCs w:val="21"/>
              </w:rPr>
              <w:t>页</w:t>
            </w:r>
          </w:p>
        </w:tc>
      </w:tr>
      <w:tr w14:paraId="5721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67E359D">
            <w:pPr>
              <w:spacing w:line="360" w:lineRule="atLeast"/>
              <w:rPr>
                <w:color w:val="auto"/>
                <w:szCs w:val="21"/>
              </w:rPr>
            </w:pPr>
            <w:r>
              <w:rPr>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62BD0814">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49A2108">
            <w:pPr>
              <w:spacing w:line="360" w:lineRule="atLeast"/>
              <w:rPr>
                <w:color w:val="auto"/>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24F3D07C">
            <w:pPr>
              <w:spacing w:line="360" w:lineRule="atLeast"/>
              <w:rPr>
                <w:color w:val="auto"/>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364A1A33">
            <w:pPr>
              <w:spacing w:line="360" w:lineRule="atLeast"/>
              <w:rPr>
                <w:color w:val="auto"/>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0E69D867">
            <w:pPr>
              <w:spacing w:line="360" w:lineRule="atLeast"/>
              <w:rPr>
                <w:color w:val="auto"/>
                <w:szCs w:val="21"/>
              </w:rPr>
            </w:pPr>
            <w:r>
              <w:rPr>
                <w:color w:val="auto"/>
                <w:szCs w:val="21"/>
              </w:rPr>
              <w:t>第</w:t>
            </w:r>
            <w:r>
              <w:rPr>
                <w:rFonts w:hint="eastAsia"/>
                <w:color w:val="auto"/>
                <w:szCs w:val="21"/>
              </w:rPr>
              <w:t>（   ～    ）</w:t>
            </w:r>
            <w:r>
              <w:rPr>
                <w:color w:val="auto"/>
                <w:szCs w:val="21"/>
              </w:rPr>
              <w:t>页</w:t>
            </w:r>
          </w:p>
        </w:tc>
      </w:tr>
      <w:tr w14:paraId="14DD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D28C118">
            <w:pPr>
              <w:spacing w:line="360" w:lineRule="atLeast"/>
              <w:rPr>
                <w:color w:val="auto"/>
                <w:szCs w:val="21"/>
              </w:rPr>
            </w:pPr>
            <w:r>
              <w:rPr>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7E04C1D0">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D6DFB3D">
            <w:pPr>
              <w:spacing w:line="360" w:lineRule="atLeast"/>
              <w:rPr>
                <w:color w:val="auto"/>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53D213D9">
            <w:pPr>
              <w:spacing w:line="360" w:lineRule="atLeast"/>
              <w:rPr>
                <w:color w:val="auto"/>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5F129FA6">
            <w:pPr>
              <w:spacing w:line="360" w:lineRule="atLeast"/>
              <w:rPr>
                <w:color w:val="auto"/>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66D6E2D8">
            <w:pPr>
              <w:spacing w:line="360" w:lineRule="atLeast"/>
              <w:rPr>
                <w:color w:val="auto"/>
                <w:szCs w:val="21"/>
              </w:rPr>
            </w:pPr>
            <w:r>
              <w:rPr>
                <w:color w:val="auto"/>
                <w:szCs w:val="21"/>
              </w:rPr>
              <w:t>第</w:t>
            </w:r>
            <w:r>
              <w:rPr>
                <w:rFonts w:hint="eastAsia"/>
                <w:color w:val="auto"/>
                <w:szCs w:val="21"/>
              </w:rPr>
              <w:t>（   ～    ）</w:t>
            </w:r>
            <w:r>
              <w:rPr>
                <w:color w:val="auto"/>
                <w:szCs w:val="21"/>
              </w:rPr>
              <w:t>页</w:t>
            </w:r>
          </w:p>
        </w:tc>
      </w:tr>
    </w:tbl>
    <w:p w14:paraId="26A2916D">
      <w:pPr>
        <w:spacing w:line="360" w:lineRule="atLeast"/>
        <w:rPr>
          <w:b/>
          <w:bCs/>
          <w:color w:val="auto"/>
          <w:szCs w:val="21"/>
        </w:rPr>
      </w:pPr>
      <w:r>
        <w:rPr>
          <w:rFonts w:hint="eastAsia"/>
          <w:b/>
          <w:bCs/>
          <w:color w:val="auto"/>
          <w:szCs w:val="21"/>
        </w:rPr>
        <w:t>三、</w:t>
      </w:r>
      <w:r>
        <w:rPr>
          <w:rFonts w:hint="eastAsia" w:ascii="宋体" w:hAnsi="宋体" w:eastAsia="宋体" w:cs="宋体"/>
          <w:b/>
          <w:color w:val="auto"/>
          <w:sz w:val="21"/>
          <w:szCs w:val="21"/>
        </w:rPr>
        <w:t>服务要求</w:t>
      </w:r>
      <w:r>
        <w:rPr>
          <w:rFonts w:hint="eastAsia" w:ascii="宋体" w:hAnsi="宋体" w:cs="宋体"/>
          <w:b/>
          <w:bCs/>
          <w:color w:val="auto"/>
          <w:szCs w:val="21"/>
        </w:rPr>
        <w:t>条款响应表</w:t>
      </w:r>
    </w:p>
    <w:tbl>
      <w:tblPr>
        <w:tblStyle w:val="24"/>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2074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5A09CC6">
            <w:pPr>
              <w:spacing w:line="240" w:lineRule="atLeast"/>
              <w:rPr>
                <w:b/>
                <w:bCs/>
                <w:color w:val="auto"/>
                <w:szCs w:val="21"/>
              </w:rPr>
            </w:pPr>
            <w:r>
              <w:rPr>
                <w:b/>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FDD74B8">
            <w:pPr>
              <w:spacing w:line="240" w:lineRule="atLeast"/>
              <w:rPr>
                <w:b/>
                <w:bCs/>
                <w:color w:val="auto"/>
                <w:szCs w:val="21"/>
              </w:rPr>
            </w:pPr>
            <w:r>
              <w:rPr>
                <w:rFonts w:hint="eastAsia"/>
                <w:b/>
                <w:bCs/>
                <w:color w:val="auto"/>
                <w:szCs w:val="21"/>
              </w:rPr>
              <w:t>采购文件的要求</w:t>
            </w:r>
          </w:p>
        </w:tc>
        <w:tc>
          <w:tcPr>
            <w:tcW w:w="1417" w:type="dxa"/>
            <w:tcBorders>
              <w:top w:val="single" w:color="auto" w:sz="4" w:space="0"/>
              <w:left w:val="single" w:color="auto" w:sz="4" w:space="0"/>
              <w:bottom w:val="single" w:color="auto" w:sz="4" w:space="0"/>
              <w:right w:val="single" w:color="auto" w:sz="4" w:space="0"/>
            </w:tcBorders>
            <w:vAlign w:val="center"/>
          </w:tcPr>
          <w:p w14:paraId="24F3314D">
            <w:pPr>
              <w:spacing w:line="240" w:lineRule="atLeast"/>
              <w:rPr>
                <w:b/>
                <w:bCs/>
                <w:color w:val="auto"/>
                <w:szCs w:val="21"/>
              </w:rPr>
            </w:pPr>
            <w:r>
              <w:rPr>
                <w:rFonts w:hint="eastAsia"/>
                <w:b/>
                <w:bCs/>
                <w:color w:val="auto"/>
                <w:szCs w:val="21"/>
              </w:rPr>
              <w:t>响应文件实际响应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32DCCC6">
            <w:pPr>
              <w:spacing w:line="240" w:lineRule="atLeast"/>
              <w:jc w:val="center"/>
              <w:rPr>
                <w:rFonts w:ascii="Arial" w:hAnsi="Arial" w:cs="Arial"/>
                <w:b/>
                <w:bCs/>
                <w:color w:val="auto"/>
                <w:szCs w:val="21"/>
              </w:rPr>
            </w:pPr>
            <w:r>
              <w:rPr>
                <w:rFonts w:ascii="Arial" w:hAnsi="Arial" w:cs="Arial"/>
                <w:b/>
                <w:bCs/>
                <w:color w:val="auto"/>
                <w:szCs w:val="21"/>
              </w:rPr>
              <w:t>是否偏离</w:t>
            </w:r>
          </w:p>
          <w:p w14:paraId="06A18BAE">
            <w:pPr>
              <w:spacing w:line="240" w:lineRule="atLeast"/>
              <w:jc w:val="center"/>
              <w:rPr>
                <w:b/>
                <w:bCs/>
                <w:color w:val="auto"/>
                <w:szCs w:val="21"/>
              </w:rPr>
            </w:pPr>
            <w:r>
              <w:rPr>
                <w:b/>
                <w:bCs/>
                <w:color w:val="auto"/>
                <w:szCs w:val="21"/>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0CB2A903">
            <w:pPr>
              <w:spacing w:line="240" w:lineRule="atLeast"/>
              <w:rPr>
                <w:rFonts w:ascii="宋体" w:hAnsi="宋体" w:cs="宋体"/>
                <w:b/>
                <w:bCs/>
                <w:color w:val="auto"/>
                <w:kern w:val="0"/>
                <w:szCs w:val="21"/>
              </w:rPr>
            </w:pPr>
            <w:r>
              <w:rPr>
                <w:rFonts w:hint="eastAsia" w:ascii="宋体" w:hAnsi="宋体" w:cs="宋体"/>
                <w:b/>
                <w:bCs/>
                <w:color w:val="auto"/>
                <w:kern w:val="0"/>
                <w:szCs w:val="21"/>
              </w:rPr>
              <w:t>偏离差异</w:t>
            </w:r>
          </w:p>
          <w:p w14:paraId="789DA0FF">
            <w:pPr>
              <w:spacing w:line="240" w:lineRule="atLeast"/>
              <w:rPr>
                <w:color w:val="auto"/>
                <w:szCs w:val="21"/>
              </w:rPr>
            </w:pPr>
            <w:r>
              <w:rPr>
                <w:rFonts w:hint="eastAsia" w:ascii="宋体" w:hAnsi="宋体" w:cs="宋体"/>
                <w:b/>
                <w:bCs/>
                <w:color w:val="auto"/>
                <w:kern w:val="0"/>
                <w:szCs w:val="21"/>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371308FB">
            <w:pPr>
              <w:spacing w:line="240" w:lineRule="atLeast"/>
              <w:rPr>
                <w:color w:val="auto"/>
                <w:szCs w:val="21"/>
              </w:rPr>
            </w:pPr>
            <w:r>
              <w:rPr>
                <w:rFonts w:hint="eastAsia" w:ascii="宋体" w:hAnsi="宋体" w:cs="宋体"/>
                <w:b/>
                <w:bCs/>
                <w:color w:val="auto"/>
                <w:kern w:val="0"/>
                <w:szCs w:val="21"/>
              </w:rPr>
              <w:t>证明文件索引</w:t>
            </w:r>
          </w:p>
        </w:tc>
      </w:tr>
      <w:tr w14:paraId="2911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FA76025">
            <w:pPr>
              <w:spacing w:line="360" w:lineRule="atLeast"/>
              <w:rPr>
                <w:color w:val="auto"/>
                <w:szCs w:val="21"/>
              </w:rPr>
            </w:pPr>
            <w:r>
              <w:rPr>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182DA0B1">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CDC30A2">
            <w:pPr>
              <w:spacing w:line="360" w:lineRule="atLeast"/>
              <w:rPr>
                <w:color w:val="auto"/>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50D6EF7B">
            <w:pPr>
              <w:spacing w:line="360" w:lineRule="atLeast"/>
              <w:jc w:val="center"/>
              <w:rPr>
                <w:color w:val="auto"/>
                <w:szCs w:val="21"/>
              </w:rPr>
            </w:pPr>
          </w:p>
        </w:tc>
        <w:tc>
          <w:tcPr>
            <w:tcW w:w="1291" w:type="dxa"/>
            <w:tcBorders>
              <w:top w:val="single" w:color="auto" w:sz="4" w:space="0"/>
              <w:left w:val="single" w:color="auto" w:sz="4" w:space="0"/>
              <w:bottom w:val="single" w:color="auto" w:sz="4" w:space="0"/>
              <w:right w:val="single" w:color="auto" w:sz="4" w:space="0"/>
            </w:tcBorders>
            <w:vAlign w:val="center"/>
          </w:tcPr>
          <w:p w14:paraId="35F57537">
            <w:pPr>
              <w:spacing w:line="360" w:lineRule="atLeast"/>
              <w:rPr>
                <w:color w:val="auto"/>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0A2301EE">
            <w:pPr>
              <w:spacing w:line="360" w:lineRule="atLeast"/>
              <w:rPr>
                <w:color w:val="auto"/>
                <w:szCs w:val="21"/>
              </w:rPr>
            </w:pPr>
            <w:r>
              <w:rPr>
                <w:color w:val="auto"/>
                <w:szCs w:val="21"/>
              </w:rPr>
              <w:t>第</w:t>
            </w:r>
            <w:r>
              <w:rPr>
                <w:rFonts w:hint="eastAsia"/>
                <w:color w:val="auto"/>
                <w:szCs w:val="21"/>
              </w:rPr>
              <w:t>（   ～    ）</w:t>
            </w:r>
            <w:r>
              <w:rPr>
                <w:color w:val="auto"/>
                <w:szCs w:val="21"/>
              </w:rPr>
              <w:t>页</w:t>
            </w:r>
          </w:p>
        </w:tc>
      </w:tr>
      <w:tr w14:paraId="30E4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55072BF">
            <w:pPr>
              <w:spacing w:line="360" w:lineRule="atLeast"/>
              <w:rPr>
                <w:color w:val="auto"/>
                <w:szCs w:val="21"/>
              </w:rPr>
            </w:pPr>
            <w:r>
              <w:rPr>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428EAF8E">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9E2BA65">
            <w:pPr>
              <w:spacing w:line="360" w:lineRule="atLeast"/>
              <w:rPr>
                <w:color w:val="auto"/>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11C3C576">
            <w:pPr>
              <w:spacing w:line="360" w:lineRule="atLeast"/>
              <w:rPr>
                <w:color w:val="auto"/>
                <w:szCs w:val="21"/>
              </w:rPr>
            </w:pPr>
          </w:p>
        </w:tc>
        <w:tc>
          <w:tcPr>
            <w:tcW w:w="1291" w:type="dxa"/>
            <w:tcBorders>
              <w:top w:val="single" w:color="auto" w:sz="4" w:space="0"/>
              <w:left w:val="single" w:color="auto" w:sz="4" w:space="0"/>
              <w:bottom w:val="single" w:color="auto" w:sz="4" w:space="0"/>
              <w:right w:val="single" w:color="auto" w:sz="4" w:space="0"/>
            </w:tcBorders>
            <w:vAlign w:val="center"/>
          </w:tcPr>
          <w:p w14:paraId="2D56531E">
            <w:pPr>
              <w:spacing w:line="360" w:lineRule="atLeast"/>
              <w:rPr>
                <w:color w:val="auto"/>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56D1AFCB">
            <w:pPr>
              <w:spacing w:line="360" w:lineRule="atLeast"/>
              <w:rPr>
                <w:color w:val="auto"/>
                <w:szCs w:val="21"/>
              </w:rPr>
            </w:pPr>
            <w:r>
              <w:rPr>
                <w:color w:val="auto"/>
                <w:szCs w:val="21"/>
              </w:rPr>
              <w:t>第</w:t>
            </w:r>
            <w:r>
              <w:rPr>
                <w:rFonts w:hint="eastAsia"/>
                <w:color w:val="auto"/>
                <w:szCs w:val="21"/>
              </w:rPr>
              <w:t>（   ～    ）</w:t>
            </w:r>
            <w:r>
              <w:rPr>
                <w:color w:val="auto"/>
                <w:szCs w:val="21"/>
              </w:rPr>
              <w:t>页</w:t>
            </w:r>
          </w:p>
        </w:tc>
      </w:tr>
      <w:tr w14:paraId="4BB2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AFB44DD">
            <w:pPr>
              <w:spacing w:line="360" w:lineRule="atLeast"/>
              <w:rPr>
                <w:color w:val="auto"/>
                <w:szCs w:val="21"/>
              </w:rPr>
            </w:pPr>
            <w:r>
              <w:rPr>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6A5D8AF0">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1D1CCDA">
            <w:pPr>
              <w:spacing w:line="360" w:lineRule="atLeast"/>
              <w:rPr>
                <w:color w:val="auto"/>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7B0DE1B0">
            <w:pPr>
              <w:spacing w:line="360" w:lineRule="atLeast"/>
              <w:rPr>
                <w:color w:val="auto"/>
                <w:szCs w:val="21"/>
              </w:rPr>
            </w:pPr>
          </w:p>
        </w:tc>
        <w:tc>
          <w:tcPr>
            <w:tcW w:w="1291" w:type="dxa"/>
            <w:tcBorders>
              <w:top w:val="single" w:color="auto" w:sz="4" w:space="0"/>
              <w:left w:val="single" w:color="auto" w:sz="4" w:space="0"/>
              <w:bottom w:val="single" w:color="auto" w:sz="4" w:space="0"/>
              <w:right w:val="single" w:color="auto" w:sz="4" w:space="0"/>
            </w:tcBorders>
            <w:vAlign w:val="center"/>
          </w:tcPr>
          <w:p w14:paraId="764D673F">
            <w:pPr>
              <w:spacing w:line="360" w:lineRule="atLeast"/>
              <w:rPr>
                <w:color w:val="auto"/>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22A780BD">
            <w:pPr>
              <w:spacing w:line="360" w:lineRule="atLeast"/>
              <w:rPr>
                <w:color w:val="auto"/>
                <w:szCs w:val="21"/>
              </w:rPr>
            </w:pPr>
            <w:r>
              <w:rPr>
                <w:color w:val="auto"/>
                <w:szCs w:val="21"/>
              </w:rPr>
              <w:t>第</w:t>
            </w:r>
            <w:r>
              <w:rPr>
                <w:rFonts w:hint="eastAsia"/>
                <w:color w:val="auto"/>
                <w:szCs w:val="21"/>
              </w:rPr>
              <w:t>（   ～    ）</w:t>
            </w:r>
            <w:r>
              <w:rPr>
                <w:color w:val="auto"/>
                <w:szCs w:val="21"/>
              </w:rPr>
              <w:t>页</w:t>
            </w:r>
          </w:p>
        </w:tc>
      </w:tr>
    </w:tbl>
    <w:p w14:paraId="6B81B0B6">
      <w:pPr>
        <w:pStyle w:val="34"/>
        <w:spacing w:line="360" w:lineRule="atLeast"/>
        <w:rPr>
          <w:color w:val="auto"/>
          <w:szCs w:val="21"/>
        </w:rPr>
      </w:pPr>
      <w:r>
        <w:rPr>
          <w:rFonts w:hint="eastAsia" w:ascii="宋体" w:hAnsi="宋体"/>
          <w:b/>
          <w:color w:val="auto"/>
          <w:szCs w:val="21"/>
        </w:rPr>
        <w:t>四、</w:t>
      </w:r>
      <w:r>
        <w:rPr>
          <w:rFonts w:hint="eastAsia" w:ascii="宋体" w:hAnsi="宋体" w:eastAsia="宋体" w:cs="宋体"/>
          <w:b/>
          <w:color w:val="auto"/>
          <w:sz w:val="21"/>
          <w:szCs w:val="21"/>
        </w:rPr>
        <w:t>售后服务要求</w:t>
      </w:r>
      <w:r>
        <w:rPr>
          <w:rFonts w:hint="eastAsia" w:ascii="宋体" w:hAnsi="宋体"/>
          <w:b/>
          <w:color w:val="auto"/>
          <w:szCs w:val="21"/>
        </w:rPr>
        <w:t>条款</w:t>
      </w:r>
      <w:r>
        <w:rPr>
          <w:rFonts w:hint="eastAsia" w:hAnsi="宋体"/>
          <w:b/>
          <w:color w:val="auto"/>
          <w:szCs w:val="21"/>
        </w:rPr>
        <w:t>响应表</w:t>
      </w:r>
    </w:p>
    <w:tbl>
      <w:tblPr>
        <w:tblStyle w:val="24"/>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666C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B675276">
            <w:pPr>
              <w:spacing w:line="240" w:lineRule="atLeast"/>
              <w:rPr>
                <w:b/>
                <w:bCs/>
                <w:color w:val="auto"/>
                <w:szCs w:val="21"/>
              </w:rPr>
            </w:pPr>
            <w:r>
              <w:rPr>
                <w:b/>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2090D929">
            <w:pPr>
              <w:spacing w:line="240" w:lineRule="atLeast"/>
              <w:rPr>
                <w:b/>
                <w:bCs/>
                <w:color w:val="auto"/>
                <w:szCs w:val="21"/>
              </w:rPr>
            </w:pPr>
            <w:r>
              <w:rPr>
                <w:rFonts w:hint="eastAsia"/>
                <w:b/>
                <w:bCs/>
                <w:color w:val="auto"/>
                <w:szCs w:val="21"/>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04DBC674">
            <w:pPr>
              <w:spacing w:line="240" w:lineRule="atLeast"/>
              <w:rPr>
                <w:b/>
                <w:bCs/>
                <w:color w:val="auto"/>
                <w:szCs w:val="21"/>
              </w:rPr>
            </w:pPr>
            <w:r>
              <w:rPr>
                <w:rFonts w:hint="eastAsia"/>
                <w:b/>
                <w:bCs/>
                <w:color w:val="auto"/>
                <w:szCs w:val="21"/>
              </w:rPr>
              <w:t>响应文件实际响应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7797C6C5">
            <w:pPr>
              <w:spacing w:line="240" w:lineRule="atLeast"/>
              <w:jc w:val="center"/>
              <w:rPr>
                <w:color w:val="auto"/>
                <w:szCs w:val="21"/>
              </w:rPr>
            </w:pPr>
            <w:r>
              <w:rPr>
                <w:rFonts w:ascii="Arial" w:hAnsi="Arial" w:cs="Arial"/>
                <w:b/>
                <w:color w:val="auto"/>
                <w:szCs w:val="21"/>
              </w:rPr>
              <w:t>是否偏离</w:t>
            </w:r>
          </w:p>
          <w:p w14:paraId="11819023">
            <w:pPr>
              <w:spacing w:line="240" w:lineRule="atLeast"/>
              <w:jc w:val="center"/>
              <w:rPr>
                <w:color w:val="auto"/>
                <w:szCs w:val="21"/>
              </w:rPr>
            </w:pPr>
            <w:r>
              <w:rPr>
                <w:rFonts w:hint="eastAsia"/>
                <w:color w:val="auto"/>
                <w:szCs w:val="21"/>
              </w:rPr>
              <w:t>（</w:t>
            </w:r>
            <w:r>
              <w:rPr>
                <w:color w:val="auto"/>
                <w:szCs w:val="21"/>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1B169F4A">
            <w:pPr>
              <w:spacing w:line="240" w:lineRule="atLeast"/>
              <w:rPr>
                <w:rFonts w:ascii="宋体" w:hAnsi="宋体" w:cs="宋体"/>
                <w:b/>
                <w:bCs/>
                <w:color w:val="auto"/>
                <w:kern w:val="0"/>
                <w:szCs w:val="21"/>
              </w:rPr>
            </w:pPr>
            <w:r>
              <w:rPr>
                <w:rFonts w:hint="eastAsia" w:ascii="宋体" w:hAnsi="宋体" w:cs="宋体"/>
                <w:b/>
                <w:bCs/>
                <w:color w:val="auto"/>
                <w:kern w:val="0"/>
                <w:szCs w:val="21"/>
              </w:rPr>
              <w:t>偏离差异</w:t>
            </w:r>
          </w:p>
          <w:p w14:paraId="319099C5">
            <w:pPr>
              <w:spacing w:line="240" w:lineRule="atLeast"/>
              <w:rPr>
                <w:color w:val="auto"/>
                <w:szCs w:val="21"/>
              </w:rPr>
            </w:pPr>
            <w:r>
              <w:rPr>
                <w:rFonts w:hint="eastAsia" w:ascii="宋体" w:hAnsi="宋体" w:cs="宋体"/>
                <w:b/>
                <w:bCs/>
                <w:color w:val="auto"/>
                <w:kern w:val="0"/>
                <w:szCs w:val="21"/>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1B9D50E1">
            <w:pPr>
              <w:spacing w:line="240" w:lineRule="atLeast"/>
              <w:rPr>
                <w:color w:val="auto"/>
                <w:szCs w:val="21"/>
              </w:rPr>
            </w:pPr>
            <w:r>
              <w:rPr>
                <w:rFonts w:hint="eastAsia" w:ascii="宋体" w:hAnsi="宋体" w:cs="宋体"/>
                <w:b/>
                <w:bCs/>
                <w:color w:val="auto"/>
                <w:kern w:val="0"/>
                <w:szCs w:val="21"/>
              </w:rPr>
              <w:t>证明文件索引</w:t>
            </w:r>
          </w:p>
        </w:tc>
      </w:tr>
      <w:tr w14:paraId="592D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A5F7D80">
            <w:pPr>
              <w:spacing w:line="360" w:lineRule="atLeast"/>
              <w:rPr>
                <w:color w:val="auto"/>
                <w:szCs w:val="21"/>
              </w:rPr>
            </w:pPr>
            <w:r>
              <w:rPr>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46EC0B5D">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483B9CB">
            <w:pPr>
              <w:spacing w:line="360" w:lineRule="atLeast"/>
              <w:rPr>
                <w:color w:val="auto"/>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6E2D3578">
            <w:pPr>
              <w:spacing w:line="360" w:lineRule="atLeast"/>
              <w:rPr>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553F1715">
            <w:pPr>
              <w:spacing w:line="360" w:lineRule="atLeast"/>
              <w:rPr>
                <w:color w:val="auto"/>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48DE8FA2">
            <w:pPr>
              <w:spacing w:line="360" w:lineRule="atLeast"/>
              <w:rPr>
                <w:color w:val="auto"/>
                <w:szCs w:val="21"/>
              </w:rPr>
            </w:pPr>
            <w:r>
              <w:rPr>
                <w:color w:val="auto"/>
                <w:szCs w:val="21"/>
              </w:rPr>
              <w:t>第</w:t>
            </w:r>
            <w:r>
              <w:rPr>
                <w:rFonts w:hint="eastAsia"/>
                <w:color w:val="auto"/>
                <w:szCs w:val="21"/>
              </w:rPr>
              <w:t>（   ～    ）</w:t>
            </w:r>
            <w:r>
              <w:rPr>
                <w:color w:val="auto"/>
                <w:szCs w:val="21"/>
              </w:rPr>
              <w:t>页</w:t>
            </w:r>
          </w:p>
        </w:tc>
      </w:tr>
      <w:tr w14:paraId="64CD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DF9D81D">
            <w:pPr>
              <w:spacing w:line="360" w:lineRule="atLeast"/>
              <w:rPr>
                <w:color w:val="auto"/>
                <w:szCs w:val="21"/>
              </w:rPr>
            </w:pPr>
            <w:r>
              <w:rPr>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3B6AFE95">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7BD6E8F">
            <w:pPr>
              <w:spacing w:line="360" w:lineRule="atLeast"/>
              <w:rPr>
                <w:color w:val="auto"/>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105BDC93">
            <w:pPr>
              <w:spacing w:line="360" w:lineRule="atLeast"/>
              <w:rPr>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319F4CF2">
            <w:pPr>
              <w:spacing w:line="360" w:lineRule="atLeast"/>
              <w:rPr>
                <w:color w:val="auto"/>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2D24B4F4">
            <w:pPr>
              <w:spacing w:line="360" w:lineRule="atLeast"/>
              <w:rPr>
                <w:color w:val="auto"/>
                <w:szCs w:val="21"/>
              </w:rPr>
            </w:pPr>
            <w:r>
              <w:rPr>
                <w:color w:val="auto"/>
                <w:szCs w:val="21"/>
              </w:rPr>
              <w:t>第</w:t>
            </w:r>
            <w:r>
              <w:rPr>
                <w:rFonts w:hint="eastAsia"/>
                <w:color w:val="auto"/>
                <w:szCs w:val="21"/>
              </w:rPr>
              <w:t>（   ～    ）</w:t>
            </w:r>
            <w:r>
              <w:rPr>
                <w:color w:val="auto"/>
                <w:szCs w:val="21"/>
              </w:rPr>
              <w:t>页</w:t>
            </w:r>
          </w:p>
        </w:tc>
      </w:tr>
      <w:tr w14:paraId="1883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38CECC2">
            <w:pPr>
              <w:spacing w:line="360" w:lineRule="atLeast"/>
              <w:rPr>
                <w:color w:val="auto"/>
                <w:szCs w:val="21"/>
              </w:rPr>
            </w:pPr>
            <w:r>
              <w:rPr>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1BCA7DAC">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13B7910">
            <w:pPr>
              <w:spacing w:line="360" w:lineRule="atLeast"/>
              <w:rPr>
                <w:color w:val="auto"/>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14C7B5CB">
            <w:pPr>
              <w:spacing w:line="360" w:lineRule="atLeast"/>
              <w:rPr>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5EA739A9">
            <w:pPr>
              <w:spacing w:line="360" w:lineRule="atLeast"/>
              <w:rPr>
                <w:color w:val="auto"/>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5E266FC3">
            <w:pPr>
              <w:spacing w:line="360" w:lineRule="atLeast"/>
              <w:rPr>
                <w:color w:val="auto"/>
                <w:szCs w:val="21"/>
              </w:rPr>
            </w:pPr>
            <w:r>
              <w:rPr>
                <w:color w:val="auto"/>
                <w:szCs w:val="21"/>
              </w:rPr>
              <w:t>第</w:t>
            </w:r>
            <w:r>
              <w:rPr>
                <w:rFonts w:hint="eastAsia"/>
                <w:color w:val="auto"/>
                <w:szCs w:val="21"/>
              </w:rPr>
              <w:t>（   ～    ）</w:t>
            </w:r>
            <w:r>
              <w:rPr>
                <w:color w:val="auto"/>
                <w:szCs w:val="21"/>
              </w:rPr>
              <w:t>页</w:t>
            </w:r>
          </w:p>
        </w:tc>
      </w:tr>
    </w:tbl>
    <w:p w14:paraId="469895B9">
      <w:pPr>
        <w:pStyle w:val="34"/>
        <w:spacing w:line="360" w:lineRule="atLeast"/>
        <w:rPr>
          <w:color w:val="auto"/>
          <w:szCs w:val="21"/>
        </w:rPr>
      </w:pPr>
      <w:r>
        <w:rPr>
          <w:rFonts w:hint="eastAsia" w:ascii="宋体" w:hAnsi="宋体"/>
          <w:b/>
          <w:color w:val="auto"/>
          <w:szCs w:val="21"/>
          <w:lang w:val="en-US" w:eastAsia="zh-CN"/>
        </w:rPr>
        <w:t>五、</w:t>
      </w:r>
      <w:r>
        <w:rPr>
          <w:rFonts w:hint="eastAsia" w:ascii="宋体" w:hAnsi="宋体" w:eastAsia="宋体" w:cs="宋体"/>
          <w:b/>
          <w:color w:val="auto"/>
          <w:sz w:val="21"/>
          <w:szCs w:val="21"/>
        </w:rPr>
        <w:t>付款方式</w:t>
      </w:r>
      <w:r>
        <w:rPr>
          <w:rFonts w:hint="eastAsia" w:ascii="宋体" w:hAnsi="宋体"/>
          <w:b/>
          <w:color w:val="auto"/>
          <w:szCs w:val="21"/>
        </w:rPr>
        <w:t>条款</w:t>
      </w:r>
      <w:r>
        <w:rPr>
          <w:rFonts w:hint="eastAsia" w:hAnsi="宋体"/>
          <w:b/>
          <w:color w:val="auto"/>
          <w:szCs w:val="21"/>
        </w:rPr>
        <w:t>响应表</w:t>
      </w:r>
    </w:p>
    <w:tbl>
      <w:tblPr>
        <w:tblStyle w:val="24"/>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3331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CC1E288">
            <w:pPr>
              <w:spacing w:line="240" w:lineRule="atLeast"/>
              <w:rPr>
                <w:b/>
                <w:bCs/>
                <w:color w:val="auto"/>
                <w:szCs w:val="21"/>
              </w:rPr>
            </w:pPr>
            <w:r>
              <w:rPr>
                <w:b/>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CF4BBA3">
            <w:pPr>
              <w:spacing w:line="240" w:lineRule="atLeast"/>
              <w:rPr>
                <w:b/>
                <w:bCs/>
                <w:color w:val="auto"/>
                <w:szCs w:val="21"/>
              </w:rPr>
            </w:pPr>
            <w:r>
              <w:rPr>
                <w:rFonts w:hint="eastAsia"/>
                <w:b/>
                <w:bCs/>
                <w:color w:val="auto"/>
                <w:szCs w:val="21"/>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7656E7C6">
            <w:pPr>
              <w:spacing w:line="240" w:lineRule="atLeast"/>
              <w:rPr>
                <w:b/>
                <w:bCs/>
                <w:color w:val="auto"/>
                <w:szCs w:val="21"/>
              </w:rPr>
            </w:pPr>
            <w:r>
              <w:rPr>
                <w:rFonts w:hint="eastAsia"/>
                <w:b/>
                <w:bCs/>
                <w:color w:val="auto"/>
                <w:szCs w:val="21"/>
              </w:rPr>
              <w:t>响应文件实际响应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5D94EBAF">
            <w:pPr>
              <w:spacing w:line="240" w:lineRule="atLeast"/>
              <w:jc w:val="center"/>
              <w:rPr>
                <w:color w:val="auto"/>
                <w:szCs w:val="21"/>
              </w:rPr>
            </w:pPr>
            <w:r>
              <w:rPr>
                <w:rFonts w:ascii="Arial" w:hAnsi="Arial" w:cs="Arial"/>
                <w:b/>
                <w:color w:val="auto"/>
                <w:szCs w:val="21"/>
              </w:rPr>
              <w:t>是否偏离</w:t>
            </w:r>
          </w:p>
          <w:p w14:paraId="1C30A95C">
            <w:pPr>
              <w:spacing w:line="240" w:lineRule="atLeast"/>
              <w:jc w:val="center"/>
              <w:rPr>
                <w:color w:val="auto"/>
                <w:szCs w:val="21"/>
              </w:rPr>
            </w:pPr>
            <w:r>
              <w:rPr>
                <w:rFonts w:hint="eastAsia"/>
                <w:color w:val="auto"/>
                <w:szCs w:val="21"/>
              </w:rPr>
              <w:t>（</w:t>
            </w:r>
            <w:r>
              <w:rPr>
                <w:color w:val="auto"/>
                <w:szCs w:val="21"/>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2B937B58">
            <w:pPr>
              <w:spacing w:line="240" w:lineRule="atLeast"/>
              <w:rPr>
                <w:rFonts w:ascii="宋体" w:hAnsi="宋体" w:cs="宋体"/>
                <w:b/>
                <w:bCs/>
                <w:color w:val="auto"/>
                <w:kern w:val="0"/>
                <w:szCs w:val="21"/>
              </w:rPr>
            </w:pPr>
            <w:r>
              <w:rPr>
                <w:rFonts w:hint="eastAsia" w:ascii="宋体" w:hAnsi="宋体" w:cs="宋体"/>
                <w:b/>
                <w:bCs/>
                <w:color w:val="auto"/>
                <w:kern w:val="0"/>
                <w:szCs w:val="21"/>
              </w:rPr>
              <w:t>偏离差异</w:t>
            </w:r>
          </w:p>
          <w:p w14:paraId="22D349B7">
            <w:pPr>
              <w:spacing w:line="240" w:lineRule="atLeast"/>
              <w:rPr>
                <w:color w:val="auto"/>
                <w:szCs w:val="21"/>
              </w:rPr>
            </w:pPr>
            <w:r>
              <w:rPr>
                <w:rFonts w:hint="eastAsia" w:ascii="宋体" w:hAnsi="宋体" w:cs="宋体"/>
                <w:b/>
                <w:bCs/>
                <w:color w:val="auto"/>
                <w:kern w:val="0"/>
                <w:szCs w:val="21"/>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6DD22E97">
            <w:pPr>
              <w:spacing w:line="240" w:lineRule="atLeast"/>
              <w:rPr>
                <w:color w:val="auto"/>
                <w:szCs w:val="21"/>
              </w:rPr>
            </w:pPr>
            <w:r>
              <w:rPr>
                <w:rFonts w:hint="eastAsia" w:ascii="宋体" w:hAnsi="宋体" w:cs="宋体"/>
                <w:b/>
                <w:bCs/>
                <w:color w:val="auto"/>
                <w:kern w:val="0"/>
                <w:szCs w:val="21"/>
              </w:rPr>
              <w:t>证明文件索引</w:t>
            </w:r>
          </w:p>
        </w:tc>
      </w:tr>
      <w:tr w14:paraId="1EA5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D091324">
            <w:pPr>
              <w:spacing w:line="360" w:lineRule="atLeast"/>
              <w:rPr>
                <w:color w:val="auto"/>
                <w:szCs w:val="21"/>
              </w:rPr>
            </w:pPr>
            <w:r>
              <w:rPr>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78078AD4">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27E415D">
            <w:pPr>
              <w:spacing w:line="360" w:lineRule="atLeast"/>
              <w:rPr>
                <w:color w:val="auto"/>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790D8D08">
            <w:pPr>
              <w:spacing w:line="360" w:lineRule="atLeast"/>
              <w:rPr>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728836A7">
            <w:pPr>
              <w:spacing w:line="360" w:lineRule="atLeast"/>
              <w:rPr>
                <w:color w:val="auto"/>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76F95869">
            <w:pPr>
              <w:spacing w:line="360" w:lineRule="atLeast"/>
              <w:rPr>
                <w:color w:val="auto"/>
                <w:szCs w:val="21"/>
              </w:rPr>
            </w:pPr>
            <w:r>
              <w:rPr>
                <w:color w:val="auto"/>
                <w:szCs w:val="21"/>
              </w:rPr>
              <w:t>第</w:t>
            </w:r>
            <w:r>
              <w:rPr>
                <w:rFonts w:hint="eastAsia"/>
                <w:color w:val="auto"/>
                <w:szCs w:val="21"/>
              </w:rPr>
              <w:t>（   ～    ）</w:t>
            </w:r>
            <w:r>
              <w:rPr>
                <w:color w:val="auto"/>
                <w:szCs w:val="21"/>
              </w:rPr>
              <w:t>页</w:t>
            </w:r>
          </w:p>
        </w:tc>
      </w:tr>
      <w:tr w14:paraId="0DB8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506498">
            <w:pPr>
              <w:spacing w:line="360" w:lineRule="atLeast"/>
              <w:rPr>
                <w:color w:val="auto"/>
                <w:szCs w:val="21"/>
              </w:rPr>
            </w:pPr>
            <w:r>
              <w:rPr>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4599B171">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E9F7E53">
            <w:pPr>
              <w:spacing w:line="360" w:lineRule="atLeast"/>
              <w:rPr>
                <w:color w:val="auto"/>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24CAC398">
            <w:pPr>
              <w:spacing w:line="360" w:lineRule="atLeast"/>
              <w:rPr>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5C4A1450">
            <w:pPr>
              <w:spacing w:line="360" w:lineRule="atLeast"/>
              <w:rPr>
                <w:color w:val="auto"/>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2076A970">
            <w:pPr>
              <w:spacing w:line="360" w:lineRule="atLeast"/>
              <w:rPr>
                <w:color w:val="auto"/>
                <w:szCs w:val="21"/>
              </w:rPr>
            </w:pPr>
            <w:r>
              <w:rPr>
                <w:color w:val="auto"/>
                <w:szCs w:val="21"/>
              </w:rPr>
              <w:t>第</w:t>
            </w:r>
            <w:r>
              <w:rPr>
                <w:rFonts w:hint="eastAsia"/>
                <w:color w:val="auto"/>
                <w:szCs w:val="21"/>
              </w:rPr>
              <w:t>（   ～    ）</w:t>
            </w:r>
            <w:r>
              <w:rPr>
                <w:color w:val="auto"/>
                <w:szCs w:val="21"/>
              </w:rPr>
              <w:t>页</w:t>
            </w:r>
          </w:p>
        </w:tc>
      </w:tr>
      <w:tr w14:paraId="5BD8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ECDFFB2">
            <w:pPr>
              <w:spacing w:line="360" w:lineRule="atLeast"/>
              <w:rPr>
                <w:color w:val="auto"/>
                <w:szCs w:val="21"/>
              </w:rPr>
            </w:pPr>
            <w:r>
              <w:rPr>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0B5E42FE">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39BBAF1">
            <w:pPr>
              <w:spacing w:line="360" w:lineRule="atLeast"/>
              <w:rPr>
                <w:color w:val="auto"/>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7422E27D">
            <w:pPr>
              <w:spacing w:line="360" w:lineRule="atLeast"/>
              <w:rPr>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66CE5FAA">
            <w:pPr>
              <w:spacing w:line="360" w:lineRule="atLeast"/>
              <w:rPr>
                <w:color w:val="auto"/>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4AE31982">
            <w:pPr>
              <w:spacing w:line="360" w:lineRule="atLeast"/>
              <w:rPr>
                <w:color w:val="auto"/>
                <w:szCs w:val="21"/>
              </w:rPr>
            </w:pPr>
            <w:r>
              <w:rPr>
                <w:color w:val="auto"/>
                <w:szCs w:val="21"/>
              </w:rPr>
              <w:t>第</w:t>
            </w:r>
            <w:r>
              <w:rPr>
                <w:rFonts w:hint="eastAsia"/>
                <w:color w:val="auto"/>
                <w:szCs w:val="21"/>
              </w:rPr>
              <w:t>（   ～    ）</w:t>
            </w:r>
            <w:r>
              <w:rPr>
                <w:color w:val="auto"/>
                <w:szCs w:val="21"/>
              </w:rPr>
              <w:t>页</w:t>
            </w:r>
          </w:p>
        </w:tc>
      </w:tr>
    </w:tbl>
    <w:p w14:paraId="51F94676">
      <w:pPr>
        <w:pStyle w:val="34"/>
        <w:spacing w:line="360" w:lineRule="atLeast"/>
        <w:rPr>
          <w:color w:val="auto"/>
          <w:szCs w:val="21"/>
        </w:rPr>
      </w:pPr>
      <w:r>
        <w:rPr>
          <w:rFonts w:hint="eastAsia" w:ascii="宋体" w:hAnsi="宋体"/>
          <w:b/>
          <w:color w:val="auto"/>
          <w:szCs w:val="21"/>
          <w:lang w:val="en-US" w:eastAsia="zh-CN"/>
        </w:rPr>
        <w:t>六、</w:t>
      </w:r>
      <w:r>
        <w:rPr>
          <w:rFonts w:hint="eastAsia" w:ascii="宋体" w:hAnsi="宋体" w:eastAsia="宋体" w:cs="宋体"/>
          <w:b/>
          <w:color w:val="auto"/>
          <w:sz w:val="21"/>
          <w:szCs w:val="21"/>
        </w:rPr>
        <w:t>履约保证金</w:t>
      </w:r>
      <w:r>
        <w:rPr>
          <w:rFonts w:hint="eastAsia" w:ascii="宋体" w:hAnsi="宋体"/>
          <w:b/>
          <w:color w:val="auto"/>
          <w:szCs w:val="21"/>
        </w:rPr>
        <w:t>条款</w:t>
      </w:r>
      <w:r>
        <w:rPr>
          <w:rFonts w:hint="eastAsia" w:hAnsi="宋体"/>
          <w:b/>
          <w:color w:val="auto"/>
          <w:szCs w:val="21"/>
        </w:rPr>
        <w:t>响应表</w:t>
      </w:r>
    </w:p>
    <w:tbl>
      <w:tblPr>
        <w:tblStyle w:val="24"/>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2C95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2E179B8">
            <w:pPr>
              <w:spacing w:line="240" w:lineRule="atLeast"/>
              <w:rPr>
                <w:b/>
                <w:bCs/>
                <w:color w:val="auto"/>
                <w:szCs w:val="21"/>
              </w:rPr>
            </w:pPr>
            <w:r>
              <w:rPr>
                <w:b/>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002B014B">
            <w:pPr>
              <w:spacing w:line="240" w:lineRule="atLeast"/>
              <w:rPr>
                <w:b/>
                <w:bCs/>
                <w:color w:val="auto"/>
                <w:szCs w:val="21"/>
              </w:rPr>
            </w:pPr>
            <w:r>
              <w:rPr>
                <w:rFonts w:hint="eastAsia"/>
                <w:b/>
                <w:bCs/>
                <w:color w:val="auto"/>
                <w:szCs w:val="21"/>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0AE3F085">
            <w:pPr>
              <w:spacing w:line="240" w:lineRule="atLeast"/>
              <w:rPr>
                <w:b/>
                <w:bCs/>
                <w:color w:val="auto"/>
                <w:szCs w:val="21"/>
              </w:rPr>
            </w:pPr>
            <w:r>
              <w:rPr>
                <w:rFonts w:hint="eastAsia"/>
                <w:b/>
                <w:bCs/>
                <w:color w:val="auto"/>
                <w:szCs w:val="21"/>
              </w:rPr>
              <w:t>响应文件实际响应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3353FD75">
            <w:pPr>
              <w:spacing w:line="240" w:lineRule="atLeast"/>
              <w:jc w:val="center"/>
              <w:rPr>
                <w:color w:val="auto"/>
                <w:szCs w:val="21"/>
              </w:rPr>
            </w:pPr>
            <w:r>
              <w:rPr>
                <w:rFonts w:ascii="Arial" w:hAnsi="Arial" w:cs="Arial"/>
                <w:b/>
                <w:color w:val="auto"/>
                <w:szCs w:val="21"/>
              </w:rPr>
              <w:t>是否偏离</w:t>
            </w:r>
          </w:p>
          <w:p w14:paraId="63C0618E">
            <w:pPr>
              <w:spacing w:line="240" w:lineRule="atLeast"/>
              <w:jc w:val="center"/>
              <w:rPr>
                <w:color w:val="auto"/>
                <w:szCs w:val="21"/>
              </w:rPr>
            </w:pPr>
            <w:r>
              <w:rPr>
                <w:rFonts w:hint="eastAsia"/>
                <w:color w:val="auto"/>
                <w:szCs w:val="21"/>
              </w:rPr>
              <w:t>（</w:t>
            </w:r>
            <w:r>
              <w:rPr>
                <w:color w:val="auto"/>
                <w:szCs w:val="21"/>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2D6D36D3">
            <w:pPr>
              <w:spacing w:line="240" w:lineRule="atLeast"/>
              <w:rPr>
                <w:rFonts w:ascii="宋体" w:hAnsi="宋体" w:cs="宋体"/>
                <w:b/>
                <w:bCs/>
                <w:color w:val="auto"/>
                <w:kern w:val="0"/>
                <w:szCs w:val="21"/>
              </w:rPr>
            </w:pPr>
            <w:r>
              <w:rPr>
                <w:rFonts w:hint="eastAsia" w:ascii="宋体" w:hAnsi="宋体" w:cs="宋体"/>
                <w:b/>
                <w:bCs/>
                <w:color w:val="auto"/>
                <w:kern w:val="0"/>
                <w:szCs w:val="21"/>
              </w:rPr>
              <w:t>偏离差异</w:t>
            </w:r>
          </w:p>
          <w:p w14:paraId="7DFC7657">
            <w:pPr>
              <w:spacing w:line="240" w:lineRule="atLeast"/>
              <w:rPr>
                <w:color w:val="auto"/>
                <w:szCs w:val="21"/>
              </w:rPr>
            </w:pPr>
            <w:r>
              <w:rPr>
                <w:rFonts w:hint="eastAsia" w:ascii="宋体" w:hAnsi="宋体" w:cs="宋体"/>
                <w:b/>
                <w:bCs/>
                <w:color w:val="auto"/>
                <w:kern w:val="0"/>
                <w:szCs w:val="21"/>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47578BDC">
            <w:pPr>
              <w:spacing w:line="240" w:lineRule="atLeast"/>
              <w:rPr>
                <w:color w:val="auto"/>
                <w:szCs w:val="21"/>
              </w:rPr>
            </w:pPr>
            <w:r>
              <w:rPr>
                <w:rFonts w:hint="eastAsia" w:ascii="宋体" w:hAnsi="宋体" w:cs="宋体"/>
                <w:b/>
                <w:bCs/>
                <w:color w:val="auto"/>
                <w:kern w:val="0"/>
                <w:szCs w:val="21"/>
              </w:rPr>
              <w:t>证明文件索引</w:t>
            </w:r>
          </w:p>
        </w:tc>
      </w:tr>
      <w:tr w14:paraId="17FA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930209F">
            <w:pPr>
              <w:spacing w:line="360" w:lineRule="atLeast"/>
              <w:rPr>
                <w:color w:val="auto"/>
                <w:szCs w:val="21"/>
              </w:rPr>
            </w:pPr>
            <w:r>
              <w:rPr>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2E270ED6">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B93685A">
            <w:pPr>
              <w:spacing w:line="360" w:lineRule="atLeast"/>
              <w:rPr>
                <w:color w:val="auto"/>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1DECD517">
            <w:pPr>
              <w:spacing w:line="360" w:lineRule="atLeast"/>
              <w:rPr>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404AC2B0">
            <w:pPr>
              <w:spacing w:line="360" w:lineRule="atLeast"/>
              <w:rPr>
                <w:color w:val="auto"/>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7E4FA0AA">
            <w:pPr>
              <w:spacing w:line="360" w:lineRule="atLeast"/>
              <w:rPr>
                <w:color w:val="auto"/>
                <w:szCs w:val="21"/>
              </w:rPr>
            </w:pPr>
            <w:r>
              <w:rPr>
                <w:color w:val="auto"/>
                <w:szCs w:val="21"/>
              </w:rPr>
              <w:t>第</w:t>
            </w:r>
            <w:r>
              <w:rPr>
                <w:rFonts w:hint="eastAsia"/>
                <w:color w:val="auto"/>
                <w:szCs w:val="21"/>
              </w:rPr>
              <w:t>（   ～    ）</w:t>
            </w:r>
            <w:r>
              <w:rPr>
                <w:color w:val="auto"/>
                <w:szCs w:val="21"/>
              </w:rPr>
              <w:t>页</w:t>
            </w:r>
          </w:p>
        </w:tc>
      </w:tr>
      <w:tr w14:paraId="0C55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C30A503">
            <w:pPr>
              <w:spacing w:line="360" w:lineRule="atLeast"/>
              <w:rPr>
                <w:color w:val="auto"/>
                <w:szCs w:val="21"/>
              </w:rPr>
            </w:pPr>
            <w:r>
              <w:rPr>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6AC05A42">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70A9532">
            <w:pPr>
              <w:spacing w:line="360" w:lineRule="atLeast"/>
              <w:rPr>
                <w:color w:val="auto"/>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3AE29D0F">
            <w:pPr>
              <w:spacing w:line="360" w:lineRule="atLeast"/>
              <w:rPr>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5D62A9A1">
            <w:pPr>
              <w:spacing w:line="360" w:lineRule="atLeast"/>
              <w:rPr>
                <w:color w:val="auto"/>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5300DEC2">
            <w:pPr>
              <w:spacing w:line="360" w:lineRule="atLeast"/>
              <w:rPr>
                <w:color w:val="auto"/>
                <w:szCs w:val="21"/>
              </w:rPr>
            </w:pPr>
            <w:r>
              <w:rPr>
                <w:color w:val="auto"/>
                <w:szCs w:val="21"/>
              </w:rPr>
              <w:t>第</w:t>
            </w:r>
            <w:r>
              <w:rPr>
                <w:rFonts w:hint="eastAsia"/>
                <w:color w:val="auto"/>
                <w:szCs w:val="21"/>
              </w:rPr>
              <w:t>（   ～    ）</w:t>
            </w:r>
            <w:r>
              <w:rPr>
                <w:color w:val="auto"/>
                <w:szCs w:val="21"/>
              </w:rPr>
              <w:t>页</w:t>
            </w:r>
          </w:p>
        </w:tc>
      </w:tr>
      <w:tr w14:paraId="7E7F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20AF6DC">
            <w:pPr>
              <w:spacing w:line="360" w:lineRule="atLeast"/>
              <w:rPr>
                <w:color w:val="auto"/>
                <w:szCs w:val="21"/>
              </w:rPr>
            </w:pPr>
            <w:r>
              <w:rPr>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77D48017">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DE316E4">
            <w:pPr>
              <w:spacing w:line="360" w:lineRule="atLeast"/>
              <w:rPr>
                <w:color w:val="auto"/>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645A97ED">
            <w:pPr>
              <w:spacing w:line="360" w:lineRule="atLeast"/>
              <w:rPr>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2F7C355B">
            <w:pPr>
              <w:spacing w:line="360" w:lineRule="atLeast"/>
              <w:rPr>
                <w:color w:val="auto"/>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6C7F5784">
            <w:pPr>
              <w:spacing w:line="360" w:lineRule="atLeast"/>
              <w:rPr>
                <w:color w:val="auto"/>
                <w:szCs w:val="21"/>
              </w:rPr>
            </w:pPr>
            <w:r>
              <w:rPr>
                <w:color w:val="auto"/>
                <w:szCs w:val="21"/>
              </w:rPr>
              <w:t>第</w:t>
            </w:r>
            <w:r>
              <w:rPr>
                <w:rFonts w:hint="eastAsia"/>
                <w:color w:val="auto"/>
                <w:szCs w:val="21"/>
              </w:rPr>
              <w:t>（   ～    ）</w:t>
            </w:r>
            <w:r>
              <w:rPr>
                <w:color w:val="auto"/>
                <w:szCs w:val="21"/>
              </w:rPr>
              <w:t>页</w:t>
            </w:r>
          </w:p>
        </w:tc>
      </w:tr>
    </w:tbl>
    <w:p w14:paraId="1377E191">
      <w:pPr>
        <w:pStyle w:val="33"/>
        <w:spacing w:line="360" w:lineRule="auto"/>
        <w:ind w:firstLine="0" w:firstLineChars="0"/>
        <w:rPr>
          <w:color w:val="auto"/>
          <w:szCs w:val="21"/>
        </w:rPr>
      </w:pPr>
      <w:r>
        <w:rPr>
          <w:rFonts w:hint="eastAsia" w:ascii="宋体" w:hAnsi="宋体" w:cs="宋体"/>
          <w:b/>
          <w:color w:val="auto"/>
          <w:szCs w:val="21"/>
          <w:lang w:val="en-US" w:eastAsia="zh-CN"/>
        </w:rPr>
        <w:t>七、</w:t>
      </w:r>
      <w:r>
        <w:rPr>
          <w:rFonts w:hint="eastAsia" w:ascii="宋体" w:hAnsi="宋体" w:cs="宋体"/>
          <w:b/>
          <w:color w:val="auto"/>
          <w:szCs w:val="21"/>
        </w:rPr>
        <w:t>安全管理与应急处理条款响应表</w:t>
      </w:r>
    </w:p>
    <w:tbl>
      <w:tblPr>
        <w:tblStyle w:val="24"/>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6E86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0AD6C3C">
            <w:pPr>
              <w:spacing w:line="240" w:lineRule="atLeast"/>
              <w:rPr>
                <w:b/>
                <w:bCs/>
                <w:color w:val="auto"/>
                <w:szCs w:val="21"/>
              </w:rPr>
            </w:pPr>
            <w:r>
              <w:rPr>
                <w:b/>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D01267C">
            <w:pPr>
              <w:spacing w:line="240" w:lineRule="atLeast"/>
              <w:rPr>
                <w:b/>
                <w:bCs/>
                <w:color w:val="auto"/>
                <w:szCs w:val="21"/>
              </w:rPr>
            </w:pPr>
            <w:r>
              <w:rPr>
                <w:rFonts w:hint="eastAsia"/>
                <w:b/>
                <w:bCs/>
                <w:color w:val="auto"/>
                <w:szCs w:val="21"/>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B2E3477">
            <w:pPr>
              <w:spacing w:line="240" w:lineRule="atLeast"/>
              <w:rPr>
                <w:b/>
                <w:bCs/>
                <w:color w:val="auto"/>
                <w:szCs w:val="21"/>
              </w:rPr>
            </w:pPr>
            <w:r>
              <w:rPr>
                <w:rFonts w:hint="eastAsia"/>
                <w:b/>
                <w:bCs/>
                <w:color w:val="auto"/>
                <w:szCs w:val="21"/>
              </w:rPr>
              <w:t>响应文件实际响应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6B013E80">
            <w:pPr>
              <w:spacing w:line="240" w:lineRule="atLeast"/>
              <w:jc w:val="center"/>
              <w:rPr>
                <w:color w:val="auto"/>
                <w:szCs w:val="21"/>
              </w:rPr>
            </w:pPr>
            <w:r>
              <w:rPr>
                <w:rFonts w:ascii="Arial" w:hAnsi="Arial" w:cs="Arial"/>
                <w:b/>
                <w:color w:val="auto"/>
                <w:szCs w:val="21"/>
              </w:rPr>
              <w:t>是否偏离</w:t>
            </w:r>
          </w:p>
          <w:p w14:paraId="45A48003">
            <w:pPr>
              <w:spacing w:line="240" w:lineRule="atLeast"/>
              <w:jc w:val="center"/>
              <w:rPr>
                <w:color w:val="auto"/>
                <w:szCs w:val="21"/>
              </w:rPr>
            </w:pPr>
            <w:r>
              <w:rPr>
                <w:rFonts w:hint="eastAsia"/>
                <w:color w:val="auto"/>
                <w:szCs w:val="21"/>
              </w:rPr>
              <w:t>（</w:t>
            </w:r>
            <w:r>
              <w:rPr>
                <w:color w:val="auto"/>
                <w:szCs w:val="21"/>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56534D04">
            <w:pPr>
              <w:spacing w:line="240" w:lineRule="atLeast"/>
              <w:rPr>
                <w:rFonts w:ascii="宋体" w:hAnsi="宋体" w:cs="宋体"/>
                <w:b/>
                <w:bCs/>
                <w:color w:val="auto"/>
                <w:kern w:val="0"/>
                <w:szCs w:val="21"/>
              </w:rPr>
            </w:pPr>
            <w:r>
              <w:rPr>
                <w:rFonts w:hint="eastAsia" w:ascii="宋体" w:hAnsi="宋体" w:cs="宋体"/>
                <w:b/>
                <w:bCs/>
                <w:color w:val="auto"/>
                <w:kern w:val="0"/>
                <w:szCs w:val="21"/>
              </w:rPr>
              <w:t>偏离差异</w:t>
            </w:r>
          </w:p>
          <w:p w14:paraId="1D378939">
            <w:pPr>
              <w:spacing w:line="240" w:lineRule="atLeast"/>
              <w:rPr>
                <w:color w:val="auto"/>
                <w:szCs w:val="21"/>
              </w:rPr>
            </w:pPr>
            <w:r>
              <w:rPr>
                <w:rFonts w:hint="eastAsia" w:ascii="宋体" w:hAnsi="宋体" w:cs="宋体"/>
                <w:b/>
                <w:bCs/>
                <w:color w:val="auto"/>
                <w:kern w:val="0"/>
                <w:szCs w:val="21"/>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4D7C42B5">
            <w:pPr>
              <w:spacing w:line="240" w:lineRule="atLeast"/>
              <w:rPr>
                <w:color w:val="auto"/>
                <w:szCs w:val="21"/>
              </w:rPr>
            </w:pPr>
            <w:r>
              <w:rPr>
                <w:rFonts w:hint="eastAsia" w:ascii="宋体" w:hAnsi="宋体" w:cs="宋体"/>
                <w:b/>
                <w:bCs/>
                <w:color w:val="auto"/>
                <w:kern w:val="0"/>
                <w:szCs w:val="21"/>
              </w:rPr>
              <w:t>证明文件索引</w:t>
            </w:r>
          </w:p>
        </w:tc>
      </w:tr>
      <w:tr w14:paraId="3378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9B719E9">
            <w:pPr>
              <w:spacing w:line="360" w:lineRule="atLeast"/>
              <w:rPr>
                <w:color w:val="auto"/>
                <w:szCs w:val="21"/>
              </w:rPr>
            </w:pPr>
            <w:r>
              <w:rPr>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737F9CE1">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D3ACF08">
            <w:pPr>
              <w:spacing w:line="360" w:lineRule="atLeast"/>
              <w:rPr>
                <w:color w:val="auto"/>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21BB9DBC">
            <w:pPr>
              <w:spacing w:line="360" w:lineRule="atLeast"/>
              <w:rPr>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7643E85B">
            <w:pPr>
              <w:spacing w:line="360" w:lineRule="atLeast"/>
              <w:rPr>
                <w:color w:val="auto"/>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48B5C56C">
            <w:pPr>
              <w:spacing w:line="360" w:lineRule="atLeast"/>
              <w:rPr>
                <w:color w:val="auto"/>
                <w:szCs w:val="21"/>
              </w:rPr>
            </w:pPr>
            <w:r>
              <w:rPr>
                <w:color w:val="auto"/>
                <w:szCs w:val="21"/>
              </w:rPr>
              <w:t>第</w:t>
            </w:r>
            <w:r>
              <w:rPr>
                <w:rFonts w:hint="eastAsia"/>
                <w:color w:val="auto"/>
                <w:szCs w:val="21"/>
              </w:rPr>
              <w:t>（   ～    ）</w:t>
            </w:r>
            <w:r>
              <w:rPr>
                <w:color w:val="auto"/>
                <w:szCs w:val="21"/>
              </w:rPr>
              <w:t>页</w:t>
            </w:r>
          </w:p>
        </w:tc>
      </w:tr>
      <w:tr w14:paraId="524F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851FD8B">
            <w:pPr>
              <w:spacing w:line="360" w:lineRule="atLeast"/>
              <w:rPr>
                <w:color w:val="auto"/>
                <w:szCs w:val="21"/>
              </w:rPr>
            </w:pPr>
            <w:r>
              <w:rPr>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018576B9">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074D0B5">
            <w:pPr>
              <w:spacing w:line="360" w:lineRule="atLeast"/>
              <w:rPr>
                <w:color w:val="auto"/>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47FFB957">
            <w:pPr>
              <w:spacing w:line="360" w:lineRule="atLeast"/>
              <w:rPr>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0A204FD8">
            <w:pPr>
              <w:spacing w:line="360" w:lineRule="atLeast"/>
              <w:rPr>
                <w:color w:val="auto"/>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20BB0C32">
            <w:pPr>
              <w:spacing w:line="360" w:lineRule="atLeast"/>
              <w:rPr>
                <w:color w:val="auto"/>
                <w:szCs w:val="21"/>
              </w:rPr>
            </w:pPr>
            <w:r>
              <w:rPr>
                <w:color w:val="auto"/>
                <w:szCs w:val="21"/>
              </w:rPr>
              <w:t>第</w:t>
            </w:r>
            <w:r>
              <w:rPr>
                <w:rFonts w:hint="eastAsia"/>
                <w:color w:val="auto"/>
                <w:szCs w:val="21"/>
              </w:rPr>
              <w:t>（   ～    ）</w:t>
            </w:r>
            <w:r>
              <w:rPr>
                <w:color w:val="auto"/>
                <w:szCs w:val="21"/>
              </w:rPr>
              <w:t>页</w:t>
            </w:r>
          </w:p>
        </w:tc>
      </w:tr>
      <w:tr w14:paraId="0460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438080C">
            <w:pPr>
              <w:spacing w:line="360" w:lineRule="atLeast"/>
              <w:rPr>
                <w:color w:val="auto"/>
                <w:szCs w:val="21"/>
              </w:rPr>
            </w:pPr>
            <w:r>
              <w:rPr>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7F76A688">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1360ACA">
            <w:pPr>
              <w:spacing w:line="360" w:lineRule="atLeast"/>
              <w:rPr>
                <w:color w:val="auto"/>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7BA9B2E5">
            <w:pPr>
              <w:spacing w:line="360" w:lineRule="atLeast"/>
              <w:rPr>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1115C107">
            <w:pPr>
              <w:spacing w:line="360" w:lineRule="atLeast"/>
              <w:rPr>
                <w:color w:val="auto"/>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47CE27A7">
            <w:pPr>
              <w:spacing w:line="360" w:lineRule="atLeast"/>
              <w:rPr>
                <w:color w:val="auto"/>
                <w:szCs w:val="21"/>
              </w:rPr>
            </w:pPr>
            <w:r>
              <w:rPr>
                <w:color w:val="auto"/>
                <w:szCs w:val="21"/>
              </w:rPr>
              <w:t>第</w:t>
            </w:r>
            <w:r>
              <w:rPr>
                <w:rFonts w:hint="eastAsia"/>
                <w:color w:val="auto"/>
                <w:szCs w:val="21"/>
              </w:rPr>
              <w:t>（   ～    ）</w:t>
            </w:r>
            <w:r>
              <w:rPr>
                <w:color w:val="auto"/>
                <w:szCs w:val="21"/>
              </w:rPr>
              <w:t>页</w:t>
            </w:r>
          </w:p>
        </w:tc>
      </w:tr>
    </w:tbl>
    <w:p w14:paraId="63676BDD">
      <w:pPr>
        <w:pStyle w:val="34"/>
        <w:spacing w:line="360" w:lineRule="atLeast"/>
        <w:rPr>
          <w:color w:val="auto"/>
          <w:szCs w:val="21"/>
        </w:rPr>
      </w:pPr>
      <w:r>
        <w:rPr>
          <w:rFonts w:hint="eastAsia" w:ascii="宋体" w:hAnsi="宋体" w:cs="宋体"/>
          <w:b/>
          <w:bCs/>
          <w:color w:val="auto"/>
          <w:sz w:val="21"/>
          <w:szCs w:val="21"/>
          <w:lang w:val="en-US" w:eastAsia="zh-CN"/>
        </w:rPr>
        <w:t>八、</w:t>
      </w:r>
      <w:r>
        <w:rPr>
          <w:rFonts w:hint="eastAsia" w:ascii="宋体" w:hAnsi="宋体" w:eastAsia="宋体" w:cs="宋体"/>
          <w:b/>
          <w:bCs/>
          <w:color w:val="auto"/>
          <w:sz w:val="21"/>
          <w:szCs w:val="21"/>
        </w:rPr>
        <w:t>保密要求</w:t>
      </w:r>
      <w:r>
        <w:rPr>
          <w:rFonts w:hint="eastAsia" w:ascii="宋体" w:hAnsi="宋体"/>
          <w:b/>
          <w:color w:val="auto"/>
          <w:szCs w:val="21"/>
        </w:rPr>
        <w:t>条款</w:t>
      </w:r>
      <w:r>
        <w:rPr>
          <w:rFonts w:hint="eastAsia" w:hAnsi="宋体"/>
          <w:b/>
          <w:color w:val="auto"/>
          <w:szCs w:val="21"/>
        </w:rPr>
        <w:t>响应表</w:t>
      </w:r>
    </w:p>
    <w:tbl>
      <w:tblPr>
        <w:tblStyle w:val="24"/>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5A68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5B152E1">
            <w:pPr>
              <w:spacing w:line="240" w:lineRule="atLeast"/>
              <w:rPr>
                <w:b/>
                <w:bCs/>
                <w:color w:val="auto"/>
                <w:szCs w:val="21"/>
              </w:rPr>
            </w:pPr>
            <w:r>
              <w:rPr>
                <w:b/>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A353EC0">
            <w:pPr>
              <w:spacing w:line="240" w:lineRule="atLeast"/>
              <w:rPr>
                <w:b/>
                <w:bCs/>
                <w:color w:val="auto"/>
                <w:szCs w:val="21"/>
              </w:rPr>
            </w:pPr>
            <w:r>
              <w:rPr>
                <w:rFonts w:hint="eastAsia"/>
                <w:b/>
                <w:bCs/>
                <w:color w:val="auto"/>
                <w:szCs w:val="21"/>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7AE364C5">
            <w:pPr>
              <w:spacing w:line="240" w:lineRule="atLeast"/>
              <w:rPr>
                <w:b/>
                <w:bCs/>
                <w:color w:val="auto"/>
                <w:szCs w:val="21"/>
              </w:rPr>
            </w:pPr>
            <w:r>
              <w:rPr>
                <w:rFonts w:hint="eastAsia"/>
                <w:b/>
                <w:bCs/>
                <w:color w:val="auto"/>
                <w:szCs w:val="21"/>
              </w:rPr>
              <w:t>响应文件实际响应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335E1C28">
            <w:pPr>
              <w:spacing w:line="240" w:lineRule="atLeast"/>
              <w:jc w:val="center"/>
              <w:rPr>
                <w:color w:val="auto"/>
                <w:szCs w:val="21"/>
              </w:rPr>
            </w:pPr>
            <w:r>
              <w:rPr>
                <w:rFonts w:ascii="Arial" w:hAnsi="Arial" w:cs="Arial"/>
                <w:b/>
                <w:color w:val="auto"/>
                <w:szCs w:val="21"/>
              </w:rPr>
              <w:t>是否偏离</w:t>
            </w:r>
          </w:p>
          <w:p w14:paraId="2C41CD18">
            <w:pPr>
              <w:spacing w:line="240" w:lineRule="atLeast"/>
              <w:jc w:val="center"/>
              <w:rPr>
                <w:color w:val="auto"/>
                <w:szCs w:val="21"/>
              </w:rPr>
            </w:pPr>
            <w:r>
              <w:rPr>
                <w:rFonts w:hint="eastAsia"/>
                <w:color w:val="auto"/>
                <w:szCs w:val="21"/>
              </w:rPr>
              <w:t>（</w:t>
            </w:r>
            <w:r>
              <w:rPr>
                <w:color w:val="auto"/>
                <w:szCs w:val="21"/>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3F3890A8">
            <w:pPr>
              <w:spacing w:line="240" w:lineRule="atLeast"/>
              <w:rPr>
                <w:rFonts w:ascii="宋体" w:hAnsi="宋体" w:cs="宋体"/>
                <w:b/>
                <w:bCs/>
                <w:color w:val="auto"/>
                <w:kern w:val="0"/>
                <w:szCs w:val="21"/>
              </w:rPr>
            </w:pPr>
            <w:r>
              <w:rPr>
                <w:rFonts w:hint="eastAsia" w:ascii="宋体" w:hAnsi="宋体" w:cs="宋体"/>
                <w:b/>
                <w:bCs/>
                <w:color w:val="auto"/>
                <w:kern w:val="0"/>
                <w:szCs w:val="21"/>
              </w:rPr>
              <w:t>偏离差异</w:t>
            </w:r>
          </w:p>
          <w:p w14:paraId="59996221">
            <w:pPr>
              <w:spacing w:line="240" w:lineRule="atLeast"/>
              <w:rPr>
                <w:color w:val="auto"/>
                <w:szCs w:val="21"/>
              </w:rPr>
            </w:pPr>
            <w:r>
              <w:rPr>
                <w:rFonts w:hint="eastAsia" w:ascii="宋体" w:hAnsi="宋体" w:cs="宋体"/>
                <w:b/>
                <w:bCs/>
                <w:color w:val="auto"/>
                <w:kern w:val="0"/>
                <w:szCs w:val="21"/>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24217387">
            <w:pPr>
              <w:spacing w:line="240" w:lineRule="atLeast"/>
              <w:rPr>
                <w:color w:val="auto"/>
                <w:szCs w:val="21"/>
              </w:rPr>
            </w:pPr>
            <w:r>
              <w:rPr>
                <w:rFonts w:hint="eastAsia" w:ascii="宋体" w:hAnsi="宋体" w:cs="宋体"/>
                <w:b/>
                <w:bCs/>
                <w:color w:val="auto"/>
                <w:kern w:val="0"/>
                <w:szCs w:val="21"/>
              </w:rPr>
              <w:t>证明文件索引</w:t>
            </w:r>
          </w:p>
        </w:tc>
      </w:tr>
      <w:tr w14:paraId="65C2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ED22A8">
            <w:pPr>
              <w:spacing w:line="360" w:lineRule="atLeast"/>
              <w:rPr>
                <w:color w:val="auto"/>
                <w:szCs w:val="21"/>
              </w:rPr>
            </w:pPr>
            <w:r>
              <w:rPr>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36B4DDAC">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C92B136">
            <w:pPr>
              <w:spacing w:line="360" w:lineRule="atLeast"/>
              <w:rPr>
                <w:color w:val="auto"/>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020390DC">
            <w:pPr>
              <w:spacing w:line="360" w:lineRule="atLeast"/>
              <w:rPr>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2BD0B51E">
            <w:pPr>
              <w:spacing w:line="360" w:lineRule="atLeast"/>
              <w:rPr>
                <w:color w:val="auto"/>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072ED7E5">
            <w:pPr>
              <w:spacing w:line="360" w:lineRule="atLeast"/>
              <w:rPr>
                <w:color w:val="auto"/>
                <w:szCs w:val="21"/>
              </w:rPr>
            </w:pPr>
            <w:r>
              <w:rPr>
                <w:color w:val="auto"/>
                <w:szCs w:val="21"/>
              </w:rPr>
              <w:t>第</w:t>
            </w:r>
            <w:r>
              <w:rPr>
                <w:rFonts w:hint="eastAsia"/>
                <w:color w:val="auto"/>
                <w:szCs w:val="21"/>
              </w:rPr>
              <w:t>（   ～    ）</w:t>
            </w:r>
            <w:r>
              <w:rPr>
                <w:color w:val="auto"/>
                <w:szCs w:val="21"/>
              </w:rPr>
              <w:t>页</w:t>
            </w:r>
          </w:p>
        </w:tc>
      </w:tr>
      <w:tr w14:paraId="0781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B8482A6">
            <w:pPr>
              <w:spacing w:line="360" w:lineRule="atLeast"/>
              <w:rPr>
                <w:color w:val="auto"/>
                <w:szCs w:val="21"/>
              </w:rPr>
            </w:pPr>
            <w:r>
              <w:rPr>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01709469">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1BFCACC">
            <w:pPr>
              <w:spacing w:line="360" w:lineRule="atLeast"/>
              <w:rPr>
                <w:color w:val="auto"/>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499470EA">
            <w:pPr>
              <w:spacing w:line="360" w:lineRule="atLeast"/>
              <w:rPr>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36A6D549">
            <w:pPr>
              <w:spacing w:line="360" w:lineRule="atLeast"/>
              <w:rPr>
                <w:color w:val="auto"/>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67FB0A80">
            <w:pPr>
              <w:spacing w:line="360" w:lineRule="atLeast"/>
              <w:rPr>
                <w:color w:val="auto"/>
                <w:szCs w:val="21"/>
              </w:rPr>
            </w:pPr>
            <w:r>
              <w:rPr>
                <w:color w:val="auto"/>
                <w:szCs w:val="21"/>
              </w:rPr>
              <w:t>第</w:t>
            </w:r>
            <w:r>
              <w:rPr>
                <w:rFonts w:hint="eastAsia"/>
                <w:color w:val="auto"/>
                <w:szCs w:val="21"/>
              </w:rPr>
              <w:t>（   ～    ）</w:t>
            </w:r>
            <w:r>
              <w:rPr>
                <w:color w:val="auto"/>
                <w:szCs w:val="21"/>
              </w:rPr>
              <w:t>页</w:t>
            </w:r>
          </w:p>
        </w:tc>
      </w:tr>
      <w:tr w14:paraId="2B66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634D9FB">
            <w:pPr>
              <w:spacing w:line="360" w:lineRule="atLeast"/>
              <w:rPr>
                <w:color w:val="auto"/>
                <w:szCs w:val="21"/>
              </w:rPr>
            </w:pPr>
            <w:r>
              <w:rPr>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0A0591CC">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B67D409">
            <w:pPr>
              <w:spacing w:line="360" w:lineRule="atLeast"/>
              <w:rPr>
                <w:color w:val="auto"/>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30E444DD">
            <w:pPr>
              <w:spacing w:line="360" w:lineRule="atLeast"/>
              <w:rPr>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3887350C">
            <w:pPr>
              <w:spacing w:line="360" w:lineRule="atLeast"/>
              <w:rPr>
                <w:color w:val="auto"/>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21200D1B">
            <w:pPr>
              <w:spacing w:line="360" w:lineRule="atLeast"/>
              <w:rPr>
                <w:color w:val="auto"/>
                <w:szCs w:val="21"/>
              </w:rPr>
            </w:pPr>
            <w:r>
              <w:rPr>
                <w:color w:val="auto"/>
                <w:szCs w:val="21"/>
              </w:rPr>
              <w:t>第</w:t>
            </w:r>
            <w:r>
              <w:rPr>
                <w:rFonts w:hint="eastAsia"/>
                <w:color w:val="auto"/>
                <w:szCs w:val="21"/>
              </w:rPr>
              <w:t>（   ～    ）</w:t>
            </w:r>
            <w:r>
              <w:rPr>
                <w:color w:val="auto"/>
                <w:szCs w:val="21"/>
              </w:rPr>
              <w:t>页</w:t>
            </w:r>
          </w:p>
        </w:tc>
      </w:tr>
    </w:tbl>
    <w:p w14:paraId="3EBB667C">
      <w:pPr>
        <w:spacing w:line="360" w:lineRule="auto"/>
        <w:rPr>
          <w:color w:val="auto"/>
          <w:szCs w:val="21"/>
        </w:rPr>
      </w:pPr>
      <w:r>
        <w:rPr>
          <w:rFonts w:hint="eastAsia" w:ascii="宋体" w:hAnsi="宋体"/>
          <w:b/>
          <w:color w:val="auto"/>
          <w:szCs w:val="21"/>
          <w:lang w:val="en-US" w:eastAsia="zh-CN"/>
        </w:rPr>
        <w:t>九、</w:t>
      </w:r>
      <w:r>
        <w:rPr>
          <w:rFonts w:hint="eastAsia" w:ascii="宋体" w:hAnsi="宋体" w:eastAsia="宋体" w:cs="宋体"/>
          <w:b/>
          <w:bCs/>
          <w:color w:val="auto"/>
          <w:sz w:val="21"/>
          <w:szCs w:val="21"/>
        </w:rPr>
        <w:t>维保服务新旧衔接要求</w:t>
      </w:r>
      <w:r>
        <w:rPr>
          <w:rFonts w:hint="eastAsia" w:ascii="宋体" w:hAnsi="宋体"/>
          <w:b/>
          <w:color w:val="auto"/>
          <w:szCs w:val="21"/>
        </w:rPr>
        <w:t>条款</w:t>
      </w:r>
      <w:r>
        <w:rPr>
          <w:rFonts w:hint="eastAsia" w:hAnsi="宋体"/>
          <w:b/>
          <w:color w:val="auto"/>
          <w:szCs w:val="21"/>
        </w:rPr>
        <w:t>响应表</w:t>
      </w:r>
    </w:p>
    <w:tbl>
      <w:tblPr>
        <w:tblStyle w:val="24"/>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7F6C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26A4180">
            <w:pPr>
              <w:spacing w:line="240" w:lineRule="atLeast"/>
              <w:rPr>
                <w:b/>
                <w:bCs/>
                <w:color w:val="auto"/>
                <w:szCs w:val="21"/>
              </w:rPr>
            </w:pPr>
            <w:r>
              <w:rPr>
                <w:b/>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03CD788">
            <w:pPr>
              <w:spacing w:line="240" w:lineRule="atLeast"/>
              <w:rPr>
                <w:b/>
                <w:bCs/>
                <w:color w:val="auto"/>
                <w:szCs w:val="21"/>
              </w:rPr>
            </w:pPr>
            <w:r>
              <w:rPr>
                <w:rFonts w:hint="eastAsia"/>
                <w:b/>
                <w:bCs/>
                <w:color w:val="auto"/>
                <w:szCs w:val="21"/>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267F6F41">
            <w:pPr>
              <w:spacing w:line="240" w:lineRule="atLeast"/>
              <w:rPr>
                <w:b/>
                <w:bCs/>
                <w:color w:val="auto"/>
                <w:szCs w:val="21"/>
              </w:rPr>
            </w:pPr>
            <w:r>
              <w:rPr>
                <w:rFonts w:hint="eastAsia"/>
                <w:b/>
                <w:bCs/>
                <w:color w:val="auto"/>
                <w:szCs w:val="21"/>
              </w:rPr>
              <w:t>响应文件实际响应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1AE01B32">
            <w:pPr>
              <w:spacing w:line="240" w:lineRule="atLeast"/>
              <w:jc w:val="center"/>
              <w:rPr>
                <w:color w:val="auto"/>
                <w:szCs w:val="21"/>
              </w:rPr>
            </w:pPr>
            <w:r>
              <w:rPr>
                <w:rFonts w:ascii="Arial" w:hAnsi="Arial" w:cs="Arial"/>
                <w:b/>
                <w:color w:val="auto"/>
                <w:szCs w:val="21"/>
              </w:rPr>
              <w:t>是否偏离</w:t>
            </w:r>
          </w:p>
          <w:p w14:paraId="673ABB13">
            <w:pPr>
              <w:spacing w:line="240" w:lineRule="atLeast"/>
              <w:jc w:val="center"/>
              <w:rPr>
                <w:color w:val="auto"/>
                <w:szCs w:val="21"/>
              </w:rPr>
            </w:pPr>
            <w:r>
              <w:rPr>
                <w:rFonts w:hint="eastAsia"/>
                <w:color w:val="auto"/>
                <w:szCs w:val="21"/>
              </w:rPr>
              <w:t>（</w:t>
            </w:r>
            <w:r>
              <w:rPr>
                <w:color w:val="auto"/>
                <w:szCs w:val="21"/>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7A280829">
            <w:pPr>
              <w:spacing w:line="240" w:lineRule="atLeast"/>
              <w:rPr>
                <w:rFonts w:ascii="宋体" w:hAnsi="宋体" w:cs="宋体"/>
                <w:b/>
                <w:bCs/>
                <w:color w:val="auto"/>
                <w:kern w:val="0"/>
                <w:szCs w:val="21"/>
              </w:rPr>
            </w:pPr>
            <w:r>
              <w:rPr>
                <w:rFonts w:hint="eastAsia" w:ascii="宋体" w:hAnsi="宋体" w:cs="宋体"/>
                <w:b/>
                <w:bCs/>
                <w:color w:val="auto"/>
                <w:kern w:val="0"/>
                <w:szCs w:val="21"/>
              </w:rPr>
              <w:t>偏离差异</w:t>
            </w:r>
          </w:p>
          <w:p w14:paraId="76C38702">
            <w:pPr>
              <w:spacing w:line="240" w:lineRule="atLeast"/>
              <w:rPr>
                <w:color w:val="auto"/>
                <w:szCs w:val="21"/>
              </w:rPr>
            </w:pPr>
            <w:r>
              <w:rPr>
                <w:rFonts w:hint="eastAsia" w:ascii="宋体" w:hAnsi="宋体" w:cs="宋体"/>
                <w:b/>
                <w:bCs/>
                <w:color w:val="auto"/>
                <w:kern w:val="0"/>
                <w:szCs w:val="21"/>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28122909">
            <w:pPr>
              <w:spacing w:line="240" w:lineRule="atLeast"/>
              <w:rPr>
                <w:color w:val="auto"/>
                <w:szCs w:val="21"/>
              </w:rPr>
            </w:pPr>
            <w:r>
              <w:rPr>
                <w:rFonts w:hint="eastAsia" w:ascii="宋体" w:hAnsi="宋体" w:cs="宋体"/>
                <w:b/>
                <w:bCs/>
                <w:color w:val="auto"/>
                <w:kern w:val="0"/>
                <w:szCs w:val="21"/>
              </w:rPr>
              <w:t>证明文件索引</w:t>
            </w:r>
          </w:p>
        </w:tc>
      </w:tr>
      <w:tr w14:paraId="146D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9E1E1D4">
            <w:pPr>
              <w:spacing w:line="360" w:lineRule="atLeast"/>
              <w:rPr>
                <w:color w:val="auto"/>
                <w:szCs w:val="21"/>
              </w:rPr>
            </w:pPr>
            <w:r>
              <w:rPr>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0850AA82">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1F4066B">
            <w:pPr>
              <w:spacing w:line="360" w:lineRule="atLeast"/>
              <w:rPr>
                <w:color w:val="auto"/>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05097264">
            <w:pPr>
              <w:spacing w:line="360" w:lineRule="atLeast"/>
              <w:rPr>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1F6EBD2D">
            <w:pPr>
              <w:spacing w:line="360" w:lineRule="atLeast"/>
              <w:rPr>
                <w:color w:val="auto"/>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0DE3B32F">
            <w:pPr>
              <w:spacing w:line="360" w:lineRule="atLeast"/>
              <w:rPr>
                <w:color w:val="auto"/>
                <w:szCs w:val="21"/>
              </w:rPr>
            </w:pPr>
            <w:r>
              <w:rPr>
                <w:color w:val="auto"/>
                <w:szCs w:val="21"/>
              </w:rPr>
              <w:t>第</w:t>
            </w:r>
            <w:r>
              <w:rPr>
                <w:rFonts w:hint="eastAsia"/>
                <w:color w:val="auto"/>
                <w:szCs w:val="21"/>
              </w:rPr>
              <w:t>（   ～    ）</w:t>
            </w:r>
            <w:r>
              <w:rPr>
                <w:color w:val="auto"/>
                <w:szCs w:val="21"/>
              </w:rPr>
              <w:t>页</w:t>
            </w:r>
          </w:p>
        </w:tc>
      </w:tr>
      <w:tr w14:paraId="4D06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1F4E58D">
            <w:pPr>
              <w:spacing w:line="360" w:lineRule="atLeast"/>
              <w:rPr>
                <w:color w:val="auto"/>
                <w:szCs w:val="21"/>
              </w:rPr>
            </w:pPr>
            <w:r>
              <w:rPr>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4C68C79E">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8FFEBFA">
            <w:pPr>
              <w:spacing w:line="360" w:lineRule="atLeast"/>
              <w:rPr>
                <w:color w:val="auto"/>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45ECF096">
            <w:pPr>
              <w:spacing w:line="360" w:lineRule="atLeast"/>
              <w:rPr>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30ADA6E1">
            <w:pPr>
              <w:spacing w:line="360" w:lineRule="atLeast"/>
              <w:rPr>
                <w:color w:val="auto"/>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5401FFEF">
            <w:pPr>
              <w:spacing w:line="360" w:lineRule="atLeast"/>
              <w:rPr>
                <w:color w:val="auto"/>
                <w:szCs w:val="21"/>
              </w:rPr>
            </w:pPr>
            <w:r>
              <w:rPr>
                <w:color w:val="auto"/>
                <w:szCs w:val="21"/>
              </w:rPr>
              <w:t>第</w:t>
            </w:r>
            <w:r>
              <w:rPr>
                <w:rFonts w:hint="eastAsia"/>
                <w:color w:val="auto"/>
                <w:szCs w:val="21"/>
              </w:rPr>
              <w:t>（   ～    ）</w:t>
            </w:r>
            <w:r>
              <w:rPr>
                <w:color w:val="auto"/>
                <w:szCs w:val="21"/>
              </w:rPr>
              <w:t>页</w:t>
            </w:r>
          </w:p>
        </w:tc>
      </w:tr>
      <w:tr w14:paraId="4B33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9BF3D6F">
            <w:pPr>
              <w:spacing w:line="360" w:lineRule="atLeast"/>
              <w:rPr>
                <w:color w:val="auto"/>
                <w:szCs w:val="21"/>
              </w:rPr>
            </w:pPr>
            <w:r>
              <w:rPr>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0F33AE04">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29C7C4E">
            <w:pPr>
              <w:spacing w:line="360" w:lineRule="atLeast"/>
              <w:rPr>
                <w:color w:val="auto"/>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1F3C9AB7">
            <w:pPr>
              <w:spacing w:line="360" w:lineRule="atLeast"/>
              <w:rPr>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34EBAF77">
            <w:pPr>
              <w:spacing w:line="360" w:lineRule="atLeast"/>
              <w:rPr>
                <w:color w:val="auto"/>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2994B7AF">
            <w:pPr>
              <w:spacing w:line="360" w:lineRule="atLeast"/>
              <w:rPr>
                <w:color w:val="auto"/>
                <w:szCs w:val="21"/>
              </w:rPr>
            </w:pPr>
            <w:r>
              <w:rPr>
                <w:color w:val="auto"/>
                <w:szCs w:val="21"/>
              </w:rPr>
              <w:t>第</w:t>
            </w:r>
            <w:r>
              <w:rPr>
                <w:rFonts w:hint="eastAsia"/>
                <w:color w:val="auto"/>
                <w:szCs w:val="21"/>
              </w:rPr>
              <w:t>（   ～    ）</w:t>
            </w:r>
            <w:r>
              <w:rPr>
                <w:color w:val="auto"/>
                <w:szCs w:val="21"/>
              </w:rPr>
              <w:t>页</w:t>
            </w:r>
          </w:p>
        </w:tc>
      </w:tr>
    </w:tbl>
    <w:p w14:paraId="74D63E32">
      <w:pPr>
        <w:pStyle w:val="34"/>
        <w:spacing w:line="360" w:lineRule="atLeast"/>
        <w:rPr>
          <w:color w:val="auto"/>
          <w:szCs w:val="21"/>
        </w:rPr>
      </w:pPr>
      <w:r>
        <w:rPr>
          <w:rFonts w:hint="eastAsia" w:ascii="宋体" w:hAnsi="宋体"/>
          <w:b/>
          <w:color w:val="auto"/>
          <w:szCs w:val="21"/>
          <w:lang w:val="en-US" w:eastAsia="zh-CN"/>
        </w:rPr>
        <w:t>十、</w:t>
      </w:r>
      <w:r>
        <w:rPr>
          <w:rFonts w:hint="eastAsia" w:ascii="宋体" w:hAnsi="宋体"/>
          <w:b/>
          <w:color w:val="auto"/>
          <w:szCs w:val="21"/>
        </w:rPr>
        <w:t>合同条款</w:t>
      </w:r>
      <w:r>
        <w:rPr>
          <w:rFonts w:hint="eastAsia" w:hAnsi="宋体"/>
          <w:b/>
          <w:color w:val="auto"/>
          <w:szCs w:val="21"/>
        </w:rPr>
        <w:t>响应表</w:t>
      </w:r>
    </w:p>
    <w:tbl>
      <w:tblPr>
        <w:tblStyle w:val="24"/>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0FF5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A37E94A">
            <w:pPr>
              <w:spacing w:line="240" w:lineRule="atLeast"/>
              <w:rPr>
                <w:b/>
                <w:bCs/>
                <w:color w:val="auto"/>
                <w:szCs w:val="21"/>
              </w:rPr>
            </w:pPr>
            <w:r>
              <w:rPr>
                <w:b/>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6A52F0">
            <w:pPr>
              <w:spacing w:line="240" w:lineRule="atLeast"/>
              <w:rPr>
                <w:b/>
                <w:bCs/>
                <w:color w:val="auto"/>
                <w:szCs w:val="21"/>
              </w:rPr>
            </w:pPr>
            <w:r>
              <w:rPr>
                <w:rFonts w:hint="eastAsia"/>
                <w:b/>
                <w:bCs/>
                <w:color w:val="auto"/>
                <w:szCs w:val="21"/>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6E2F7996">
            <w:pPr>
              <w:spacing w:line="240" w:lineRule="atLeast"/>
              <w:rPr>
                <w:b/>
                <w:bCs/>
                <w:color w:val="auto"/>
                <w:szCs w:val="21"/>
              </w:rPr>
            </w:pPr>
            <w:r>
              <w:rPr>
                <w:rFonts w:hint="eastAsia"/>
                <w:b/>
                <w:bCs/>
                <w:color w:val="auto"/>
                <w:szCs w:val="21"/>
              </w:rPr>
              <w:t>响应文件实际响应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3223CC68">
            <w:pPr>
              <w:spacing w:line="240" w:lineRule="atLeast"/>
              <w:jc w:val="center"/>
              <w:rPr>
                <w:color w:val="auto"/>
                <w:szCs w:val="21"/>
              </w:rPr>
            </w:pPr>
            <w:r>
              <w:rPr>
                <w:rFonts w:ascii="Arial" w:hAnsi="Arial" w:cs="Arial"/>
                <w:b/>
                <w:color w:val="auto"/>
                <w:szCs w:val="21"/>
              </w:rPr>
              <w:t>是否偏离</w:t>
            </w:r>
          </w:p>
          <w:p w14:paraId="417AA6C3">
            <w:pPr>
              <w:spacing w:line="240" w:lineRule="atLeast"/>
              <w:jc w:val="center"/>
              <w:rPr>
                <w:color w:val="auto"/>
                <w:szCs w:val="21"/>
              </w:rPr>
            </w:pPr>
            <w:r>
              <w:rPr>
                <w:rFonts w:hint="eastAsia"/>
                <w:color w:val="auto"/>
                <w:szCs w:val="21"/>
              </w:rPr>
              <w:t>（</w:t>
            </w:r>
            <w:r>
              <w:rPr>
                <w:color w:val="auto"/>
                <w:szCs w:val="21"/>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46949671">
            <w:pPr>
              <w:spacing w:line="240" w:lineRule="atLeast"/>
              <w:rPr>
                <w:rFonts w:ascii="宋体" w:hAnsi="宋体" w:cs="宋体"/>
                <w:b/>
                <w:bCs/>
                <w:color w:val="auto"/>
                <w:kern w:val="0"/>
                <w:szCs w:val="21"/>
              </w:rPr>
            </w:pPr>
            <w:r>
              <w:rPr>
                <w:rFonts w:hint="eastAsia" w:ascii="宋体" w:hAnsi="宋体" w:cs="宋体"/>
                <w:b/>
                <w:bCs/>
                <w:color w:val="auto"/>
                <w:kern w:val="0"/>
                <w:szCs w:val="21"/>
              </w:rPr>
              <w:t>偏离差异</w:t>
            </w:r>
          </w:p>
          <w:p w14:paraId="3E524F02">
            <w:pPr>
              <w:spacing w:line="240" w:lineRule="atLeast"/>
              <w:rPr>
                <w:color w:val="auto"/>
                <w:szCs w:val="21"/>
              </w:rPr>
            </w:pPr>
            <w:r>
              <w:rPr>
                <w:rFonts w:hint="eastAsia" w:ascii="宋体" w:hAnsi="宋体" w:cs="宋体"/>
                <w:b/>
                <w:bCs/>
                <w:color w:val="auto"/>
                <w:kern w:val="0"/>
                <w:szCs w:val="21"/>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3FECBEB4">
            <w:pPr>
              <w:spacing w:line="240" w:lineRule="atLeast"/>
              <w:rPr>
                <w:color w:val="auto"/>
                <w:szCs w:val="21"/>
              </w:rPr>
            </w:pPr>
            <w:r>
              <w:rPr>
                <w:rFonts w:hint="eastAsia" w:ascii="宋体" w:hAnsi="宋体" w:cs="宋体"/>
                <w:b/>
                <w:bCs/>
                <w:color w:val="auto"/>
                <w:kern w:val="0"/>
                <w:szCs w:val="21"/>
              </w:rPr>
              <w:t>证明文件索引</w:t>
            </w:r>
          </w:p>
        </w:tc>
      </w:tr>
      <w:tr w14:paraId="2EF8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1A1DCED">
            <w:pPr>
              <w:spacing w:line="360" w:lineRule="atLeast"/>
              <w:rPr>
                <w:color w:val="auto"/>
                <w:szCs w:val="21"/>
              </w:rPr>
            </w:pPr>
            <w:r>
              <w:rPr>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2C858C8F">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08A2553">
            <w:pPr>
              <w:spacing w:line="360" w:lineRule="atLeast"/>
              <w:rPr>
                <w:color w:val="auto"/>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7E910961">
            <w:pPr>
              <w:spacing w:line="360" w:lineRule="atLeast"/>
              <w:rPr>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4B63ECBE">
            <w:pPr>
              <w:spacing w:line="360" w:lineRule="atLeast"/>
              <w:rPr>
                <w:color w:val="auto"/>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1C3EDB47">
            <w:pPr>
              <w:spacing w:line="360" w:lineRule="atLeast"/>
              <w:rPr>
                <w:color w:val="auto"/>
                <w:szCs w:val="21"/>
              </w:rPr>
            </w:pPr>
            <w:r>
              <w:rPr>
                <w:color w:val="auto"/>
                <w:szCs w:val="21"/>
              </w:rPr>
              <w:t>第</w:t>
            </w:r>
            <w:r>
              <w:rPr>
                <w:rFonts w:hint="eastAsia"/>
                <w:color w:val="auto"/>
                <w:szCs w:val="21"/>
              </w:rPr>
              <w:t>（   ～    ）</w:t>
            </w:r>
            <w:r>
              <w:rPr>
                <w:color w:val="auto"/>
                <w:szCs w:val="21"/>
              </w:rPr>
              <w:t>页</w:t>
            </w:r>
          </w:p>
        </w:tc>
      </w:tr>
      <w:tr w14:paraId="1DED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ED5E41E">
            <w:pPr>
              <w:spacing w:line="360" w:lineRule="atLeast"/>
              <w:rPr>
                <w:color w:val="auto"/>
                <w:szCs w:val="21"/>
              </w:rPr>
            </w:pPr>
            <w:r>
              <w:rPr>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2D25690C">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56A93FA">
            <w:pPr>
              <w:spacing w:line="360" w:lineRule="atLeast"/>
              <w:rPr>
                <w:color w:val="auto"/>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405867D6">
            <w:pPr>
              <w:spacing w:line="360" w:lineRule="atLeast"/>
              <w:rPr>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1733DD8F">
            <w:pPr>
              <w:spacing w:line="360" w:lineRule="atLeast"/>
              <w:rPr>
                <w:color w:val="auto"/>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12D6A272">
            <w:pPr>
              <w:spacing w:line="360" w:lineRule="atLeast"/>
              <w:rPr>
                <w:color w:val="auto"/>
                <w:szCs w:val="21"/>
              </w:rPr>
            </w:pPr>
            <w:r>
              <w:rPr>
                <w:color w:val="auto"/>
                <w:szCs w:val="21"/>
              </w:rPr>
              <w:t>第</w:t>
            </w:r>
            <w:r>
              <w:rPr>
                <w:rFonts w:hint="eastAsia"/>
                <w:color w:val="auto"/>
                <w:szCs w:val="21"/>
              </w:rPr>
              <w:t>（   ～    ）</w:t>
            </w:r>
            <w:r>
              <w:rPr>
                <w:color w:val="auto"/>
                <w:szCs w:val="21"/>
              </w:rPr>
              <w:t>页</w:t>
            </w:r>
          </w:p>
        </w:tc>
      </w:tr>
      <w:tr w14:paraId="2E88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2A8C0CC">
            <w:pPr>
              <w:spacing w:line="360" w:lineRule="atLeast"/>
              <w:rPr>
                <w:color w:val="auto"/>
                <w:szCs w:val="21"/>
              </w:rPr>
            </w:pPr>
            <w:r>
              <w:rPr>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182ECF84">
            <w:pPr>
              <w:spacing w:line="360" w:lineRule="atLeast"/>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C5D2578">
            <w:pPr>
              <w:spacing w:line="360" w:lineRule="atLeast"/>
              <w:rPr>
                <w:color w:val="auto"/>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053AB2DB">
            <w:pPr>
              <w:spacing w:line="360" w:lineRule="atLeast"/>
              <w:rPr>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064A393C">
            <w:pPr>
              <w:spacing w:line="360" w:lineRule="atLeast"/>
              <w:rPr>
                <w:color w:val="auto"/>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39D9BF76">
            <w:pPr>
              <w:spacing w:line="360" w:lineRule="atLeast"/>
              <w:rPr>
                <w:color w:val="auto"/>
                <w:szCs w:val="21"/>
              </w:rPr>
            </w:pPr>
            <w:r>
              <w:rPr>
                <w:color w:val="auto"/>
                <w:szCs w:val="21"/>
              </w:rPr>
              <w:t>第</w:t>
            </w:r>
            <w:r>
              <w:rPr>
                <w:rFonts w:hint="eastAsia"/>
                <w:color w:val="auto"/>
                <w:szCs w:val="21"/>
              </w:rPr>
              <w:t>（   ～    ）</w:t>
            </w:r>
            <w:r>
              <w:rPr>
                <w:color w:val="auto"/>
                <w:szCs w:val="21"/>
              </w:rPr>
              <w:t>页</w:t>
            </w:r>
          </w:p>
        </w:tc>
      </w:tr>
    </w:tbl>
    <w:p w14:paraId="4AA05686">
      <w:pPr>
        <w:keepNext/>
        <w:tabs>
          <w:tab w:val="left" w:pos="420"/>
        </w:tabs>
        <w:spacing w:line="360" w:lineRule="auto"/>
        <w:ind w:firstLine="5481" w:firstLineChars="2600"/>
        <w:outlineLvl w:val="1"/>
        <w:rPr>
          <w:rFonts w:ascii="宋体" w:hAnsi="宋体"/>
          <w:b/>
          <w:color w:val="auto"/>
          <w:szCs w:val="21"/>
        </w:rPr>
      </w:pPr>
      <w:bookmarkStart w:id="384" w:name="_Toc9683"/>
      <w:bookmarkStart w:id="385" w:name="_Toc29859"/>
      <w:r>
        <w:rPr>
          <w:rFonts w:hint="eastAsia" w:ascii="宋体" w:hAnsi="宋体"/>
          <w:b/>
          <w:color w:val="auto"/>
          <w:szCs w:val="21"/>
        </w:rPr>
        <w:t>供应商名称（盖章）：</w:t>
      </w:r>
      <w:bookmarkEnd w:id="384"/>
      <w:bookmarkEnd w:id="385"/>
    </w:p>
    <w:p w14:paraId="6893A0E0">
      <w:pPr>
        <w:keepNext/>
        <w:tabs>
          <w:tab w:val="left" w:pos="420"/>
        </w:tabs>
        <w:jc w:val="right"/>
        <w:outlineLvl w:val="1"/>
        <w:rPr>
          <w:rFonts w:ascii="宋体" w:hAnsi="宋体" w:cs="宋体"/>
          <w:b/>
          <w:bCs/>
          <w:color w:val="auto"/>
          <w:szCs w:val="21"/>
        </w:rPr>
      </w:pPr>
      <w:r>
        <w:rPr>
          <w:rFonts w:hint="eastAsia" w:ascii="宋体" w:hAnsi="宋体"/>
          <w:b/>
          <w:color w:val="auto"/>
          <w:szCs w:val="21"/>
        </w:rPr>
        <w:t xml:space="preserve">                                       </w:t>
      </w:r>
      <w:bookmarkStart w:id="386" w:name="_Toc3195"/>
      <w:bookmarkStart w:id="387" w:name="_Toc26168"/>
      <w:r>
        <w:rPr>
          <w:rFonts w:hint="eastAsia" w:ascii="宋体" w:hAnsi="宋体"/>
          <w:b/>
          <w:color w:val="auto"/>
          <w:szCs w:val="21"/>
        </w:rPr>
        <w:t>日期：      年    月    日</w:t>
      </w:r>
      <w:bookmarkEnd w:id="386"/>
      <w:bookmarkEnd w:id="387"/>
      <w:bookmarkStart w:id="388" w:name="_Toc18653"/>
      <w:bookmarkStart w:id="389" w:name="_Toc29687"/>
      <w:bookmarkStart w:id="390" w:name="_Toc16096"/>
      <w:bookmarkStart w:id="391" w:name="_Toc12562"/>
      <w:bookmarkStart w:id="392" w:name="_Toc8755"/>
      <w:bookmarkStart w:id="393" w:name="_Toc15747"/>
      <w:bookmarkStart w:id="394" w:name="_Toc6214"/>
      <w:bookmarkStart w:id="395" w:name="_Toc28851"/>
      <w:bookmarkStart w:id="396" w:name="_Toc31077"/>
      <w:bookmarkStart w:id="397" w:name="_Toc21213"/>
      <w:bookmarkStart w:id="398" w:name="_Toc31674"/>
      <w:bookmarkStart w:id="399" w:name="_Toc21561"/>
    </w:p>
    <w:p w14:paraId="1B3E0784">
      <w:pPr>
        <w:pStyle w:val="37"/>
        <w:tabs>
          <w:tab w:val="left" w:pos="1050"/>
          <w:tab w:val="center" w:pos="4535"/>
        </w:tabs>
        <w:spacing w:line="360" w:lineRule="auto"/>
        <w:jc w:val="right"/>
        <w:outlineLvl w:val="0"/>
        <w:rPr>
          <w:b/>
          <w:bCs/>
          <w:color w:val="auto"/>
          <w:kern w:val="2"/>
          <w:sz w:val="21"/>
          <w:szCs w:val="21"/>
        </w:rPr>
      </w:pPr>
      <w:bookmarkStart w:id="400" w:name="_Toc14003"/>
      <w:bookmarkStart w:id="401" w:name="_Toc23413"/>
      <w:bookmarkStart w:id="402" w:name="_Toc24172"/>
    </w:p>
    <w:p w14:paraId="76091345">
      <w:pPr>
        <w:pStyle w:val="37"/>
        <w:tabs>
          <w:tab w:val="left" w:pos="1050"/>
          <w:tab w:val="center" w:pos="4535"/>
        </w:tabs>
        <w:spacing w:line="360" w:lineRule="auto"/>
        <w:jc w:val="both"/>
        <w:outlineLvl w:val="0"/>
        <w:rPr>
          <w:rFonts w:hint="eastAsia"/>
          <w:b/>
          <w:bCs/>
          <w:color w:val="auto"/>
          <w:kern w:val="2"/>
          <w:sz w:val="21"/>
          <w:szCs w:val="21"/>
        </w:rPr>
      </w:pPr>
      <w:bookmarkStart w:id="403" w:name="_Toc3452"/>
    </w:p>
    <w:p w14:paraId="3A6C2E2B">
      <w:pPr>
        <w:pStyle w:val="37"/>
        <w:tabs>
          <w:tab w:val="left" w:pos="1050"/>
          <w:tab w:val="center" w:pos="4535"/>
        </w:tabs>
        <w:spacing w:line="360" w:lineRule="auto"/>
        <w:jc w:val="both"/>
        <w:outlineLvl w:val="0"/>
        <w:rPr>
          <w:rFonts w:hint="eastAsia"/>
          <w:b/>
          <w:bCs/>
          <w:color w:val="auto"/>
          <w:kern w:val="2"/>
          <w:sz w:val="21"/>
          <w:szCs w:val="21"/>
        </w:rPr>
      </w:pPr>
    </w:p>
    <w:p w14:paraId="45B815C5">
      <w:pPr>
        <w:pStyle w:val="37"/>
        <w:tabs>
          <w:tab w:val="left" w:pos="1050"/>
          <w:tab w:val="center" w:pos="4535"/>
        </w:tabs>
        <w:spacing w:line="360" w:lineRule="auto"/>
        <w:jc w:val="both"/>
        <w:outlineLvl w:val="0"/>
        <w:rPr>
          <w:b/>
          <w:bCs/>
          <w:color w:val="auto"/>
          <w:sz w:val="21"/>
          <w:szCs w:val="21"/>
        </w:rPr>
      </w:pPr>
      <w:bookmarkStart w:id="404" w:name="_Toc25174"/>
      <w:bookmarkStart w:id="405" w:name="_Toc6266"/>
      <w:r>
        <w:rPr>
          <w:rFonts w:hint="eastAsia"/>
          <w:b/>
          <w:bCs/>
          <w:color w:val="auto"/>
          <w:kern w:val="2"/>
          <w:sz w:val="21"/>
          <w:szCs w:val="21"/>
        </w:rPr>
        <w:t>2.4</w:t>
      </w:r>
      <w:r>
        <w:rPr>
          <w:rFonts w:hint="eastAsia"/>
          <w:b/>
          <w:bCs/>
          <w:color w:val="auto"/>
          <w:sz w:val="21"/>
          <w:szCs w:val="21"/>
        </w:rPr>
        <w:t>法定代表人资格证明书和法定代表人授权委托书</w:t>
      </w:r>
      <w:bookmarkEnd w:id="388"/>
      <w:bookmarkEnd w:id="389"/>
      <w:bookmarkEnd w:id="390"/>
      <w:bookmarkEnd w:id="391"/>
      <w:bookmarkEnd w:id="392"/>
      <w:bookmarkEnd w:id="393"/>
      <w:bookmarkEnd w:id="400"/>
      <w:bookmarkEnd w:id="401"/>
      <w:bookmarkEnd w:id="402"/>
      <w:bookmarkEnd w:id="403"/>
      <w:bookmarkEnd w:id="404"/>
      <w:bookmarkEnd w:id="405"/>
    </w:p>
    <w:bookmarkEnd w:id="394"/>
    <w:bookmarkEnd w:id="395"/>
    <w:bookmarkEnd w:id="396"/>
    <w:bookmarkEnd w:id="397"/>
    <w:p w14:paraId="534D37C1">
      <w:pPr>
        <w:pStyle w:val="37"/>
        <w:tabs>
          <w:tab w:val="left" w:pos="1050"/>
          <w:tab w:val="center" w:pos="4535"/>
        </w:tabs>
        <w:spacing w:line="360" w:lineRule="auto"/>
        <w:jc w:val="center"/>
        <w:outlineLvl w:val="0"/>
        <w:rPr>
          <w:b/>
          <w:bCs/>
          <w:color w:val="auto"/>
          <w:sz w:val="28"/>
          <w:szCs w:val="28"/>
        </w:rPr>
      </w:pPr>
      <w:bookmarkStart w:id="406" w:name="_Toc29847"/>
      <w:bookmarkStart w:id="407" w:name="_Toc31787"/>
      <w:bookmarkStart w:id="408" w:name="_Toc24790"/>
      <w:bookmarkStart w:id="409" w:name="_Toc18442"/>
      <w:bookmarkStart w:id="410" w:name="_Toc31311"/>
      <w:bookmarkStart w:id="411" w:name="_Toc22827"/>
      <w:bookmarkStart w:id="412" w:name="_Toc14931"/>
      <w:bookmarkStart w:id="413" w:name="_Toc14073"/>
      <w:bookmarkStart w:id="414" w:name="_Toc23326"/>
      <w:bookmarkStart w:id="415" w:name="_Toc23684"/>
      <w:bookmarkStart w:id="416" w:name="_Toc19528"/>
      <w:bookmarkStart w:id="417" w:name="_Toc32303"/>
      <w:bookmarkStart w:id="418" w:name="_Toc16236"/>
      <w:bookmarkStart w:id="419" w:name="_Toc3241"/>
      <w:bookmarkStart w:id="420" w:name="_Toc14853"/>
      <w:bookmarkStart w:id="421" w:name="_Toc14591"/>
      <w:bookmarkStart w:id="422" w:name="_Toc18443"/>
      <w:bookmarkStart w:id="423" w:name="_Toc22175"/>
      <w:bookmarkStart w:id="424" w:name="_Toc7276"/>
      <w:bookmarkStart w:id="425" w:name="_Toc28957"/>
      <w:bookmarkStart w:id="426" w:name="_Toc14020"/>
      <w:bookmarkStart w:id="427" w:name="_Toc23685"/>
      <w:bookmarkStart w:id="428" w:name="_Toc15050"/>
      <w:bookmarkStart w:id="429" w:name="_Toc3758"/>
    </w:p>
    <w:p w14:paraId="774B79A4">
      <w:pPr>
        <w:pStyle w:val="37"/>
        <w:tabs>
          <w:tab w:val="left" w:pos="1050"/>
          <w:tab w:val="center" w:pos="4535"/>
        </w:tabs>
        <w:spacing w:line="360" w:lineRule="auto"/>
        <w:jc w:val="center"/>
        <w:outlineLvl w:val="0"/>
        <w:rPr>
          <w:b/>
          <w:bCs/>
          <w:color w:val="auto"/>
          <w:sz w:val="28"/>
          <w:szCs w:val="28"/>
        </w:rPr>
      </w:pPr>
      <w:bookmarkStart w:id="430" w:name="_Toc7051"/>
      <w:bookmarkStart w:id="431" w:name="_Toc15303"/>
      <w:r>
        <w:rPr>
          <w:rFonts w:hint="eastAsia"/>
          <w:b/>
          <w:bCs/>
          <w:color w:val="auto"/>
          <w:sz w:val="28"/>
          <w:szCs w:val="28"/>
        </w:rPr>
        <w:t>法定代表人资格证明书</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30"/>
      <w:bookmarkEnd w:id="431"/>
    </w:p>
    <w:p w14:paraId="44B7AA65">
      <w:pPr>
        <w:pStyle w:val="37"/>
        <w:spacing w:line="360" w:lineRule="auto"/>
        <w:ind w:firstLine="560"/>
        <w:rPr>
          <w:color w:val="auto"/>
          <w:sz w:val="21"/>
          <w:szCs w:val="21"/>
        </w:rPr>
      </w:pPr>
    </w:p>
    <w:p w14:paraId="61F8D9B3">
      <w:pPr>
        <w:pStyle w:val="37"/>
        <w:spacing w:line="360" w:lineRule="auto"/>
        <w:ind w:firstLine="560"/>
        <w:rPr>
          <w:color w:val="auto"/>
          <w:sz w:val="21"/>
          <w:szCs w:val="21"/>
        </w:rPr>
      </w:pPr>
    </w:p>
    <w:p w14:paraId="4A319737">
      <w:pPr>
        <w:pStyle w:val="37"/>
        <w:spacing w:line="360" w:lineRule="auto"/>
        <w:ind w:firstLine="560"/>
        <w:rPr>
          <w:color w:val="auto"/>
          <w:sz w:val="21"/>
          <w:szCs w:val="21"/>
        </w:rPr>
      </w:pPr>
      <w:r>
        <w:rPr>
          <w:rFonts w:hint="eastAsia"/>
          <w:color w:val="auto"/>
          <w:sz w:val="21"/>
          <w:szCs w:val="21"/>
        </w:rPr>
        <w:t>兹证明，</w:t>
      </w:r>
      <w:r>
        <w:rPr>
          <w:rFonts w:hint="eastAsia"/>
          <w:color w:val="auto"/>
          <w:sz w:val="21"/>
          <w:szCs w:val="21"/>
          <w:u w:val="single"/>
        </w:rPr>
        <w:t xml:space="preserve">           </w:t>
      </w:r>
      <w:r>
        <w:rPr>
          <w:rFonts w:hint="eastAsia"/>
          <w:color w:val="auto"/>
          <w:sz w:val="21"/>
          <w:szCs w:val="21"/>
        </w:rPr>
        <w:t>同志，</w:t>
      </w:r>
      <w:r>
        <w:rPr>
          <w:rFonts w:hint="eastAsia"/>
          <w:color w:val="auto"/>
          <w:sz w:val="21"/>
          <w:szCs w:val="21"/>
          <w:u w:val="single"/>
        </w:rPr>
        <w:t xml:space="preserve">     </w:t>
      </w:r>
      <w:r>
        <w:rPr>
          <w:rFonts w:hint="eastAsia"/>
          <w:color w:val="auto"/>
          <w:sz w:val="21"/>
          <w:szCs w:val="21"/>
        </w:rPr>
        <w:t>（性别），现任我司</w:t>
      </w:r>
      <w:r>
        <w:rPr>
          <w:rFonts w:hint="eastAsia"/>
          <w:color w:val="auto"/>
          <w:sz w:val="21"/>
          <w:szCs w:val="21"/>
          <w:u w:val="single"/>
        </w:rPr>
        <w:t xml:space="preserve">         </w:t>
      </w:r>
      <w:r>
        <w:rPr>
          <w:rFonts w:hint="eastAsia"/>
          <w:color w:val="auto"/>
          <w:sz w:val="21"/>
          <w:szCs w:val="21"/>
        </w:rPr>
        <w:t>职务，为本公司的法定代表人，特此证明。</w:t>
      </w:r>
    </w:p>
    <w:p w14:paraId="25D6C5B4">
      <w:pPr>
        <w:pStyle w:val="37"/>
        <w:spacing w:line="360" w:lineRule="auto"/>
        <w:ind w:firstLine="560"/>
        <w:rPr>
          <w:color w:val="auto"/>
          <w:sz w:val="21"/>
          <w:szCs w:val="21"/>
          <w:u w:val="single"/>
        </w:rPr>
      </w:pPr>
      <w:r>
        <w:rPr>
          <w:rFonts w:hint="eastAsia"/>
          <w:color w:val="auto"/>
          <w:sz w:val="21"/>
          <w:szCs w:val="21"/>
        </w:rPr>
        <w:t>供应商法定代表人（签字或签章）：</w:t>
      </w:r>
      <w:r>
        <w:rPr>
          <w:rFonts w:hint="eastAsia"/>
          <w:color w:val="auto"/>
          <w:sz w:val="21"/>
          <w:szCs w:val="21"/>
          <w:u w:val="single"/>
        </w:rPr>
        <w:t xml:space="preserve">                                  </w:t>
      </w:r>
    </w:p>
    <w:p w14:paraId="5AB94C42">
      <w:pPr>
        <w:pStyle w:val="37"/>
        <w:spacing w:line="360" w:lineRule="auto"/>
        <w:ind w:firstLine="560"/>
        <w:rPr>
          <w:color w:val="auto"/>
          <w:sz w:val="21"/>
          <w:szCs w:val="21"/>
        </w:rPr>
      </w:pPr>
      <w:r>
        <w:rPr>
          <w:rFonts w:hint="eastAsia"/>
          <w:color w:val="auto"/>
          <w:sz w:val="21"/>
          <w:szCs w:val="21"/>
        </w:rPr>
        <w:t>供应商名称（加盖公章）：</w:t>
      </w:r>
      <w:r>
        <w:rPr>
          <w:rFonts w:hint="eastAsia"/>
          <w:color w:val="auto"/>
          <w:sz w:val="21"/>
          <w:szCs w:val="21"/>
          <w:u w:val="single"/>
        </w:rPr>
        <w:t xml:space="preserve">                                            </w:t>
      </w:r>
      <w:r>
        <w:rPr>
          <w:rFonts w:hint="eastAsia"/>
          <w:color w:val="auto"/>
          <w:sz w:val="21"/>
          <w:szCs w:val="21"/>
        </w:rPr>
        <w:t xml:space="preserve">  </w:t>
      </w:r>
    </w:p>
    <w:p w14:paraId="3138CCE6">
      <w:pPr>
        <w:pStyle w:val="37"/>
        <w:spacing w:line="360" w:lineRule="auto"/>
        <w:ind w:firstLine="560"/>
        <w:rPr>
          <w:b/>
          <w:bCs/>
          <w:color w:val="auto"/>
          <w:sz w:val="28"/>
          <w:szCs w:val="28"/>
        </w:rPr>
      </w:pPr>
      <w:r>
        <w:rPr>
          <w:rFonts w:hint="eastAsia"/>
          <w:color w:val="auto"/>
          <w:sz w:val="21"/>
          <w:szCs w:val="21"/>
        </w:rPr>
        <w:t>日  期：</w:t>
      </w:r>
      <w:r>
        <w:rPr>
          <w:rFonts w:hint="eastAsia"/>
          <w:color w:val="auto"/>
          <w:sz w:val="21"/>
          <w:szCs w:val="21"/>
          <w:u w:val="single"/>
        </w:rPr>
        <w:t xml:space="preserve">                                                           </w:t>
      </w:r>
    </w:p>
    <w:p w14:paraId="0E022506">
      <w:pPr>
        <w:pStyle w:val="37"/>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bookmarkEnd w:id="419"/>
    <w:bookmarkEnd w:id="420"/>
    <w:bookmarkEnd w:id="421"/>
    <w:bookmarkEnd w:id="422"/>
    <w:bookmarkEnd w:id="423"/>
    <w:bookmarkEnd w:id="424"/>
    <w:bookmarkEnd w:id="425"/>
    <w:bookmarkEnd w:id="426"/>
    <w:bookmarkEnd w:id="427"/>
    <w:bookmarkEnd w:id="428"/>
    <w:bookmarkEnd w:id="429"/>
    <w:p w14:paraId="7914F7D5">
      <w:pPr>
        <w:pStyle w:val="37"/>
        <w:spacing w:line="360" w:lineRule="auto"/>
        <w:jc w:val="both"/>
        <w:outlineLvl w:val="0"/>
        <w:rPr>
          <w:b/>
          <w:bCs/>
          <w:color w:val="auto"/>
          <w:sz w:val="28"/>
          <w:szCs w:val="28"/>
        </w:rPr>
      </w:pPr>
      <w:bookmarkStart w:id="432" w:name="_Toc18069"/>
      <w:bookmarkStart w:id="433" w:name="_Toc3470"/>
      <w:bookmarkStart w:id="434" w:name="_Toc14277"/>
      <w:bookmarkStart w:id="435" w:name="_Toc26675"/>
      <w:bookmarkStart w:id="436" w:name="_Toc3494"/>
      <w:bookmarkStart w:id="437" w:name="_Toc23308"/>
      <w:bookmarkStart w:id="438" w:name="_Toc17511"/>
      <w:bookmarkStart w:id="439" w:name="_Toc9844"/>
    </w:p>
    <w:p w14:paraId="46CA7FAC">
      <w:pPr>
        <w:pStyle w:val="37"/>
        <w:spacing w:line="360" w:lineRule="auto"/>
        <w:jc w:val="center"/>
        <w:outlineLvl w:val="0"/>
        <w:rPr>
          <w:b/>
          <w:bCs/>
          <w:color w:val="auto"/>
          <w:sz w:val="28"/>
          <w:szCs w:val="28"/>
        </w:rPr>
      </w:pPr>
    </w:p>
    <w:p w14:paraId="49A625E3">
      <w:pPr>
        <w:pStyle w:val="37"/>
        <w:spacing w:line="360" w:lineRule="auto"/>
        <w:jc w:val="center"/>
        <w:outlineLvl w:val="0"/>
        <w:rPr>
          <w:b/>
          <w:bCs/>
          <w:color w:val="auto"/>
          <w:sz w:val="28"/>
          <w:szCs w:val="28"/>
        </w:rPr>
      </w:pPr>
      <w:bookmarkStart w:id="440" w:name="_Toc28232"/>
      <w:bookmarkStart w:id="441" w:name="_Toc11510"/>
      <w:bookmarkStart w:id="442" w:name="_Toc16130"/>
      <w:bookmarkStart w:id="443" w:name="_Toc5147"/>
    </w:p>
    <w:p w14:paraId="0E8EFBDA">
      <w:pPr>
        <w:pStyle w:val="37"/>
        <w:spacing w:line="360" w:lineRule="auto"/>
        <w:jc w:val="center"/>
        <w:outlineLvl w:val="0"/>
        <w:rPr>
          <w:b/>
          <w:bCs/>
          <w:color w:val="auto"/>
          <w:sz w:val="28"/>
          <w:szCs w:val="28"/>
        </w:rPr>
      </w:pPr>
    </w:p>
    <w:p w14:paraId="5AE55D5E">
      <w:pPr>
        <w:pStyle w:val="37"/>
        <w:spacing w:line="360" w:lineRule="auto"/>
        <w:jc w:val="center"/>
        <w:outlineLvl w:val="0"/>
        <w:rPr>
          <w:b/>
          <w:bCs/>
          <w:color w:val="auto"/>
          <w:sz w:val="28"/>
          <w:szCs w:val="28"/>
        </w:rPr>
      </w:pPr>
    </w:p>
    <w:p w14:paraId="0C937AB2">
      <w:pPr>
        <w:pStyle w:val="37"/>
        <w:spacing w:line="360" w:lineRule="auto"/>
        <w:jc w:val="center"/>
        <w:outlineLvl w:val="0"/>
        <w:rPr>
          <w:b/>
          <w:bCs/>
          <w:color w:val="auto"/>
          <w:sz w:val="28"/>
          <w:szCs w:val="28"/>
        </w:rPr>
      </w:pPr>
      <w:bookmarkStart w:id="444" w:name="_Toc5221"/>
      <w:bookmarkStart w:id="445" w:name="_Toc9847"/>
      <w:bookmarkStart w:id="446" w:name="_Toc6092"/>
      <w:r>
        <w:rPr>
          <w:rFonts w:hint="eastAsia"/>
          <w:b/>
          <w:bCs/>
          <w:color w:val="auto"/>
          <w:sz w:val="28"/>
          <w:szCs w:val="28"/>
        </w:rPr>
        <w:t>法定代表人授权委托书</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00FD1A8C">
      <w:pPr>
        <w:pStyle w:val="38"/>
        <w:spacing w:line="360" w:lineRule="auto"/>
        <w:jc w:val="left"/>
        <w:rPr>
          <w:b/>
          <w:bCs/>
          <w:color w:val="auto"/>
        </w:rPr>
      </w:pPr>
      <w:r>
        <w:rPr>
          <w:rFonts w:hint="eastAsia"/>
          <w:b/>
          <w:bCs/>
          <w:color w:val="auto"/>
        </w:rPr>
        <w:t>本授权书声明：</w:t>
      </w:r>
    </w:p>
    <w:p w14:paraId="38E340DF">
      <w:pPr>
        <w:pStyle w:val="37"/>
        <w:spacing w:line="480" w:lineRule="auto"/>
        <w:ind w:firstLine="560"/>
        <w:rPr>
          <w:color w:val="auto"/>
          <w:sz w:val="21"/>
          <w:szCs w:val="21"/>
        </w:rPr>
      </w:pPr>
      <w:r>
        <w:rPr>
          <w:rFonts w:hint="eastAsia"/>
          <w:color w:val="auto"/>
          <w:sz w:val="21"/>
          <w:szCs w:val="21"/>
        </w:rPr>
        <w:t>注册于</w:t>
      </w:r>
      <w:r>
        <w:rPr>
          <w:rFonts w:hint="eastAsia"/>
          <w:color w:val="auto"/>
          <w:sz w:val="21"/>
          <w:szCs w:val="21"/>
          <w:u w:val="single"/>
        </w:rPr>
        <w:t xml:space="preserve">           </w:t>
      </w:r>
      <w:r>
        <w:rPr>
          <w:rFonts w:hint="eastAsia"/>
          <w:b/>
          <w:bCs/>
          <w:color w:val="auto"/>
          <w:sz w:val="21"/>
          <w:szCs w:val="21"/>
        </w:rPr>
        <w:t>（公司注册地址）</w:t>
      </w:r>
      <w:r>
        <w:rPr>
          <w:rFonts w:hint="eastAsia"/>
          <w:color w:val="auto"/>
          <w:sz w:val="21"/>
          <w:szCs w:val="21"/>
          <w:u w:val="single"/>
        </w:rPr>
        <w:t xml:space="preserve">               </w:t>
      </w:r>
      <w:r>
        <w:rPr>
          <w:rFonts w:hint="eastAsia"/>
          <w:b/>
          <w:bCs/>
          <w:color w:val="auto"/>
          <w:sz w:val="21"/>
          <w:szCs w:val="21"/>
        </w:rPr>
        <w:t>（公司名称）</w:t>
      </w:r>
      <w:r>
        <w:rPr>
          <w:rFonts w:hint="eastAsia"/>
          <w:color w:val="auto"/>
          <w:sz w:val="21"/>
          <w:szCs w:val="21"/>
        </w:rPr>
        <w:t>的</w:t>
      </w:r>
      <w:r>
        <w:rPr>
          <w:rFonts w:hint="eastAsia"/>
          <w:color w:val="auto"/>
          <w:sz w:val="21"/>
          <w:szCs w:val="21"/>
          <w:u w:val="single"/>
        </w:rPr>
        <w:t xml:space="preserve">        </w:t>
      </w:r>
      <w:r>
        <w:rPr>
          <w:rFonts w:hint="eastAsia"/>
          <w:b/>
          <w:bCs/>
          <w:color w:val="auto"/>
          <w:sz w:val="21"/>
          <w:szCs w:val="21"/>
        </w:rPr>
        <w:t>（法定代表人姓名、职务）</w:t>
      </w:r>
      <w:r>
        <w:rPr>
          <w:rFonts w:hint="eastAsia"/>
          <w:color w:val="auto"/>
          <w:sz w:val="21"/>
          <w:szCs w:val="21"/>
        </w:rPr>
        <w:t xml:space="preserve">代表本公司授权 </w:t>
      </w:r>
      <w:r>
        <w:rPr>
          <w:rFonts w:hint="eastAsia"/>
          <w:color w:val="auto"/>
          <w:sz w:val="21"/>
          <w:szCs w:val="21"/>
          <w:u w:val="single"/>
        </w:rPr>
        <w:t xml:space="preserve">       </w:t>
      </w:r>
      <w:r>
        <w:rPr>
          <w:rFonts w:hint="eastAsia"/>
          <w:b/>
          <w:bCs/>
          <w:color w:val="auto"/>
          <w:sz w:val="21"/>
          <w:szCs w:val="21"/>
        </w:rPr>
        <w:t>（被授权人的姓名、职务、联系方式）</w:t>
      </w:r>
      <w:r>
        <w:rPr>
          <w:rFonts w:hint="eastAsia"/>
          <w:color w:val="auto"/>
          <w:sz w:val="21"/>
          <w:szCs w:val="21"/>
        </w:rPr>
        <w:t>为本公司的合法代表，以本公司名义负责处理在</w:t>
      </w:r>
      <w:r>
        <w:rPr>
          <w:rFonts w:hint="eastAsia"/>
          <w:color w:val="auto"/>
          <w:sz w:val="21"/>
          <w:szCs w:val="21"/>
          <w:u w:val="single"/>
        </w:rPr>
        <w:t>南方医科大学第五附属医院 ***项目（项目编号：    ）</w:t>
      </w:r>
      <w:r>
        <w:rPr>
          <w:rFonts w:hint="eastAsia"/>
          <w:color w:val="auto"/>
          <w:sz w:val="21"/>
          <w:szCs w:val="21"/>
        </w:rPr>
        <w:t>院内采购活动中一切与之相关的事宜。</w:t>
      </w:r>
    </w:p>
    <w:p w14:paraId="04CC5DFE">
      <w:pPr>
        <w:pStyle w:val="37"/>
        <w:spacing w:line="360" w:lineRule="auto"/>
        <w:ind w:firstLine="560"/>
        <w:rPr>
          <w:color w:val="auto"/>
          <w:sz w:val="21"/>
          <w:szCs w:val="21"/>
          <w:u w:val="single"/>
        </w:rPr>
      </w:pPr>
      <w:r>
        <w:rPr>
          <w:rFonts w:hint="eastAsia"/>
          <w:color w:val="auto"/>
          <w:sz w:val="21"/>
          <w:szCs w:val="21"/>
        </w:rPr>
        <w:t xml:space="preserve">授权日期： </w:t>
      </w:r>
      <w:r>
        <w:rPr>
          <w:rFonts w:hint="eastAsia"/>
          <w:color w:val="auto"/>
          <w:sz w:val="21"/>
          <w:szCs w:val="21"/>
          <w:u w:val="single"/>
        </w:rPr>
        <w:t xml:space="preserve">                 至                   </w:t>
      </w:r>
    </w:p>
    <w:p w14:paraId="0ED0BA7A">
      <w:pPr>
        <w:pStyle w:val="37"/>
        <w:spacing w:line="360" w:lineRule="auto"/>
        <w:ind w:firstLine="560"/>
        <w:rPr>
          <w:color w:val="auto"/>
          <w:sz w:val="21"/>
          <w:szCs w:val="21"/>
        </w:rPr>
      </w:pPr>
      <w:r>
        <w:rPr>
          <w:rFonts w:hint="eastAsia"/>
          <w:color w:val="auto"/>
          <w:sz w:val="21"/>
          <w:szCs w:val="21"/>
        </w:rPr>
        <w:t>本授权书在签字盖章后生效，特此声明。</w:t>
      </w:r>
    </w:p>
    <w:p w14:paraId="66B8F557">
      <w:pPr>
        <w:pStyle w:val="37"/>
        <w:spacing w:line="360" w:lineRule="auto"/>
        <w:ind w:firstLine="560"/>
        <w:rPr>
          <w:color w:val="auto"/>
          <w:sz w:val="21"/>
          <w:szCs w:val="21"/>
          <w:u w:val="single"/>
        </w:rPr>
      </w:pPr>
      <w:r>
        <w:rPr>
          <w:rFonts w:hint="eastAsia"/>
          <w:color w:val="auto"/>
          <w:sz w:val="21"/>
          <w:szCs w:val="21"/>
        </w:rPr>
        <w:t>供应商法定代表人（签字或签章）：</w:t>
      </w:r>
      <w:r>
        <w:rPr>
          <w:rFonts w:hint="eastAsia"/>
          <w:color w:val="auto"/>
          <w:sz w:val="21"/>
          <w:szCs w:val="21"/>
          <w:u w:val="single"/>
        </w:rPr>
        <w:t xml:space="preserve">                                </w:t>
      </w:r>
    </w:p>
    <w:p w14:paraId="0F3DC59C">
      <w:pPr>
        <w:pStyle w:val="37"/>
        <w:spacing w:line="360" w:lineRule="auto"/>
        <w:ind w:firstLine="560"/>
        <w:rPr>
          <w:color w:val="auto"/>
          <w:sz w:val="21"/>
          <w:szCs w:val="21"/>
        </w:rPr>
      </w:pPr>
      <w:r>
        <w:rPr>
          <w:rFonts w:hint="eastAsia"/>
          <w:color w:val="auto"/>
          <w:sz w:val="21"/>
          <w:szCs w:val="21"/>
        </w:rPr>
        <w:t>供应商被授权人（签字）：</w:t>
      </w:r>
      <w:r>
        <w:rPr>
          <w:rFonts w:hint="eastAsia"/>
          <w:color w:val="auto"/>
          <w:sz w:val="21"/>
          <w:szCs w:val="21"/>
          <w:u w:val="single"/>
        </w:rPr>
        <w:t xml:space="preserve">                                        </w:t>
      </w:r>
    </w:p>
    <w:p w14:paraId="78A5C9D7">
      <w:pPr>
        <w:pStyle w:val="37"/>
        <w:spacing w:line="360" w:lineRule="auto"/>
        <w:ind w:firstLine="560"/>
        <w:rPr>
          <w:color w:val="auto"/>
          <w:sz w:val="21"/>
          <w:szCs w:val="21"/>
          <w:u w:val="single"/>
        </w:rPr>
      </w:pPr>
      <w:r>
        <w:rPr>
          <w:rFonts w:hint="eastAsia"/>
          <w:color w:val="auto"/>
          <w:sz w:val="21"/>
          <w:szCs w:val="21"/>
        </w:rPr>
        <w:t>供应商名称（加盖公章）：</w:t>
      </w:r>
      <w:r>
        <w:rPr>
          <w:rFonts w:hint="eastAsia"/>
          <w:color w:val="auto"/>
          <w:sz w:val="21"/>
          <w:szCs w:val="21"/>
          <w:u w:val="single"/>
        </w:rPr>
        <w:t xml:space="preserve">                                        </w:t>
      </w:r>
    </w:p>
    <w:p w14:paraId="7AE1FFCA">
      <w:pPr>
        <w:pStyle w:val="37"/>
        <w:spacing w:line="360" w:lineRule="auto"/>
        <w:ind w:firstLine="560"/>
        <w:rPr>
          <w:color w:val="auto"/>
          <w:sz w:val="21"/>
          <w:szCs w:val="21"/>
        </w:rPr>
      </w:pPr>
      <w:r>
        <w:rPr>
          <w:rFonts w:hint="eastAsia"/>
          <w:color w:val="auto"/>
          <w:sz w:val="21"/>
          <w:szCs w:val="21"/>
        </w:rPr>
        <w:t>日 期 ：</w:t>
      </w:r>
      <w:r>
        <w:rPr>
          <w:rFonts w:hint="eastAsia"/>
          <w:color w:val="auto"/>
          <w:sz w:val="21"/>
          <w:szCs w:val="21"/>
          <w:u w:val="single"/>
        </w:rPr>
        <w:t xml:space="preserve">                                                       </w:t>
      </w:r>
      <w:r>
        <w:rPr>
          <w:rFonts w:hint="eastAsia"/>
          <w:color w:val="auto"/>
          <w:sz w:val="21"/>
          <w:szCs w:val="21"/>
        </w:rPr>
        <w:t xml:space="preserve">     </w:t>
      </w:r>
    </w:p>
    <w:p w14:paraId="206BF2FB">
      <w:pPr>
        <w:pStyle w:val="37"/>
        <w:spacing w:line="360" w:lineRule="auto"/>
        <w:ind w:firstLine="560"/>
        <w:rPr>
          <w:color w:val="auto"/>
          <w:sz w:val="28"/>
          <w:szCs w:val="28"/>
        </w:rPr>
      </w:pPr>
      <w:r>
        <w:rPr>
          <w:rFonts w:hint="eastAsia"/>
          <w:color w:val="auto"/>
          <w:sz w:val="28"/>
          <w:szCs w:val="28"/>
        </w:rPr>
        <w:t xml:space="preserve">                                    </w:t>
      </w:r>
    </w:p>
    <w:p w14:paraId="15D28559">
      <w:pPr>
        <w:pStyle w:val="37"/>
        <w:spacing w:line="360" w:lineRule="auto"/>
        <w:ind w:firstLine="360" w:firstLineChars="150"/>
        <w:jc w:val="center"/>
        <w:rPr>
          <w:color w:val="auto"/>
        </w:rPr>
      </w:pP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3BA5707">
      <w:pPr>
        <w:pStyle w:val="33"/>
        <w:ind w:firstLine="3975" w:firstLineChars="1100"/>
        <w:rPr>
          <w:b/>
          <w:bCs/>
          <w:color w:val="auto"/>
          <w:sz w:val="36"/>
          <w:szCs w:val="36"/>
        </w:rPr>
      </w:pPr>
    </w:p>
    <w:p w14:paraId="1F0FB533">
      <w:pPr>
        <w:pStyle w:val="37"/>
        <w:tabs>
          <w:tab w:val="left" w:pos="1050"/>
          <w:tab w:val="center" w:pos="4535"/>
        </w:tabs>
        <w:spacing w:line="360" w:lineRule="auto"/>
        <w:jc w:val="center"/>
        <w:rPr>
          <w:b/>
          <w:bCs/>
          <w:color w:val="auto"/>
          <w:sz w:val="32"/>
          <w:szCs w:val="32"/>
        </w:rPr>
      </w:pPr>
      <w:bookmarkStart w:id="447" w:name="_Toc32281"/>
      <w:bookmarkStart w:id="448" w:name="_Toc10212"/>
    </w:p>
    <w:p w14:paraId="6F1CEAB3">
      <w:pPr>
        <w:pStyle w:val="37"/>
        <w:tabs>
          <w:tab w:val="left" w:pos="1050"/>
          <w:tab w:val="center" w:pos="4535"/>
        </w:tabs>
        <w:spacing w:line="360" w:lineRule="auto"/>
        <w:jc w:val="both"/>
        <w:rPr>
          <w:b/>
          <w:bCs/>
          <w:color w:val="auto"/>
          <w:sz w:val="21"/>
          <w:szCs w:val="21"/>
        </w:rPr>
      </w:pPr>
      <w:bookmarkStart w:id="449" w:name="_Toc13766"/>
    </w:p>
    <w:p w14:paraId="12461D10">
      <w:pPr>
        <w:pStyle w:val="37"/>
        <w:tabs>
          <w:tab w:val="left" w:pos="1050"/>
          <w:tab w:val="center" w:pos="4535"/>
        </w:tabs>
        <w:spacing w:line="360" w:lineRule="auto"/>
        <w:jc w:val="both"/>
        <w:outlineLvl w:val="0"/>
        <w:rPr>
          <w:b/>
          <w:bCs/>
          <w:color w:val="auto"/>
          <w:sz w:val="21"/>
          <w:szCs w:val="21"/>
        </w:rPr>
      </w:pPr>
      <w:bookmarkStart w:id="450" w:name="_Toc10574"/>
      <w:bookmarkStart w:id="451" w:name="_Toc22587"/>
      <w:bookmarkStart w:id="452" w:name="_Toc4185"/>
      <w:bookmarkStart w:id="453" w:name="_Toc20534"/>
      <w:bookmarkStart w:id="454" w:name="_Toc2397"/>
      <w:bookmarkStart w:id="455" w:name="_Toc6192"/>
      <w:bookmarkStart w:id="456" w:name="_Toc8206"/>
      <w:bookmarkStart w:id="457" w:name="_Toc30414"/>
      <w:bookmarkStart w:id="458" w:name="_Toc32147"/>
      <w:bookmarkStart w:id="459" w:name="_Toc26640"/>
      <w:bookmarkStart w:id="460" w:name="_Toc4097"/>
      <w:r>
        <w:rPr>
          <w:rFonts w:hint="eastAsia"/>
          <w:b/>
          <w:bCs/>
          <w:color w:val="auto"/>
          <w:sz w:val="21"/>
          <w:szCs w:val="21"/>
        </w:rPr>
        <w:t>2.5业绩清单汇总</w:t>
      </w:r>
      <w:bookmarkEnd w:id="449"/>
      <w:bookmarkEnd w:id="450"/>
      <w:bookmarkEnd w:id="451"/>
      <w:bookmarkEnd w:id="452"/>
      <w:bookmarkEnd w:id="453"/>
      <w:bookmarkEnd w:id="454"/>
      <w:bookmarkEnd w:id="455"/>
      <w:bookmarkEnd w:id="456"/>
      <w:bookmarkEnd w:id="457"/>
      <w:bookmarkEnd w:id="458"/>
      <w:bookmarkEnd w:id="459"/>
      <w:bookmarkEnd w:id="460"/>
    </w:p>
    <w:p w14:paraId="18F5083D">
      <w:pPr>
        <w:pStyle w:val="37"/>
        <w:tabs>
          <w:tab w:val="left" w:pos="1050"/>
          <w:tab w:val="center" w:pos="4535"/>
        </w:tabs>
        <w:spacing w:line="360" w:lineRule="auto"/>
        <w:jc w:val="center"/>
        <w:outlineLvl w:val="0"/>
        <w:rPr>
          <w:b/>
          <w:bCs/>
          <w:color w:val="auto"/>
        </w:rPr>
      </w:pPr>
      <w:bookmarkStart w:id="461" w:name="_Toc27041"/>
      <w:bookmarkStart w:id="462" w:name="_Toc12811"/>
      <w:bookmarkStart w:id="463" w:name="_Toc13372"/>
      <w:bookmarkStart w:id="464" w:name="_Toc10207"/>
      <w:bookmarkStart w:id="465" w:name="_Toc22019"/>
      <w:bookmarkStart w:id="466" w:name="_Toc29658"/>
      <w:bookmarkStart w:id="467" w:name="_Toc6189"/>
      <w:bookmarkStart w:id="468" w:name="_Toc2703"/>
      <w:bookmarkStart w:id="469" w:name="_Toc17724"/>
      <w:bookmarkStart w:id="470" w:name="_Toc22733"/>
      <w:bookmarkStart w:id="471" w:name="_Toc27402"/>
      <w:bookmarkStart w:id="472" w:name="_Toc1669"/>
      <w:r>
        <w:rPr>
          <w:rFonts w:hint="eastAsia"/>
          <w:b/>
          <w:bCs/>
          <w:color w:val="auto"/>
        </w:rPr>
        <w:t>同类项目经验情况一览表</w:t>
      </w:r>
      <w:bookmarkEnd w:id="398"/>
      <w:bookmarkEnd w:id="399"/>
      <w:bookmarkEnd w:id="447"/>
      <w:bookmarkEnd w:id="448"/>
      <w:bookmarkEnd w:id="461"/>
      <w:bookmarkEnd w:id="462"/>
      <w:bookmarkEnd w:id="463"/>
      <w:bookmarkEnd w:id="464"/>
      <w:bookmarkEnd w:id="465"/>
      <w:bookmarkEnd w:id="466"/>
      <w:bookmarkEnd w:id="467"/>
      <w:bookmarkEnd w:id="468"/>
      <w:bookmarkEnd w:id="469"/>
      <w:bookmarkEnd w:id="470"/>
      <w:bookmarkEnd w:id="471"/>
      <w:bookmarkEnd w:id="472"/>
    </w:p>
    <w:tbl>
      <w:tblPr>
        <w:tblStyle w:val="24"/>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362D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1A44F0A3">
            <w:pPr>
              <w:spacing w:line="360" w:lineRule="auto"/>
              <w:jc w:val="center"/>
              <w:rPr>
                <w:rFonts w:ascii="宋体" w:hAnsi="宋体"/>
                <w:b/>
                <w:color w:val="auto"/>
                <w:szCs w:val="21"/>
              </w:rPr>
            </w:pPr>
            <w:r>
              <w:rPr>
                <w:rFonts w:hint="eastAsia" w:ascii="宋体" w:hAnsi="宋体"/>
                <w:b/>
                <w:color w:val="auto"/>
                <w:szCs w:val="21"/>
              </w:rPr>
              <w:t>序号</w:t>
            </w:r>
          </w:p>
        </w:tc>
        <w:tc>
          <w:tcPr>
            <w:tcW w:w="1065" w:type="dxa"/>
            <w:vAlign w:val="center"/>
          </w:tcPr>
          <w:p w14:paraId="6D780DCC">
            <w:pPr>
              <w:spacing w:line="360" w:lineRule="auto"/>
              <w:jc w:val="center"/>
              <w:rPr>
                <w:rFonts w:ascii="宋体" w:hAnsi="宋体"/>
                <w:b/>
                <w:color w:val="auto"/>
                <w:szCs w:val="21"/>
              </w:rPr>
            </w:pPr>
            <w:r>
              <w:rPr>
                <w:rFonts w:hint="eastAsia" w:ascii="宋体" w:hAnsi="宋体"/>
                <w:b/>
                <w:color w:val="auto"/>
                <w:szCs w:val="21"/>
              </w:rPr>
              <w:t>业主名称</w:t>
            </w:r>
          </w:p>
        </w:tc>
        <w:tc>
          <w:tcPr>
            <w:tcW w:w="2580" w:type="dxa"/>
            <w:vAlign w:val="center"/>
          </w:tcPr>
          <w:p w14:paraId="1DBCED8B">
            <w:pPr>
              <w:spacing w:line="360" w:lineRule="auto"/>
              <w:jc w:val="center"/>
              <w:rPr>
                <w:rFonts w:ascii="宋体" w:hAnsi="宋体"/>
                <w:b/>
                <w:color w:val="auto"/>
                <w:szCs w:val="21"/>
              </w:rPr>
            </w:pPr>
            <w:r>
              <w:rPr>
                <w:rFonts w:hint="eastAsia" w:ascii="宋体" w:hAnsi="宋体"/>
                <w:b/>
                <w:color w:val="auto"/>
                <w:szCs w:val="21"/>
              </w:rPr>
              <w:t>项目名称</w:t>
            </w:r>
          </w:p>
        </w:tc>
        <w:tc>
          <w:tcPr>
            <w:tcW w:w="1215" w:type="dxa"/>
            <w:vAlign w:val="center"/>
          </w:tcPr>
          <w:p w14:paraId="141FF753">
            <w:pPr>
              <w:jc w:val="center"/>
              <w:rPr>
                <w:rFonts w:ascii="宋体" w:hAnsi="宋体"/>
                <w:b/>
                <w:color w:val="auto"/>
                <w:szCs w:val="21"/>
              </w:rPr>
            </w:pPr>
            <w:r>
              <w:rPr>
                <w:rFonts w:hint="eastAsia" w:ascii="宋体" w:hAnsi="宋体"/>
                <w:b/>
                <w:color w:val="auto"/>
                <w:szCs w:val="21"/>
              </w:rPr>
              <w:t>合同总价（元）</w:t>
            </w:r>
          </w:p>
        </w:tc>
        <w:tc>
          <w:tcPr>
            <w:tcW w:w="1740" w:type="dxa"/>
            <w:vAlign w:val="center"/>
          </w:tcPr>
          <w:p w14:paraId="2562E8AF">
            <w:pPr>
              <w:spacing w:line="360" w:lineRule="auto"/>
              <w:jc w:val="center"/>
              <w:rPr>
                <w:rFonts w:ascii="宋体" w:hAnsi="宋体"/>
                <w:b/>
                <w:color w:val="auto"/>
                <w:szCs w:val="21"/>
              </w:rPr>
            </w:pPr>
            <w:r>
              <w:rPr>
                <w:rFonts w:hint="eastAsia" w:ascii="宋体" w:hAnsi="宋体"/>
                <w:b/>
                <w:color w:val="auto"/>
                <w:szCs w:val="21"/>
              </w:rPr>
              <w:t>合同签订时间</w:t>
            </w:r>
          </w:p>
        </w:tc>
        <w:tc>
          <w:tcPr>
            <w:tcW w:w="1890" w:type="dxa"/>
            <w:vAlign w:val="center"/>
          </w:tcPr>
          <w:p w14:paraId="1A0F3380">
            <w:pPr>
              <w:jc w:val="center"/>
              <w:rPr>
                <w:rFonts w:ascii="宋体" w:hAnsi="宋体"/>
                <w:b/>
                <w:color w:val="auto"/>
                <w:szCs w:val="21"/>
              </w:rPr>
            </w:pPr>
            <w:r>
              <w:rPr>
                <w:rFonts w:hint="eastAsia" w:ascii="宋体" w:hAnsi="宋体"/>
                <w:b/>
                <w:color w:val="auto"/>
                <w:szCs w:val="21"/>
              </w:rPr>
              <w:t>业主单位</w:t>
            </w:r>
          </w:p>
          <w:p w14:paraId="7B113EC6">
            <w:pPr>
              <w:jc w:val="center"/>
              <w:rPr>
                <w:rFonts w:ascii="宋体" w:hAnsi="宋体"/>
                <w:b/>
                <w:color w:val="auto"/>
                <w:szCs w:val="21"/>
              </w:rPr>
            </w:pPr>
            <w:r>
              <w:rPr>
                <w:rFonts w:hint="eastAsia" w:ascii="宋体" w:hAnsi="宋体"/>
                <w:b/>
                <w:color w:val="auto"/>
                <w:szCs w:val="21"/>
              </w:rPr>
              <w:t>联系人及电话</w:t>
            </w:r>
          </w:p>
        </w:tc>
        <w:tc>
          <w:tcPr>
            <w:tcW w:w="1535" w:type="dxa"/>
            <w:vAlign w:val="center"/>
          </w:tcPr>
          <w:p w14:paraId="3B8D11B7">
            <w:pPr>
              <w:jc w:val="center"/>
              <w:rPr>
                <w:rFonts w:ascii="宋体" w:hAnsi="宋体"/>
                <w:b/>
                <w:color w:val="auto"/>
                <w:szCs w:val="21"/>
              </w:rPr>
            </w:pPr>
            <w:r>
              <w:rPr>
                <w:rFonts w:hint="eastAsia" w:ascii="宋体" w:hAnsi="宋体"/>
                <w:b/>
                <w:color w:val="auto"/>
                <w:szCs w:val="21"/>
              </w:rPr>
              <w:t>证明文件</w:t>
            </w:r>
          </w:p>
        </w:tc>
      </w:tr>
      <w:tr w14:paraId="5DF9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7A875502">
            <w:pPr>
              <w:spacing w:line="360" w:lineRule="auto"/>
              <w:jc w:val="center"/>
              <w:rPr>
                <w:rFonts w:ascii="宋体" w:hAnsi="宋体"/>
                <w:color w:val="auto"/>
                <w:szCs w:val="21"/>
              </w:rPr>
            </w:pPr>
            <w:r>
              <w:rPr>
                <w:rFonts w:hint="eastAsia" w:ascii="宋体" w:hAnsi="宋体"/>
                <w:color w:val="auto"/>
                <w:szCs w:val="21"/>
              </w:rPr>
              <w:t>1</w:t>
            </w:r>
          </w:p>
        </w:tc>
        <w:tc>
          <w:tcPr>
            <w:tcW w:w="1065" w:type="dxa"/>
            <w:vAlign w:val="center"/>
          </w:tcPr>
          <w:p w14:paraId="7AEBEB9B">
            <w:pPr>
              <w:spacing w:line="360" w:lineRule="auto"/>
              <w:jc w:val="center"/>
              <w:rPr>
                <w:rFonts w:ascii="宋体" w:hAnsi="宋体"/>
                <w:color w:val="auto"/>
                <w:szCs w:val="21"/>
              </w:rPr>
            </w:pPr>
          </w:p>
        </w:tc>
        <w:tc>
          <w:tcPr>
            <w:tcW w:w="2580" w:type="dxa"/>
            <w:vAlign w:val="center"/>
          </w:tcPr>
          <w:p w14:paraId="6E702509">
            <w:pPr>
              <w:spacing w:line="360" w:lineRule="auto"/>
              <w:jc w:val="center"/>
              <w:rPr>
                <w:rFonts w:ascii="宋体" w:hAnsi="宋体"/>
                <w:color w:val="auto"/>
                <w:szCs w:val="21"/>
              </w:rPr>
            </w:pPr>
          </w:p>
        </w:tc>
        <w:tc>
          <w:tcPr>
            <w:tcW w:w="1215" w:type="dxa"/>
            <w:vAlign w:val="center"/>
          </w:tcPr>
          <w:p w14:paraId="3A07D54A">
            <w:pPr>
              <w:jc w:val="center"/>
              <w:rPr>
                <w:rFonts w:ascii="宋体" w:hAnsi="宋体"/>
                <w:color w:val="auto"/>
                <w:szCs w:val="21"/>
              </w:rPr>
            </w:pPr>
          </w:p>
        </w:tc>
        <w:tc>
          <w:tcPr>
            <w:tcW w:w="1740" w:type="dxa"/>
            <w:vAlign w:val="center"/>
          </w:tcPr>
          <w:p w14:paraId="6F2CDE82">
            <w:pPr>
              <w:spacing w:line="360" w:lineRule="auto"/>
              <w:jc w:val="center"/>
              <w:rPr>
                <w:rFonts w:ascii="宋体" w:hAnsi="宋体"/>
                <w:color w:val="auto"/>
                <w:szCs w:val="21"/>
              </w:rPr>
            </w:pPr>
          </w:p>
        </w:tc>
        <w:tc>
          <w:tcPr>
            <w:tcW w:w="1890" w:type="dxa"/>
            <w:vAlign w:val="center"/>
          </w:tcPr>
          <w:p w14:paraId="1D9B886E">
            <w:pPr>
              <w:spacing w:line="360" w:lineRule="auto"/>
              <w:jc w:val="center"/>
              <w:rPr>
                <w:rFonts w:ascii="宋体" w:hAnsi="宋体"/>
                <w:color w:val="auto"/>
                <w:szCs w:val="21"/>
              </w:rPr>
            </w:pPr>
          </w:p>
        </w:tc>
        <w:tc>
          <w:tcPr>
            <w:tcW w:w="1535" w:type="dxa"/>
            <w:vAlign w:val="center"/>
          </w:tcPr>
          <w:p w14:paraId="0C9267BF">
            <w:pPr>
              <w:spacing w:line="360" w:lineRule="auto"/>
              <w:jc w:val="center"/>
              <w:rPr>
                <w:rFonts w:ascii="宋体" w:hAnsi="宋体"/>
                <w:color w:val="auto"/>
                <w:szCs w:val="21"/>
              </w:rPr>
            </w:pPr>
            <w:r>
              <w:rPr>
                <w:rFonts w:hint="eastAsia" w:ascii="宋体" w:hAnsi="宋体"/>
                <w:color w:val="auto"/>
                <w:szCs w:val="21"/>
              </w:rPr>
              <w:t>第（   ）页</w:t>
            </w:r>
          </w:p>
        </w:tc>
      </w:tr>
      <w:tr w14:paraId="4AA1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24F6A677">
            <w:pPr>
              <w:spacing w:line="360" w:lineRule="auto"/>
              <w:jc w:val="center"/>
              <w:rPr>
                <w:rFonts w:ascii="宋体" w:hAnsi="宋体"/>
                <w:color w:val="auto"/>
                <w:szCs w:val="21"/>
              </w:rPr>
            </w:pPr>
            <w:r>
              <w:rPr>
                <w:rFonts w:hint="eastAsia" w:ascii="宋体" w:hAnsi="宋体"/>
                <w:color w:val="auto"/>
                <w:szCs w:val="21"/>
              </w:rPr>
              <w:t>2</w:t>
            </w:r>
          </w:p>
        </w:tc>
        <w:tc>
          <w:tcPr>
            <w:tcW w:w="1065" w:type="dxa"/>
            <w:vAlign w:val="center"/>
          </w:tcPr>
          <w:p w14:paraId="009E6EA8">
            <w:pPr>
              <w:spacing w:line="360" w:lineRule="auto"/>
              <w:jc w:val="center"/>
              <w:rPr>
                <w:rFonts w:ascii="宋体" w:hAnsi="宋体"/>
                <w:color w:val="auto"/>
                <w:szCs w:val="21"/>
              </w:rPr>
            </w:pPr>
          </w:p>
        </w:tc>
        <w:tc>
          <w:tcPr>
            <w:tcW w:w="2580" w:type="dxa"/>
            <w:vAlign w:val="center"/>
          </w:tcPr>
          <w:p w14:paraId="21CC2119">
            <w:pPr>
              <w:spacing w:line="360" w:lineRule="auto"/>
              <w:jc w:val="center"/>
              <w:rPr>
                <w:rFonts w:ascii="宋体" w:hAnsi="宋体"/>
                <w:color w:val="auto"/>
                <w:szCs w:val="21"/>
              </w:rPr>
            </w:pPr>
          </w:p>
        </w:tc>
        <w:tc>
          <w:tcPr>
            <w:tcW w:w="1215" w:type="dxa"/>
            <w:vAlign w:val="center"/>
          </w:tcPr>
          <w:p w14:paraId="69E10475">
            <w:pPr>
              <w:jc w:val="center"/>
              <w:rPr>
                <w:rFonts w:ascii="宋体" w:hAnsi="宋体"/>
                <w:color w:val="auto"/>
                <w:szCs w:val="21"/>
              </w:rPr>
            </w:pPr>
          </w:p>
        </w:tc>
        <w:tc>
          <w:tcPr>
            <w:tcW w:w="1740" w:type="dxa"/>
            <w:vAlign w:val="center"/>
          </w:tcPr>
          <w:p w14:paraId="423CBAB3">
            <w:pPr>
              <w:spacing w:line="360" w:lineRule="auto"/>
              <w:jc w:val="center"/>
              <w:rPr>
                <w:rFonts w:ascii="宋体" w:hAnsi="宋体"/>
                <w:color w:val="auto"/>
                <w:szCs w:val="21"/>
              </w:rPr>
            </w:pPr>
          </w:p>
        </w:tc>
        <w:tc>
          <w:tcPr>
            <w:tcW w:w="1890" w:type="dxa"/>
            <w:vAlign w:val="center"/>
          </w:tcPr>
          <w:p w14:paraId="385B0841">
            <w:pPr>
              <w:spacing w:line="360" w:lineRule="auto"/>
              <w:jc w:val="center"/>
              <w:rPr>
                <w:rFonts w:ascii="宋体" w:hAnsi="宋体"/>
                <w:color w:val="auto"/>
                <w:szCs w:val="21"/>
              </w:rPr>
            </w:pPr>
          </w:p>
        </w:tc>
        <w:tc>
          <w:tcPr>
            <w:tcW w:w="1535" w:type="dxa"/>
            <w:vAlign w:val="center"/>
          </w:tcPr>
          <w:p w14:paraId="36C9262D">
            <w:pPr>
              <w:spacing w:line="360" w:lineRule="auto"/>
              <w:jc w:val="center"/>
              <w:rPr>
                <w:rFonts w:ascii="宋体" w:hAnsi="宋体"/>
                <w:color w:val="auto"/>
                <w:szCs w:val="21"/>
              </w:rPr>
            </w:pPr>
            <w:r>
              <w:rPr>
                <w:rFonts w:hint="eastAsia" w:ascii="宋体" w:hAnsi="宋体"/>
                <w:color w:val="auto"/>
                <w:szCs w:val="21"/>
              </w:rPr>
              <w:t>第（   ）页</w:t>
            </w:r>
          </w:p>
        </w:tc>
      </w:tr>
      <w:tr w14:paraId="5D66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67A7F197">
            <w:pPr>
              <w:spacing w:line="360" w:lineRule="auto"/>
              <w:jc w:val="center"/>
              <w:rPr>
                <w:rFonts w:ascii="宋体" w:hAnsi="宋体"/>
                <w:color w:val="auto"/>
                <w:szCs w:val="21"/>
              </w:rPr>
            </w:pPr>
            <w:r>
              <w:rPr>
                <w:rFonts w:hint="eastAsia" w:ascii="宋体" w:hAnsi="宋体"/>
                <w:color w:val="auto"/>
                <w:szCs w:val="21"/>
              </w:rPr>
              <w:t>…</w:t>
            </w:r>
          </w:p>
        </w:tc>
        <w:tc>
          <w:tcPr>
            <w:tcW w:w="1065" w:type="dxa"/>
            <w:vAlign w:val="center"/>
          </w:tcPr>
          <w:p w14:paraId="4F326DE4">
            <w:pPr>
              <w:spacing w:line="360" w:lineRule="auto"/>
              <w:jc w:val="center"/>
              <w:rPr>
                <w:rFonts w:ascii="宋体" w:hAnsi="宋体"/>
                <w:color w:val="auto"/>
                <w:szCs w:val="21"/>
              </w:rPr>
            </w:pPr>
          </w:p>
        </w:tc>
        <w:tc>
          <w:tcPr>
            <w:tcW w:w="2580" w:type="dxa"/>
            <w:vAlign w:val="center"/>
          </w:tcPr>
          <w:p w14:paraId="4F1D2CF0">
            <w:pPr>
              <w:spacing w:line="360" w:lineRule="auto"/>
              <w:jc w:val="center"/>
              <w:rPr>
                <w:rFonts w:ascii="宋体" w:hAnsi="宋体"/>
                <w:color w:val="auto"/>
                <w:szCs w:val="21"/>
              </w:rPr>
            </w:pPr>
          </w:p>
        </w:tc>
        <w:tc>
          <w:tcPr>
            <w:tcW w:w="1215" w:type="dxa"/>
            <w:vAlign w:val="center"/>
          </w:tcPr>
          <w:p w14:paraId="494C063A">
            <w:pPr>
              <w:jc w:val="center"/>
              <w:rPr>
                <w:rFonts w:ascii="宋体" w:hAnsi="宋体"/>
                <w:color w:val="auto"/>
                <w:szCs w:val="21"/>
              </w:rPr>
            </w:pPr>
          </w:p>
        </w:tc>
        <w:tc>
          <w:tcPr>
            <w:tcW w:w="1740" w:type="dxa"/>
            <w:vAlign w:val="center"/>
          </w:tcPr>
          <w:p w14:paraId="5D61C407">
            <w:pPr>
              <w:spacing w:line="360" w:lineRule="auto"/>
              <w:jc w:val="center"/>
              <w:rPr>
                <w:rFonts w:ascii="宋体" w:hAnsi="宋体"/>
                <w:color w:val="auto"/>
                <w:szCs w:val="21"/>
              </w:rPr>
            </w:pPr>
          </w:p>
        </w:tc>
        <w:tc>
          <w:tcPr>
            <w:tcW w:w="1890" w:type="dxa"/>
            <w:vAlign w:val="center"/>
          </w:tcPr>
          <w:p w14:paraId="00D56C28">
            <w:pPr>
              <w:spacing w:line="360" w:lineRule="auto"/>
              <w:jc w:val="center"/>
              <w:rPr>
                <w:rFonts w:ascii="宋体" w:hAnsi="宋体"/>
                <w:color w:val="auto"/>
                <w:szCs w:val="21"/>
              </w:rPr>
            </w:pPr>
          </w:p>
        </w:tc>
        <w:tc>
          <w:tcPr>
            <w:tcW w:w="1535" w:type="dxa"/>
            <w:vAlign w:val="center"/>
          </w:tcPr>
          <w:p w14:paraId="572F76A4">
            <w:pPr>
              <w:spacing w:line="360" w:lineRule="auto"/>
              <w:jc w:val="center"/>
              <w:rPr>
                <w:rFonts w:ascii="宋体" w:hAnsi="宋体"/>
                <w:color w:val="auto"/>
                <w:szCs w:val="21"/>
              </w:rPr>
            </w:pPr>
            <w:r>
              <w:rPr>
                <w:rFonts w:hint="eastAsia" w:ascii="宋体" w:hAnsi="宋体"/>
                <w:color w:val="auto"/>
                <w:szCs w:val="21"/>
              </w:rPr>
              <w:t>第（   ）页</w:t>
            </w:r>
          </w:p>
        </w:tc>
      </w:tr>
      <w:tr w14:paraId="1479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1C7E0E33">
            <w:pPr>
              <w:spacing w:line="360" w:lineRule="auto"/>
              <w:jc w:val="center"/>
              <w:rPr>
                <w:rFonts w:ascii="宋体" w:hAnsi="宋体"/>
                <w:color w:val="auto"/>
                <w:szCs w:val="21"/>
              </w:rPr>
            </w:pPr>
            <w:r>
              <w:rPr>
                <w:rFonts w:hint="eastAsia" w:ascii="宋体" w:hAnsi="宋体"/>
                <w:color w:val="auto"/>
                <w:szCs w:val="21"/>
              </w:rPr>
              <w:t>小计</w:t>
            </w:r>
          </w:p>
        </w:tc>
        <w:tc>
          <w:tcPr>
            <w:tcW w:w="1065" w:type="dxa"/>
            <w:vAlign w:val="center"/>
          </w:tcPr>
          <w:p w14:paraId="567DCF45">
            <w:pPr>
              <w:spacing w:line="360" w:lineRule="auto"/>
              <w:jc w:val="center"/>
              <w:rPr>
                <w:rFonts w:ascii="宋体" w:hAnsi="宋体"/>
                <w:color w:val="auto"/>
                <w:szCs w:val="21"/>
              </w:rPr>
            </w:pPr>
          </w:p>
        </w:tc>
        <w:tc>
          <w:tcPr>
            <w:tcW w:w="2580" w:type="dxa"/>
            <w:vAlign w:val="center"/>
          </w:tcPr>
          <w:p w14:paraId="740476B6">
            <w:pPr>
              <w:spacing w:line="360" w:lineRule="auto"/>
              <w:jc w:val="center"/>
              <w:rPr>
                <w:rFonts w:ascii="宋体" w:hAnsi="宋体"/>
                <w:color w:val="auto"/>
                <w:szCs w:val="21"/>
              </w:rPr>
            </w:pPr>
          </w:p>
        </w:tc>
        <w:tc>
          <w:tcPr>
            <w:tcW w:w="1215" w:type="dxa"/>
            <w:vAlign w:val="center"/>
          </w:tcPr>
          <w:p w14:paraId="26E1F5BA">
            <w:pPr>
              <w:jc w:val="center"/>
              <w:rPr>
                <w:rFonts w:ascii="宋体" w:hAnsi="宋体"/>
                <w:color w:val="auto"/>
                <w:szCs w:val="21"/>
              </w:rPr>
            </w:pPr>
          </w:p>
        </w:tc>
        <w:tc>
          <w:tcPr>
            <w:tcW w:w="1740" w:type="dxa"/>
            <w:vAlign w:val="center"/>
          </w:tcPr>
          <w:p w14:paraId="70D43B60">
            <w:pPr>
              <w:spacing w:line="360" w:lineRule="auto"/>
              <w:jc w:val="center"/>
              <w:rPr>
                <w:rFonts w:ascii="宋体" w:hAnsi="宋体"/>
                <w:color w:val="auto"/>
                <w:szCs w:val="21"/>
              </w:rPr>
            </w:pPr>
          </w:p>
        </w:tc>
        <w:tc>
          <w:tcPr>
            <w:tcW w:w="1890" w:type="dxa"/>
            <w:vAlign w:val="center"/>
          </w:tcPr>
          <w:p w14:paraId="5662E785">
            <w:pPr>
              <w:spacing w:line="360" w:lineRule="auto"/>
              <w:jc w:val="center"/>
              <w:rPr>
                <w:rFonts w:ascii="宋体" w:hAnsi="宋体"/>
                <w:color w:val="auto"/>
                <w:szCs w:val="21"/>
              </w:rPr>
            </w:pPr>
          </w:p>
        </w:tc>
        <w:tc>
          <w:tcPr>
            <w:tcW w:w="1535" w:type="dxa"/>
            <w:vAlign w:val="center"/>
          </w:tcPr>
          <w:p w14:paraId="09F61492">
            <w:pPr>
              <w:spacing w:line="360" w:lineRule="auto"/>
              <w:jc w:val="center"/>
              <w:rPr>
                <w:rFonts w:ascii="宋体" w:hAnsi="宋体"/>
                <w:color w:val="auto"/>
                <w:szCs w:val="21"/>
              </w:rPr>
            </w:pPr>
          </w:p>
        </w:tc>
      </w:tr>
    </w:tbl>
    <w:p w14:paraId="0339FFF2">
      <w:pPr>
        <w:pStyle w:val="33"/>
        <w:rPr>
          <w:rFonts w:ascii="宋体" w:hAnsi="宋体"/>
          <w:color w:val="auto"/>
          <w:szCs w:val="21"/>
        </w:rPr>
      </w:pPr>
    </w:p>
    <w:p w14:paraId="0CA0E6AF">
      <w:pPr>
        <w:pStyle w:val="33"/>
        <w:spacing w:line="360" w:lineRule="auto"/>
        <w:ind w:firstLine="422" w:firstLineChars="200"/>
        <w:outlineLvl w:val="0"/>
        <w:rPr>
          <w:rFonts w:ascii="宋体" w:hAnsi="宋体" w:cs="宋体"/>
          <w:b/>
          <w:bCs/>
          <w:color w:val="auto"/>
          <w:kern w:val="0"/>
          <w:szCs w:val="21"/>
        </w:rPr>
      </w:pPr>
      <w:bookmarkStart w:id="473" w:name="_Toc6536"/>
      <w:bookmarkStart w:id="474" w:name="_Toc16613"/>
      <w:bookmarkStart w:id="475" w:name="_Toc4106"/>
      <w:bookmarkStart w:id="476" w:name="_Toc32056"/>
      <w:bookmarkStart w:id="477" w:name="_Toc25473"/>
      <w:bookmarkStart w:id="478" w:name="_Toc30168"/>
      <w:bookmarkStart w:id="479" w:name="_Toc16426"/>
      <w:bookmarkStart w:id="480" w:name="_Toc31502"/>
      <w:bookmarkStart w:id="481" w:name="_Toc1667"/>
      <w:bookmarkStart w:id="482" w:name="_Toc8547"/>
      <w:bookmarkStart w:id="483" w:name="_Toc16606"/>
      <w:bookmarkStart w:id="484" w:name="_Toc14309"/>
      <w:bookmarkStart w:id="485" w:name="_Toc29821"/>
      <w:bookmarkStart w:id="486" w:name="_Toc30305"/>
      <w:r>
        <w:rPr>
          <w:rFonts w:hint="eastAsia" w:ascii="宋体" w:hAnsi="宋体" w:cs="宋体"/>
          <w:b/>
          <w:bCs/>
          <w:color w:val="auto"/>
          <w:kern w:val="0"/>
          <w:szCs w:val="21"/>
        </w:rPr>
        <w:t>注：</w:t>
      </w:r>
      <w:bookmarkEnd w:id="473"/>
      <w:bookmarkEnd w:id="474"/>
      <w:r>
        <w:rPr>
          <w:rFonts w:hint="eastAsia" w:ascii="宋体" w:hAnsi="宋体" w:cs="宋体"/>
          <w:b/>
          <w:bCs/>
          <w:color w:val="auto"/>
          <w:kern w:val="0"/>
          <w:szCs w:val="21"/>
        </w:rPr>
        <w:t>按评分标准提供相关证明材料。</w:t>
      </w:r>
      <w:bookmarkEnd w:id="475"/>
      <w:bookmarkEnd w:id="476"/>
      <w:bookmarkEnd w:id="477"/>
      <w:bookmarkEnd w:id="478"/>
      <w:bookmarkEnd w:id="479"/>
      <w:bookmarkEnd w:id="480"/>
      <w:bookmarkEnd w:id="481"/>
      <w:bookmarkEnd w:id="482"/>
      <w:bookmarkEnd w:id="483"/>
      <w:bookmarkEnd w:id="484"/>
      <w:bookmarkEnd w:id="485"/>
      <w:bookmarkEnd w:id="486"/>
    </w:p>
    <w:p w14:paraId="19F9FB9D">
      <w:pPr>
        <w:pStyle w:val="33"/>
        <w:ind w:firstLine="3614" w:firstLineChars="1000"/>
        <w:rPr>
          <w:b/>
          <w:bCs/>
          <w:color w:val="auto"/>
          <w:sz w:val="36"/>
          <w:szCs w:val="36"/>
        </w:rPr>
      </w:pPr>
    </w:p>
    <w:p w14:paraId="1F6C5A21">
      <w:pPr>
        <w:pStyle w:val="33"/>
        <w:ind w:firstLine="3614" w:firstLineChars="1000"/>
        <w:rPr>
          <w:b/>
          <w:bCs/>
          <w:color w:val="auto"/>
          <w:sz w:val="36"/>
          <w:szCs w:val="36"/>
        </w:rPr>
      </w:pPr>
    </w:p>
    <w:p w14:paraId="654064A3">
      <w:pPr>
        <w:pStyle w:val="33"/>
        <w:ind w:firstLine="3614" w:firstLineChars="1000"/>
        <w:rPr>
          <w:b/>
          <w:bCs/>
          <w:color w:val="auto"/>
          <w:sz w:val="36"/>
          <w:szCs w:val="36"/>
        </w:rPr>
      </w:pPr>
    </w:p>
    <w:p w14:paraId="24B0D82F">
      <w:pPr>
        <w:pStyle w:val="33"/>
        <w:ind w:firstLine="3614" w:firstLineChars="1000"/>
        <w:rPr>
          <w:b/>
          <w:bCs/>
          <w:color w:val="auto"/>
          <w:sz w:val="36"/>
          <w:szCs w:val="36"/>
        </w:rPr>
      </w:pPr>
    </w:p>
    <w:p w14:paraId="1A0EB64D">
      <w:pPr>
        <w:pStyle w:val="33"/>
        <w:ind w:firstLine="3614" w:firstLineChars="1000"/>
        <w:rPr>
          <w:b/>
          <w:bCs/>
          <w:color w:val="auto"/>
          <w:sz w:val="36"/>
          <w:szCs w:val="36"/>
        </w:rPr>
      </w:pPr>
    </w:p>
    <w:p w14:paraId="6AFF1F0F">
      <w:pPr>
        <w:widowControl/>
        <w:spacing w:line="360" w:lineRule="auto"/>
        <w:jc w:val="left"/>
        <w:rPr>
          <w:rFonts w:ascii="仿宋" w:hAnsi="仿宋" w:eastAsia="仿宋" w:cs="宋体"/>
          <w:b/>
          <w:color w:val="auto"/>
          <w:kern w:val="0"/>
          <w:sz w:val="24"/>
          <w:szCs w:val="32"/>
        </w:rPr>
        <w:sectPr>
          <w:headerReference r:id="rId11" w:type="default"/>
          <w:footerReference r:id="rId12" w:type="default"/>
          <w:pgSz w:w="11906" w:h="16838"/>
          <w:pgMar w:top="1134" w:right="1134" w:bottom="567" w:left="1134" w:header="851" w:footer="992" w:gutter="0"/>
          <w:pgNumType w:fmt="decimal"/>
          <w:cols w:space="720" w:num="1"/>
          <w:docGrid w:linePitch="312" w:charSpace="0"/>
        </w:sectPr>
      </w:pPr>
      <w:bookmarkStart w:id="487" w:name="_Toc40346226"/>
      <w:bookmarkStart w:id="488" w:name="_Toc17929"/>
      <w:bookmarkStart w:id="489" w:name="_Toc24877"/>
      <w:bookmarkStart w:id="490" w:name="_Toc40346385"/>
      <w:bookmarkStart w:id="491" w:name="_Toc30558"/>
      <w:bookmarkStart w:id="492" w:name="_Toc40776119"/>
      <w:bookmarkStart w:id="493" w:name="_Toc27180"/>
      <w:bookmarkStart w:id="494" w:name="_Toc9749"/>
      <w:bookmarkStart w:id="495" w:name="_Toc23732"/>
      <w:bookmarkStart w:id="496" w:name="_Toc20164"/>
      <w:bookmarkStart w:id="497" w:name="_Toc21435"/>
      <w:bookmarkStart w:id="498" w:name="_Toc16505"/>
    </w:p>
    <w:bookmarkEnd w:id="487"/>
    <w:bookmarkEnd w:id="488"/>
    <w:bookmarkEnd w:id="489"/>
    <w:bookmarkEnd w:id="490"/>
    <w:bookmarkEnd w:id="491"/>
    <w:bookmarkEnd w:id="492"/>
    <w:bookmarkEnd w:id="493"/>
    <w:bookmarkEnd w:id="494"/>
    <w:bookmarkEnd w:id="495"/>
    <w:bookmarkEnd w:id="496"/>
    <w:bookmarkEnd w:id="497"/>
    <w:bookmarkEnd w:id="498"/>
    <w:p w14:paraId="6919D915">
      <w:pPr>
        <w:pStyle w:val="2"/>
        <w:rPr>
          <w:color w:val="auto"/>
        </w:rPr>
      </w:pPr>
      <w:bookmarkStart w:id="499" w:name="_Toc30135"/>
      <w:bookmarkStart w:id="500" w:name="_Toc19039"/>
      <w:bookmarkStart w:id="501" w:name="_Toc30531"/>
      <w:bookmarkStart w:id="502" w:name="_Toc29572"/>
      <w:bookmarkStart w:id="503" w:name="_Toc1241"/>
      <w:bookmarkStart w:id="504" w:name="_Toc2855"/>
      <w:bookmarkStart w:id="505" w:name="_Toc1929"/>
      <w:bookmarkStart w:id="506" w:name="_Toc27262"/>
      <w:bookmarkStart w:id="507" w:name="_Toc14463"/>
      <w:bookmarkStart w:id="508" w:name="_Toc2005"/>
      <w:bookmarkStart w:id="509" w:name="_Toc32422"/>
      <w:bookmarkStart w:id="510" w:name="_Toc3905"/>
      <w:bookmarkStart w:id="511" w:name="_Toc24705"/>
      <w:bookmarkStart w:id="512" w:name="_Toc27834"/>
      <w:bookmarkStart w:id="513" w:name="_Toc14093"/>
      <w:bookmarkStart w:id="514" w:name="_Toc25012"/>
      <w:bookmarkStart w:id="515" w:name="_Toc14321"/>
      <w:bookmarkStart w:id="516" w:name="_Toc1521"/>
      <w:bookmarkStart w:id="517" w:name="_Toc16816"/>
      <w:bookmarkStart w:id="518" w:name="_Toc19803"/>
      <w:bookmarkStart w:id="519" w:name="_Toc5396"/>
      <w:bookmarkStart w:id="520" w:name="_Toc2196"/>
      <w:bookmarkStart w:id="521" w:name="_Toc17932"/>
      <w:r>
        <w:rPr>
          <w:rFonts w:hint="eastAsia"/>
          <w:color w:val="auto"/>
          <w:sz w:val="24"/>
        </w:rPr>
        <w:t>2.6公平竞争承诺书</w:t>
      </w:r>
      <w:bookmarkEnd w:id="499"/>
      <w:bookmarkEnd w:id="500"/>
      <w:bookmarkEnd w:id="501"/>
      <w:bookmarkEnd w:id="502"/>
      <w:bookmarkEnd w:id="503"/>
      <w:bookmarkEnd w:id="504"/>
      <w:bookmarkEnd w:id="505"/>
      <w:bookmarkEnd w:id="506"/>
      <w:bookmarkEnd w:id="507"/>
      <w:bookmarkEnd w:id="508"/>
      <w:bookmarkEnd w:id="509"/>
      <w:bookmarkEnd w:id="510"/>
    </w:p>
    <w:p w14:paraId="3788A4CB">
      <w:pPr>
        <w:pStyle w:val="37"/>
        <w:spacing w:line="360" w:lineRule="auto"/>
        <w:jc w:val="center"/>
        <w:outlineLvl w:val="0"/>
        <w:rPr>
          <w:b/>
          <w:bCs/>
          <w:color w:val="auto"/>
          <w:sz w:val="32"/>
          <w:szCs w:val="32"/>
        </w:rPr>
      </w:pPr>
      <w:bookmarkStart w:id="522" w:name="_Toc9778"/>
      <w:bookmarkStart w:id="523" w:name="_Toc32579"/>
      <w:bookmarkStart w:id="524" w:name="_Toc9163"/>
      <w:bookmarkStart w:id="525" w:name="_Toc7609"/>
      <w:bookmarkStart w:id="526" w:name="_Toc21492"/>
      <w:bookmarkStart w:id="527" w:name="_Toc2531"/>
      <w:bookmarkStart w:id="528" w:name="_Toc8233"/>
      <w:bookmarkStart w:id="529" w:name="_Toc15751"/>
      <w:bookmarkStart w:id="530" w:name="_Toc17911"/>
      <w:bookmarkStart w:id="531" w:name="_Toc20066"/>
      <w:bookmarkStart w:id="532" w:name="_Toc11542"/>
      <w:bookmarkStart w:id="533" w:name="_Toc18674"/>
      <w:r>
        <w:rPr>
          <w:rFonts w:hint="eastAsia"/>
          <w:b/>
          <w:bCs/>
          <w:color w:val="auto"/>
          <w:sz w:val="32"/>
          <w:szCs w:val="32"/>
        </w:rPr>
        <w:t>公平竞争承诺书</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56023A8C">
      <w:pPr>
        <w:pStyle w:val="37"/>
        <w:spacing w:line="360" w:lineRule="auto"/>
        <w:jc w:val="both"/>
        <w:outlineLvl w:val="0"/>
        <w:rPr>
          <w:rFonts w:ascii="Times New Roman" w:hAnsi="Times New Roman" w:cs="Times New Roman"/>
          <w:color w:val="auto"/>
          <w:kern w:val="2"/>
          <w:sz w:val="21"/>
          <w:szCs w:val="21"/>
        </w:rPr>
      </w:pPr>
      <w:bookmarkStart w:id="534" w:name="_Toc4776"/>
      <w:bookmarkStart w:id="535" w:name="_Toc31785"/>
      <w:bookmarkStart w:id="536" w:name="_Toc17440"/>
      <w:bookmarkStart w:id="537" w:name="_Toc22057"/>
      <w:bookmarkStart w:id="538" w:name="_Toc31660"/>
      <w:bookmarkStart w:id="539" w:name="_Toc6051"/>
      <w:bookmarkStart w:id="540" w:name="_Toc16887"/>
      <w:bookmarkStart w:id="541" w:name="_Toc11498"/>
      <w:bookmarkStart w:id="542" w:name="_Toc28837"/>
      <w:bookmarkStart w:id="543" w:name="_Toc25290"/>
      <w:bookmarkStart w:id="544" w:name="_Toc26496"/>
      <w:bookmarkStart w:id="545" w:name="_Toc19627"/>
      <w:r>
        <w:rPr>
          <w:rFonts w:hint="eastAsia" w:ascii="Times New Roman" w:hAnsi="Times New Roman" w:cs="Times New Roman"/>
          <w:color w:val="auto"/>
          <w:kern w:val="2"/>
          <w:sz w:val="21"/>
          <w:szCs w:val="21"/>
        </w:rPr>
        <w:t>南方医科大学第五附属医院：</w:t>
      </w:r>
      <w:bookmarkEnd w:id="534"/>
      <w:bookmarkEnd w:id="535"/>
      <w:bookmarkEnd w:id="536"/>
      <w:bookmarkEnd w:id="537"/>
      <w:bookmarkEnd w:id="538"/>
      <w:bookmarkEnd w:id="539"/>
      <w:bookmarkEnd w:id="540"/>
      <w:bookmarkEnd w:id="541"/>
      <w:bookmarkEnd w:id="542"/>
      <w:bookmarkEnd w:id="543"/>
      <w:bookmarkEnd w:id="544"/>
      <w:bookmarkEnd w:id="545"/>
    </w:p>
    <w:p w14:paraId="708BBC24">
      <w:pPr>
        <w:pStyle w:val="5"/>
        <w:spacing w:line="360" w:lineRule="auto"/>
        <w:ind w:firstLineChars="200"/>
        <w:rPr>
          <w:color w:val="auto"/>
          <w:szCs w:val="21"/>
        </w:rPr>
      </w:pPr>
      <w:r>
        <w:rPr>
          <w:rFonts w:hint="eastAsia"/>
          <w:color w:val="auto"/>
          <w:szCs w:val="21"/>
        </w:rPr>
        <w:t>本公司愿接受贵单位邀请，积极参加</w:t>
      </w:r>
      <w:r>
        <w:rPr>
          <w:rFonts w:hint="eastAsia"/>
          <w:color w:val="auto"/>
          <w:szCs w:val="21"/>
          <w:u w:val="single"/>
        </w:rPr>
        <w:t>*******项目（项目编号：******）</w:t>
      </w:r>
      <w:r>
        <w:rPr>
          <w:rFonts w:hint="eastAsia"/>
          <w:color w:val="auto"/>
          <w:szCs w:val="21"/>
        </w:rPr>
        <w:t xml:space="preserve"> 的采购活动。为杜绝商业贿赂现象，维护良好管理秩序，共同营造公平、公正的竞争环境，我方郑重承诺：</w:t>
      </w:r>
    </w:p>
    <w:p w14:paraId="2B655AA9">
      <w:pPr>
        <w:pStyle w:val="5"/>
        <w:spacing w:line="360" w:lineRule="auto"/>
        <w:ind w:firstLineChars="200"/>
        <w:rPr>
          <w:color w:val="auto"/>
          <w:szCs w:val="21"/>
        </w:rPr>
      </w:pPr>
      <w:r>
        <w:rPr>
          <w:rFonts w:hint="eastAsia"/>
          <w:color w:val="auto"/>
          <w:szCs w:val="21"/>
        </w:rPr>
        <w:t xml:space="preserve">1.遵守贵单位就项目采购所制定的所有相关流程及要求，并保证所提交《响应文件》中相关资料与描述真实有效。  </w:t>
      </w:r>
    </w:p>
    <w:p w14:paraId="7CC385F7">
      <w:pPr>
        <w:pStyle w:val="5"/>
        <w:spacing w:line="360" w:lineRule="auto"/>
        <w:ind w:firstLineChars="200"/>
        <w:rPr>
          <w:color w:val="auto"/>
          <w:szCs w:val="21"/>
        </w:rPr>
      </w:pPr>
      <w:r>
        <w:rPr>
          <w:rFonts w:hint="eastAsia"/>
          <w:color w:val="auto"/>
          <w:szCs w:val="21"/>
        </w:rPr>
        <w:t xml:space="preserve">2.坚持投标独立性，保证不以任何手段了解或意图了解其他参与人情况及其信息。  </w:t>
      </w:r>
    </w:p>
    <w:p w14:paraId="51C24108">
      <w:pPr>
        <w:pStyle w:val="5"/>
        <w:spacing w:line="360" w:lineRule="auto"/>
        <w:ind w:firstLineChars="200"/>
        <w:rPr>
          <w:color w:val="auto"/>
          <w:szCs w:val="21"/>
        </w:rPr>
      </w:pPr>
      <w:r>
        <w:rPr>
          <w:rFonts w:hint="eastAsia"/>
          <w:color w:val="auto"/>
          <w:szCs w:val="21"/>
        </w:rPr>
        <w:t>3.保证不私下接触贵单位负责采购组织工作的人员及相关领导。 </w:t>
      </w:r>
    </w:p>
    <w:p w14:paraId="54E48BB2">
      <w:pPr>
        <w:pStyle w:val="5"/>
        <w:spacing w:line="360" w:lineRule="auto"/>
        <w:ind w:firstLineChars="200"/>
        <w:rPr>
          <w:color w:val="auto"/>
          <w:szCs w:val="21"/>
        </w:rPr>
      </w:pPr>
      <w:r>
        <w:rPr>
          <w:rFonts w:hint="eastAsia"/>
          <w:color w:val="auto"/>
          <w:szCs w:val="21"/>
        </w:rPr>
        <w:t xml:space="preserve">4.保证不对贵单位负责采购组织工作的人员及相关领导进行宴请、招待，或赠送及承诺赠送礼金、礼品、礼券、其他利益。  </w:t>
      </w:r>
    </w:p>
    <w:p w14:paraId="1AE4DBD4">
      <w:pPr>
        <w:pStyle w:val="5"/>
        <w:spacing w:line="360" w:lineRule="auto"/>
        <w:ind w:firstLineChars="200"/>
        <w:rPr>
          <w:color w:val="auto"/>
          <w:szCs w:val="21"/>
        </w:rPr>
      </w:pPr>
      <w:r>
        <w:rPr>
          <w:rFonts w:hint="eastAsia"/>
          <w:color w:val="auto"/>
          <w:szCs w:val="21"/>
        </w:rPr>
        <w:t xml:space="preserve">5.除贵院公开渠道获取相关信息外，保证不以其他方式刺探或意图刺探贵司采购信息及其进展。  </w:t>
      </w:r>
    </w:p>
    <w:p w14:paraId="252E969F">
      <w:pPr>
        <w:pStyle w:val="5"/>
        <w:spacing w:line="360" w:lineRule="auto"/>
        <w:ind w:firstLineChars="200"/>
        <w:rPr>
          <w:color w:val="auto"/>
          <w:szCs w:val="21"/>
        </w:rPr>
      </w:pPr>
      <w:r>
        <w:rPr>
          <w:rFonts w:hint="eastAsia"/>
          <w:color w:val="auto"/>
          <w:szCs w:val="21"/>
        </w:rPr>
        <w:t xml:space="preserve">6.保证采取内部约束措施，禁止具体经办人或其他相关人员私自实施前述各项禁止性行为，并对其违规后果承担连带责任。  </w:t>
      </w:r>
    </w:p>
    <w:p w14:paraId="42E2E7A6">
      <w:pPr>
        <w:pStyle w:val="5"/>
        <w:spacing w:line="360" w:lineRule="auto"/>
        <w:ind w:firstLineChars="200"/>
        <w:rPr>
          <w:color w:val="auto"/>
          <w:szCs w:val="21"/>
        </w:rPr>
      </w:pPr>
      <w:r>
        <w:rPr>
          <w:rFonts w:hint="eastAsia"/>
          <w:color w:val="auto"/>
          <w:szCs w:val="21"/>
        </w:rPr>
        <w:t>7.保证所提交的相关资质文件和证明材料的真实性，具有良好的历史诚信记录，并将依法参与项目的公平竞争，不以任何不正当行为谋取不当利益，否则愿意承担相应的法律责任。</w:t>
      </w:r>
    </w:p>
    <w:p w14:paraId="444E1D6F">
      <w:pPr>
        <w:pStyle w:val="5"/>
        <w:spacing w:line="360" w:lineRule="auto"/>
        <w:ind w:firstLineChars="200"/>
        <w:rPr>
          <w:color w:val="auto"/>
          <w:szCs w:val="21"/>
        </w:rPr>
      </w:pPr>
      <w:r>
        <w:rPr>
          <w:rFonts w:hint="eastAsia"/>
          <w:color w:val="auto"/>
          <w:szCs w:val="21"/>
        </w:rPr>
        <w:t xml:space="preserve">8.如出现违反上述各项承诺情况，自愿接受贵院取消资格等处罚措施，并对贵院因此所受损失进行全额赔偿。  </w:t>
      </w:r>
    </w:p>
    <w:p w14:paraId="36C78623">
      <w:pPr>
        <w:pStyle w:val="5"/>
        <w:spacing w:line="360" w:lineRule="auto"/>
        <w:ind w:firstLineChars="200"/>
        <w:rPr>
          <w:color w:val="auto"/>
          <w:szCs w:val="21"/>
        </w:rPr>
      </w:pPr>
      <w:r>
        <w:rPr>
          <w:rFonts w:hint="eastAsia"/>
          <w:color w:val="auto"/>
          <w:szCs w:val="21"/>
        </w:rPr>
        <w:t xml:space="preserve">9.如贵院负责招投标组织工作的人员及相关领导，明示或暗示要求宴请、招待，或索取礼金、礼品、礼券、其他利益，或故意刁难、显失公平的，保证立即向贵院监察部门进行举报。  </w:t>
      </w:r>
    </w:p>
    <w:p w14:paraId="3963BE6C">
      <w:pPr>
        <w:pStyle w:val="5"/>
        <w:spacing w:line="360" w:lineRule="auto"/>
        <w:ind w:firstLineChars="200"/>
        <w:rPr>
          <w:color w:val="auto"/>
          <w:szCs w:val="21"/>
        </w:rPr>
      </w:pPr>
      <w:r>
        <w:rPr>
          <w:rFonts w:hint="eastAsia"/>
          <w:color w:val="auto"/>
          <w:szCs w:val="21"/>
        </w:rPr>
        <w:t>特此承诺。                                     </w:t>
      </w:r>
    </w:p>
    <w:p w14:paraId="46095465">
      <w:pPr>
        <w:pStyle w:val="34"/>
        <w:rPr>
          <w:color w:val="auto"/>
          <w:szCs w:val="21"/>
        </w:rPr>
      </w:pPr>
    </w:p>
    <w:p w14:paraId="64C70FC7">
      <w:pPr>
        <w:pStyle w:val="34"/>
        <w:spacing w:line="360" w:lineRule="auto"/>
        <w:jc w:val="center"/>
        <w:rPr>
          <w:color w:val="auto"/>
          <w:szCs w:val="21"/>
        </w:rPr>
      </w:pPr>
      <w:r>
        <w:rPr>
          <w:rFonts w:hint="eastAsia"/>
          <w:color w:val="auto"/>
          <w:szCs w:val="21"/>
        </w:rPr>
        <w:t xml:space="preserve">                           供应商名称（盖章）： ****公司</w:t>
      </w:r>
    </w:p>
    <w:p w14:paraId="69472013">
      <w:pPr>
        <w:pStyle w:val="34"/>
        <w:spacing w:line="360" w:lineRule="auto"/>
        <w:jc w:val="left"/>
        <w:rPr>
          <w:color w:val="auto"/>
          <w:szCs w:val="21"/>
        </w:rPr>
      </w:pPr>
      <w:r>
        <w:rPr>
          <w:rFonts w:hint="eastAsia"/>
          <w:color w:val="auto"/>
          <w:szCs w:val="21"/>
        </w:rPr>
        <w:t xml:space="preserve">         </w:t>
      </w:r>
    </w:p>
    <w:p w14:paraId="306AD00C">
      <w:pPr>
        <w:pStyle w:val="34"/>
        <w:spacing w:line="360" w:lineRule="auto"/>
        <w:ind w:firstLine="1260" w:firstLineChars="600"/>
        <w:jc w:val="left"/>
        <w:rPr>
          <w:color w:val="auto"/>
          <w:szCs w:val="21"/>
        </w:rPr>
      </w:pPr>
      <w:r>
        <w:rPr>
          <w:rFonts w:hint="eastAsia"/>
          <w:color w:val="auto"/>
          <w:szCs w:val="21"/>
        </w:rPr>
        <w:t>供应商法定代表人（或法定代表人授权代表）（签字或盖章）：</w:t>
      </w:r>
    </w:p>
    <w:p w14:paraId="12C94663">
      <w:pPr>
        <w:pStyle w:val="34"/>
        <w:spacing w:line="360" w:lineRule="auto"/>
        <w:jc w:val="center"/>
        <w:rPr>
          <w:rFonts w:hint="eastAsia"/>
          <w:color w:val="auto"/>
          <w:szCs w:val="21"/>
        </w:rPr>
      </w:pPr>
      <w:r>
        <w:rPr>
          <w:rFonts w:hint="eastAsia"/>
          <w:color w:val="auto"/>
          <w:szCs w:val="21"/>
        </w:rPr>
        <w:t xml:space="preserve">                  </w:t>
      </w:r>
    </w:p>
    <w:p w14:paraId="31FDDC5E">
      <w:pPr>
        <w:pStyle w:val="34"/>
        <w:spacing w:line="360" w:lineRule="auto"/>
        <w:jc w:val="center"/>
        <w:rPr>
          <w:rFonts w:hint="eastAsia"/>
          <w:color w:val="auto"/>
          <w:szCs w:val="21"/>
        </w:rPr>
      </w:pPr>
    </w:p>
    <w:p w14:paraId="4BCCE11E">
      <w:pPr>
        <w:pStyle w:val="34"/>
        <w:spacing w:line="360" w:lineRule="auto"/>
        <w:jc w:val="center"/>
        <w:rPr>
          <w:color w:val="auto"/>
          <w:szCs w:val="21"/>
        </w:rPr>
      </w:pPr>
      <w:r>
        <w:rPr>
          <w:rFonts w:hint="eastAsia"/>
          <w:color w:val="auto"/>
          <w:szCs w:val="21"/>
        </w:rPr>
        <w:t xml:space="preserve">                                            </w:t>
      </w:r>
    </w:p>
    <w:p w14:paraId="7C01AB9F">
      <w:pPr>
        <w:pStyle w:val="34"/>
        <w:spacing w:line="360" w:lineRule="auto"/>
        <w:jc w:val="center"/>
        <w:rPr>
          <w:color w:val="auto"/>
          <w:szCs w:val="21"/>
        </w:rPr>
      </w:pPr>
      <w:r>
        <w:rPr>
          <w:rFonts w:hint="eastAsia"/>
          <w:color w:val="auto"/>
          <w:szCs w:val="21"/>
        </w:rPr>
        <w:t xml:space="preserve">                                                               </w:t>
      </w:r>
    </w:p>
    <w:p w14:paraId="640ACD24">
      <w:pPr>
        <w:pStyle w:val="34"/>
        <w:spacing w:line="360" w:lineRule="auto"/>
        <w:jc w:val="center"/>
        <w:rPr>
          <w:color w:val="auto"/>
          <w:szCs w:val="21"/>
        </w:rPr>
      </w:pPr>
      <w:r>
        <w:rPr>
          <w:rFonts w:hint="eastAsia"/>
          <w:color w:val="auto"/>
          <w:szCs w:val="21"/>
        </w:rPr>
        <w:t xml:space="preserve">                                              日 期：     年    月    日</w:t>
      </w:r>
    </w:p>
    <w:p w14:paraId="6A5D7951">
      <w:pPr>
        <w:widowControl/>
        <w:spacing w:line="500" w:lineRule="atLeast"/>
        <w:rPr>
          <w:rFonts w:ascii="仿宋" w:hAnsi="仿宋" w:eastAsia="仿宋" w:cs="宋体"/>
          <w:b/>
          <w:color w:val="auto"/>
          <w:kern w:val="0"/>
          <w:sz w:val="24"/>
          <w:szCs w:val="32"/>
        </w:rPr>
      </w:pPr>
    </w:p>
    <w:p w14:paraId="4D7E17CC">
      <w:pPr>
        <w:widowControl/>
        <w:spacing w:line="500" w:lineRule="atLeast"/>
        <w:rPr>
          <w:rFonts w:ascii="宋体" w:hAnsi="宋体" w:cs="宋体"/>
          <w:b/>
          <w:bCs/>
          <w:color w:val="auto"/>
          <w:kern w:val="36"/>
          <w:sz w:val="24"/>
          <w:szCs w:val="48"/>
        </w:rPr>
      </w:pPr>
      <w:r>
        <w:rPr>
          <w:rFonts w:hint="eastAsia" w:ascii="仿宋" w:hAnsi="仿宋" w:eastAsia="仿宋" w:cs="宋体"/>
          <w:b/>
          <w:color w:val="auto"/>
          <w:kern w:val="0"/>
          <w:sz w:val="24"/>
          <w:szCs w:val="32"/>
        </w:rPr>
        <w:t>2.7</w:t>
      </w:r>
      <w:r>
        <w:rPr>
          <w:rFonts w:hint="eastAsia" w:ascii="宋体" w:hAnsi="宋体" w:cs="宋体"/>
          <w:b/>
          <w:bCs/>
          <w:color w:val="auto"/>
          <w:kern w:val="36"/>
          <w:sz w:val="24"/>
          <w:szCs w:val="48"/>
        </w:rPr>
        <w:t>关于资格和响应文件的声明函</w:t>
      </w:r>
    </w:p>
    <w:p w14:paraId="354D6FBF">
      <w:pPr>
        <w:pStyle w:val="37"/>
        <w:spacing w:line="360" w:lineRule="auto"/>
        <w:jc w:val="center"/>
        <w:outlineLvl w:val="0"/>
        <w:rPr>
          <w:b/>
          <w:bCs/>
          <w:color w:val="auto"/>
          <w:sz w:val="32"/>
          <w:szCs w:val="32"/>
        </w:rPr>
      </w:pPr>
      <w:bookmarkStart w:id="546" w:name="_Toc12210"/>
      <w:bookmarkStart w:id="547" w:name="_Toc30920"/>
      <w:bookmarkStart w:id="548" w:name="_Toc29038"/>
      <w:bookmarkStart w:id="549" w:name="_Toc4538"/>
      <w:bookmarkStart w:id="550" w:name="_Toc24964"/>
      <w:bookmarkStart w:id="551" w:name="_Toc29986"/>
      <w:bookmarkStart w:id="552" w:name="_Toc21503"/>
      <w:bookmarkStart w:id="553" w:name="_Toc9333"/>
      <w:bookmarkStart w:id="554" w:name="_Toc12986"/>
      <w:bookmarkStart w:id="555" w:name="_Toc16414"/>
      <w:bookmarkStart w:id="556" w:name="_Toc9813"/>
      <w:bookmarkStart w:id="557" w:name="_Toc3968"/>
      <w:bookmarkStart w:id="558" w:name="_Toc12567"/>
      <w:bookmarkStart w:id="559" w:name="_Toc5237"/>
      <w:bookmarkStart w:id="560" w:name="_Toc32565"/>
      <w:bookmarkStart w:id="561" w:name="_Toc22349"/>
      <w:bookmarkStart w:id="562" w:name="_Toc9085"/>
      <w:bookmarkStart w:id="563" w:name="_Toc2162"/>
      <w:bookmarkStart w:id="564" w:name="_Toc24408"/>
      <w:bookmarkStart w:id="565" w:name="_Toc7323"/>
      <w:bookmarkStart w:id="566" w:name="_Toc21003"/>
      <w:bookmarkStart w:id="567" w:name="_Toc6773"/>
      <w:bookmarkStart w:id="568" w:name="_Toc20949"/>
      <w:bookmarkStart w:id="569" w:name="_Toc9308"/>
      <w:r>
        <w:rPr>
          <w:rFonts w:hint="eastAsia"/>
          <w:b/>
          <w:bCs/>
          <w:color w:val="auto"/>
          <w:sz w:val="32"/>
          <w:szCs w:val="32"/>
        </w:rPr>
        <w:t>关于资格和响应文件的声明函</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02A2EB50">
      <w:pPr>
        <w:spacing w:line="360" w:lineRule="auto"/>
        <w:rPr>
          <w:rFonts w:ascii="宋体" w:hAnsi="宋体"/>
          <w:color w:val="auto"/>
          <w:szCs w:val="21"/>
        </w:rPr>
      </w:pPr>
      <w:r>
        <w:rPr>
          <w:rFonts w:hint="eastAsia" w:ascii="宋体" w:hAnsi="宋体"/>
          <w:b/>
          <w:bCs/>
          <w:color w:val="auto"/>
          <w:szCs w:val="21"/>
        </w:rPr>
        <w:t>致：南方医科大学第五附属医院</w:t>
      </w:r>
    </w:p>
    <w:p w14:paraId="5D7C41C3">
      <w:pPr>
        <w:spacing w:line="360" w:lineRule="auto"/>
        <w:ind w:firstLine="420" w:firstLineChars="200"/>
        <w:rPr>
          <w:rFonts w:ascii="宋体" w:hAnsi="宋体"/>
          <w:color w:val="auto"/>
          <w:szCs w:val="21"/>
        </w:rPr>
      </w:pPr>
      <w:r>
        <w:rPr>
          <w:rFonts w:hint="eastAsia" w:ascii="宋体" w:hAnsi="宋体"/>
          <w:color w:val="auto"/>
          <w:szCs w:val="21"/>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489AEDDB">
      <w:pPr>
        <w:spacing w:line="360" w:lineRule="auto"/>
        <w:rPr>
          <w:rFonts w:ascii="宋体" w:hAnsi="宋体"/>
          <w:color w:val="auto"/>
          <w:szCs w:val="21"/>
        </w:rPr>
      </w:pPr>
      <w:r>
        <w:rPr>
          <w:rFonts w:hint="eastAsia" w:ascii="宋体" w:hAnsi="宋体"/>
          <w:color w:val="auto"/>
          <w:szCs w:val="21"/>
        </w:rPr>
        <w:t>1.我方具有独立承担民事责任的能力；</w:t>
      </w:r>
    </w:p>
    <w:p w14:paraId="4FD4457E">
      <w:pPr>
        <w:spacing w:line="360" w:lineRule="auto"/>
        <w:rPr>
          <w:rFonts w:ascii="宋体" w:hAnsi="宋体"/>
          <w:color w:val="auto"/>
          <w:szCs w:val="21"/>
        </w:rPr>
      </w:pPr>
      <w:r>
        <w:rPr>
          <w:rFonts w:hint="eastAsia" w:ascii="宋体" w:hAnsi="宋体"/>
          <w:color w:val="auto"/>
          <w:szCs w:val="21"/>
        </w:rPr>
        <w:t>2.我方具有良好的商业信誉和健全的财务会计制度；</w:t>
      </w:r>
    </w:p>
    <w:p w14:paraId="0FDD1F58">
      <w:pPr>
        <w:spacing w:line="360" w:lineRule="auto"/>
        <w:rPr>
          <w:rFonts w:ascii="宋体" w:hAnsi="宋体"/>
          <w:color w:val="auto"/>
          <w:szCs w:val="21"/>
        </w:rPr>
      </w:pPr>
      <w:r>
        <w:rPr>
          <w:rFonts w:hint="eastAsia" w:ascii="宋体" w:hAnsi="宋体"/>
          <w:color w:val="auto"/>
          <w:szCs w:val="21"/>
        </w:rPr>
        <w:t>3.我方有依法缴纳税收和社会保障资金的良好记录；</w:t>
      </w:r>
    </w:p>
    <w:p w14:paraId="3BFF3A5C">
      <w:pPr>
        <w:spacing w:line="360" w:lineRule="auto"/>
        <w:rPr>
          <w:rFonts w:ascii="宋体" w:hAnsi="宋体"/>
          <w:color w:val="auto"/>
          <w:szCs w:val="21"/>
        </w:rPr>
      </w:pPr>
      <w:r>
        <w:rPr>
          <w:rFonts w:hint="eastAsia" w:ascii="宋体" w:hAnsi="宋体"/>
          <w:color w:val="auto"/>
          <w:szCs w:val="21"/>
        </w:rPr>
        <w:t>4.我方具有履行合同所必需的设备和专业技术能力；</w:t>
      </w:r>
    </w:p>
    <w:p w14:paraId="62EEA3FC">
      <w:pPr>
        <w:spacing w:line="360" w:lineRule="auto"/>
        <w:rPr>
          <w:rFonts w:ascii="宋体" w:hAnsi="宋体"/>
          <w:color w:val="auto"/>
          <w:szCs w:val="21"/>
        </w:rPr>
      </w:pPr>
      <w:r>
        <w:rPr>
          <w:rFonts w:hint="eastAsia" w:ascii="宋体" w:hAnsi="宋体"/>
          <w:color w:val="auto"/>
          <w:szCs w:val="21"/>
        </w:rPr>
        <w:t>5.我方不存在以下情况：以联合体形式参加本项目院内采购活动；</w:t>
      </w:r>
    </w:p>
    <w:p w14:paraId="19B378AD">
      <w:pPr>
        <w:spacing w:line="360" w:lineRule="auto"/>
        <w:rPr>
          <w:rFonts w:ascii="宋体" w:hAnsi="宋体"/>
          <w:color w:val="auto"/>
          <w:szCs w:val="21"/>
        </w:rPr>
      </w:pPr>
      <w:r>
        <w:rPr>
          <w:rFonts w:hint="eastAsia" w:ascii="宋体" w:hAnsi="宋体"/>
          <w:color w:val="auto"/>
          <w:szCs w:val="21"/>
        </w:rPr>
        <w:t>6.我方不存在以下情况：以分包、转包形式参加本项目院内采购活动；</w:t>
      </w:r>
    </w:p>
    <w:p w14:paraId="797DD5E5">
      <w:pPr>
        <w:spacing w:line="360" w:lineRule="auto"/>
        <w:rPr>
          <w:rFonts w:ascii="宋体" w:hAnsi="宋体"/>
          <w:color w:val="auto"/>
          <w:szCs w:val="21"/>
        </w:rPr>
      </w:pPr>
      <w:r>
        <w:rPr>
          <w:rFonts w:hint="eastAsia" w:ascii="宋体" w:hAnsi="宋体"/>
          <w:color w:val="auto"/>
          <w:szCs w:val="21"/>
        </w:rPr>
        <w:t>7.我方在参加采购活动前3年内在经营活动中没有重大违法记录；</w:t>
      </w:r>
    </w:p>
    <w:p w14:paraId="4FE0B5F7">
      <w:pPr>
        <w:spacing w:line="360" w:lineRule="auto"/>
        <w:rPr>
          <w:rFonts w:ascii="宋体" w:hAnsi="宋体"/>
          <w:color w:val="auto"/>
          <w:szCs w:val="21"/>
        </w:rPr>
      </w:pPr>
      <w:r>
        <w:rPr>
          <w:rFonts w:hint="eastAsia" w:ascii="宋体" w:hAnsi="宋体"/>
          <w:color w:val="auto"/>
          <w:szCs w:val="21"/>
        </w:rPr>
        <w:t>8.我方不存在以下情况：法定代表人或单位负责人为同一人或者存在直接控股、管理关系的不同供应商，同时参加本采购项目的院内采购活动；</w:t>
      </w:r>
    </w:p>
    <w:p w14:paraId="693E1257">
      <w:pPr>
        <w:spacing w:line="360" w:lineRule="auto"/>
        <w:rPr>
          <w:rFonts w:ascii="宋体" w:hAnsi="宋体"/>
          <w:color w:val="auto"/>
          <w:szCs w:val="21"/>
        </w:rPr>
      </w:pPr>
      <w:r>
        <w:rPr>
          <w:rFonts w:hint="eastAsia" w:ascii="宋体" w:hAnsi="宋体"/>
          <w:color w:val="auto"/>
          <w:szCs w:val="21"/>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3543DAFE">
      <w:pPr>
        <w:spacing w:line="360" w:lineRule="auto"/>
        <w:rPr>
          <w:rFonts w:ascii="宋体" w:hAnsi="宋体"/>
          <w:color w:val="auto"/>
          <w:szCs w:val="21"/>
        </w:rPr>
      </w:pPr>
      <w:r>
        <w:rPr>
          <w:rFonts w:hint="eastAsia" w:ascii="宋体" w:hAnsi="宋体"/>
          <w:color w:val="auto"/>
          <w:szCs w:val="21"/>
        </w:rPr>
        <w:t>10.我方为本次磋商所提交的所有证明其合格和资格的文件是真实的和正确的，并愿为其真实性和正确性承担法律责任。</w:t>
      </w:r>
    </w:p>
    <w:p w14:paraId="46ED03CD">
      <w:pPr>
        <w:spacing w:line="276" w:lineRule="auto"/>
        <w:rPr>
          <w:rFonts w:ascii="宋体" w:hAnsi="宋体"/>
          <w:color w:val="auto"/>
          <w:szCs w:val="21"/>
        </w:rPr>
      </w:pPr>
    </w:p>
    <w:p w14:paraId="09C33EAA">
      <w:pPr>
        <w:spacing w:line="360" w:lineRule="auto"/>
        <w:rPr>
          <w:rFonts w:ascii="宋体" w:hAnsi="宋体"/>
          <w:color w:val="auto"/>
          <w:szCs w:val="21"/>
        </w:rPr>
      </w:pPr>
      <w:r>
        <w:rPr>
          <w:rFonts w:hint="eastAsia" w:ascii="宋体" w:hAnsi="宋体"/>
          <w:color w:val="auto"/>
          <w:szCs w:val="21"/>
        </w:rPr>
        <w:t>如有违法、违规、弄虚作假行为，所造成的损失、不良后果及法律责任，一律由我方承担。</w:t>
      </w:r>
    </w:p>
    <w:p w14:paraId="1B6AFDFE">
      <w:pPr>
        <w:spacing w:line="360" w:lineRule="auto"/>
        <w:rPr>
          <w:rFonts w:ascii="宋体" w:hAnsi="宋体"/>
          <w:color w:val="auto"/>
          <w:szCs w:val="21"/>
        </w:rPr>
      </w:pPr>
      <w:r>
        <w:rPr>
          <w:rFonts w:hint="eastAsia" w:ascii="宋体" w:hAnsi="宋体"/>
          <w:color w:val="auto"/>
          <w:szCs w:val="21"/>
        </w:rPr>
        <w:t>特此声明！</w:t>
      </w:r>
    </w:p>
    <w:p w14:paraId="1FAF85DA">
      <w:pPr>
        <w:spacing w:line="276" w:lineRule="auto"/>
        <w:rPr>
          <w:rFonts w:ascii="宋体" w:hAnsi="宋体"/>
          <w:color w:val="auto"/>
          <w:szCs w:val="21"/>
        </w:rPr>
      </w:pPr>
    </w:p>
    <w:p w14:paraId="61B116D1">
      <w:pPr>
        <w:spacing w:line="360" w:lineRule="auto"/>
        <w:rPr>
          <w:rFonts w:ascii="宋体" w:hAnsi="宋体"/>
          <w:color w:val="auto"/>
          <w:szCs w:val="21"/>
        </w:rPr>
      </w:pPr>
    </w:p>
    <w:p w14:paraId="7E7CAE15">
      <w:pPr>
        <w:spacing w:line="360" w:lineRule="auto"/>
        <w:ind w:firstLine="3780" w:firstLineChars="1800"/>
        <w:rPr>
          <w:rFonts w:ascii="宋体" w:hAnsi="宋体"/>
          <w:color w:val="auto"/>
          <w:szCs w:val="21"/>
        </w:rPr>
      </w:pPr>
    </w:p>
    <w:p w14:paraId="7DC74233">
      <w:pPr>
        <w:spacing w:line="360" w:lineRule="auto"/>
        <w:ind w:firstLine="3780" w:firstLineChars="1800"/>
        <w:rPr>
          <w:rFonts w:ascii="宋体" w:hAnsi="宋体"/>
          <w:color w:val="auto"/>
          <w:szCs w:val="21"/>
        </w:rPr>
      </w:pPr>
      <w:r>
        <w:rPr>
          <w:rFonts w:hint="eastAsia" w:ascii="宋体" w:hAnsi="宋体"/>
          <w:color w:val="auto"/>
          <w:szCs w:val="21"/>
        </w:rPr>
        <w:t>供应商名称（盖章）：</w:t>
      </w:r>
    </w:p>
    <w:p w14:paraId="28EF6EC3">
      <w:pPr>
        <w:spacing w:line="360" w:lineRule="auto"/>
        <w:rPr>
          <w:rFonts w:ascii="宋体" w:hAnsi="宋体"/>
          <w:color w:val="auto"/>
          <w:szCs w:val="21"/>
        </w:rPr>
      </w:pPr>
      <w:r>
        <w:rPr>
          <w:rFonts w:hint="eastAsia" w:ascii="宋体" w:hAnsi="宋体"/>
          <w:color w:val="auto"/>
          <w:szCs w:val="21"/>
        </w:rPr>
        <w:t>供应商法定代表人（或法定代表人授权代表）（签字或盖章）：</w:t>
      </w:r>
    </w:p>
    <w:p w14:paraId="4ACE3DDE">
      <w:pPr>
        <w:pStyle w:val="33"/>
        <w:spacing w:line="360" w:lineRule="auto"/>
        <w:jc w:val="left"/>
        <w:rPr>
          <w:color w:val="auto"/>
        </w:rPr>
      </w:pPr>
    </w:p>
    <w:p w14:paraId="74B16B6D">
      <w:pPr>
        <w:spacing w:line="360" w:lineRule="auto"/>
        <w:jc w:val="center"/>
        <w:rPr>
          <w:rFonts w:ascii="宋体" w:hAnsi="宋体"/>
          <w:color w:val="auto"/>
          <w:szCs w:val="21"/>
        </w:rPr>
      </w:pPr>
      <w:r>
        <w:rPr>
          <w:rFonts w:hint="eastAsia" w:ascii="宋体" w:hAnsi="宋体"/>
          <w:color w:val="auto"/>
          <w:szCs w:val="21"/>
        </w:rPr>
        <w:t xml:space="preserve">                                日期：　　年　  月　  日</w:t>
      </w:r>
    </w:p>
    <w:p w14:paraId="29B3E9CC">
      <w:pPr>
        <w:pStyle w:val="33"/>
        <w:rPr>
          <w:rFonts w:ascii="宋体" w:hAnsi="宋体"/>
          <w:color w:val="auto"/>
          <w:sz w:val="24"/>
        </w:rPr>
      </w:pPr>
    </w:p>
    <w:p w14:paraId="1F83D111">
      <w:pPr>
        <w:pStyle w:val="33"/>
        <w:rPr>
          <w:rFonts w:ascii="宋体" w:hAnsi="宋体"/>
          <w:color w:val="auto"/>
          <w:sz w:val="24"/>
        </w:rPr>
      </w:pPr>
    </w:p>
    <w:p w14:paraId="456DBD97">
      <w:pPr>
        <w:pStyle w:val="33"/>
        <w:rPr>
          <w:rFonts w:ascii="宋体" w:hAnsi="宋体"/>
          <w:color w:val="auto"/>
          <w:sz w:val="24"/>
        </w:rPr>
      </w:pPr>
    </w:p>
    <w:p w14:paraId="77D86141">
      <w:pPr>
        <w:spacing w:line="360" w:lineRule="auto"/>
        <w:rPr>
          <w:rFonts w:asciiTheme="minorEastAsia" w:hAnsiTheme="minorEastAsia" w:eastAsiaTheme="minorEastAsia" w:cstheme="minorEastAsia"/>
          <w:b/>
          <w:bCs/>
          <w:color w:val="auto"/>
          <w:sz w:val="24"/>
        </w:rPr>
      </w:pPr>
      <w:bookmarkStart w:id="570" w:name="_Toc22508"/>
      <w:bookmarkStart w:id="571" w:name="_Toc25323"/>
      <w:r>
        <w:rPr>
          <w:rStyle w:val="53"/>
          <w:rFonts w:hint="eastAsia" w:asciiTheme="minorEastAsia" w:hAnsiTheme="minorEastAsia" w:eastAsiaTheme="minorEastAsia" w:cstheme="minorEastAsia"/>
          <w:color w:val="auto"/>
          <w:sz w:val="24"/>
          <w:szCs w:val="24"/>
        </w:rPr>
        <w:t>2.8其他重要事项说明及承诺（如有，请扼要叙述）</w:t>
      </w:r>
      <w:bookmarkEnd w:id="570"/>
      <w:bookmarkEnd w:id="571"/>
      <w:r>
        <w:rPr>
          <w:rFonts w:hint="eastAsia" w:asciiTheme="minorEastAsia" w:hAnsiTheme="minorEastAsia" w:eastAsiaTheme="minorEastAsia" w:cstheme="minorEastAsia"/>
          <w:b/>
          <w:bCs/>
          <w:color w:val="auto"/>
          <w:sz w:val="24"/>
        </w:rPr>
        <w:t>（格式自拟）</w:t>
      </w:r>
    </w:p>
    <w:p w14:paraId="5BD1D3DB">
      <w:pPr>
        <w:pStyle w:val="33"/>
        <w:rPr>
          <w:rFonts w:asciiTheme="minorEastAsia" w:hAnsiTheme="minorEastAsia" w:eastAsiaTheme="minorEastAsia" w:cstheme="minorEastAsia"/>
          <w:b/>
          <w:bCs/>
          <w:color w:val="auto"/>
          <w:sz w:val="24"/>
        </w:rPr>
      </w:pPr>
    </w:p>
    <w:p w14:paraId="7F1D8805">
      <w:pPr>
        <w:spacing w:line="360" w:lineRule="auto"/>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2.9针对本项目供应商认为需提供的说明或资料。（格式自拟）</w:t>
      </w:r>
    </w:p>
    <w:p w14:paraId="4DAADEA3">
      <w:pPr>
        <w:pStyle w:val="2"/>
        <w:rPr>
          <w:rFonts w:eastAsiaTheme="minorEastAsia"/>
          <w:color w:val="auto"/>
        </w:rPr>
      </w:pPr>
      <w:bookmarkStart w:id="572" w:name="_Toc9456"/>
      <w:bookmarkStart w:id="573" w:name="_Toc15902"/>
      <w:bookmarkStart w:id="574" w:name="_Toc29810"/>
      <w:bookmarkStart w:id="575" w:name="_Toc23837"/>
      <w:bookmarkStart w:id="576" w:name="_Toc27851"/>
      <w:bookmarkStart w:id="577" w:name="_Toc6025"/>
      <w:bookmarkStart w:id="578" w:name="_Toc1065"/>
      <w:bookmarkStart w:id="579" w:name="_Toc29898"/>
      <w:bookmarkStart w:id="580" w:name="_Toc13483"/>
      <w:bookmarkStart w:id="581" w:name="_Toc14094"/>
      <w:bookmarkStart w:id="582" w:name="_Toc30483"/>
      <w:bookmarkStart w:id="583" w:name="_Toc29100"/>
      <w:r>
        <w:rPr>
          <w:rFonts w:hint="eastAsia" w:asciiTheme="minorEastAsia" w:hAnsiTheme="minorEastAsia" w:eastAsiaTheme="minorEastAsia" w:cstheme="minorEastAsia"/>
          <w:color w:val="auto"/>
          <w:sz w:val="24"/>
          <w:szCs w:val="24"/>
        </w:rPr>
        <w:t>2.10根据评分标准需提供的佐证资料。（格式自拟）</w:t>
      </w:r>
      <w:bookmarkEnd w:id="572"/>
      <w:bookmarkEnd w:id="573"/>
      <w:bookmarkEnd w:id="574"/>
      <w:bookmarkEnd w:id="575"/>
      <w:bookmarkEnd w:id="576"/>
      <w:bookmarkEnd w:id="577"/>
      <w:bookmarkEnd w:id="578"/>
      <w:bookmarkEnd w:id="579"/>
      <w:bookmarkEnd w:id="580"/>
      <w:bookmarkEnd w:id="581"/>
      <w:bookmarkEnd w:id="582"/>
      <w:bookmarkEnd w:id="583"/>
    </w:p>
    <w:p w14:paraId="3A02066F">
      <w:pPr>
        <w:pStyle w:val="33"/>
        <w:rPr>
          <w:rFonts w:asciiTheme="minorEastAsia" w:hAnsiTheme="minorEastAsia" w:eastAsiaTheme="minorEastAsia" w:cstheme="minorEastAsia"/>
          <w:b/>
          <w:bCs/>
          <w:color w:val="auto"/>
          <w:sz w:val="24"/>
        </w:rPr>
      </w:pPr>
    </w:p>
    <w:p w14:paraId="315FCB7D">
      <w:pPr>
        <w:pStyle w:val="33"/>
        <w:rPr>
          <w:rFonts w:ascii="宋体" w:hAnsi="宋体"/>
          <w:color w:val="auto"/>
          <w:sz w:val="24"/>
        </w:rPr>
      </w:pPr>
    </w:p>
    <w:p w14:paraId="698AB2E2">
      <w:pPr>
        <w:pStyle w:val="33"/>
        <w:rPr>
          <w:rFonts w:ascii="宋体" w:hAnsi="宋体"/>
          <w:color w:val="auto"/>
          <w:sz w:val="24"/>
        </w:rPr>
      </w:pPr>
    </w:p>
    <w:p w14:paraId="7F5748A4">
      <w:pPr>
        <w:pStyle w:val="33"/>
        <w:rPr>
          <w:rFonts w:ascii="宋体" w:hAnsi="宋体"/>
          <w:color w:val="auto"/>
          <w:sz w:val="24"/>
        </w:rPr>
      </w:pPr>
    </w:p>
    <w:p w14:paraId="5FEB9E8C">
      <w:pPr>
        <w:pStyle w:val="33"/>
        <w:rPr>
          <w:rFonts w:ascii="宋体" w:hAnsi="宋体"/>
          <w:color w:val="auto"/>
          <w:sz w:val="24"/>
        </w:rPr>
      </w:pPr>
    </w:p>
    <w:p w14:paraId="113C57B3">
      <w:pPr>
        <w:pStyle w:val="33"/>
        <w:rPr>
          <w:rFonts w:ascii="宋体" w:hAnsi="宋体"/>
          <w:color w:val="auto"/>
          <w:sz w:val="24"/>
        </w:rPr>
      </w:pPr>
    </w:p>
    <w:p w14:paraId="2F635341">
      <w:pPr>
        <w:pStyle w:val="33"/>
        <w:rPr>
          <w:rFonts w:ascii="宋体" w:hAnsi="宋体"/>
          <w:color w:val="auto"/>
          <w:sz w:val="24"/>
        </w:rPr>
      </w:pPr>
    </w:p>
    <w:p w14:paraId="545C9318">
      <w:pPr>
        <w:pStyle w:val="33"/>
        <w:rPr>
          <w:rFonts w:ascii="宋体" w:hAnsi="宋体"/>
          <w:color w:val="auto"/>
          <w:sz w:val="24"/>
        </w:rPr>
      </w:pPr>
    </w:p>
    <w:p w14:paraId="6311F9EF">
      <w:pPr>
        <w:pStyle w:val="33"/>
        <w:rPr>
          <w:rFonts w:ascii="宋体" w:hAnsi="宋体"/>
          <w:color w:val="auto"/>
          <w:sz w:val="24"/>
        </w:rPr>
      </w:pPr>
    </w:p>
    <w:p w14:paraId="1184436B">
      <w:pPr>
        <w:pStyle w:val="33"/>
        <w:rPr>
          <w:rFonts w:ascii="宋体" w:hAnsi="宋体"/>
          <w:color w:val="auto"/>
          <w:sz w:val="24"/>
        </w:rPr>
      </w:pPr>
    </w:p>
    <w:p w14:paraId="7BD54344">
      <w:pPr>
        <w:pStyle w:val="33"/>
        <w:rPr>
          <w:rFonts w:ascii="宋体" w:hAnsi="宋体"/>
          <w:color w:val="auto"/>
          <w:sz w:val="24"/>
        </w:rPr>
      </w:pPr>
    </w:p>
    <w:p w14:paraId="718F1A16">
      <w:pPr>
        <w:pStyle w:val="33"/>
        <w:rPr>
          <w:rFonts w:ascii="宋体" w:hAnsi="宋体"/>
          <w:color w:val="auto"/>
          <w:sz w:val="24"/>
        </w:rPr>
      </w:pPr>
    </w:p>
    <w:p w14:paraId="1B496A6E">
      <w:pPr>
        <w:pStyle w:val="33"/>
        <w:rPr>
          <w:rFonts w:ascii="宋体" w:hAnsi="宋体"/>
          <w:color w:val="auto"/>
          <w:sz w:val="24"/>
        </w:rPr>
      </w:pPr>
    </w:p>
    <w:p w14:paraId="1DDDB52F">
      <w:pPr>
        <w:pStyle w:val="33"/>
        <w:rPr>
          <w:rFonts w:ascii="宋体" w:hAnsi="宋体"/>
          <w:color w:val="auto"/>
          <w:sz w:val="24"/>
        </w:rPr>
      </w:pPr>
    </w:p>
    <w:p w14:paraId="53487CD0">
      <w:pPr>
        <w:pStyle w:val="33"/>
        <w:rPr>
          <w:rFonts w:ascii="宋体" w:hAnsi="宋体"/>
          <w:color w:val="auto"/>
          <w:sz w:val="24"/>
        </w:rPr>
      </w:pPr>
    </w:p>
    <w:p w14:paraId="08E14CF1">
      <w:pPr>
        <w:pStyle w:val="33"/>
        <w:rPr>
          <w:rFonts w:ascii="宋体" w:hAnsi="宋体"/>
          <w:color w:val="auto"/>
          <w:sz w:val="24"/>
        </w:rPr>
      </w:pPr>
    </w:p>
    <w:p w14:paraId="348AC53D">
      <w:pPr>
        <w:rPr>
          <w:color w:val="auto"/>
        </w:rPr>
      </w:pPr>
    </w:p>
    <w:p w14:paraId="4A7E4732">
      <w:pPr>
        <w:pStyle w:val="34"/>
        <w:rPr>
          <w:color w:val="auto"/>
        </w:rPr>
      </w:pPr>
    </w:p>
    <w:p w14:paraId="6A27E34C">
      <w:pPr>
        <w:pStyle w:val="34"/>
        <w:rPr>
          <w:color w:val="auto"/>
        </w:rPr>
      </w:pPr>
    </w:p>
    <w:p w14:paraId="77953C43">
      <w:pPr>
        <w:pStyle w:val="34"/>
        <w:rPr>
          <w:color w:val="auto"/>
        </w:rPr>
      </w:pPr>
    </w:p>
    <w:p w14:paraId="24F5E41C">
      <w:pPr>
        <w:pStyle w:val="34"/>
        <w:rPr>
          <w:color w:val="auto"/>
        </w:rPr>
      </w:pPr>
    </w:p>
    <w:p w14:paraId="6963966A">
      <w:pPr>
        <w:pStyle w:val="34"/>
        <w:rPr>
          <w:color w:val="auto"/>
        </w:rPr>
      </w:pPr>
    </w:p>
    <w:p w14:paraId="2255B3A0">
      <w:pPr>
        <w:pStyle w:val="34"/>
        <w:rPr>
          <w:color w:val="auto"/>
        </w:rPr>
      </w:pPr>
    </w:p>
    <w:p w14:paraId="080D2457">
      <w:pPr>
        <w:pStyle w:val="33"/>
        <w:rPr>
          <w:color w:val="auto"/>
        </w:rPr>
      </w:pPr>
    </w:p>
    <w:p w14:paraId="2A4B9D0D">
      <w:pPr>
        <w:pStyle w:val="33"/>
        <w:rPr>
          <w:color w:val="auto"/>
        </w:rPr>
      </w:pPr>
    </w:p>
    <w:p w14:paraId="72D28090">
      <w:pPr>
        <w:pStyle w:val="33"/>
        <w:rPr>
          <w:color w:val="auto"/>
        </w:rPr>
      </w:pPr>
    </w:p>
    <w:p w14:paraId="7F00581A">
      <w:pPr>
        <w:pStyle w:val="33"/>
        <w:rPr>
          <w:color w:val="auto"/>
        </w:rPr>
      </w:pPr>
    </w:p>
    <w:p w14:paraId="46DC18D3">
      <w:pPr>
        <w:pStyle w:val="33"/>
        <w:rPr>
          <w:color w:val="auto"/>
        </w:rPr>
      </w:pPr>
    </w:p>
    <w:p w14:paraId="5E3671FC">
      <w:pPr>
        <w:pStyle w:val="33"/>
        <w:rPr>
          <w:color w:val="auto"/>
        </w:rPr>
      </w:pPr>
    </w:p>
    <w:p w14:paraId="1E0C4060">
      <w:pPr>
        <w:pStyle w:val="33"/>
        <w:rPr>
          <w:color w:val="auto"/>
        </w:rPr>
      </w:pPr>
    </w:p>
    <w:p w14:paraId="4132F886">
      <w:pPr>
        <w:rPr>
          <w:color w:val="auto"/>
        </w:rPr>
      </w:pPr>
    </w:p>
    <w:sectPr>
      <w:headerReference r:id="rId13"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B28C2">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932D7">
    <w:pPr>
      <w:pStyle w:val="15"/>
      <w:framePr w:wrap="around" w:vAnchor="text" w:hAnchor="margin" w:xAlign="center" w:y="1"/>
      <w:rPr>
        <w:rStyle w:val="28"/>
      </w:rPr>
    </w:pPr>
    <w:r>
      <w:fldChar w:fldCharType="begin"/>
    </w:r>
    <w:r>
      <w:rPr>
        <w:rStyle w:val="28"/>
      </w:rPr>
      <w:instrText xml:space="preserve">PAGE  </w:instrText>
    </w:r>
    <w:r>
      <w:fldChar w:fldCharType="end"/>
    </w:r>
  </w:p>
  <w:p w14:paraId="129844C8">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68269">
    <w:pPr>
      <w:pStyle w:val="15"/>
      <w:jc w:val="center"/>
    </w:pPr>
  </w:p>
  <w:p w14:paraId="47574AA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C361F">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807CB">
                          <w:pPr>
                            <w:pStyle w:val="15"/>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8807CB">
                    <w:pPr>
                      <w:pStyle w:val="15"/>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29835">
    <w:pPr>
      <w:pStyle w:val="15"/>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01164">
                          <w:pPr>
                            <w:pStyle w:val="15"/>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D801164">
                    <w:pPr>
                      <w:pStyle w:val="15"/>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p>
  <w:p w14:paraId="2836DBA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4D66C">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040E4">
    <w:pPr>
      <w:pStyle w:val="16"/>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40CDE">
    <w:pPr>
      <w:pStyle w:val="16"/>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F7362">
    <w:pPr>
      <w:pStyle w:val="16"/>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A1600">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EEF8A">
    <w:pPr>
      <w:pStyle w:val="16"/>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8BB46"/>
    <w:multiLevelType w:val="singleLevel"/>
    <w:tmpl w:val="ABD8BB46"/>
    <w:lvl w:ilvl="0" w:tentative="0">
      <w:start w:val="1"/>
      <w:numFmt w:val="chineseCounting"/>
      <w:suff w:val="nothing"/>
      <w:lvlText w:val="（%1）"/>
      <w:lvlJc w:val="left"/>
      <w:rPr>
        <w:rFonts w:hint="eastAsia"/>
      </w:rPr>
    </w:lvl>
  </w:abstractNum>
  <w:abstractNum w:abstractNumId="1">
    <w:nsid w:val="C0D799B7"/>
    <w:multiLevelType w:val="singleLevel"/>
    <w:tmpl w:val="C0D799B7"/>
    <w:lvl w:ilvl="0" w:tentative="0">
      <w:start w:val="2"/>
      <w:numFmt w:val="decimal"/>
      <w:suff w:val="nothing"/>
      <w:lvlText w:val="（%1）"/>
      <w:lvlJc w:val="left"/>
      <w:pPr>
        <w:ind w:left="420"/>
      </w:pPr>
    </w:lvl>
  </w:abstractNum>
  <w:abstractNum w:abstractNumId="2">
    <w:nsid w:val="CBBD9D34"/>
    <w:multiLevelType w:val="singleLevel"/>
    <w:tmpl w:val="CBBD9D34"/>
    <w:lvl w:ilvl="0" w:tentative="0">
      <w:start w:val="1"/>
      <w:numFmt w:val="decimal"/>
      <w:suff w:val="nothing"/>
      <w:lvlText w:val="（%1）"/>
      <w:lvlJc w:val="left"/>
    </w:lvl>
  </w:abstractNum>
  <w:abstractNum w:abstractNumId="3">
    <w:nsid w:val="D18F0839"/>
    <w:multiLevelType w:val="singleLevel"/>
    <w:tmpl w:val="D18F0839"/>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4">
    <w:nsid w:val="FF3B3095"/>
    <w:multiLevelType w:val="singleLevel"/>
    <w:tmpl w:val="FF3B3095"/>
    <w:lvl w:ilvl="0" w:tentative="0">
      <w:start w:val="1"/>
      <w:numFmt w:val="chineseCounting"/>
      <w:suff w:val="nothing"/>
      <w:lvlText w:val="（%1）"/>
      <w:lvlJc w:val="left"/>
      <w:rPr>
        <w:rFonts w:hint="eastAsia"/>
      </w:rPr>
    </w:lvl>
  </w:abstractNum>
  <w:abstractNum w:abstractNumId="5">
    <w:nsid w:val="0DB4E796"/>
    <w:multiLevelType w:val="singleLevel"/>
    <w:tmpl w:val="0DB4E796"/>
    <w:lvl w:ilvl="0" w:tentative="0">
      <w:start w:val="1"/>
      <w:numFmt w:val="chineseCounting"/>
      <w:suff w:val="space"/>
      <w:lvlText w:val="第%1条"/>
      <w:lvlJc w:val="left"/>
      <w:rPr>
        <w:rFonts w:hint="eastAsia"/>
      </w:rPr>
    </w:lvl>
  </w:abstractNum>
  <w:abstractNum w:abstractNumId="6">
    <w:nsid w:val="202829E3"/>
    <w:multiLevelType w:val="singleLevel"/>
    <w:tmpl w:val="202829E3"/>
    <w:lvl w:ilvl="0" w:tentative="0">
      <w:start w:val="2"/>
      <w:numFmt w:val="chineseCounting"/>
      <w:suff w:val="space"/>
      <w:lvlText w:val="第%1部分"/>
      <w:lvlJc w:val="left"/>
      <w:rPr>
        <w:rFonts w:hint="eastAsia"/>
      </w:rPr>
    </w:lvl>
  </w:abstractNum>
  <w:abstractNum w:abstractNumId="7">
    <w:nsid w:val="4B690EC1"/>
    <w:multiLevelType w:val="singleLevel"/>
    <w:tmpl w:val="4B690EC1"/>
    <w:lvl w:ilvl="0" w:tentative="0">
      <w:start w:val="1"/>
      <w:numFmt w:val="decimal"/>
      <w:suff w:val="nothing"/>
      <w:lvlText w:val="（%1）"/>
      <w:lvlJc w:val="left"/>
    </w:lvl>
  </w:abstractNum>
  <w:abstractNum w:abstractNumId="8">
    <w:nsid w:val="7FFC5B4C"/>
    <w:multiLevelType w:val="singleLevel"/>
    <w:tmpl w:val="7FFC5B4C"/>
    <w:lvl w:ilvl="0" w:tentative="0">
      <w:start w:val="1"/>
      <w:numFmt w:val="chineseCounting"/>
      <w:suff w:val="nothing"/>
      <w:lvlText w:val="%1、"/>
      <w:lvlJc w:val="left"/>
      <w:rPr>
        <w:rFonts w:hint="eastAsia"/>
      </w:rPr>
    </w:lvl>
  </w:abstractNum>
  <w:num w:numId="1">
    <w:abstractNumId w:val="3"/>
  </w:num>
  <w:num w:numId="2">
    <w:abstractNumId w:val="8"/>
  </w:num>
  <w:num w:numId="3">
    <w:abstractNumId w:val="6"/>
  </w:num>
  <w:num w:numId="4">
    <w:abstractNumId w:val="7"/>
  </w:num>
  <w:num w:numId="5">
    <w:abstractNumId w:val="2"/>
  </w:num>
  <w:num w:numId="6">
    <w:abstractNumId w:val="5"/>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17C5"/>
    <w:rsid w:val="003B75E0"/>
    <w:rsid w:val="003D0ADC"/>
    <w:rsid w:val="003D2DB5"/>
    <w:rsid w:val="003E2031"/>
    <w:rsid w:val="003F5E94"/>
    <w:rsid w:val="00402921"/>
    <w:rsid w:val="00404B88"/>
    <w:rsid w:val="00404F3F"/>
    <w:rsid w:val="00411144"/>
    <w:rsid w:val="0041662E"/>
    <w:rsid w:val="004301E2"/>
    <w:rsid w:val="004304E7"/>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22083"/>
    <w:rsid w:val="0073014A"/>
    <w:rsid w:val="00741D79"/>
    <w:rsid w:val="00745223"/>
    <w:rsid w:val="00760968"/>
    <w:rsid w:val="00764545"/>
    <w:rsid w:val="00764E97"/>
    <w:rsid w:val="007977A3"/>
    <w:rsid w:val="007A2145"/>
    <w:rsid w:val="007A48D9"/>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244F"/>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9F0683"/>
    <w:rsid w:val="009F5F05"/>
    <w:rsid w:val="00A01EBB"/>
    <w:rsid w:val="00A058CD"/>
    <w:rsid w:val="00A068B7"/>
    <w:rsid w:val="00A26373"/>
    <w:rsid w:val="00A27138"/>
    <w:rsid w:val="00A366C2"/>
    <w:rsid w:val="00A406A4"/>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C4EA2"/>
    <w:rsid w:val="00BE0906"/>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67D79"/>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E6955"/>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C5297"/>
    <w:rsid w:val="00FD0E67"/>
    <w:rsid w:val="00FF615C"/>
    <w:rsid w:val="015360B5"/>
    <w:rsid w:val="01A231BD"/>
    <w:rsid w:val="01A7647D"/>
    <w:rsid w:val="01AE423C"/>
    <w:rsid w:val="01C472C9"/>
    <w:rsid w:val="031E58B1"/>
    <w:rsid w:val="032337B5"/>
    <w:rsid w:val="034404CF"/>
    <w:rsid w:val="039B179B"/>
    <w:rsid w:val="03F72EF0"/>
    <w:rsid w:val="04EE7118"/>
    <w:rsid w:val="054E169D"/>
    <w:rsid w:val="055E3016"/>
    <w:rsid w:val="05907E7A"/>
    <w:rsid w:val="066F5ED2"/>
    <w:rsid w:val="06B036DE"/>
    <w:rsid w:val="073F1A33"/>
    <w:rsid w:val="077B3E26"/>
    <w:rsid w:val="07862043"/>
    <w:rsid w:val="079C2FAC"/>
    <w:rsid w:val="07BE4292"/>
    <w:rsid w:val="07BE48F0"/>
    <w:rsid w:val="07EA18BC"/>
    <w:rsid w:val="07ED5D2D"/>
    <w:rsid w:val="07F876A6"/>
    <w:rsid w:val="08113D1D"/>
    <w:rsid w:val="083B7B3F"/>
    <w:rsid w:val="083C3E90"/>
    <w:rsid w:val="08880B4F"/>
    <w:rsid w:val="089475E8"/>
    <w:rsid w:val="090A11DE"/>
    <w:rsid w:val="094D2D41"/>
    <w:rsid w:val="0966427E"/>
    <w:rsid w:val="09B02342"/>
    <w:rsid w:val="09EA79FA"/>
    <w:rsid w:val="0A146A4B"/>
    <w:rsid w:val="0A9C5E28"/>
    <w:rsid w:val="0AA45825"/>
    <w:rsid w:val="0B0A307C"/>
    <w:rsid w:val="0B0A3975"/>
    <w:rsid w:val="0B427B56"/>
    <w:rsid w:val="0B6E199F"/>
    <w:rsid w:val="0BA56654"/>
    <w:rsid w:val="0BB46B81"/>
    <w:rsid w:val="0BCD2048"/>
    <w:rsid w:val="0C3622D5"/>
    <w:rsid w:val="0C5D6F25"/>
    <w:rsid w:val="0C705246"/>
    <w:rsid w:val="0CAD27D4"/>
    <w:rsid w:val="0CE366E9"/>
    <w:rsid w:val="0D1C720F"/>
    <w:rsid w:val="0DDD2866"/>
    <w:rsid w:val="0DF802D1"/>
    <w:rsid w:val="0E21791C"/>
    <w:rsid w:val="0E2B2B11"/>
    <w:rsid w:val="0E2F3F26"/>
    <w:rsid w:val="0E86496D"/>
    <w:rsid w:val="0EB43E49"/>
    <w:rsid w:val="0EB45115"/>
    <w:rsid w:val="0ED05230"/>
    <w:rsid w:val="0F9938B7"/>
    <w:rsid w:val="0F9B7CBC"/>
    <w:rsid w:val="10014154"/>
    <w:rsid w:val="10277357"/>
    <w:rsid w:val="10C6575E"/>
    <w:rsid w:val="115E45A5"/>
    <w:rsid w:val="116C3A15"/>
    <w:rsid w:val="117621CC"/>
    <w:rsid w:val="11A13229"/>
    <w:rsid w:val="123F5759"/>
    <w:rsid w:val="12D574C5"/>
    <w:rsid w:val="12EB2AD0"/>
    <w:rsid w:val="13DA397B"/>
    <w:rsid w:val="140D57CC"/>
    <w:rsid w:val="14252A27"/>
    <w:rsid w:val="14331D3D"/>
    <w:rsid w:val="147A5AF1"/>
    <w:rsid w:val="1489025A"/>
    <w:rsid w:val="15325191"/>
    <w:rsid w:val="156E4658"/>
    <w:rsid w:val="157F4BFE"/>
    <w:rsid w:val="1586383D"/>
    <w:rsid w:val="15FC5BCD"/>
    <w:rsid w:val="160B5F1C"/>
    <w:rsid w:val="16133E5E"/>
    <w:rsid w:val="163B2107"/>
    <w:rsid w:val="16455C94"/>
    <w:rsid w:val="164C7363"/>
    <w:rsid w:val="16A8688B"/>
    <w:rsid w:val="16B65E2B"/>
    <w:rsid w:val="17066A53"/>
    <w:rsid w:val="17556C79"/>
    <w:rsid w:val="17562ADF"/>
    <w:rsid w:val="178013C5"/>
    <w:rsid w:val="178F7B63"/>
    <w:rsid w:val="17BC58AB"/>
    <w:rsid w:val="17ED4678"/>
    <w:rsid w:val="19141BD3"/>
    <w:rsid w:val="19481D66"/>
    <w:rsid w:val="19AB5200"/>
    <w:rsid w:val="1A0602EA"/>
    <w:rsid w:val="1A6A19D2"/>
    <w:rsid w:val="1A6D7C20"/>
    <w:rsid w:val="1A812401"/>
    <w:rsid w:val="1A842F29"/>
    <w:rsid w:val="1AC1037E"/>
    <w:rsid w:val="1ADC16AD"/>
    <w:rsid w:val="1AF93CE3"/>
    <w:rsid w:val="1BFC6CC3"/>
    <w:rsid w:val="1C2E774C"/>
    <w:rsid w:val="1C631DA7"/>
    <w:rsid w:val="1C7C1EB6"/>
    <w:rsid w:val="1CAC7FE6"/>
    <w:rsid w:val="1D7849B0"/>
    <w:rsid w:val="1DA90161"/>
    <w:rsid w:val="1DC35F95"/>
    <w:rsid w:val="1DE30DB3"/>
    <w:rsid w:val="1E5677A8"/>
    <w:rsid w:val="1F187406"/>
    <w:rsid w:val="1F3C5C35"/>
    <w:rsid w:val="1F9C69B0"/>
    <w:rsid w:val="1FC016D2"/>
    <w:rsid w:val="1FC87893"/>
    <w:rsid w:val="1FEC26BF"/>
    <w:rsid w:val="20995391"/>
    <w:rsid w:val="20B81B4B"/>
    <w:rsid w:val="20EE2C7A"/>
    <w:rsid w:val="21282075"/>
    <w:rsid w:val="21D627A8"/>
    <w:rsid w:val="224277DF"/>
    <w:rsid w:val="22A53EBB"/>
    <w:rsid w:val="23AA5581"/>
    <w:rsid w:val="23AD21E9"/>
    <w:rsid w:val="23F73ED1"/>
    <w:rsid w:val="23FB60A3"/>
    <w:rsid w:val="242554C8"/>
    <w:rsid w:val="24E1111B"/>
    <w:rsid w:val="24E25C6F"/>
    <w:rsid w:val="255B747B"/>
    <w:rsid w:val="25C122E9"/>
    <w:rsid w:val="262F2952"/>
    <w:rsid w:val="26C20E41"/>
    <w:rsid w:val="26F058DC"/>
    <w:rsid w:val="26FC00A2"/>
    <w:rsid w:val="270C4FC5"/>
    <w:rsid w:val="274618E3"/>
    <w:rsid w:val="27715F5E"/>
    <w:rsid w:val="277952D7"/>
    <w:rsid w:val="277D6F0B"/>
    <w:rsid w:val="27FE61D7"/>
    <w:rsid w:val="28084236"/>
    <w:rsid w:val="28716EFA"/>
    <w:rsid w:val="291659B2"/>
    <w:rsid w:val="296A68AF"/>
    <w:rsid w:val="298D7034"/>
    <w:rsid w:val="299C04E7"/>
    <w:rsid w:val="2A241B69"/>
    <w:rsid w:val="2ACD6E12"/>
    <w:rsid w:val="2AF97AD0"/>
    <w:rsid w:val="2B5252AC"/>
    <w:rsid w:val="2B694EC9"/>
    <w:rsid w:val="2B7874B7"/>
    <w:rsid w:val="2BC8683E"/>
    <w:rsid w:val="2BD8709E"/>
    <w:rsid w:val="2BE11C14"/>
    <w:rsid w:val="2BF437BD"/>
    <w:rsid w:val="2C0E0D23"/>
    <w:rsid w:val="2C1134D3"/>
    <w:rsid w:val="2C453FE1"/>
    <w:rsid w:val="2C566B76"/>
    <w:rsid w:val="2CC51310"/>
    <w:rsid w:val="2CD12FB2"/>
    <w:rsid w:val="2D07550B"/>
    <w:rsid w:val="2D4227EC"/>
    <w:rsid w:val="2D884B5E"/>
    <w:rsid w:val="2D9D18B8"/>
    <w:rsid w:val="2DA7679B"/>
    <w:rsid w:val="2DD3689C"/>
    <w:rsid w:val="2DF41ABE"/>
    <w:rsid w:val="2F3565C7"/>
    <w:rsid w:val="2F764E10"/>
    <w:rsid w:val="2F9D0B74"/>
    <w:rsid w:val="2FD82C2E"/>
    <w:rsid w:val="2FED63AC"/>
    <w:rsid w:val="3017479B"/>
    <w:rsid w:val="303376B3"/>
    <w:rsid w:val="309C2380"/>
    <w:rsid w:val="30C47B2A"/>
    <w:rsid w:val="30D03C68"/>
    <w:rsid w:val="30FC3C5A"/>
    <w:rsid w:val="31120C66"/>
    <w:rsid w:val="31786637"/>
    <w:rsid w:val="31B0547E"/>
    <w:rsid w:val="31EA386E"/>
    <w:rsid w:val="32671107"/>
    <w:rsid w:val="32BA42F4"/>
    <w:rsid w:val="32E15A65"/>
    <w:rsid w:val="3360076A"/>
    <w:rsid w:val="34666027"/>
    <w:rsid w:val="34E04328"/>
    <w:rsid w:val="35047229"/>
    <w:rsid w:val="35133FF2"/>
    <w:rsid w:val="35356EF4"/>
    <w:rsid w:val="35CC4F9D"/>
    <w:rsid w:val="35FA1A5A"/>
    <w:rsid w:val="36320B42"/>
    <w:rsid w:val="36486245"/>
    <w:rsid w:val="36655515"/>
    <w:rsid w:val="36F6488E"/>
    <w:rsid w:val="37016E77"/>
    <w:rsid w:val="37114F57"/>
    <w:rsid w:val="37541FBF"/>
    <w:rsid w:val="37571A9D"/>
    <w:rsid w:val="37796717"/>
    <w:rsid w:val="382011D0"/>
    <w:rsid w:val="38417C49"/>
    <w:rsid w:val="387633F7"/>
    <w:rsid w:val="39501943"/>
    <w:rsid w:val="39744E8F"/>
    <w:rsid w:val="397E60B8"/>
    <w:rsid w:val="3A613565"/>
    <w:rsid w:val="3AAE72D0"/>
    <w:rsid w:val="3B810614"/>
    <w:rsid w:val="3C263095"/>
    <w:rsid w:val="3C37572C"/>
    <w:rsid w:val="3CC531BB"/>
    <w:rsid w:val="3D7E34F5"/>
    <w:rsid w:val="3DBB5FB0"/>
    <w:rsid w:val="3DBE51F4"/>
    <w:rsid w:val="3E0A180B"/>
    <w:rsid w:val="3E54497E"/>
    <w:rsid w:val="3E561EDD"/>
    <w:rsid w:val="3E735E97"/>
    <w:rsid w:val="3E7E15CB"/>
    <w:rsid w:val="3E8F178D"/>
    <w:rsid w:val="3E9A2DFF"/>
    <w:rsid w:val="3EBA1C45"/>
    <w:rsid w:val="3EFF6336"/>
    <w:rsid w:val="3F705417"/>
    <w:rsid w:val="3F77274D"/>
    <w:rsid w:val="3F8955E2"/>
    <w:rsid w:val="3FF40D85"/>
    <w:rsid w:val="3FF52FF7"/>
    <w:rsid w:val="40AF7177"/>
    <w:rsid w:val="40D73989"/>
    <w:rsid w:val="416E58B5"/>
    <w:rsid w:val="41713269"/>
    <w:rsid w:val="41B60C35"/>
    <w:rsid w:val="41D2693B"/>
    <w:rsid w:val="42A321BA"/>
    <w:rsid w:val="42AF6223"/>
    <w:rsid w:val="42DE76F8"/>
    <w:rsid w:val="43070703"/>
    <w:rsid w:val="435B5C8B"/>
    <w:rsid w:val="44211D49"/>
    <w:rsid w:val="443A18C0"/>
    <w:rsid w:val="44546201"/>
    <w:rsid w:val="44623562"/>
    <w:rsid w:val="446D567D"/>
    <w:rsid w:val="4480336A"/>
    <w:rsid w:val="44D52909"/>
    <w:rsid w:val="44DF4ACD"/>
    <w:rsid w:val="451E6F60"/>
    <w:rsid w:val="45244DEA"/>
    <w:rsid w:val="45CC5137"/>
    <w:rsid w:val="461E293B"/>
    <w:rsid w:val="46D069DB"/>
    <w:rsid w:val="47D91D8D"/>
    <w:rsid w:val="47F54DD0"/>
    <w:rsid w:val="48085048"/>
    <w:rsid w:val="485129D4"/>
    <w:rsid w:val="48635B9B"/>
    <w:rsid w:val="48687F8B"/>
    <w:rsid w:val="48AF080C"/>
    <w:rsid w:val="48BC6F7A"/>
    <w:rsid w:val="48F44CB0"/>
    <w:rsid w:val="49705866"/>
    <w:rsid w:val="49A30A84"/>
    <w:rsid w:val="49A719F8"/>
    <w:rsid w:val="4A391992"/>
    <w:rsid w:val="4A7F1CA4"/>
    <w:rsid w:val="4AD00D02"/>
    <w:rsid w:val="4AD12E84"/>
    <w:rsid w:val="4AEB6C72"/>
    <w:rsid w:val="4B5D4915"/>
    <w:rsid w:val="4B977E52"/>
    <w:rsid w:val="4C113007"/>
    <w:rsid w:val="4C2410C3"/>
    <w:rsid w:val="4C7171D6"/>
    <w:rsid w:val="4C981BA5"/>
    <w:rsid w:val="4CA76874"/>
    <w:rsid w:val="4CD65FA1"/>
    <w:rsid w:val="4CE72AA2"/>
    <w:rsid w:val="4CED7344"/>
    <w:rsid w:val="4D3F293F"/>
    <w:rsid w:val="4D72553A"/>
    <w:rsid w:val="4DDA05B4"/>
    <w:rsid w:val="4DDF729F"/>
    <w:rsid w:val="4E4C452A"/>
    <w:rsid w:val="4E5E5E11"/>
    <w:rsid w:val="4E98699E"/>
    <w:rsid w:val="4EC56BC8"/>
    <w:rsid w:val="4ED23FAB"/>
    <w:rsid w:val="4ED4505D"/>
    <w:rsid w:val="4FEC4D9A"/>
    <w:rsid w:val="50221520"/>
    <w:rsid w:val="503448AC"/>
    <w:rsid w:val="513444D8"/>
    <w:rsid w:val="51A4105B"/>
    <w:rsid w:val="51A73BDA"/>
    <w:rsid w:val="51BA4D3C"/>
    <w:rsid w:val="51BF1745"/>
    <w:rsid w:val="51C370C5"/>
    <w:rsid w:val="521E6D6F"/>
    <w:rsid w:val="52726854"/>
    <w:rsid w:val="52AF0E96"/>
    <w:rsid w:val="53201D9E"/>
    <w:rsid w:val="53582DD5"/>
    <w:rsid w:val="537A5AB3"/>
    <w:rsid w:val="53810C3C"/>
    <w:rsid w:val="538A7402"/>
    <w:rsid w:val="539D0697"/>
    <w:rsid w:val="53A776AF"/>
    <w:rsid w:val="54674D33"/>
    <w:rsid w:val="54E96FFA"/>
    <w:rsid w:val="55082CF1"/>
    <w:rsid w:val="55557160"/>
    <w:rsid w:val="55F93E70"/>
    <w:rsid w:val="5623033B"/>
    <w:rsid w:val="562F16B5"/>
    <w:rsid w:val="5658445F"/>
    <w:rsid w:val="56725887"/>
    <w:rsid w:val="567416FD"/>
    <w:rsid w:val="568F6108"/>
    <w:rsid w:val="56CC3A18"/>
    <w:rsid w:val="56E90E9E"/>
    <w:rsid w:val="57AB3143"/>
    <w:rsid w:val="57B75A4C"/>
    <w:rsid w:val="584D6A47"/>
    <w:rsid w:val="58617CCB"/>
    <w:rsid w:val="58710A75"/>
    <w:rsid w:val="587F35E9"/>
    <w:rsid w:val="58873381"/>
    <w:rsid w:val="58A321B7"/>
    <w:rsid w:val="58A758D2"/>
    <w:rsid w:val="58D76A1B"/>
    <w:rsid w:val="58EA6DB5"/>
    <w:rsid w:val="59076B22"/>
    <w:rsid w:val="59232E69"/>
    <w:rsid w:val="59913E02"/>
    <w:rsid w:val="59D406CA"/>
    <w:rsid w:val="59D606DD"/>
    <w:rsid w:val="59E9425F"/>
    <w:rsid w:val="5A4B59E1"/>
    <w:rsid w:val="5A6E3589"/>
    <w:rsid w:val="5A9647D7"/>
    <w:rsid w:val="5A9814EF"/>
    <w:rsid w:val="5AA575EE"/>
    <w:rsid w:val="5B240D2B"/>
    <w:rsid w:val="5B245060"/>
    <w:rsid w:val="5BA934CB"/>
    <w:rsid w:val="5BDC6BC1"/>
    <w:rsid w:val="5C58551F"/>
    <w:rsid w:val="5C8E6CC1"/>
    <w:rsid w:val="5C9F1CE6"/>
    <w:rsid w:val="5CE41D02"/>
    <w:rsid w:val="5D453D32"/>
    <w:rsid w:val="5D585F58"/>
    <w:rsid w:val="5D6F1865"/>
    <w:rsid w:val="5D80551E"/>
    <w:rsid w:val="5E55246A"/>
    <w:rsid w:val="5F0B7BE8"/>
    <w:rsid w:val="5F4823CB"/>
    <w:rsid w:val="5F695B92"/>
    <w:rsid w:val="5F7C17C8"/>
    <w:rsid w:val="5FA32AF4"/>
    <w:rsid w:val="5FA82935"/>
    <w:rsid w:val="5FF60218"/>
    <w:rsid w:val="603C7BC2"/>
    <w:rsid w:val="60423FDD"/>
    <w:rsid w:val="610775F2"/>
    <w:rsid w:val="614B10EF"/>
    <w:rsid w:val="616A6FEE"/>
    <w:rsid w:val="61CB7501"/>
    <w:rsid w:val="61E13DED"/>
    <w:rsid w:val="61F84AAE"/>
    <w:rsid w:val="62A23DBC"/>
    <w:rsid w:val="635941B3"/>
    <w:rsid w:val="63E53526"/>
    <w:rsid w:val="6429050D"/>
    <w:rsid w:val="64A305A4"/>
    <w:rsid w:val="64C02086"/>
    <w:rsid w:val="658925AF"/>
    <w:rsid w:val="658A6077"/>
    <w:rsid w:val="65AC3028"/>
    <w:rsid w:val="65B131D7"/>
    <w:rsid w:val="65C221ED"/>
    <w:rsid w:val="6610648F"/>
    <w:rsid w:val="66E713F9"/>
    <w:rsid w:val="66F347C2"/>
    <w:rsid w:val="67346EF9"/>
    <w:rsid w:val="6772399F"/>
    <w:rsid w:val="6780006F"/>
    <w:rsid w:val="67BF660E"/>
    <w:rsid w:val="684D2239"/>
    <w:rsid w:val="689653A2"/>
    <w:rsid w:val="689C428C"/>
    <w:rsid w:val="689C77C3"/>
    <w:rsid w:val="68B72DD1"/>
    <w:rsid w:val="68E3749B"/>
    <w:rsid w:val="69B30DDE"/>
    <w:rsid w:val="69BE6F9C"/>
    <w:rsid w:val="69FE2F40"/>
    <w:rsid w:val="6A274C05"/>
    <w:rsid w:val="6A3570B4"/>
    <w:rsid w:val="6A9B6E5E"/>
    <w:rsid w:val="6ACC3AEE"/>
    <w:rsid w:val="6B792785"/>
    <w:rsid w:val="6B9122C0"/>
    <w:rsid w:val="6BC77FCB"/>
    <w:rsid w:val="6BDE1D04"/>
    <w:rsid w:val="6BEE02A6"/>
    <w:rsid w:val="6C2D4552"/>
    <w:rsid w:val="6C32210E"/>
    <w:rsid w:val="6CBA2914"/>
    <w:rsid w:val="6D211C97"/>
    <w:rsid w:val="6D526662"/>
    <w:rsid w:val="6D647199"/>
    <w:rsid w:val="6D971A88"/>
    <w:rsid w:val="6DB629AF"/>
    <w:rsid w:val="6E7F2BD8"/>
    <w:rsid w:val="6E86573A"/>
    <w:rsid w:val="6EB82A9C"/>
    <w:rsid w:val="6EFB13D7"/>
    <w:rsid w:val="6F32730A"/>
    <w:rsid w:val="6F647730"/>
    <w:rsid w:val="6FAA2C9A"/>
    <w:rsid w:val="6FE34182"/>
    <w:rsid w:val="70466C1E"/>
    <w:rsid w:val="705C256B"/>
    <w:rsid w:val="709F46F4"/>
    <w:rsid w:val="712B04A0"/>
    <w:rsid w:val="7139323E"/>
    <w:rsid w:val="717A73C6"/>
    <w:rsid w:val="71905F08"/>
    <w:rsid w:val="743D52CE"/>
    <w:rsid w:val="7453486F"/>
    <w:rsid w:val="745A4405"/>
    <w:rsid w:val="752E6281"/>
    <w:rsid w:val="75916DBA"/>
    <w:rsid w:val="761518FC"/>
    <w:rsid w:val="76CE06C3"/>
    <w:rsid w:val="76E67008"/>
    <w:rsid w:val="77B36564"/>
    <w:rsid w:val="77C91904"/>
    <w:rsid w:val="77E13C28"/>
    <w:rsid w:val="783919C4"/>
    <w:rsid w:val="78D00495"/>
    <w:rsid w:val="78FA1F51"/>
    <w:rsid w:val="790B2F23"/>
    <w:rsid w:val="792C5A3B"/>
    <w:rsid w:val="795067BF"/>
    <w:rsid w:val="797D7F1B"/>
    <w:rsid w:val="79FA6E97"/>
    <w:rsid w:val="7A515CAC"/>
    <w:rsid w:val="7A597865"/>
    <w:rsid w:val="7ABC137E"/>
    <w:rsid w:val="7AF0620B"/>
    <w:rsid w:val="7B15298F"/>
    <w:rsid w:val="7B1665E7"/>
    <w:rsid w:val="7B3F380D"/>
    <w:rsid w:val="7B7E06B1"/>
    <w:rsid w:val="7B986019"/>
    <w:rsid w:val="7BC06797"/>
    <w:rsid w:val="7BFE5B74"/>
    <w:rsid w:val="7C4A0BE1"/>
    <w:rsid w:val="7C50591D"/>
    <w:rsid w:val="7C55517F"/>
    <w:rsid w:val="7C6737CC"/>
    <w:rsid w:val="7CA8537C"/>
    <w:rsid w:val="7CC01DE0"/>
    <w:rsid w:val="7D7178C9"/>
    <w:rsid w:val="7D8A3184"/>
    <w:rsid w:val="7DB879AC"/>
    <w:rsid w:val="7DD30733"/>
    <w:rsid w:val="7DE06EA2"/>
    <w:rsid w:val="7E0C7ECD"/>
    <w:rsid w:val="7E68201D"/>
    <w:rsid w:val="7E7976F3"/>
    <w:rsid w:val="7E7B76A5"/>
    <w:rsid w:val="7E9E6F48"/>
    <w:rsid w:val="7F3B58F3"/>
    <w:rsid w:val="7F4D74FA"/>
    <w:rsid w:val="7F6A7154"/>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5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unhideWhenUsed/>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style>
  <w:style w:type="paragraph" w:styleId="6">
    <w:name w:val="annotation text"/>
    <w:basedOn w:val="1"/>
    <w:qFormat/>
    <w:uiPriority w:val="0"/>
    <w:pPr>
      <w:jc w:val="left"/>
    </w:pPr>
  </w:style>
  <w:style w:type="paragraph" w:styleId="7">
    <w:name w:val="Body Text"/>
    <w:basedOn w:val="1"/>
    <w:next w:val="8"/>
    <w:link w:val="49"/>
    <w:qFormat/>
    <w:uiPriority w:val="0"/>
    <w:pPr>
      <w:spacing w:after="120"/>
    </w:pPr>
  </w:style>
  <w:style w:type="paragraph" w:customStyle="1" w:styleId="8">
    <w:name w:val="_Style 2"/>
    <w:basedOn w:val="1"/>
    <w:next w:val="1"/>
    <w:qFormat/>
    <w:uiPriority w:val="0"/>
    <w:pPr>
      <w:ind w:firstLine="420" w:firstLineChars="200"/>
    </w:pPr>
    <w:rPr>
      <w:rFonts w:ascii="Calibri" w:hAnsi="Calibri"/>
      <w:sz w:val="20"/>
      <w:szCs w:val="22"/>
    </w:rPr>
  </w:style>
  <w:style w:type="paragraph" w:styleId="9">
    <w:name w:val="Body Text Indent"/>
    <w:basedOn w:val="1"/>
    <w:next w:val="10"/>
    <w:qFormat/>
    <w:uiPriority w:val="0"/>
    <w:pPr>
      <w:ind w:firstLine="830" w:firstLineChars="352"/>
    </w:pPr>
    <w:rPr>
      <w:rFonts w:ascii="仿宋_GB2312" w:eastAsia="仿宋_GB2312"/>
      <w:sz w:val="32"/>
    </w:rPr>
  </w:style>
  <w:style w:type="paragraph" w:styleId="10">
    <w:name w:val="envelope return"/>
    <w:basedOn w:val="1"/>
    <w:qFormat/>
    <w:uiPriority w:val="0"/>
    <w:pPr>
      <w:snapToGrid w:val="0"/>
    </w:pPr>
    <w:rPr>
      <w:rFonts w:ascii="Arial" w:hAnsi="Arial"/>
    </w:rPr>
  </w:style>
  <w:style w:type="paragraph" w:styleId="11">
    <w:name w:val="Block Text"/>
    <w:basedOn w:val="1"/>
    <w:unhideWhenUsed/>
    <w:qFormat/>
    <w:uiPriority w:val="99"/>
    <w:pPr>
      <w:spacing w:after="120"/>
      <w:ind w:left="1440" w:leftChars="700" w:right="1440" w:rightChars="700"/>
    </w:pPr>
  </w:style>
  <w:style w:type="paragraph" w:styleId="12">
    <w:name w:val="List Bullet 2"/>
    <w:basedOn w:val="1"/>
    <w:qFormat/>
    <w:uiPriority w:val="0"/>
    <w:pPr>
      <w:numPr>
        <w:ilvl w:val="0"/>
        <w:numId w:val="1"/>
      </w:numPr>
    </w:pPr>
  </w:style>
  <w:style w:type="paragraph" w:styleId="13">
    <w:name w:val="Plain Text"/>
    <w:basedOn w:val="1"/>
    <w:qFormat/>
    <w:uiPriority w:val="0"/>
    <w:rPr>
      <w:rFonts w:ascii="宋体" w:hAnsi="Courier New" w:cs="Courier New"/>
      <w:szCs w:val="21"/>
    </w:rPr>
  </w:style>
  <w:style w:type="paragraph" w:styleId="14">
    <w:name w:val="Balloon Text"/>
    <w:basedOn w:val="1"/>
    <w:link w:val="41"/>
    <w:qFormat/>
    <w:uiPriority w:val="0"/>
    <w:rPr>
      <w:sz w:val="18"/>
      <w:szCs w:val="18"/>
    </w:rPr>
  </w:style>
  <w:style w:type="paragraph" w:styleId="15">
    <w:name w:val="footer"/>
    <w:basedOn w:val="1"/>
    <w:link w:val="47"/>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4"/>
    <w:basedOn w:val="1"/>
    <w:next w:val="1"/>
    <w:qFormat/>
    <w:uiPriority w:val="0"/>
    <w:pPr>
      <w:ind w:left="630"/>
      <w:jc w:val="left"/>
    </w:pPr>
    <w:rPr>
      <w:rFonts w:ascii="Calibri" w:hAnsi="Calibri"/>
      <w:sz w:val="18"/>
      <w:szCs w:val="18"/>
    </w:rPr>
  </w:style>
  <w:style w:type="paragraph" w:styleId="19">
    <w:name w:val="footnote text"/>
    <w:basedOn w:val="1"/>
    <w:next w:val="20"/>
    <w:qFormat/>
    <w:uiPriority w:val="0"/>
    <w:pPr>
      <w:widowControl/>
      <w:tabs>
        <w:tab w:val="left" w:pos="420"/>
      </w:tabs>
      <w:snapToGrid w:val="0"/>
      <w:jc w:val="left"/>
    </w:pPr>
    <w:rPr>
      <w:rFonts w:ascii="Calibri"/>
      <w:sz w:val="18"/>
      <w:szCs w:val="18"/>
    </w:rPr>
  </w:style>
  <w:style w:type="paragraph" w:styleId="20">
    <w:name w:val="Body Text First Indent 2"/>
    <w:basedOn w:val="9"/>
    <w:next w:val="7"/>
    <w:qFormat/>
    <w:uiPriority w:val="0"/>
    <w:pPr>
      <w:tabs>
        <w:tab w:val="left" w:pos="420"/>
      </w:tabs>
    </w:p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0"/>
    <w:pPr>
      <w:ind w:left="420" w:leftChars="200"/>
    </w:pPr>
  </w:style>
  <w:style w:type="paragraph" w:styleId="23">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5">
    <w:name w:val="Table Grid"/>
    <w:basedOn w:val="24"/>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rFonts w:ascii="Tahoma" w:hAnsi="Tahoma" w:eastAsia="宋体"/>
      <w:b/>
      <w:bCs/>
      <w:spacing w:val="10"/>
      <w:kern w:val="2"/>
      <w:sz w:val="24"/>
      <w:szCs w:val="24"/>
      <w:lang w:val="en-US" w:eastAsia="zh-CN" w:bidi="ar-SA"/>
    </w:rPr>
  </w:style>
  <w:style w:type="character" w:styleId="28">
    <w:name w:val="page number"/>
    <w:qFormat/>
    <w:uiPriority w:val="0"/>
    <w:rPr>
      <w:lang w:val="en-US" w:eastAsia="zh-CN" w:bidi="ar-SA"/>
    </w:rPr>
  </w:style>
  <w:style w:type="character" w:styleId="29">
    <w:name w:val="Emphasis"/>
    <w:basedOn w:val="26"/>
    <w:qFormat/>
    <w:uiPriority w:val="0"/>
    <w:rPr>
      <w:i/>
    </w:rPr>
  </w:style>
  <w:style w:type="character" w:styleId="30">
    <w:name w:val="Hyperlink"/>
    <w:qFormat/>
    <w:uiPriority w:val="99"/>
    <w:rPr>
      <w:rFonts w:eastAsia="宋体"/>
      <w:color w:val="0000FF"/>
      <w:kern w:val="2"/>
      <w:sz w:val="24"/>
      <w:szCs w:val="24"/>
      <w:u w:val="single"/>
      <w:lang w:val="en-US" w:eastAsia="zh-CN" w:bidi="ar-SA"/>
    </w:rPr>
  </w:style>
  <w:style w:type="character" w:styleId="31">
    <w:name w:val="HTML Code"/>
    <w:basedOn w:val="26"/>
    <w:qFormat/>
    <w:uiPriority w:val="0"/>
    <w:rPr>
      <w:rFonts w:ascii="Courier New" w:hAnsi="Courier New"/>
      <w:sz w:val="20"/>
    </w:rPr>
  </w:style>
  <w:style w:type="character" w:styleId="32">
    <w:name w:val="annotation reference"/>
    <w:basedOn w:val="26"/>
    <w:qFormat/>
    <w:uiPriority w:val="0"/>
    <w:rPr>
      <w:sz w:val="21"/>
      <w:szCs w:val="21"/>
    </w:rPr>
  </w:style>
  <w:style w:type="paragraph" w:customStyle="1" w:styleId="33">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列出段落1"/>
    <w:basedOn w:val="1"/>
    <w:qFormat/>
    <w:uiPriority w:val="0"/>
    <w:pPr>
      <w:ind w:firstLine="420" w:firstLineChars="200"/>
    </w:pPr>
    <w:rPr>
      <w:rFonts w:ascii="Calibri" w:hAnsi="Calibri"/>
      <w:szCs w:val="22"/>
    </w:rPr>
  </w:style>
  <w:style w:type="paragraph" w:customStyle="1" w:styleId="3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p16"/>
    <w:basedOn w:val="1"/>
    <w:qFormat/>
    <w:uiPriority w:val="0"/>
    <w:pPr>
      <w:widowControl/>
    </w:pPr>
    <w:rPr>
      <w:rFonts w:ascii="宋体" w:hAnsi="宋体" w:cs="宋体"/>
      <w:kern w:val="0"/>
      <w:szCs w:val="21"/>
    </w:rPr>
  </w:style>
  <w:style w:type="paragraph" w:customStyle="1" w:styleId="3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NormalCharacter"/>
    <w:qFormat/>
    <w:uiPriority w:val="0"/>
  </w:style>
  <w:style w:type="character" w:customStyle="1" w:styleId="41">
    <w:name w:val="批注框文本 Char"/>
    <w:basedOn w:val="26"/>
    <w:link w:val="14"/>
    <w:qFormat/>
    <w:uiPriority w:val="0"/>
    <w:rPr>
      <w:rFonts w:ascii="Times New Roman" w:hAnsi="Times New Roman" w:eastAsia="宋体" w:cs="Times New Roman"/>
      <w:kern w:val="2"/>
      <w:sz w:val="18"/>
      <w:szCs w:val="18"/>
    </w:rPr>
  </w:style>
  <w:style w:type="character" w:customStyle="1" w:styleId="42">
    <w:name w:val="标题 3 Char"/>
    <w:basedOn w:val="26"/>
    <w:link w:val="4"/>
    <w:semiHidden/>
    <w:qFormat/>
    <w:uiPriority w:val="0"/>
    <w:rPr>
      <w:rFonts w:ascii="Times New Roman" w:hAnsi="Times New Roman" w:eastAsia="宋体" w:cs="Times New Roman"/>
      <w:b/>
      <w:bCs/>
      <w:kern w:val="2"/>
      <w:sz w:val="32"/>
      <w:szCs w:val="32"/>
    </w:rPr>
  </w:style>
  <w:style w:type="paragraph" w:customStyle="1" w:styleId="43">
    <w:name w:val="--规划正文"/>
    <w:basedOn w:val="1"/>
    <w:qFormat/>
    <w:uiPriority w:val="0"/>
    <w:pPr>
      <w:spacing w:line="360" w:lineRule="auto"/>
      <w:ind w:firstLine="200" w:firstLineChars="200"/>
    </w:pPr>
    <w:rPr>
      <w:rFonts w:ascii="宋体"/>
      <w:kern w:val="0"/>
      <w:sz w:val="24"/>
      <w:szCs w:val="20"/>
    </w:rPr>
  </w:style>
  <w:style w:type="paragraph" w:customStyle="1" w:styleId="44">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4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47">
    <w:name w:val="页脚 Char"/>
    <w:basedOn w:val="26"/>
    <w:link w:val="15"/>
    <w:qFormat/>
    <w:uiPriority w:val="99"/>
    <w:rPr>
      <w:rFonts w:ascii="Times New Roman" w:hAnsi="Times New Roman" w:eastAsia="宋体" w:cs="Times New Roman"/>
      <w:kern w:val="2"/>
      <w:sz w:val="18"/>
      <w:szCs w:val="18"/>
    </w:rPr>
  </w:style>
  <w:style w:type="paragraph" w:customStyle="1" w:styleId="48">
    <w:name w:val="Table Paragraph"/>
    <w:basedOn w:val="1"/>
    <w:qFormat/>
    <w:uiPriority w:val="1"/>
    <w:pPr>
      <w:spacing w:before="58"/>
    </w:pPr>
    <w:rPr>
      <w:rFonts w:ascii="华文仿宋" w:hAnsi="华文仿宋" w:eastAsia="华文仿宋" w:cs="华文仿宋"/>
      <w:lang w:val="zh-CN" w:bidi="zh-CN"/>
    </w:rPr>
  </w:style>
  <w:style w:type="character" w:customStyle="1" w:styleId="49">
    <w:name w:val="正文文本 Char"/>
    <w:basedOn w:val="26"/>
    <w:link w:val="7"/>
    <w:qFormat/>
    <w:uiPriority w:val="0"/>
    <w:rPr>
      <w:rFonts w:ascii="Times New Roman" w:hAnsi="Times New Roman" w:eastAsia="宋体" w:cs="Times New Roman"/>
      <w:kern w:val="2"/>
      <w:sz w:val="21"/>
      <w:szCs w:val="24"/>
    </w:rPr>
  </w:style>
  <w:style w:type="paragraph" w:customStyle="1" w:styleId="50">
    <w:name w:val="正文文本_0"/>
    <w:basedOn w:val="1"/>
    <w:qFormat/>
    <w:uiPriority w:val="0"/>
    <w:pPr>
      <w:spacing w:after="120" w:line="276" w:lineRule="auto"/>
    </w:pPr>
    <w:rPr>
      <w:rFonts w:ascii="Tahoma" w:hAnsi="Tahoma"/>
      <w:kern w:val="0"/>
      <w:sz w:val="20"/>
      <w:szCs w:val="20"/>
    </w:rPr>
  </w:style>
  <w:style w:type="paragraph" w:customStyle="1" w:styleId="51">
    <w:name w:val="普通(网站)1"/>
    <w:basedOn w:val="1"/>
    <w:qFormat/>
    <w:uiPriority w:val="0"/>
    <w:pPr>
      <w:widowControl/>
    </w:pPr>
    <w:rPr>
      <w:rFonts w:hAnsi="宋体"/>
      <w:sz w:val="15"/>
      <w:szCs w:val="15"/>
    </w:rPr>
  </w:style>
  <w:style w:type="character" w:customStyle="1" w:styleId="52">
    <w:name w:val="p141"/>
    <w:qFormat/>
    <w:uiPriority w:val="99"/>
    <w:rPr>
      <w:sz w:val="21"/>
    </w:rPr>
  </w:style>
  <w:style w:type="character" w:customStyle="1" w:styleId="53">
    <w:name w:val="标题 2 Char"/>
    <w:link w:val="3"/>
    <w:qFormat/>
    <w:locked/>
    <w:uiPriority w:val="0"/>
    <w:rPr>
      <w:rFonts w:ascii="Arial" w:hAnsi="Arial" w:eastAsia="黑体"/>
      <w:b/>
      <w:bCs/>
      <w:sz w:val="32"/>
      <w:szCs w:val="32"/>
    </w:rPr>
  </w:style>
  <w:style w:type="paragraph" w:customStyle="1" w:styleId="54">
    <w:name w:val="表格文字"/>
    <w:basedOn w:val="1"/>
    <w:qFormat/>
    <w:uiPriority w:val="0"/>
    <w:pPr>
      <w:spacing w:before="25" w:after="25"/>
    </w:pPr>
    <w:rPr>
      <w:bCs/>
      <w:spacing w:val="10"/>
    </w:rPr>
  </w:style>
  <w:style w:type="paragraph" w:customStyle="1" w:styleId="55">
    <w:name w:val="null3"/>
    <w:qFormat/>
    <w:uiPriority w:val="0"/>
    <w:rPr>
      <w:rFonts w:hint="eastAsia" w:ascii="Calibri" w:hAnsi="Calibri" w:eastAsia="宋体" w:cs="Times New Roman"/>
      <w:lang w:val="en-US" w:eastAsia="zh-Hans" w:bidi="ar-SA"/>
    </w:rPr>
  </w:style>
  <w:style w:type="character" w:customStyle="1" w:styleId="56">
    <w:name w:val="font11"/>
    <w:basedOn w:val="26"/>
    <w:qFormat/>
    <w:uiPriority w:val="0"/>
    <w:rPr>
      <w:rFonts w:hint="eastAsia" w:ascii="宋体" w:hAnsi="宋体" w:eastAsia="宋体" w:cs="宋体"/>
      <w:color w:val="000000"/>
      <w:sz w:val="20"/>
      <w:szCs w:val="20"/>
      <w:u w:val="none"/>
    </w:rPr>
  </w:style>
  <w:style w:type="character" w:customStyle="1" w:styleId="57">
    <w:name w:val="font81"/>
    <w:basedOn w:val="26"/>
    <w:qFormat/>
    <w:uiPriority w:val="0"/>
    <w:rPr>
      <w:rFonts w:hint="eastAsia" w:ascii="宋体" w:hAnsi="宋体" w:eastAsia="宋体" w:cs="宋体"/>
      <w:color w:val="000000"/>
      <w:sz w:val="22"/>
      <w:szCs w:val="22"/>
      <w:u w:val="none"/>
    </w:rPr>
  </w:style>
  <w:style w:type="character" w:customStyle="1" w:styleId="58">
    <w:name w:val="font61"/>
    <w:basedOn w:val="26"/>
    <w:qFormat/>
    <w:uiPriority w:val="0"/>
    <w:rPr>
      <w:rFonts w:hint="default" w:ascii="仿宋" w:hAnsi="仿宋" w:eastAsia="仿宋" w:cs="仿宋"/>
      <w:color w:val="FF0000"/>
      <w:sz w:val="22"/>
      <w:szCs w:val="22"/>
      <w:u w:val="none"/>
    </w:rPr>
  </w:style>
  <w:style w:type="character" w:customStyle="1" w:styleId="59">
    <w:name w:val="font51"/>
    <w:basedOn w:val="26"/>
    <w:qFormat/>
    <w:uiPriority w:val="0"/>
    <w:rPr>
      <w:rFonts w:hint="eastAsia" w:ascii="宋体" w:hAnsi="宋体" w:eastAsia="宋体" w:cs="宋体"/>
      <w:b/>
      <w:bCs/>
      <w:color w:val="000000"/>
      <w:sz w:val="88"/>
      <w:szCs w:val="88"/>
      <w:u w:val="none"/>
    </w:rPr>
  </w:style>
  <w:style w:type="character" w:customStyle="1" w:styleId="60">
    <w:name w:val="font41"/>
    <w:basedOn w:val="26"/>
    <w:qFormat/>
    <w:uiPriority w:val="0"/>
    <w:rPr>
      <w:rFonts w:hint="eastAsia" w:ascii="宋体" w:hAnsi="宋体" w:eastAsia="宋体" w:cs="宋体"/>
      <w:b/>
      <w:bCs/>
      <w:color w:val="000000"/>
      <w:sz w:val="50"/>
      <w:szCs w:val="50"/>
      <w:u w:val="none"/>
    </w:rPr>
  </w:style>
  <w:style w:type="paragraph" w:customStyle="1" w:styleId="61">
    <w:name w:val="表格标题"/>
    <w:basedOn w:val="1"/>
    <w:autoRedefine/>
    <w:qFormat/>
    <w:uiPriority w:val="0"/>
    <w:rPr>
      <w:rFonts w:ascii="宋体" w:hAnsi="宋体" w:cs="宋体"/>
      <w:sz w:val="20"/>
      <w:szCs w:val="20"/>
    </w:rPr>
  </w:style>
  <w:style w:type="paragraph" w:customStyle="1" w:styleId="62">
    <w:name w:val="其他"/>
    <w:basedOn w:val="1"/>
    <w:autoRedefine/>
    <w:qFormat/>
    <w:uiPriority w:val="0"/>
    <w:pPr>
      <w:spacing w:line="312" w:lineRule="auto"/>
      <w:ind w:firstLine="360"/>
    </w:pPr>
    <w:rPr>
      <w:rFonts w:ascii="宋体" w:hAnsi="宋体" w:cs="宋体"/>
      <w:sz w:val="20"/>
      <w:szCs w:val="20"/>
    </w:rPr>
  </w:style>
  <w:style w:type="paragraph" w:customStyle="1" w:styleId="6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4">
    <w:name w:val="目录 61"/>
    <w:next w:val="1"/>
    <w:qFormat/>
    <w:uiPriority w:val="99"/>
    <w:pPr>
      <w:wordWrap w:val="0"/>
      <w:ind w:left="2125"/>
      <w:jc w:val="both"/>
    </w:pPr>
    <w:rPr>
      <w:rFonts w:ascii="Times New Roman" w:hAnsi="Times New Roman" w:eastAsia="宋体" w:cs="Times New Roman"/>
      <w:sz w:val="21"/>
      <w:szCs w:val="21"/>
      <w:lang w:val="en-US" w:eastAsia="zh-CN" w:bidi="ar-SA"/>
    </w:rPr>
  </w:style>
  <w:style w:type="paragraph" w:styleId="65">
    <w:name w:val="List Paragraph"/>
    <w:basedOn w:val="1"/>
    <w:qFormat/>
    <w:uiPriority w:val="34"/>
    <w:pPr>
      <w:ind w:firstLine="420" w:firstLineChars="200"/>
    </w:pPr>
    <w:rPr>
      <w:rFonts w:hint="default" w:ascii="Calibri" w:hAnsi="Calibri"/>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43</Pages>
  <Words>7308</Words>
  <Characters>7992</Characters>
  <Lines>239</Lines>
  <Paragraphs>67</Paragraphs>
  <TotalTime>6</TotalTime>
  <ScaleCrop>false</ScaleCrop>
  <LinksUpToDate>false</LinksUpToDate>
  <CharactersWithSpaces>8142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2026-05-08T02:12:00Z</cp:lastPrinted>
  <dcterms:modified xsi:type="dcterms:W3CDTF">2026-05-29T00:13:39Z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4AE0D5BC603449A5A6923491927EA811_13</vt:lpwstr>
  </property>
  <property fmtid="{D5CDD505-2E9C-101B-9397-08002B2CF9AE}" pid="4" name="KSOTemplateDocerSaveRecord">
    <vt:lpwstr>eyJoZGlkIjoiMzM3ODllNDNhYzUzMWRjZjgyNGMyZWMwMmI0ODg1OTEiLCJ1c2VySWQiOiI0NTI3MTEyMDAifQ==</vt:lpwstr>
  </property>
</Properties>
</file>