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0" w:name="_Toc2082"/>
      <w:bookmarkStart w:id="1" w:name="_Toc27889"/>
      <w:bookmarkStart w:id="2" w:name="_Toc27377"/>
      <w:bookmarkStart w:id="3" w:name="_Toc8692"/>
      <w:bookmarkStart w:id="4" w:name="_Toc7601"/>
      <w:bookmarkStart w:id="5" w:name="_Toc21682"/>
      <w:bookmarkStart w:id="6" w:name="_Toc11537"/>
      <w:bookmarkStart w:id="7"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0"/>
      <w:bookmarkEnd w:id="1"/>
      <w:bookmarkEnd w:id="2"/>
      <w:bookmarkEnd w:id="3"/>
      <w:bookmarkEnd w:id="4"/>
      <w:bookmarkEnd w:id="5"/>
      <w:bookmarkEnd w:id="6"/>
      <w:bookmarkEnd w:id="7"/>
    </w:p>
    <w:p w14:paraId="533593F8">
      <w:pPr>
        <w:spacing w:line="480" w:lineRule="auto"/>
        <w:jc w:val="center"/>
        <w:outlineLvl w:val="0"/>
        <w:rPr>
          <w:rFonts w:hint="eastAsia" w:ascii="宋体" w:hAnsi="宋体"/>
          <w:b/>
          <w:bCs/>
          <w:color w:val="auto"/>
          <w:sz w:val="44"/>
          <w:szCs w:val="44"/>
          <w:highlight w:val="none"/>
        </w:rPr>
      </w:pPr>
      <w:bookmarkStart w:id="8" w:name="_Toc30568"/>
      <w:bookmarkStart w:id="9" w:name="_Toc15543"/>
      <w:bookmarkStart w:id="10" w:name="_Toc1392"/>
      <w:bookmarkStart w:id="11" w:name="_Toc17289"/>
      <w:bookmarkStart w:id="12" w:name="_Toc6352"/>
      <w:bookmarkStart w:id="13" w:name="_Toc21588"/>
      <w:r>
        <w:rPr>
          <w:rFonts w:hint="eastAsia" w:ascii="宋体" w:hAnsi="宋体" w:eastAsia="宋体" w:cs="Times New Roman"/>
          <w:b/>
          <w:bCs w:val="0"/>
          <w:color w:val="auto"/>
          <w:kern w:val="0"/>
          <w:sz w:val="44"/>
          <w:szCs w:val="44"/>
          <w:highlight w:val="none"/>
          <w:lang w:val="en-US" w:eastAsia="zh-CN"/>
        </w:rPr>
        <w:t>电房电气设备委托维护服务项目</w:t>
      </w:r>
      <w:bookmarkEnd w:id="8"/>
      <w:bookmarkEnd w:id="9"/>
      <w:bookmarkStart w:id="14" w:name="_Toc9543"/>
      <w:bookmarkStart w:id="15" w:name="_Toc8689"/>
      <w:r>
        <w:rPr>
          <w:rFonts w:hint="eastAsia" w:ascii="宋体" w:hAnsi="宋体" w:cs="Times New Roman"/>
          <w:b/>
          <w:bCs w:val="0"/>
          <w:color w:val="auto"/>
          <w:kern w:val="0"/>
          <w:sz w:val="44"/>
          <w:szCs w:val="44"/>
          <w:highlight w:val="none"/>
          <w:lang w:val="en-US" w:eastAsia="zh-CN"/>
        </w:rPr>
        <w:t>（二次）</w:t>
      </w:r>
    </w:p>
    <w:p w14:paraId="3A064237">
      <w:pPr>
        <w:spacing w:line="480" w:lineRule="auto"/>
        <w:jc w:val="center"/>
        <w:outlineLvl w:val="0"/>
        <w:rPr>
          <w:rFonts w:hint="eastAsia" w:ascii="宋体" w:hAnsi="宋体"/>
          <w:b/>
          <w:bCs/>
          <w:color w:val="auto"/>
          <w:sz w:val="44"/>
          <w:szCs w:val="44"/>
          <w:highlight w:val="none"/>
        </w:rPr>
      </w:pPr>
      <w:bookmarkStart w:id="16" w:name="_Toc405"/>
    </w:p>
    <w:p w14:paraId="033E7EEE">
      <w:pPr>
        <w:spacing w:line="480" w:lineRule="auto"/>
        <w:jc w:val="center"/>
        <w:outlineLvl w:val="0"/>
        <w:rPr>
          <w:rFonts w:ascii="宋体" w:hAnsi="宋体"/>
          <w:b/>
          <w:bCs/>
          <w:color w:val="auto"/>
          <w:sz w:val="44"/>
          <w:szCs w:val="44"/>
          <w:highlight w:val="none"/>
        </w:rPr>
      </w:pPr>
      <w:bookmarkStart w:id="17" w:name="_Toc6913"/>
      <w:r>
        <w:rPr>
          <w:rFonts w:hint="eastAsia" w:ascii="宋体" w:hAnsi="宋体"/>
          <w:b/>
          <w:bCs/>
          <w:color w:val="auto"/>
          <w:sz w:val="44"/>
          <w:szCs w:val="44"/>
          <w:highlight w:val="none"/>
        </w:rPr>
        <w:t>院内采购文件</w:t>
      </w:r>
      <w:bookmarkEnd w:id="10"/>
      <w:bookmarkEnd w:id="11"/>
      <w:bookmarkEnd w:id="12"/>
      <w:bookmarkEnd w:id="13"/>
      <w:bookmarkEnd w:id="14"/>
      <w:bookmarkEnd w:id="15"/>
      <w:bookmarkEnd w:id="16"/>
      <w:bookmarkEnd w:id="17"/>
    </w:p>
    <w:p w14:paraId="40D5F025">
      <w:pPr>
        <w:spacing w:line="480" w:lineRule="auto"/>
        <w:ind w:firstLine="843" w:firstLineChars="300"/>
        <w:jc w:val="center"/>
        <w:rPr>
          <w:rFonts w:ascii="宋体" w:hAnsi="宋体"/>
          <w:b/>
          <w:bCs/>
          <w:color w:val="auto"/>
          <w:sz w:val="28"/>
          <w:szCs w:val="28"/>
          <w:highlight w:val="none"/>
        </w:rPr>
      </w:pPr>
    </w:p>
    <w:p w14:paraId="62F2FFF8">
      <w:pPr>
        <w:pStyle w:val="27"/>
        <w:rPr>
          <w:color w:val="auto"/>
          <w:highlight w:val="none"/>
        </w:rPr>
      </w:pPr>
    </w:p>
    <w:p w14:paraId="11678527">
      <w:pPr>
        <w:pStyle w:val="27"/>
        <w:rPr>
          <w:color w:val="auto"/>
          <w:highlight w:val="none"/>
        </w:rPr>
      </w:pPr>
    </w:p>
    <w:p w14:paraId="45A7C5FC">
      <w:pPr>
        <w:pStyle w:val="27"/>
        <w:rPr>
          <w:color w:val="auto"/>
          <w:highlight w:val="none"/>
        </w:rPr>
      </w:pPr>
    </w:p>
    <w:p w14:paraId="6A7A5E1B">
      <w:pPr>
        <w:pStyle w:val="27"/>
        <w:rPr>
          <w:color w:val="auto"/>
          <w:highlight w:val="none"/>
        </w:rPr>
      </w:pPr>
    </w:p>
    <w:p w14:paraId="0CBAB38D">
      <w:pPr>
        <w:pStyle w:val="27"/>
        <w:rPr>
          <w:color w:val="auto"/>
          <w:highlight w:val="none"/>
        </w:rPr>
      </w:pPr>
    </w:p>
    <w:p w14:paraId="6D33775C">
      <w:pPr>
        <w:pStyle w:val="27"/>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14397"/>
      <w:bookmarkStart w:id="19" w:name="_Toc4265"/>
      <w:bookmarkStart w:id="20" w:name="_Toc21404"/>
      <w:bookmarkStart w:id="21" w:name="_Toc25591"/>
      <w:bookmarkStart w:id="22" w:name="_Toc26438"/>
      <w:bookmarkStart w:id="23" w:name="_Toc10444"/>
      <w:bookmarkStart w:id="24" w:name="_Toc27491"/>
      <w:bookmarkStart w:id="25" w:name="_Toc19230"/>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3"/>
      <w:r>
        <w:rPr>
          <w:rFonts w:hint="eastAsia" w:ascii="宋体" w:hAnsi="宋体" w:cs="Times New Roman"/>
          <w:b/>
          <w:bCs/>
          <w:color w:val="auto"/>
          <w:kern w:val="2"/>
          <w:sz w:val="36"/>
          <w:szCs w:val="36"/>
          <w:highlight w:val="none"/>
          <w:lang w:val="en-US" w:eastAsia="zh-CN" w:bidi="ar-SA"/>
        </w:rPr>
        <w:t>0</w:t>
      </w:r>
      <w:bookmarkEnd w:id="24"/>
      <w:r>
        <w:rPr>
          <w:rFonts w:hint="eastAsia" w:ascii="宋体" w:hAnsi="宋体" w:cs="Times New Roman"/>
          <w:b/>
          <w:bCs/>
          <w:color w:val="auto"/>
          <w:kern w:val="2"/>
          <w:sz w:val="36"/>
          <w:szCs w:val="36"/>
          <w:highlight w:val="none"/>
          <w:lang w:val="en-US" w:eastAsia="zh-CN" w:bidi="ar-SA"/>
        </w:rPr>
        <w:t>1</w:t>
      </w:r>
      <w:bookmarkEnd w:id="25"/>
    </w:p>
    <w:p w14:paraId="6EDE21F0">
      <w:pPr>
        <w:pStyle w:val="27"/>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6" w:name="_Toc21516"/>
      <w:bookmarkStart w:id="27" w:name="_Toc23851"/>
      <w:bookmarkStart w:id="28" w:name="_Toc2813"/>
      <w:bookmarkStart w:id="29" w:name="_Toc16844"/>
      <w:bookmarkStart w:id="30" w:name="_Toc17298"/>
      <w:bookmarkStart w:id="31" w:name="_Toc24090"/>
      <w:bookmarkStart w:id="32" w:name="_Toc16418"/>
      <w:bookmarkStart w:id="33" w:name="_Toc8029"/>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bookmarkEnd w:id="26"/>
      <w:bookmarkEnd w:id="27"/>
      <w:bookmarkEnd w:id="28"/>
      <w:bookmarkEnd w:id="29"/>
      <w:bookmarkEnd w:id="30"/>
      <w:bookmarkEnd w:id="31"/>
      <w:bookmarkEnd w:id="32"/>
      <w:bookmarkEnd w:id="33"/>
    </w:p>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475F8DA7">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14:paraId="19627E0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_Toc20707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_Toc20707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235C1BE3">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_Toc29094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_Toc29094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74A92EAC">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_Toc28409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fldChar w:fldCharType="end"/>
          </w:r>
        </w:p>
        <w:p w14:paraId="4774197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_Toc15131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fldChar w:fldCharType="end"/>
          </w:r>
        </w:p>
        <w:p w14:paraId="3A074148">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_Toc8593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 xml:space="preserve">第五部分 </w:t>
          </w:r>
          <w:r>
            <w:rPr>
              <w:rFonts w:hint="eastAsia" w:ascii="宋体" w:hAnsi="宋体" w:cs="宋体"/>
              <w:b/>
              <w:bCs/>
              <w:color w:val="auto"/>
              <w:kern w:val="2"/>
              <w:sz w:val="28"/>
              <w:szCs w:val="28"/>
              <w:highlight w:val="none"/>
              <w:lang w:val="en-US" w:eastAsia="zh-CN" w:bidi="ar-SA"/>
            </w:rPr>
            <w:t>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_Toc8593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74E75788">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_Toc2059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_Toc2059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29FCA49F">
          <w:pPr>
            <w:pStyle w:val="15"/>
            <w:tabs>
              <w:tab w:val="right" w:leader="dot" w:pos="9638"/>
            </w:tabs>
            <w:spacing w:line="360" w:lineRule="auto"/>
            <w:rPr>
              <w:rFonts w:hint="eastAsia" w:ascii="宋体" w:hAnsi="宋体" w:eastAsia="宋体" w:cs="宋体"/>
              <w:b/>
              <w:bCs/>
              <w:color w:val="auto"/>
              <w:sz w:val="28"/>
              <w:szCs w:val="28"/>
            </w:rPr>
          </w:pPr>
        </w:p>
        <w:p w14:paraId="75CE8BC1">
          <w:pPr>
            <w:spacing w:line="360" w:lineRule="auto"/>
            <w:jc w:val="left"/>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ascii="宋体" w:hAnsi="宋体" w:eastAsia="宋体" w:cs="宋体"/>
              <w:b/>
              <w:bCs/>
              <w:color w:val="auto"/>
              <w:sz w:val="28"/>
              <w:szCs w:val="28"/>
            </w:rPr>
            <w:fldChar w:fldCharType="end"/>
          </w:r>
          <w:bookmarkStart w:id="34" w:name="_Toc19427"/>
          <w:bookmarkStart w:id="35" w:name="_Toc517"/>
        </w:p>
      </w:sdtContent>
    </w:sdt>
    <w:p w14:paraId="711946A1">
      <w:pPr>
        <w:spacing w:line="360" w:lineRule="auto"/>
        <w:jc w:val="center"/>
        <w:outlineLvl w:val="0"/>
        <w:rPr>
          <w:rFonts w:ascii="仿宋" w:hAnsi="仿宋" w:eastAsia="仿宋" w:cs="Helvetica"/>
          <w:color w:val="auto"/>
          <w:sz w:val="33"/>
          <w:szCs w:val="33"/>
          <w:highlight w:val="none"/>
        </w:rPr>
      </w:pPr>
      <w:bookmarkStart w:id="36" w:name="_Toc20707"/>
      <w:bookmarkStart w:id="37"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4"/>
      <w:bookmarkEnd w:id="35"/>
      <w:bookmarkEnd w:id="36"/>
      <w:bookmarkEnd w:id="37"/>
    </w:p>
    <w:p w14:paraId="53551DA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bookmarkStart w:id="38" w:name="_Toc31562"/>
      <w:bookmarkStart w:id="39" w:name="_Toc11230"/>
      <w:r>
        <w:rPr>
          <w:rFonts w:hint="eastAsia" w:ascii="宋体" w:hAnsi="宋体" w:eastAsia="宋体" w:cs="宋体"/>
          <w:b w:val="0"/>
          <w:bCs/>
          <w:color w:val="auto"/>
          <w:kern w:val="0"/>
          <w:sz w:val="21"/>
          <w:szCs w:val="21"/>
        </w:rPr>
        <w:t>根据我院业务发展需要，近期拟对</w:t>
      </w:r>
      <w:r>
        <w:rPr>
          <w:rFonts w:hint="eastAsia" w:ascii="宋体" w:hAnsi="宋体" w:cs="宋体"/>
          <w:b w:val="0"/>
          <w:bCs/>
          <w:color w:val="auto"/>
          <w:kern w:val="0"/>
          <w:sz w:val="21"/>
          <w:szCs w:val="21"/>
          <w:lang w:val="en-US" w:eastAsia="zh-CN"/>
        </w:rPr>
        <w:t>医</w:t>
      </w:r>
      <w:r>
        <w:rPr>
          <w:rFonts w:hint="eastAsia" w:ascii="宋体" w:hAnsi="宋体" w:eastAsia="宋体" w:cs="宋体"/>
          <w:b w:val="0"/>
          <w:bCs/>
          <w:color w:val="auto"/>
          <w:kern w:val="0"/>
          <w:sz w:val="21"/>
          <w:szCs w:val="21"/>
          <w:lang w:val="en-US" w:eastAsia="zh-CN"/>
        </w:rPr>
        <w:t>院电房电气设备委托维护服务项目</w:t>
      </w:r>
      <w:r>
        <w:rPr>
          <w:rFonts w:hint="eastAsia" w:ascii="宋体" w:hAnsi="宋体" w:eastAsia="宋体" w:cs="宋体"/>
          <w:b w:val="0"/>
          <w:bCs/>
          <w:color w:val="auto"/>
          <w:kern w:val="0"/>
          <w:sz w:val="21"/>
          <w:szCs w:val="21"/>
        </w:rPr>
        <w:t>进行采购，现根据相关规定特此公告，欢迎符合条件的供应商参加。</w:t>
      </w:r>
    </w:p>
    <w:p w14:paraId="777EC10C">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7AE52F87">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F</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001</w:t>
      </w:r>
    </w:p>
    <w:p w14:paraId="5734978C">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南方医科大学第五附属医院电房电气设备委托维护服务项目</w:t>
      </w:r>
      <w:r>
        <w:rPr>
          <w:rFonts w:hint="eastAsia" w:ascii="宋体" w:hAnsi="宋体" w:cs="宋体"/>
          <w:b w:val="0"/>
          <w:bCs w:val="0"/>
          <w:color w:val="auto"/>
          <w:sz w:val="21"/>
          <w:szCs w:val="21"/>
          <w:lang w:val="en-US" w:eastAsia="zh-CN"/>
        </w:rPr>
        <w:t>（二次）</w:t>
      </w:r>
    </w:p>
    <w:p w14:paraId="360485A5">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131760.00</w:t>
      </w:r>
    </w:p>
    <w:p w14:paraId="64B20484">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0A0C4763">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2F3893E9">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24</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7EBEAFA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0CC548F7">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采购公告</w:t>
      </w:r>
      <w:r>
        <w:rPr>
          <w:rFonts w:hint="eastAsia" w:ascii="宋体" w:hAnsi="宋体" w:eastAsia="宋体" w:cs="宋体"/>
          <w:color w:val="auto"/>
          <w:sz w:val="21"/>
          <w:szCs w:val="21"/>
        </w:rPr>
        <w:t>附件3报名资料</w:t>
      </w:r>
    </w:p>
    <w:p w14:paraId="25A83175">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007635DF">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7B5E8DB">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37C7E61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047519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1BBB46DD">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49F2E63A">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6.第一次公告报名成功公司不用重复报名。</w:t>
      </w:r>
    </w:p>
    <w:p w14:paraId="21A16531">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770BC4B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0AF7BD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具有有效的承装（修、试）电力设施许可证</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需提供证件复印件，并加盖公章。</w:t>
      </w:r>
    </w:p>
    <w:p w14:paraId="5E18A43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参加采购活动前3年内，在经营活动中没有重大违法记录</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需提供书面声明函或承诺函，格式自拟，并加盖公章。</w:t>
      </w:r>
    </w:p>
    <w:p w14:paraId="7664835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p w14:paraId="3753E6E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p w14:paraId="65113D2C">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注:供应商若不能同时满足以上条件则视为投标参与无效。</w:t>
      </w:r>
      <w:r>
        <w:rPr>
          <w:rFonts w:hint="eastAsia" w:ascii="宋体" w:hAnsi="宋体" w:eastAsia="宋体" w:cs="宋体"/>
          <w:b w:val="0"/>
          <w:bCs/>
          <w:color w:val="auto"/>
          <w:kern w:val="0"/>
          <w:sz w:val="21"/>
          <w:szCs w:val="21"/>
          <w:lang w:val="en-US" w:eastAsia="zh-CN"/>
        </w:rPr>
        <w:t>(如发现提供虚假材料者，取消其参加评审资格和成交资格)</w:t>
      </w:r>
    </w:p>
    <w:p w14:paraId="284A5324">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423EBEC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3C066E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宋</w:t>
      </w:r>
      <w:r>
        <w:rPr>
          <w:rFonts w:hint="eastAsia" w:ascii="宋体" w:hAnsi="宋体" w:eastAsia="宋体" w:cs="宋体"/>
          <w:color w:val="auto"/>
          <w:kern w:val="0"/>
          <w:sz w:val="21"/>
          <w:szCs w:val="21"/>
          <w:highlight w:val="none"/>
          <w:lang w:val="en-US" w:eastAsia="zh-CN"/>
        </w:rPr>
        <w:t>老师：020-62236171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项目需求咨询）</w:t>
      </w:r>
    </w:p>
    <w:p w14:paraId="1253AD05">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12B3165F">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2E8DC7A0">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bookmarkStart w:id="464" w:name="_GoBack"/>
      <w:bookmarkEnd w:id="464"/>
    </w:p>
    <w:p w14:paraId="10E550DE">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p>
    <w:p w14:paraId="7F175781">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3A9F00F">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B120BDA">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5B62B63A">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90B6CE8">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19</w:t>
      </w:r>
      <w:r>
        <w:rPr>
          <w:rFonts w:hint="eastAsia" w:ascii="宋体" w:hAnsi="宋体" w:eastAsia="宋体" w:cs="宋体"/>
          <w:color w:val="auto"/>
          <w:kern w:val="0"/>
          <w:sz w:val="21"/>
          <w:szCs w:val="21"/>
        </w:rPr>
        <w:t>日</w:t>
      </w:r>
    </w:p>
    <w:p w14:paraId="3E2EA61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3EE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D538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2B062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D1FCC9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0" w:name="_Toc29094"/>
      <w:r>
        <w:rPr>
          <w:rFonts w:hint="eastAsia" w:ascii="宋体" w:hAnsi="宋体"/>
          <w:b/>
          <w:bCs/>
          <w:color w:val="auto"/>
          <w:sz w:val="28"/>
          <w:szCs w:val="28"/>
          <w:highlight w:val="none"/>
          <w:lang w:val="en-US" w:eastAsia="zh-CN"/>
        </w:rPr>
        <w:t>采购需求</w:t>
      </w:r>
      <w:bookmarkEnd w:id="38"/>
      <w:bookmarkEnd w:id="39"/>
      <w:bookmarkEnd w:id="40"/>
    </w:p>
    <w:p w14:paraId="79E021F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bCs/>
          <w:color w:val="auto"/>
          <w:kern w:val="0"/>
          <w:sz w:val="21"/>
          <w:szCs w:val="21"/>
          <w:highlight w:val="none"/>
          <w:lang w:val="en-US" w:eastAsia="zh-CN"/>
        </w:rPr>
      </w:pPr>
      <w:bookmarkStart w:id="41" w:name="_Toc4236"/>
      <w:bookmarkStart w:id="42" w:name="_Toc12178"/>
      <w:bookmarkStart w:id="43" w:name="_Toc32106"/>
      <w:bookmarkStart w:id="44" w:name="_Toc10636"/>
      <w:bookmarkStart w:id="45" w:name="_Toc20762"/>
      <w:bookmarkStart w:id="46" w:name="_Toc8122"/>
      <w:bookmarkStart w:id="47" w:name="_Toc27614"/>
      <w:bookmarkStart w:id="48" w:name="_Toc6416"/>
      <w:bookmarkStart w:id="49" w:name="_Toc26796"/>
      <w:bookmarkStart w:id="50" w:name="_Toc20606"/>
      <w:bookmarkStart w:id="51" w:name="_Toc28850"/>
      <w:r>
        <w:rPr>
          <w:rFonts w:hint="eastAsia" w:ascii="宋体" w:hAnsi="宋体" w:eastAsia="宋体" w:cs="宋体"/>
          <w:b/>
          <w:bCs/>
          <w:color w:val="auto"/>
          <w:kern w:val="0"/>
          <w:sz w:val="21"/>
          <w:szCs w:val="21"/>
          <w:highlight w:val="none"/>
          <w:lang w:val="en-US" w:eastAsia="zh-CN"/>
        </w:rPr>
        <w:t>一、项目概况</w:t>
      </w:r>
    </w:p>
    <w:p w14:paraId="38579F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项目名称：南方医科大学第五附属医院电房电气设备委托维护服务项目</w:t>
      </w:r>
      <w:r>
        <w:rPr>
          <w:rFonts w:hint="eastAsia" w:ascii="宋体" w:hAnsi="宋体" w:cs="宋体"/>
          <w:color w:val="auto"/>
          <w:kern w:val="0"/>
          <w:sz w:val="21"/>
          <w:szCs w:val="21"/>
          <w:highlight w:val="none"/>
          <w:lang w:val="en-US" w:eastAsia="zh-CN"/>
        </w:rPr>
        <w:t>（二次）</w:t>
      </w:r>
    </w:p>
    <w:p w14:paraId="511288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2.实施</w:t>
      </w:r>
      <w:r>
        <w:rPr>
          <w:rFonts w:hint="eastAsia" w:ascii="宋体" w:hAnsi="宋体" w:eastAsia="宋体" w:cs="宋体"/>
          <w:color w:val="auto"/>
          <w:kern w:val="0"/>
          <w:sz w:val="21"/>
          <w:szCs w:val="21"/>
          <w:highlight w:val="none"/>
          <w:lang w:val="en-US" w:eastAsia="zh-CN"/>
        </w:rPr>
        <w:t>地点：广州市从化区从城大道566号南方医科大学第五附属医院内</w:t>
      </w:r>
      <w:r>
        <w:rPr>
          <w:rFonts w:hint="eastAsia" w:ascii="宋体" w:hAnsi="宋体" w:cs="宋体"/>
          <w:color w:val="auto"/>
          <w:kern w:val="0"/>
          <w:sz w:val="21"/>
          <w:szCs w:val="21"/>
          <w:highlight w:val="none"/>
          <w:lang w:val="en-US" w:eastAsia="zh-CN"/>
        </w:rPr>
        <w:t>。</w:t>
      </w:r>
    </w:p>
    <w:p w14:paraId="53FE99C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3.服务期</w:t>
      </w:r>
    </w:p>
    <w:p w14:paraId="7B822A5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lang w:val="en-US" w:eastAsia="zh-CN"/>
        </w:rPr>
        <w:t>服务期</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年，自202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年4月1日起</w:t>
      </w:r>
      <w:r>
        <w:rPr>
          <w:rFonts w:hint="eastAsia" w:ascii="宋体" w:hAnsi="宋体" w:cs="宋体"/>
          <w:b w:val="0"/>
          <w:bCs w:val="0"/>
          <w:color w:val="auto"/>
          <w:kern w:val="0"/>
          <w:sz w:val="21"/>
          <w:szCs w:val="21"/>
          <w:highlight w:val="none"/>
          <w:lang w:val="en-US" w:eastAsia="zh-CN"/>
        </w:rPr>
        <w:t>计算</w:t>
      </w:r>
      <w:r>
        <w:rPr>
          <w:rFonts w:hint="eastAsia" w:ascii="宋体" w:hAnsi="宋体" w:cs="宋体"/>
          <w:color w:val="auto"/>
          <w:kern w:val="0"/>
          <w:sz w:val="21"/>
          <w:szCs w:val="21"/>
          <w:highlight w:val="none"/>
          <w:lang w:val="en-US" w:eastAsia="zh-CN"/>
        </w:rPr>
        <w:t>。</w:t>
      </w:r>
    </w:p>
    <w:p w14:paraId="4047039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cs="宋体"/>
          <w:strike w:val="0"/>
          <w:dstrike w:val="0"/>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strike w:val="0"/>
          <w:dstrike w:val="0"/>
          <w:color w:val="auto"/>
          <w:kern w:val="0"/>
          <w:sz w:val="21"/>
          <w:szCs w:val="21"/>
          <w:highlight w:val="none"/>
          <w:lang w:val="en-US" w:eastAsia="zh-CN"/>
        </w:rPr>
        <w:t>3.2服务期内，如采购人</w:t>
      </w:r>
      <w:r>
        <w:rPr>
          <w:rFonts w:hint="eastAsia" w:ascii="宋体" w:hAnsi="宋体" w:eastAsia="宋体" w:cs="宋体"/>
          <w:strike w:val="0"/>
          <w:dstrike w:val="0"/>
          <w:color w:val="auto"/>
          <w:kern w:val="0"/>
          <w:sz w:val="21"/>
          <w:szCs w:val="21"/>
          <w:highlight w:val="none"/>
          <w:lang w:val="en-US" w:eastAsia="zh-CN"/>
        </w:rPr>
        <w:t>因业务调整，不再需要维护服务</w:t>
      </w:r>
      <w:r>
        <w:rPr>
          <w:rFonts w:hint="eastAsia" w:ascii="宋体" w:hAnsi="宋体" w:cs="宋体"/>
          <w:strike w:val="0"/>
          <w:dstrike w:val="0"/>
          <w:color w:val="auto"/>
          <w:kern w:val="0"/>
          <w:sz w:val="21"/>
          <w:szCs w:val="21"/>
          <w:highlight w:val="none"/>
          <w:lang w:val="en-US" w:eastAsia="zh-CN"/>
        </w:rPr>
        <w:t>，采购人有权提前终止合同，且不需承担违约责任。（</w:t>
      </w:r>
      <w:r>
        <w:rPr>
          <w:rFonts w:hint="eastAsia" w:ascii="宋体" w:hAnsi="宋体" w:cs="宋体"/>
          <w:b/>
          <w:bCs/>
          <w:strike w:val="0"/>
          <w:dstrike w:val="0"/>
          <w:color w:val="auto"/>
          <w:kern w:val="0"/>
          <w:sz w:val="21"/>
          <w:szCs w:val="21"/>
          <w:highlight w:val="none"/>
          <w:lang w:val="en-US" w:eastAsia="zh-CN"/>
        </w:rPr>
        <w:t>需提供书面声明函或承诺函，格式自拟，并加盖公章）</w:t>
      </w:r>
    </w:p>
    <w:p w14:paraId="275E28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4.项目限价：</w:t>
      </w:r>
      <w:r>
        <w:rPr>
          <w:rFonts w:hint="eastAsia" w:ascii="宋体" w:hAnsi="宋体" w:eastAsia="宋体" w:cs="宋体"/>
          <w:color w:val="auto"/>
          <w:kern w:val="0"/>
          <w:sz w:val="21"/>
          <w:szCs w:val="21"/>
          <w:highlight w:val="none"/>
          <w:lang w:val="en-US" w:eastAsia="zh-CN"/>
        </w:rPr>
        <w:t>131760.00元（三年）费用包含但不限于</w:t>
      </w:r>
      <w:r>
        <w:rPr>
          <w:rFonts w:hint="eastAsia" w:ascii="宋体" w:hAnsi="宋体" w:cs="宋体"/>
          <w:color w:val="auto"/>
          <w:kern w:val="0"/>
          <w:sz w:val="21"/>
          <w:szCs w:val="21"/>
          <w:highlight w:val="none"/>
          <w:lang w:val="en-US" w:eastAsia="zh-CN"/>
        </w:rPr>
        <w:t>各种税费、</w:t>
      </w:r>
      <w:r>
        <w:rPr>
          <w:color w:val="auto"/>
        </w:rPr>
        <w:t>投入人员的工资</w:t>
      </w:r>
      <w:r>
        <w:rPr>
          <w:rFonts w:hint="eastAsia"/>
          <w:color w:val="auto"/>
          <w:lang w:eastAsia="zh-CN"/>
        </w:rPr>
        <w:t>、</w:t>
      </w:r>
      <w:r>
        <w:rPr>
          <w:rFonts w:hint="default" w:ascii="Times New Roman" w:hAnsi="Times New Roman" w:eastAsia="宋体" w:cs="Times New Roman"/>
          <w:i w:val="0"/>
          <w:iCs w:val="0"/>
          <w:caps w:val="0"/>
          <w:color w:val="auto"/>
          <w:spacing w:val="0"/>
          <w:sz w:val="21"/>
          <w:szCs w:val="24"/>
          <w:shd w:val="clear"/>
        </w:rPr>
        <w:t>现场勘察、</w:t>
      </w:r>
      <w:r>
        <w:rPr>
          <w:rFonts w:hint="eastAsia" w:cs="Times New Roman"/>
          <w:i w:val="0"/>
          <w:iCs w:val="0"/>
          <w:caps w:val="0"/>
          <w:color w:val="auto"/>
          <w:spacing w:val="0"/>
          <w:sz w:val="21"/>
          <w:szCs w:val="24"/>
          <w:shd w:val="clear"/>
          <w:lang w:val="en-US" w:eastAsia="zh-CN"/>
        </w:rPr>
        <w:t>每年预防性试验、</w:t>
      </w:r>
      <w:r>
        <w:rPr>
          <w:rFonts w:hint="eastAsia" w:ascii="宋体" w:hAnsi="宋体" w:eastAsia="宋体" w:cs="宋体"/>
          <w:color w:val="auto"/>
          <w:kern w:val="0"/>
          <w:sz w:val="21"/>
          <w:szCs w:val="21"/>
          <w:highlight w:val="none"/>
          <w:lang w:val="en-US" w:eastAsia="zh-CN"/>
        </w:rPr>
        <w:t>各项可预见和不可预见等完成本采购内容所需的全部费用。如果</w:t>
      </w:r>
      <w:r>
        <w:rPr>
          <w:rFonts w:hint="eastAsia" w:ascii="宋体" w:hAnsi="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在合同履行过程中，出现任何遗漏或修改内容而产生额外费用，均由</w:t>
      </w:r>
      <w:r>
        <w:rPr>
          <w:rFonts w:hint="eastAsia" w:ascii="宋体" w:hAnsi="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承担，</w:t>
      </w:r>
      <w:r>
        <w:rPr>
          <w:rFonts w:hint="eastAsia" w:ascii="宋体" w:hAnsi="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val="en-US" w:eastAsia="zh-CN"/>
        </w:rPr>
        <w:t>将不再另行支付任何费用。</w:t>
      </w:r>
    </w:p>
    <w:p w14:paraId="728AC5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项目内容：</w:t>
      </w:r>
      <w:r>
        <w:rPr>
          <w:rFonts w:hint="eastAsia" w:ascii="宋体" w:hAnsi="宋体" w:cs="宋体"/>
          <w:color w:val="auto"/>
          <w:kern w:val="0"/>
          <w:sz w:val="21"/>
          <w:szCs w:val="21"/>
          <w:highlight w:val="none"/>
          <w:lang w:val="en-US" w:eastAsia="zh-CN"/>
        </w:rPr>
        <w:t>对采购人</w:t>
      </w:r>
      <w:r>
        <w:rPr>
          <w:rFonts w:hint="eastAsia" w:ascii="宋体" w:hAnsi="宋体" w:eastAsia="宋体" w:cs="宋体"/>
          <w:color w:val="auto"/>
          <w:kern w:val="0"/>
          <w:sz w:val="21"/>
          <w:szCs w:val="21"/>
          <w:highlight w:val="none"/>
          <w:lang w:val="en-US" w:eastAsia="zh-CN"/>
        </w:rPr>
        <w:t>与供电部门的产权分界点10kV从化站F3干线#48号杆、从化站F13干线团星开关房至医院变压器（含变压器）之间连接的电气设备</w:t>
      </w:r>
      <w:r>
        <w:rPr>
          <w:rFonts w:hint="eastAsia" w:ascii="宋体" w:hAnsi="宋体" w:cs="宋体"/>
          <w:color w:val="auto"/>
          <w:kern w:val="0"/>
          <w:sz w:val="21"/>
          <w:szCs w:val="21"/>
          <w:highlight w:val="none"/>
          <w:lang w:val="en-US" w:eastAsia="zh-CN"/>
        </w:rPr>
        <w:t>进行维护</w:t>
      </w:r>
      <w:r>
        <w:rPr>
          <w:rFonts w:hint="eastAsia" w:ascii="宋体" w:hAnsi="宋体" w:eastAsia="宋体" w:cs="宋体"/>
          <w:color w:val="auto"/>
          <w:kern w:val="0"/>
          <w:sz w:val="21"/>
          <w:szCs w:val="21"/>
          <w:highlight w:val="none"/>
          <w:lang w:val="en-US" w:eastAsia="zh-CN"/>
        </w:rPr>
        <w:t>，维护项目清册详见下表</w:t>
      </w:r>
      <w:r>
        <w:rPr>
          <w:rFonts w:hint="eastAsia" w:ascii="宋体" w:hAnsi="宋体" w:cs="宋体"/>
          <w:color w:val="auto"/>
          <w:kern w:val="0"/>
          <w:sz w:val="21"/>
          <w:szCs w:val="21"/>
          <w:highlight w:val="none"/>
          <w:lang w:val="en-US" w:eastAsia="zh-CN"/>
        </w:rPr>
        <w:t>：</w:t>
      </w:r>
    </w:p>
    <w:tbl>
      <w:tblPr>
        <w:tblStyle w:val="20"/>
        <w:tblW w:w="10394" w:type="dxa"/>
        <w:jc w:val="center"/>
        <w:tblLayout w:type="fixed"/>
        <w:tblCellMar>
          <w:top w:w="0" w:type="dxa"/>
          <w:left w:w="108" w:type="dxa"/>
          <w:bottom w:w="0" w:type="dxa"/>
          <w:right w:w="108" w:type="dxa"/>
        </w:tblCellMar>
      </w:tblPr>
      <w:tblGrid>
        <w:gridCol w:w="952"/>
        <w:gridCol w:w="4254"/>
        <w:gridCol w:w="1972"/>
        <w:gridCol w:w="1326"/>
        <w:gridCol w:w="1890"/>
      </w:tblGrid>
      <w:tr w14:paraId="5BF35A9B">
        <w:tblPrEx>
          <w:tblCellMar>
            <w:top w:w="0" w:type="dxa"/>
            <w:left w:w="108" w:type="dxa"/>
            <w:bottom w:w="0" w:type="dxa"/>
            <w:right w:w="108" w:type="dxa"/>
          </w:tblCellMar>
        </w:tblPrEx>
        <w:trPr>
          <w:trHeight w:val="56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6445915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4254" w:type="dxa"/>
            <w:tcBorders>
              <w:top w:val="single" w:color="auto" w:sz="4" w:space="0"/>
              <w:left w:val="nil"/>
              <w:bottom w:val="single" w:color="auto" w:sz="4" w:space="0"/>
              <w:right w:val="single" w:color="auto" w:sz="4" w:space="0"/>
            </w:tcBorders>
            <w:vAlign w:val="center"/>
          </w:tcPr>
          <w:p w14:paraId="44FA95A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维护项目名称</w:t>
            </w:r>
          </w:p>
        </w:tc>
        <w:tc>
          <w:tcPr>
            <w:tcW w:w="1972" w:type="dxa"/>
            <w:tcBorders>
              <w:top w:val="single" w:color="auto" w:sz="4" w:space="0"/>
              <w:left w:val="nil"/>
              <w:bottom w:val="single" w:color="auto" w:sz="4" w:space="0"/>
              <w:right w:val="single" w:color="auto" w:sz="4" w:space="0"/>
            </w:tcBorders>
            <w:vAlign w:val="center"/>
          </w:tcPr>
          <w:p w14:paraId="6856946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单位</w:t>
            </w:r>
          </w:p>
        </w:tc>
        <w:tc>
          <w:tcPr>
            <w:tcW w:w="1326" w:type="dxa"/>
            <w:tcBorders>
              <w:top w:val="single" w:color="auto" w:sz="4" w:space="0"/>
              <w:left w:val="nil"/>
              <w:bottom w:val="single" w:color="auto" w:sz="4" w:space="0"/>
              <w:right w:val="single" w:color="auto" w:sz="4" w:space="0"/>
            </w:tcBorders>
            <w:vAlign w:val="center"/>
          </w:tcPr>
          <w:p w14:paraId="2D15099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数量</w:t>
            </w:r>
          </w:p>
        </w:tc>
        <w:tc>
          <w:tcPr>
            <w:tcW w:w="1890" w:type="dxa"/>
            <w:tcBorders>
              <w:top w:val="single" w:color="auto" w:sz="4" w:space="0"/>
              <w:left w:val="nil"/>
              <w:bottom w:val="single" w:color="auto" w:sz="4" w:space="0"/>
              <w:right w:val="single" w:color="auto" w:sz="4" w:space="0"/>
            </w:tcBorders>
            <w:shd w:val="clear" w:color="auto" w:fill="auto"/>
            <w:vAlign w:val="center"/>
          </w:tcPr>
          <w:p w14:paraId="270293C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rPr>
              <w:t>备注</w:t>
            </w:r>
          </w:p>
        </w:tc>
      </w:tr>
      <w:tr w14:paraId="029CBFC8">
        <w:tblPrEx>
          <w:tblCellMar>
            <w:top w:w="0" w:type="dxa"/>
            <w:left w:w="108" w:type="dxa"/>
            <w:bottom w:w="0" w:type="dxa"/>
            <w:right w:w="108" w:type="dxa"/>
          </w:tblCellMar>
        </w:tblPrEx>
        <w:trPr>
          <w:trHeight w:val="345" w:hRule="atLeast"/>
          <w:jc w:val="center"/>
        </w:trPr>
        <w:tc>
          <w:tcPr>
            <w:tcW w:w="952" w:type="dxa"/>
            <w:tcBorders>
              <w:top w:val="nil"/>
              <w:left w:val="single" w:color="auto" w:sz="4" w:space="0"/>
              <w:bottom w:val="single" w:color="auto" w:sz="4" w:space="0"/>
              <w:right w:val="single" w:color="auto" w:sz="4" w:space="0"/>
            </w:tcBorders>
            <w:vAlign w:val="center"/>
          </w:tcPr>
          <w:p w14:paraId="6E4EAC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254" w:type="dxa"/>
            <w:tcBorders>
              <w:top w:val="nil"/>
              <w:left w:val="nil"/>
              <w:bottom w:val="single" w:color="auto" w:sz="4" w:space="0"/>
              <w:right w:val="single" w:color="auto" w:sz="4" w:space="0"/>
            </w:tcBorders>
            <w:vAlign w:val="center"/>
          </w:tcPr>
          <w:p w14:paraId="4BF9FE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电力电缆</w:t>
            </w:r>
          </w:p>
        </w:tc>
        <w:tc>
          <w:tcPr>
            <w:tcW w:w="1972" w:type="dxa"/>
            <w:tcBorders>
              <w:top w:val="nil"/>
              <w:left w:val="nil"/>
              <w:bottom w:val="single" w:color="auto" w:sz="4" w:space="0"/>
              <w:right w:val="single" w:color="auto" w:sz="4" w:space="0"/>
            </w:tcBorders>
            <w:vAlign w:val="center"/>
          </w:tcPr>
          <w:p w14:paraId="081F4B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1326" w:type="dxa"/>
            <w:tcBorders>
              <w:top w:val="nil"/>
              <w:left w:val="nil"/>
              <w:bottom w:val="single" w:color="auto" w:sz="4" w:space="0"/>
              <w:right w:val="single" w:color="auto" w:sz="4" w:space="0"/>
            </w:tcBorders>
            <w:vAlign w:val="center"/>
          </w:tcPr>
          <w:p w14:paraId="6B2EB2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1382</w:t>
            </w:r>
          </w:p>
        </w:tc>
        <w:tc>
          <w:tcPr>
            <w:tcW w:w="1890" w:type="dxa"/>
            <w:tcBorders>
              <w:top w:val="nil"/>
              <w:left w:val="nil"/>
              <w:bottom w:val="single" w:color="auto" w:sz="4" w:space="0"/>
              <w:right w:val="single" w:color="auto" w:sz="4" w:space="0"/>
            </w:tcBorders>
            <w:shd w:val="clear" w:color="auto" w:fill="auto"/>
            <w:vAlign w:val="center"/>
          </w:tcPr>
          <w:p w14:paraId="65E7A0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620AA59D">
        <w:tblPrEx>
          <w:tblCellMar>
            <w:top w:w="0" w:type="dxa"/>
            <w:left w:w="108" w:type="dxa"/>
            <w:bottom w:w="0" w:type="dxa"/>
            <w:right w:w="108" w:type="dxa"/>
          </w:tblCellMar>
        </w:tblPrEx>
        <w:trPr>
          <w:trHeight w:val="368" w:hRule="atLeast"/>
          <w:jc w:val="center"/>
        </w:trPr>
        <w:tc>
          <w:tcPr>
            <w:tcW w:w="952" w:type="dxa"/>
            <w:tcBorders>
              <w:top w:val="nil"/>
              <w:left w:val="single" w:color="auto" w:sz="4" w:space="0"/>
              <w:bottom w:val="single" w:color="auto" w:sz="4" w:space="0"/>
              <w:right w:val="single" w:color="auto" w:sz="4" w:space="0"/>
            </w:tcBorders>
            <w:vAlign w:val="center"/>
          </w:tcPr>
          <w:p w14:paraId="2F9326D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254" w:type="dxa"/>
            <w:tcBorders>
              <w:top w:val="nil"/>
              <w:left w:val="nil"/>
              <w:bottom w:val="single" w:color="auto" w:sz="4" w:space="0"/>
              <w:right w:val="single" w:color="auto" w:sz="4" w:space="0"/>
            </w:tcBorders>
            <w:vAlign w:val="center"/>
          </w:tcPr>
          <w:p w14:paraId="612EC6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户内电缆头</w:t>
            </w:r>
          </w:p>
        </w:tc>
        <w:tc>
          <w:tcPr>
            <w:tcW w:w="1972" w:type="dxa"/>
            <w:tcBorders>
              <w:top w:val="nil"/>
              <w:left w:val="nil"/>
              <w:bottom w:val="single" w:color="auto" w:sz="4" w:space="0"/>
              <w:right w:val="single" w:color="auto" w:sz="4" w:space="0"/>
            </w:tcBorders>
            <w:vAlign w:val="center"/>
          </w:tcPr>
          <w:p w14:paraId="5CC80E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326" w:type="dxa"/>
            <w:tcBorders>
              <w:top w:val="nil"/>
              <w:left w:val="nil"/>
              <w:bottom w:val="single" w:color="auto" w:sz="4" w:space="0"/>
              <w:right w:val="single" w:color="auto" w:sz="4" w:space="0"/>
            </w:tcBorders>
            <w:vAlign w:val="center"/>
          </w:tcPr>
          <w:p w14:paraId="30388B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890" w:type="dxa"/>
            <w:tcBorders>
              <w:top w:val="nil"/>
              <w:left w:val="nil"/>
              <w:bottom w:val="single" w:color="auto" w:sz="4" w:space="0"/>
              <w:right w:val="single" w:color="auto" w:sz="4" w:space="0"/>
            </w:tcBorders>
            <w:shd w:val="clear" w:color="auto" w:fill="auto"/>
            <w:vAlign w:val="center"/>
          </w:tcPr>
          <w:p w14:paraId="6DE6EE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C22F6D0">
        <w:tblPrEx>
          <w:tblCellMar>
            <w:top w:w="0" w:type="dxa"/>
            <w:left w:w="108" w:type="dxa"/>
            <w:bottom w:w="0" w:type="dxa"/>
            <w:right w:w="108" w:type="dxa"/>
          </w:tblCellMar>
        </w:tblPrEx>
        <w:trPr>
          <w:trHeight w:val="326" w:hRule="atLeast"/>
          <w:jc w:val="center"/>
        </w:trPr>
        <w:tc>
          <w:tcPr>
            <w:tcW w:w="952" w:type="dxa"/>
            <w:tcBorders>
              <w:top w:val="nil"/>
              <w:left w:val="single" w:color="auto" w:sz="4" w:space="0"/>
              <w:bottom w:val="single" w:color="auto" w:sz="4" w:space="0"/>
              <w:right w:val="single" w:color="auto" w:sz="4" w:space="0"/>
            </w:tcBorders>
            <w:vAlign w:val="center"/>
          </w:tcPr>
          <w:p w14:paraId="3DF391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254" w:type="dxa"/>
            <w:tcBorders>
              <w:top w:val="nil"/>
              <w:left w:val="nil"/>
              <w:bottom w:val="single" w:color="auto" w:sz="4" w:space="0"/>
              <w:right w:val="single" w:color="auto" w:sz="4" w:space="0"/>
            </w:tcBorders>
            <w:vAlign w:val="center"/>
          </w:tcPr>
          <w:p w14:paraId="4AFFB6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户外电缆头</w:t>
            </w:r>
          </w:p>
        </w:tc>
        <w:tc>
          <w:tcPr>
            <w:tcW w:w="1972" w:type="dxa"/>
            <w:tcBorders>
              <w:top w:val="nil"/>
              <w:left w:val="nil"/>
              <w:bottom w:val="single" w:color="auto" w:sz="4" w:space="0"/>
              <w:right w:val="single" w:color="auto" w:sz="4" w:space="0"/>
            </w:tcBorders>
            <w:vAlign w:val="center"/>
          </w:tcPr>
          <w:p w14:paraId="06A6FF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326" w:type="dxa"/>
            <w:tcBorders>
              <w:top w:val="nil"/>
              <w:left w:val="nil"/>
              <w:bottom w:val="single" w:color="auto" w:sz="4" w:space="0"/>
              <w:right w:val="single" w:color="auto" w:sz="4" w:space="0"/>
            </w:tcBorders>
            <w:vAlign w:val="center"/>
          </w:tcPr>
          <w:p w14:paraId="0C7B17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274AC5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108DD3B">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6EC33A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4254" w:type="dxa"/>
            <w:tcBorders>
              <w:top w:val="nil"/>
              <w:left w:val="nil"/>
              <w:bottom w:val="single" w:color="auto" w:sz="4" w:space="0"/>
              <w:right w:val="single" w:color="auto" w:sz="4" w:space="0"/>
            </w:tcBorders>
            <w:vAlign w:val="center"/>
          </w:tcPr>
          <w:p w14:paraId="3CBD45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高压柜</w:t>
            </w:r>
          </w:p>
        </w:tc>
        <w:tc>
          <w:tcPr>
            <w:tcW w:w="1972" w:type="dxa"/>
            <w:tcBorders>
              <w:top w:val="nil"/>
              <w:left w:val="nil"/>
              <w:bottom w:val="single" w:color="auto" w:sz="4" w:space="0"/>
              <w:right w:val="single" w:color="auto" w:sz="4" w:space="0"/>
            </w:tcBorders>
            <w:vAlign w:val="center"/>
          </w:tcPr>
          <w:p w14:paraId="410942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326" w:type="dxa"/>
            <w:tcBorders>
              <w:top w:val="nil"/>
              <w:left w:val="nil"/>
              <w:bottom w:val="single" w:color="auto" w:sz="4" w:space="0"/>
              <w:right w:val="single" w:color="auto" w:sz="4" w:space="0"/>
            </w:tcBorders>
            <w:vAlign w:val="center"/>
          </w:tcPr>
          <w:p w14:paraId="1A1297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890" w:type="dxa"/>
            <w:tcBorders>
              <w:top w:val="nil"/>
              <w:left w:val="nil"/>
              <w:bottom w:val="single" w:color="auto" w:sz="4" w:space="0"/>
              <w:right w:val="single" w:color="auto" w:sz="4" w:space="0"/>
            </w:tcBorders>
            <w:shd w:val="clear" w:color="auto" w:fill="auto"/>
            <w:vAlign w:val="center"/>
          </w:tcPr>
          <w:p w14:paraId="573CBC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9FF3B66">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764244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4254" w:type="dxa"/>
            <w:tcBorders>
              <w:top w:val="nil"/>
              <w:left w:val="nil"/>
              <w:bottom w:val="single" w:color="auto" w:sz="4" w:space="0"/>
              <w:right w:val="single" w:color="auto" w:sz="4" w:space="0"/>
            </w:tcBorders>
            <w:vAlign w:val="center"/>
          </w:tcPr>
          <w:p w14:paraId="220F1F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低压柜</w:t>
            </w:r>
          </w:p>
        </w:tc>
        <w:tc>
          <w:tcPr>
            <w:tcW w:w="1972" w:type="dxa"/>
            <w:tcBorders>
              <w:top w:val="nil"/>
              <w:left w:val="nil"/>
              <w:bottom w:val="single" w:color="auto" w:sz="4" w:space="0"/>
              <w:right w:val="single" w:color="auto" w:sz="4" w:space="0"/>
            </w:tcBorders>
            <w:vAlign w:val="center"/>
          </w:tcPr>
          <w:p w14:paraId="378CC5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326" w:type="dxa"/>
            <w:tcBorders>
              <w:top w:val="nil"/>
              <w:left w:val="nil"/>
              <w:bottom w:val="single" w:color="auto" w:sz="4" w:space="0"/>
              <w:right w:val="single" w:color="auto" w:sz="4" w:space="0"/>
            </w:tcBorders>
            <w:vAlign w:val="center"/>
          </w:tcPr>
          <w:p w14:paraId="2C1614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890" w:type="dxa"/>
            <w:tcBorders>
              <w:top w:val="nil"/>
              <w:left w:val="nil"/>
              <w:bottom w:val="single" w:color="auto" w:sz="4" w:space="0"/>
              <w:right w:val="single" w:color="auto" w:sz="4" w:space="0"/>
            </w:tcBorders>
            <w:shd w:val="clear" w:color="auto" w:fill="auto"/>
            <w:vAlign w:val="center"/>
          </w:tcPr>
          <w:p w14:paraId="73A7E1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5EE64D9">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74A21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254" w:type="dxa"/>
            <w:tcBorders>
              <w:top w:val="nil"/>
              <w:left w:val="nil"/>
              <w:bottom w:val="single" w:color="auto" w:sz="4" w:space="0"/>
              <w:right w:val="single" w:color="auto" w:sz="4" w:space="0"/>
            </w:tcBorders>
            <w:vAlign w:val="center"/>
          </w:tcPr>
          <w:p w14:paraId="24C978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6D4EDD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318DE4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52F5B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SCB10-1600kVA</w:t>
            </w:r>
          </w:p>
        </w:tc>
      </w:tr>
      <w:tr w14:paraId="2B3306DD">
        <w:tblPrEx>
          <w:tblCellMar>
            <w:top w:w="0" w:type="dxa"/>
            <w:left w:w="108" w:type="dxa"/>
            <w:bottom w:w="0" w:type="dxa"/>
            <w:right w:w="108" w:type="dxa"/>
          </w:tblCellMar>
        </w:tblPrEx>
        <w:trPr>
          <w:trHeight w:val="397" w:hRule="atLeast"/>
          <w:jc w:val="center"/>
        </w:trPr>
        <w:tc>
          <w:tcPr>
            <w:tcW w:w="952" w:type="dxa"/>
            <w:tcBorders>
              <w:top w:val="nil"/>
              <w:left w:val="single" w:color="auto" w:sz="4" w:space="0"/>
              <w:bottom w:val="single" w:color="auto" w:sz="4" w:space="0"/>
              <w:right w:val="single" w:color="auto" w:sz="4" w:space="0"/>
            </w:tcBorders>
            <w:vAlign w:val="center"/>
          </w:tcPr>
          <w:p w14:paraId="4A13EC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4254" w:type="dxa"/>
            <w:tcBorders>
              <w:top w:val="nil"/>
              <w:left w:val="nil"/>
              <w:bottom w:val="single" w:color="auto" w:sz="4" w:space="0"/>
              <w:right w:val="single" w:color="auto" w:sz="4" w:space="0"/>
            </w:tcBorders>
            <w:vAlign w:val="center"/>
          </w:tcPr>
          <w:p w14:paraId="0E79A6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241757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7A7ADA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397BA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SCB13-2000kVA</w:t>
            </w:r>
          </w:p>
        </w:tc>
      </w:tr>
      <w:tr w14:paraId="27B57DB2">
        <w:tblPrEx>
          <w:tblCellMar>
            <w:top w:w="0" w:type="dxa"/>
            <w:left w:w="108" w:type="dxa"/>
            <w:bottom w:w="0" w:type="dxa"/>
            <w:right w:w="108" w:type="dxa"/>
          </w:tblCellMar>
        </w:tblPrEx>
        <w:trPr>
          <w:trHeight w:val="419" w:hRule="atLeast"/>
          <w:jc w:val="center"/>
        </w:trPr>
        <w:tc>
          <w:tcPr>
            <w:tcW w:w="952" w:type="dxa"/>
            <w:tcBorders>
              <w:top w:val="nil"/>
              <w:left w:val="single" w:color="auto" w:sz="4" w:space="0"/>
              <w:bottom w:val="single" w:color="auto" w:sz="4" w:space="0"/>
              <w:right w:val="single" w:color="auto" w:sz="4" w:space="0"/>
            </w:tcBorders>
            <w:vAlign w:val="center"/>
          </w:tcPr>
          <w:p w14:paraId="563133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4254" w:type="dxa"/>
            <w:tcBorders>
              <w:top w:val="nil"/>
              <w:left w:val="nil"/>
              <w:bottom w:val="single" w:color="auto" w:sz="4" w:space="0"/>
              <w:right w:val="single" w:color="auto" w:sz="4" w:space="0"/>
            </w:tcBorders>
            <w:vAlign w:val="center"/>
          </w:tcPr>
          <w:p w14:paraId="61BFFE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737B77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202CF1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7EB5D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SCB10-2500kVA</w:t>
            </w:r>
          </w:p>
        </w:tc>
      </w:tr>
      <w:tr w14:paraId="1843ECAA">
        <w:tblPrEx>
          <w:tblCellMar>
            <w:top w:w="0" w:type="dxa"/>
            <w:left w:w="108" w:type="dxa"/>
            <w:bottom w:w="0" w:type="dxa"/>
            <w:right w:w="108" w:type="dxa"/>
          </w:tblCellMar>
        </w:tblPrEx>
        <w:trPr>
          <w:trHeight w:val="379" w:hRule="atLeast"/>
          <w:jc w:val="center"/>
        </w:trPr>
        <w:tc>
          <w:tcPr>
            <w:tcW w:w="952" w:type="dxa"/>
            <w:tcBorders>
              <w:top w:val="nil"/>
              <w:left w:val="single" w:color="auto" w:sz="4" w:space="0"/>
              <w:bottom w:val="single" w:color="auto" w:sz="4" w:space="0"/>
              <w:right w:val="single" w:color="auto" w:sz="4" w:space="0"/>
            </w:tcBorders>
            <w:vAlign w:val="center"/>
          </w:tcPr>
          <w:p w14:paraId="1C4F86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4254" w:type="dxa"/>
            <w:tcBorders>
              <w:top w:val="nil"/>
              <w:left w:val="nil"/>
              <w:bottom w:val="single" w:color="auto" w:sz="4" w:space="0"/>
              <w:right w:val="single" w:color="auto" w:sz="4" w:space="0"/>
            </w:tcBorders>
            <w:vAlign w:val="center"/>
          </w:tcPr>
          <w:p w14:paraId="1B5E9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户外刀闸</w:t>
            </w:r>
          </w:p>
        </w:tc>
        <w:tc>
          <w:tcPr>
            <w:tcW w:w="1972" w:type="dxa"/>
            <w:tcBorders>
              <w:top w:val="nil"/>
              <w:left w:val="nil"/>
              <w:bottom w:val="single" w:color="auto" w:sz="4" w:space="0"/>
              <w:right w:val="single" w:color="auto" w:sz="4" w:space="0"/>
            </w:tcBorders>
            <w:vAlign w:val="center"/>
          </w:tcPr>
          <w:p w14:paraId="453634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6B9781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20D438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CFE426B">
        <w:tblPrEx>
          <w:tblCellMar>
            <w:top w:w="0" w:type="dxa"/>
            <w:left w:w="108" w:type="dxa"/>
            <w:bottom w:w="0" w:type="dxa"/>
            <w:right w:w="108" w:type="dxa"/>
          </w:tblCellMar>
        </w:tblPrEx>
        <w:trPr>
          <w:trHeight w:val="378" w:hRule="atLeast"/>
          <w:jc w:val="center"/>
        </w:trPr>
        <w:tc>
          <w:tcPr>
            <w:tcW w:w="952" w:type="dxa"/>
            <w:tcBorders>
              <w:top w:val="nil"/>
              <w:left w:val="single" w:color="auto" w:sz="4" w:space="0"/>
              <w:bottom w:val="single" w:color="auto" w:sz="4" w:space="0"/>
              <w:right w:val="single" w:color="auto" w:sz="4" w:space="0"/>
            </w:tcBorders>
            <w:vAlign w:val="center"/>
          </w:tcPr>
          <w:p w14:paraId="1EC55A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4254" w:type="dxa"/>
            <w:tcBorders>
              <w:top w:val="nil"/>
              <w:left w:val="nil"/>
              <w:bottom w:val="single" w:color="auto" w:sz="4" w:space="0"/>
              <w:right w:val="single" w:color="auto" w:sz="4" w:space="0"/>
            </w:tcBorders>
            <w:vAlign w:val="center"/>
          </w:tcPr>
          <w:p w14:paraId="524970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避雷器</w:t>
            </w:r>
          </w:p>
        </w:tc>
        <w:tc>
          <w:tcPr>
            <w:tcW w:w="1972" w:type="dxa"/>
            <w:tcBorders>
              <w:top w:val="nil"/>
              <w:left w:val="nil"/>
              <w:bottom w:val="single" w:color="auto" w:sz="4" w:space="0"/>
              <w:right w:val="single" w:color="auto" w:sz="4" w:space="0"/>
            </w:tcBorders>
            <w:vAlign w:val="center"/>
          </w:tcPr>
          <w:p w14:paraId="0823F6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0B2726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6C2D30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2EC749EA">
        <w:tblPrEx>
          <w:tblCellMar>
            <w:top w:w="0" w:type="dxa"/>
            <w:left w:w="108" w:type="dxa"/>
            <w:bottom w:w="0" w:type="dxa"/>
            <w:right w:w="108" w:type="dxa"/>
          </w:tblCellMar>
        </w:tblPrEx>
        <w:trPr>
          <w:trHeight w:val="357" w:hRule="atLeast"/>
          <w:jc w:val="center"/>
        </w:trPr>
        <w:tc>
          <w:tcPr>
            <w:tcW w:w="952" w:type="dxa"/>
            <w:tcBorders>
              <w:top w:val="nil"/>
              <w:left w:val="single" w:color="auto" w:sz="4" w:space="0"/>
              <w:bottom w:val="single" w:color="auto" w:sz="4" w:space="0"/>
              <w:right w:val="single" w:color="auto" w:sz="4" w:space="0"/>
            </w:tcBorders>
            <w:vAlign w:val="center"/>
          </w:tcPr>
          <w:p w14:paraId="34CA3C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4254" w:type="dxa"/>
            <w:tcBorders>
              <w:top w:val="nil"/>
              <w:left w:val="nil"/>
              <w:bottom w:val="single" w:color="auto" w:sz="4" w:space="0"/>
              <w:right w:val="single" w:color="auto" w:sz="4" w:space="0"/>
            </w:tcBorders>
            <w:vAlign w:val="center"/>
          </w:tcPr>
          <w:p w14:paraId="410506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引落线</w:t>
            </w:r>
          </w:p>
        </w:tc>
        <w:tc>
          <w:tcPr>
            <w:tcW w:w="1972" w:type="dxa"/>
            <w:tcBorders>
              <w:top w:val="nil"/>
              <w:left w:val="nil"/>
              <w:bottom w:val="single" w:color="auto" w:sz="4" w:space="0"/>
              <w:right w:val="single" w:color="auto" w:sz="4" w:space="0"/>
            </w:tcBorders>
            <w:vAlign w:val="center"/>
          </w:tcPr>
          <w:p w14:paraId="4984D4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4ED13D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1805FC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5FD7EF0C">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3F2AD5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4254" w:type="dxa"/>
            <w:tcBorders>
              <w:top w:val="nil"/>
              <w:left w:val="nil"/>
              <w:bottom w:val="single" w:color="auto" w:sz="4" w:space="0"/>
              <w:right w:val="single" w:color="auto" w:sz="4" w:space="0"/>
            </w:tcBorders>
            <w:vAlign w:val="center"/>
          </w:tcPr>
          <w:p w14:paraId="067CCF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柱上负荷开关</w:t>
            </w:r>
          </w:p>
        </w:tc>
        <w:tc>
          <w:tcPr>
            <w:tcW w:w="1972" w:type="dxa"/>
            <w:tcBorders>
              <w:top w:val="nil"/>
              <w:left w:val="nil"/>
              <w:bottom w:val="single" w:color="auto" w:sz="4" w:space="0"/>
              <w:right w:val="single" w:color="auto" w:sz="4" w:space="0"/>
            </w:tcBorders>
            <w:vAlign w:val="center"/>
          </w:tcPr>
          <w:p w14:paraId="15110A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1692ED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35778C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E6351A9">
        <w:tblPrEx>
          <w:tblCellMar>
            <w:top w:w="0" w:type="dxa"/>
            <w:left w:w="108" w:type="dxa"/>
            <w:bottom w:w="0" w:type="dxa"/>
            <w:right w:w="108" w:type="dxa"/>
          </w:tblCellMar>
        </w:tblPrEx>
        <w:trPr>
          <w:trHeight w:val="387" w:hRule="atLeast"/>
          <w:jc w:val="center"/>
        </w:trPr>
        <w:tc>
          <w:tcPr>
            <w:tcW w:w="952" w:type="dxa"/>
            <w:tcBorders>
              <w:top w:val="nil"/>
              <w:left w:val="single" w:color="auto" w:sz="4" w:space="0"/>
              <w:bottom w:val="single" w:color="auto" w:sz="4" w:space="0"/>
              <w:right w:val="single" w:color="auto" w:sz="4" w:space="0"/>
            </w:tcBorders>
            <w:vAlign w:val="center"/>
          </w:tcPr>
          <w:p w14:paraId="581C11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4254" w:type="dxa"/>
            <w:tcBorders>
              <w:top w:val="nil"/>
              <w:left w:val="nil"/>
              <w:bottom w:val="single" w:color="auto" w:sz="4" w:space="0"/>
              <w:right w:val="single" w:color="auto" w:sz="4" w:space="0"/>
            </w:tcBorders>
            <w:vAlign w:val="center"/>
          </w:tcPr>
          <w:p w14:paraId="5CB02D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接地网</w:t>
            </w:r>
          </w:p>
        </w:tc>
        <w:tc>
          <w:tcPr>
            <w:tcW w:w="1972" w:type="dxa"/>
            <w:tcBorders>
              <w:top w:val="nil"/>
              <w:left w:val="nil"/>
              <w:bottom w:val="single" w:color="auto" w:sz="4" w:space="0"/>
              <w:right w:val="single" w:color="auto" w:sz="4" w:space="0"/>
            </w:tcBorders>
            <w:vAlign w:val="center"/>
          </w:tcPr>
          <w:p w14:paraId="5C11E6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系统</w:t>
            </w:r>
          </w:p>
        </w:tc>
        <w:tc>
          <w:tcPr>
            <w:tcW w:w="1326" w:type="dxa"/>
            <w:tcBorders>
              <w:top w:val="nil"/>
              <w:left w:val="nil"/>
              <w:bottom w:val="single" w:color="auto" w:sz="4" w:space="0"/>
              <w:right w:val="single" w:color="auto" w:sz="4" w:space="0"/>
            </w:tcBorders>
            <w:vAlign w:val="center"/>
          </w:tcPr>
          <w:p w14:paraId="0F129F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13D952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bl>
    <w:p w14:paraId="5B7C14D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二、付款方式</w:t>
      </w:r>
    </w:p>
    <w:p w14:paraId="3AAFDC3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服务期每满一年，支付合同总额1/3的服务费用。成交供应商于每年最后15个工作日内向采购人提供正规全额发票，采购人收到发票并核对无误后，以人民币银行转账方式在30天内支付完成。如遇节假日或不可抗拒原因，支付日期可顺延。（若成交供应商为中小企业的，采购人核对无误后，在15天内将货款支付给成交供应商）</w:t>
      </w:r>
    </w:p>
    <w:p w14:paraId="77C7CE1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2.若成交供应商未及时提供有效等额的发票等原因，导致延迟付款的，后果由成交供应商承担，采购人不承担任何逾期付款的责任。</w:t>
      </w:r>
    </w:p>
    <w:p w14:paraId="3118DD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3.代管电气设备设施项目范围外的其他电气设备的维护、检修和改造服务费用，每次再由双方协商确定，费用另行支付。</w:t>
      </w:r>
    </w:p>
    <w:p w14:paraId="7703B35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bookmarkStart w:id="52" w:name="_Toc11098"/>
      <w:bookmarkStart w:id="53" w:name="_Toc399661293"/>
      <w:bookmarkStart w:id="54" w:name="_Toc399661070"/>
      <w:bookmarkStart w:id="55" w:name="_Toc490730726"/>
      <w:r>
        <w:rPr>
          <w:rFonts w:hint="eastAsia" w:ascii="宋体" w:hAnsi="宋体" w:eastAsia="宋体" w:cs="宋体"/>
          <w:b/>
          <w:bCs/>
          <w:color w:val="auto"/>
          <w:kern w:val="0"/>
          <w:sz w:val="21"/>
          <w:szCs w:val="21"/>
          <w:highlight w:val="none"/>
          <w:lang w:val="en-US" w:eastAsia="zh-CN"/>
        </w:rPr>
        <w:t>三、服务</w:t>
      </w:r>
      <w:bookmarkEnd w:id="52"/>
      <w:bookmarkEnd w:id="53"/>
      <w:bookmarkEnd w:id="54"/>
      <w:bookmarkEnd w:id="55"/>
      <w:r>
        <w:rPr>
          <w:rFonts w:hint="eastAsia" w:ascii="宋体" w:hAnsi="宋体" w:eastAsia="宋体" w:cs="宋体"/>
          <w:b/>
          <w:bCs/>
          <w:color w:val="auto"/>
          <w:kern w:val="0"/>
          <w:sz w:val="21"/>
          <w:szCs w:val="21"/>
          <w:highlight w:val="none"/>
          <w:lang w:val="en-US" w:eastAsia="zh-CN"/>
        </w:rPr>
        <w:t>内容</w:t>
      </w:r>
    </w:p>
    <w:p w14:paraId="70923B9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1.对采购人执行有关的电力法规、政策、规程和正确、安全用电等具有建议权。</w:t>
      </w:r>
    </w:p>
    <w:p w14:paraId="3F4C549C">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2.根据有关法律、法规、政策和本合同的规定，自主开展各项管理活动。每月不少于1次对代管范围内的电气设备进行巡视维护，建立代管电气设备设施的管理档案，定期向采购人报送《设备运行报告》。</w:t>
      </w:r>
    </w:p>
    <w:p w14:paraId="15F72F8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3.每年为代管范围内的电气设备按国家规范进行1次预防性试验(检测)，并提交《试验报告》，内容需包含测试数据、分析结论及处理建议。</w:t>
      </w:r>
    </w:p>
    <w:p w14:paraId="4599776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4.每年为采购人的高压绝缘杆、高压验电笔、高压绝缘靴及高压绝缘手套做预防性试验，并取得合格报告。</w:t>
      </w:r>
    </w:p>
    <w:p w14:paraId="1457D0E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5.每年进行1次停电保养，与停电试验同时进行。</w:t>
      </w:r>
    </w:p>
    <w:p w14:paraId="2F9BED8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提供7×24小时故障受理服务，一般故障下，在接到采购人通知后2小时内到达现场，紧急故障下在接到采购人通知后1小时内到达现场，根据实际情况安排故障检修并协助采购人恢复用电。对维保期内已发生的电力故障或事故，需提供书面的事后《技术分析评估报告》，进行定量技术分析，明确故障原因、影响范围，并提出改进措施与预防建议。</w:t>
      </w:r>
    </w:p>
    <w:p w14:paraId="0BCC1B4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合同期内免人工费为采购人的高、低压电房、变压器室、电气设施进行故障检修、规范保养和维护，进行高压设备的停、送电操作。在巡查、检测、抢修中发现的设备线异常或故障，需先向采购人书面提交维修方案及报价单，在获得采购人同意后方可按方案进行维修。</w:t>
      </w:r>
    </w:p>
    <w:p w14:paraId="5F73805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8.不得擅自改变代管电气设备设施的使用功能，如需改建、扩建及完善配套项目，须经采购人同意后方可实施。</w:t>
      </w:r>
    </w:p>
    <w:p w14:paraId="13E4BEE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9.根据采购人的需要，为采购人制定最佳用电方案，特殊情况下的保供电方案和故障应急方案。</w:t>
      </w:r>
    </w:p>
    <w:p w14:paraId="7AE0E2E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10.接受地方电力主管部门的监督和管理，接受采购人的监督和检查。</w:t>
      </w:r>
    </w:p>
    <w:p w14:paraId="7A26B66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11.电房维保人员必须持有相应类别的特种作业操作证（电工作业），证书需在有效期内并定期复审。</w:t>
      </w:r>
    </w:p>
    <w:p w14:paraId="49B44D4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12.供应商必须根据电力线路(设备)运行维护有关法律法规、行业标准、技术规范的规定，做好维保工作。</w:t>
      </w:r>
    </w:p>
    <w:p w14:paraId="29E1D49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13.非采购人工作生产区域内的治安管理原因，成交供应商承担本单位的工作人员在采购人工作生产区域内的人身安全责任。</w:t>
      </w:r>
    </w:p>
    <w:p w14:paraId="2490C82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四、违约责任</w:t>
      </w:r>
    </w:p>
    <w:p w14:paraId="29E2236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1.成交供应商未按照合同约定完成服务工作的，采购人有权要求成交供应商限期整改，成交供应商超过限期仍不整改或整改不符合要求的，采购人有权单方面终止合同，不需承担由此产生的责任。 </w:t>
      </w:r>
    </w:p>
    <w:p w14:paraId="5374ABB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2.成交供应商未经采购人同意擅自改变代管电气设备设施使用功能的，采购人有权利要求恢复原状。</w:t>
      </w:r>
    </w:p>
    <w:p w14:paraId="3FE3F15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成交供应商或其人员在履行本合同过程中违反安全操作规程，或因过错导致人身伤亡、设备损坏、火灾、停电等事故的，由成交供应商承担全部法律责任和经济赔偿责任；采购人因此被追究责任的，有权向成交供应商全额追偿。</w:t>
      </w:r>
    </w:p>
    <w:p w14:paraId="2AFF3D1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4.本合同执行期间，如遇不可抗力，如战争、水灾、地震、雷击、火灾、政策法规改变等，致使代管电气设备设施损毁或本合同内容发生重大改变的，双方均有权要求解除本合同，且不需承担违约责任。</w:t>
      </w:r>
    </w:p>
    <w:bookmarkEnd w:id="41"/>
    <w:bookmarkEnd w:id="42"/>
    <w:bookmarkEnd w:id="43"/>
    <w:bookmarkEnd w:id="44"/>
    <w:p w14:paraId="326358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五、现场踏勘</w:t>
      </w:r>
    </w:p>
    <w:p w14:paraId="59C990C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本项目采购人不组织现场踏勘，响应供应商可自行现场踏勘，成交后，成交供应商不得以不完全了解现场情况为由，提出任何形式的增加维护经费或索赔的要求。</w:t>
      </w:r>
    </w:p>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5"/>
      <w:bookmarkEnd w:id="46"/>
      <w:bookmarkEnd w:id="47"/>
      <w:bookmarkEnd w:id="48"/>
      <w:bookmarkEnd w:id="49"/>
      <w:bookmarkEnd w:id="50"/>
      <w:bookmarkEnd w:id="51"/>
      <w:bookmarkStart w:id="56" w:name="_Toc3222"/>
      <w:bookmarkStart w:id="57" w:name="_Toc4075"/>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8"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、采购机构行贿或者提供其它不正当利益的；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2614ADEE">
      <w:pPr>
        <w:numPr>
          <w:ilvl w:val="0"/>
          <w:numId w:val="0"/>
        </w:numPr>
        <w:jc w:val="both"/>
        <w:outlineLvl w:val="0"/>
        <w:rPr>
          <w:rFonts w:hint="eastAsia"/>
          <w:b/>
          <w:bCs/>
          <w:color w:val="auto"/>
          <w:kern w:val="0"/>
          <w:sz w:val="28"/>
          <w:szCs w:val="28"/>
          <w:highlight w:val="none"/>
          <w:lang w:val="en-US" w:eastAsia="zh-CN"/>
        </w:rPr>
      </w:pPr>
      <w:bookmarkStart w:id="59" w:name="_Toc18355"/>
      <w:bookmarkStart w:id="60" w:name="_Toc11319"/>
      <w:bookmarkStart w:id="61" w:name="_Toc28409"/>
    </w:p>
    <w:p w14:paraId="101249DE">
      <w:pPr>
        <w:numPr>
          <w:ilvl w:val="0"/>
          <w:numId w:val="0"/>
        </w:numPr>
        <w:jc w:val="both"/>
        <w:outlineLvl w:val="0"/>
        <w:rPr>
          <w:rFonts w:hint="eastAsia"/>
          <w:b/>
          <w:bCs/>
          <w:color w:val="auto"/>
          <w:kern w:val="0"/>
          <w:sz w:val="28"/>
          <w:szCs w:val="28"/>
          <w:highlight w:val="none"/>
          <w:lang w:val="en-US" w:eastAsia="zh-CN"/>
        </w:rPr>
      </w:pPr>
    </w:p>
    <w:p w14:paraId="599118CA">
      <w:pPr>
        <w:numPr>
          <w:ilvl w:val="0"/>
          <w:numId w:val="0"/>
        </w:numPr>
        <w:jc w:val="both"/>
        <w:outlineLvl w:val="0"/>
        <w:rPr>
          <w:rFonts w:hint="eastAsia"/>
          <w:b/>
          <w:bCs/>
          <w:color w:val="auto"/>
          <w:kern w:val="0"/>
          <w:sz w:val="28"/>
          <w:szCs w:val="28"/>
          <w:highlight w:val="none"/>
          <w:lang w:val="en-US" w:eastAsia="zh-CN"/>
        </w:rPr>
      </w:pPr>
    </w:p>
    <w:p w14:paraId="33872675">
      <w:pPr>
        <w:numPr>
          <w:ilvl w:val="0"/>
          <w:numId w:val="0"/>
        </w:numPr>
        <w:jc w:val="both"/>
        <w:outlineLvl w:val="0"/>
        <w:rPr>
          <w:rFonts w:hint="eastAsia"/>
          <w:b/>
          <w:bCs/>
          <w:color w:val="auto"/>
          <w:kern w:val="0"/>
          <w:sz w:val="28"/>
          <w:szCs w:val="28"/>
          <w:highlight w:val="none"/>
          <w:lang w:val="en-US" w:eastAsia="zh-CN"/>
        </w:rPr>
      </w:pPr>
    </w:p>
    <w:p w14:paraId="37663754">
      <w:pPr>
        <w:numPr>
          <w:ilvl w:val="0"/>
          <w:numId w:val="0"/>
        </w:numPr>
        <w:jc w:val="both"/>
        <w:outlineLvl w:val="0"/>
        <w:rPr>
          <w:rFonts w:hint="eastAsia"/>
          <w:b/>
          <w:bCs/>
          <w:color w:val="auto"/>
          <w:kern w:val="0"/>
          <w:sz w:val="28"/>
          <w:szCs w:val="28"/>
          <w:highlight w:val="none"/>
          <w:lang w:val="en-US" w:eastAsia="zh-CN"/>
        </w:rPr>
      </w:pPr>
    </w:p>
    <w:p w14:paraId="3F05FF1B">
      <w:pPr>
        <w:numPr>
          <w:ilvl w:val="0"/>
          <w:numId w:val="0"/>
        </w:numPr>
        <w:jc w:val="both"/>
        <w:outlineLvl w:val="0"/>
        <w:rPr>
          <w:rFonts w:hint="eastAsia"/>
          <w:b/>
          <w:bCs/>
          <w:color w:val="auto"/>
          <w:kern w:val="0"/>
          <w:sz w:val="28"/>
          <w:szCs w:val="28"/>
          <w:highlight w:val="none"/>
          <w:lang w:val="en-US" w:eastAsia="zh-CN"/>
        </w:rPr>
      </w:pPr>
    </w:p>
    <w:p w14:paraId="4CEF4EDD">
      <w:pPr>
        <w:numPr>
          <w:ilvl w:val="0"/>
          <w:numId w:val="0"/>
        </w:numPr>
        <w:jc w:val="both"/>
        <w:outlineLvl w:val="0"/>
        <w:rPr>
          <w:rFonts w:hint="eastAsia"/>
          <w:b/>
          <w:bCs/>
          <w:color w:val="auto"/>
          <w:kern w:val="0"/>
          <w:sz w:val="28"/>
          <w:szCs w:val="28"/>
          <w:highlight w:val="none"/>
          <w:lang w:val="en-US" w:eastAsia="zh-CN"/>
        </w:rPr>
      </w:pPr>
    </w:p>
    <w:p w14:paraId="30A3C320">
      <w:pPr>
        <w:numPr>
          <w:ilvl w:val="0"/>
          <w:numId w:val="0"/>
        </w:numPr>
        <w:jc w:val="both"/>
        <w:outlineLvl w:val="0"/>
        <w:rPr>
          <w:rFonts w:hint="eastAsia"/>
          <w:b/>
          <w:bCs/>
          <w:color w:val="auto"/>
          <w:kern w:val="0"/>
          <w:sz w:val="28"/>
          <w:szCs w:val="28"/>
          <w:highlight w:val="none"/>
          <w:lang w:val="en-US" w:eastAsia="zh-CN"/>
        </w:rPr>
      </w:pPr>
    </w:p>
    <w:p w14:paraId="7BCF01C8">
      <w:pPr>
        <w:numPr>
          <w:ilvl w:val="0"/>
          <w:numId w:val="0"/>
        </w:numPr>
        <w:jc w:val="both"/>
        <w:outlineLvl w:val="0"/>
        <w:rPr>
          <w:rFonts w:hint="eastAsia"/>
          <w:b/>
          <w:bCs/>
          <w:color w:val="auto"/>
          <w:kern w:val="0"/>
          <w:sz w:val="28"/>
          <w:szCs w:val="28"/>
          <w:highlight w:val="none"/>
          <w:lang w:val="en-US" w:eastAsia="zh-CN"/>
        </w:rPr>
      </w:pPr>
    </w:p>
    <w:p w14:paraId="2B51050E">
      <w:pPr>
        <w:numPr>
          <w:ilvl w:val="0"/>
          <w:numId w:val="0"/>
        </w:numPr>
        <w:jc w:val="both"/>
        <w:outlineLvl w:val="0"/>
        <w:rPr>
          <w:rFonts w:hint="eastAsia"/>
          <w:b/>
          <w:bCs/>
          <w:color w:val="auto"/>
          <w:kern w:val="0"/>
          <w:sz w:val="28"/>
          <w:szCs w:val="28"/>
          <w:highlight w:val="none"/>
          <w:lang w:val="en-US" w:eastAsia="zh-CN"/>
        </w:rPr>
      </w:pPr>
    </w:p>
    <w:p w14:paraId="47755DBF">
      <w:pPr>
        <w:numPr>
          <w:ilvl w:val="0"/>
          <w:numId w:val="0"/>
        </w:numPr>
        <w:jc w:val="both"/>
        <w:outlineLvl w:val="0"/>
        <w:rPr>
          <w:rFonts w:hint="eastAsia"/>
          <w:b/>
          <w:bCs/>
          <w:color w:val="auto"/>
          <w:kern w:val="0"/>
          <w:sz w:val="28"/>
          <w:szCs w:val="28"/>
          <w:highlight w:val="none"/>
          <w:lang w:val="en-US" w:eastAsia="zh-CN"/>
        </w:rPr>
      </w:pPr>
    </w:p>
    <w:p w14:paraId="27B4F706">
      <w:pPr>
        <w:numPr>
          <w:ilvl w:val="0"/>
          <w:numId w:val="0"/>
        </w:numPr>
        <w:jc w:val="both"/>
        <w:outlineLvl w:val="0"/>
        <w:rPr>
          <w:rFonts w:hint="eastAsia"/>
          <w:b/>
          <w:bCs/>
          <w:color w:val="auto"/>
          <w:kern w:val="0"/>
          <w:sz w:val="28"/>
          <w:szCs w:val="28"/>
          <w:highlight w:val="none"/>
          <w:lang w:val="en-US" w:eastAsia="zh-CN"/>
        </w:rPr>
      </w:pPr>
    </w:p>
    <w:p w14:paraId="71779902">
      <w:pPr>
        <w:numPr>
          <w:ilvl w:val="0"/>
          <w:numId w:val="0"/>
        </w:numPr>
        <w:jc w:val="both"/>
        <w:outlineLvl w:val="0"/>
        <w:rPr>
          <w:rFonts w:hint="eastAsia"/>
          <w:b/>
          <w:bCs/>
          <w:color w:val="auto"/>
          <w:kern w:val="0"/>
          <w:sz w:val="28"/>
          <w:szCs w:val="28"/>
          <w:highlight w:val="none"/>
          <w:lang w:val="en-US" w:eastAsia="zh-CN"/>
        </w:rPr>
      </w:pPr>
    </w:p>
    <w:p w14:paraId="7D0A0827">
      <w:pPr>
        <w:numPr>
          <w:ilvl w:val="0"/>
          <w:numId w:val="0"/>
        </w:numPr>
        <w:jc w:val="both"/>
        <w:outlineLvl w:val="0"/>
        <w:rPr>
          <w:rFonts w:hint="eastAsia"/>
          <w:b/>
          <w:bCs/>
          <w:color w:val="auto"/>
          <w:kern w:val="0"/>
          <w:sz w:val="28"/>
          <w:szCs w:val="28"/>
          <w:highlight w:val="none"/>
          <w:lang w:val="en-US" w:eastAsia="zh-CN"/>
        </w:rPr>
      </w:pPr>
    </w:p>
    <w:p w14:paraId="551DED0E">
      <w:pPr>
        <w:numPr>
          <w:ilvl w:val="0"/>
          <w:numId w:val="0"/>
        </w:numPr>
        <w:jc w:val="both"/>
        <w:outlineLvl w:val="0"/>
        <w:rPr>
          <w:rFonts w:hint="eastAsia"/>
          <w:b/>
          <w:bCs/>
          <w:color w:val="auto"/>
          <w:kern w:val="0"/>
          <w:sz w:val="28"/>
          <w:szCs w:val="28"/>
          <w:highlight w:val="none"/>
          <w:lang w:val="en-US" w:eastAsia="zh-CN"/>
        </w:rPr>
      </w:pPr>
    </w:p>
    <w:p w14:paraId="2D3461F5">
      <w:pPr>
        <w:numPr>
          <w:ilvl w:val="0"/>
          <w:numId w:val="0"/>
        </w:numPr>
        <w:jc w:val="both"/>
        <w:outlineLvl w:val="0"/>
        <w:rPr>
          <w:rFonts w:hint="eastAsia"/>
          <w:b/>
          <w:bCs/>
          <w:color w:val="auto"/>
          <w:kern w:val="0"/>
          <w:sz w:val="28"/>
          <w:szCs w:val="28"/>
          <w:highlight w:val="none"/>
          <w:lang w:val="en-US" w:eastAsia="zh-CN"/>
        </w:rPr>
      </w:pPr>
    </w:p>
    <w:p w14:paraId="3AC86C96">
      <w:pPr>
        <w:numPr>
          <w:ilvl w:val="0"/>
          <w:numId w:val="0"/>
        </w:numPr>
        <w:jc w:val="both"/>
        <w:outlineLvl w:val="0"/>
        <w:rPr>
          <w:rFonts w:hint="eastAsia"/>
          <w:b/>
          <w:bCs/>
          <w:color w:val="auto"/>
          <w:kern w:val="0"/>
          <w:sz w:val="28"/>
          <w:szCs w:val="28"/>
          <w:highlight w:val="none"/>
          <w:lang w:val="en-US" w:eastAsia="zh-CN"/>
        </w:rPr>
      </w:pPr>
    </w:p>
    <w:p w14:paraId="34601942">
      <w:pPr>
        <w:numPr>
          <w:ilvl w:val="0"/>
          <w:numId w:val="0"/>
        </w:numPr>
        <w:jc w:val="both"/>
        <w:outlineLvl w:val="0"/>
        <w:rPr>
          <w:rFonts w:hint="eastAsia"/>
          <w:b/>
          <w:bCs/>
          <w:color w:val="auto"/>
          <w:kern w:val="0"/>
          <w:sz w:val="28"/>
          <w:szCs w:val="28"/>
          <w:highlight w:val="none"/>
          <w:lang w:val="en-US" w:eastAsia="zh-CN"/>
        </w:rPr>
      </w:pPr>
    </w:p>
    <w:p w14:paraId="3F23D5F4">
      <w:pPr>
        <w:numPr>
          <w:ilvl w:val="0"/>
          <w:numId w:val="0"/>
        </w:numPr>
        <w:jc w:val="both"/>
        <w:outlineLvl w:val="0"/>
        <w:rPr>
          <w:rFonts w:hint="eastAsia"/>
          <w:b/>
          <w:bCs/>
          <w:color w:val="auto"/>
          <w:kern w:val="0"/>
          <w:sz w:val="28"/>
          <w:szCs w:val="28"/>
          <w:highlight w:val="none"/>
          <w:lang w:val="en-US" w:eastAsia="zh-CN"/>
        </w:rPr>
      </w:pPr>
    </w:p>
    <w:p w14:paraId="0462AB37">
      <w:pPr>
        <w:numPr>
          <w:ilvl w:val="0"/>
          <w:numId w:val="0"/>
        </w:numPr>
        <w:jc w:val="both"/>
        <w:outlineLvl w:val="0"/>
        <w:rPr>
          <w:rFonts w:hint="eastAsia"/>
          <w:b/>
          <w:bCs/>
          <w:color w:val="auto"/>
          <w:kern w:val="0"/>
          <w:sz w:val="28"/>
          <w:szCs w:val="28"/>
          <w:highlight w:val="none"/>
          <w:lang w:val="en-US" w:eastAsia="zh-CN"/>
        </w:rPr>
      </w:pPr>
    </w:p>
    <w:p w14:paraId="37DF796F">
      <w:pPr>
        <w:numPr>
          <w:ilvl w:val="0"/>
          <w:numId w:val="0"/>
        </w:numPr>
        <w:jc w:val="both"/>
        <w:outlineLvl w:val="0"/>
        <w:rPr>
          <w:rFonts w:hint="eastAsia"/>
          <w:b/>
          <w:bCs/>
          <w:color w:val="auto"/>
          <w:kern w:val="0"/>
          <w:sz w:val="28"/>
          <w:szCs w:val="28"/>
          <w:highlight w:val="none"/>
          <w:lang w:val="en-US" w:eastAsia="zh-CN"/>
        </w:rPr>
      </w:pPr>
    </w:p>
    <w:p w14:paraId="3E7C8235">
      <w:pPr>
        <w:numPr>
          <w:ilvl w:val="0"/>
          <w:numId w:val="0"/>
        </w:numPr>
        <w:jc w:val="both"/>
        <w:outlineLvl w:val="0"/>
        <w:rPr>
          <w:rFonts w:hint="eastAsia"/>
          <w:b/>
          <w:bCs/>
          <w:color w:val="auto"/>
          <w:kern w:val="0"/>
          <w:sz w:val="28"/>
          <w:szCs w:val="28"/>
          <w:highlight w:val="none"/>
          <w:lang w:val="en-US" w:eastAsia="zh-CN"/>
        </w:rPr>
      </w:pPr>
    </w:p>
    <w:p w14:paraId="30F09048">
      <w:pPr>
        <w:numPr>
          <w:ilvl w:val="0"/>
          <w:numId w:val="0"/>
        </w:numPr>
        <w:jc w:val="both"/>
        <w:outlineLvl w:val="0"/>
        <w:rPr>
          <w:rFonts w:hint="eastAsia"/>
          <w:b/>
          <w:bCs/>
          <w:color w:val="auto"/>
          <w:kern w:val="0"/>
          <w:sz w:val="28"/>
          <w:szCs w:val="28"/>
          <w:highlight w:val="none"/>
          <w:lang w:val="en-US" w:eastAsia="zh-CN"/>
        </w:rPr>
      </w:pPr>
    </w:p>
    <w:p w14:paraId="1E3ED54C">
      <w:pPr>
        <w:numPr>
          <w:ilvl w:val="0"/>
          <w:numId w:val="0"/>
        </w:numPr>
        <w:jc w:val="both"/>
        <w:outlineLvl w:val="0"/>
        <w:rPr>
          <w:rFonts w:hint="eastAsia"/>
          <w:b/>
          <w:bCs/>
          <w:color w:val="auto"/>
          <w:kern w:val="0"/>
          <w:sz w:val="28"/>
          <w:szCs w:val="28"/>
          <w:highlight w:val="none"/>
          <w:lang w:val="en-US" w:eastAsia="zh-CN"/>
        </w:rPr>
      </w:pPr>
    </w:p>
    <w:p w14:paraId="4BE61441">
      <w:pPr>
        <w:numPr>
          <w:ilvl w:val="0"/>
          <w:numId w:val="0"/>
        </w:numPr>
        <w:jc w:val="both"/>
        <w:outlineLvl w:val="0"/>
        <w:rPr>
          <w:rFonts w:hint="eastAsia"/>
          <w:b/>
          <w:bCs/>
          <w:color w:val="auto"/>
          <w:kern w:val="0"/>
          <w:sz w:val="28"/>
          <w:szCs w:val="28"/>
          <w:highlight w:val="none"/>
          <w:lang w:val="en-US" w:eastAsia="zh-CN"/>
        </w:rPr>
      </w:pPr>
    </w:p>
    <w:p w14:paraId="5E64FC5E">
      <w:pPr>
        <w:numPr>
          <w:ilvl w:val="0"/>
          <w:numId w:val="0"/>
        </w:numPr>
        <w:jc w:val="both"/>
        <w:outlineLvl w:val="0"/>
        <w:rPr>
          <w:rFonts w:hint="eastAsia"/>
          <w:b/>
          <w:bCs/>
          <w:color w:val="auto"/>
          <w:kern w:val="0"/>
          <w:sz w:val="28"/>
          <w:szCs w:val="28"/>
          <w:highlight w:val="none"/>
          <w:lang w:val="en-US" w:eastAsia="zh-CN"/>
        </w:rPr>
      </w:pPr>
    </w:p>
    <w:p w14:paraId="607C5FE0">
      <w:pPr>
        <w:numPr>
          <w:ilvl w:val="0"/>
          <w:numId w:val="0"/>
        </w:numPr>
        <w:jc w:val="both"/>
        <w:outlineLvl w:val="0"/>
        <w:rPr>
          <w:rFonts w:hint="eastAsia"/>
          <w:b/>
          <w:bCs/>
          <w:color w:val="auto"/>
          <w:kern w:val="0"/>
          <w:sz w:val="28"/>
          <w:szCs w:val="28"/>
          <w:highlight w:val="none"/>
          <w:lang w:val="en-US" w:eastAsia="zh-CN"/>
        </w:rPr>
      </w:pPr>
    </w:p>
    <w:p w14:paraId="58E32AC2">
      <w:pPr>
        <w:numPr>
          <w:ilvl w:val="0"/>
          <w:numId w:val="0"/>
        </w:numPr>
        <w:jc w:val="both"/>
        <w:outlineLvl w:val="0"/>
        <w:rPr>
          <w:rFonts w:hint="eastAsia"/>
          <w:b/>
          <w:bCs/>
          <w:color w:val="auto"/>
          <w:kern w:val="0"/>
          <w:sz w:val="28"/>
          <w:szCs w:val="28"/>
          <w:highlight w:val="none"/>
          <w:lang w:val="en-US" w:eastAsia="zh-CN"/>
        </w:rPr>
      </w:pPr>
    </w:p>
    <w:p w14:paraId="51023999">
      <w:pPr>
        <w:numPr>
          <w:ilvl w:val="0"/>
          <w:numId w:val="0"/>
        </w:numPr>
        <w:jc w:val="both"/>
        <w:outlineLvl w:val="0"/>
        <w:rPr>
          <w:rFonts w:hint="eastAsia"/>
          <w:b/>
          <w:bCs/>
          <w:color w:val="auto"/>
          <w:kern w:val="0"/>
          <w:sz w:val="28"/>
          <w:szCs w:val="28"/>
          <w:highlight w:val="none"/>
          <w:lang w:val="en-US" w:eastAsia="zh-CN"/>
        </w:rPr>
      </w:pPr>
    </w:p>
    <w:p w14:paraId="4F2BC04B">
      <w:pPr>
        <w:numPr>
          <w:ilvl w:val="0"/>
          <w:numId w:val="0"/>
        </w:numPr>
        <w:jc w:val="both"/>
        <w:outlineLvl w:val="0"/>
        <w:rPr>
          <w:rFonts w:hint="eastAsia"/>
          <w:b/>
          <w:bCs/>
          <w:color w:val="auto"/>
          <w:kern w:val="0"/>
          <w:sz w:val="28"/>
          <w:szCs w:val="28"/>
          <w:highlight w:val="none"/>
          <w:lang w:val="en-US" w:eastAsia="zh-CN"/>
        </w:rPr>
      </w:pPr>
    </w:p>
    <w:p w14:paraId="7D1B6B7A">
      <w:pPr>
        <w:numPr>
          <w:ilvl w:val="0"/>
          <w:numId w:val="0"/>
        </w:numPr>
        <w:jc w:val="both"/>
        <w:outlineLvl w:val="0"/>
        <w:rPr>
          <w:rFonts w:hint="eastAsia"/>
          <w:b/>
          <w:bCs/>
          <w:color w:val="auto"/>
          <w:kern w:val="0"/>
          <w:sz w:val="28"/>
          <w:szCs w:val="28"/>
          <w:highlight w:val="none"/>
          <w:lang w:val="en-US" w:eastAsia="zh-CN"/>
        </w:rPr>
      </w:pPr>
    </w:p>
    <w:p w14:paraId="58BFA142">
      <w:pPr>
        <w:numPr>
          <w:ilvl w:val="0"/>
          <w:numId w:val="0"/>
        </w:numPr>
        <w:jc w:val="both"/>
        <w:outlineLvl w:val="0"/>
        <w:rPr>
          <w:rFonts w:hint="eastAsia"/>
          <w:b/>
          <w:bCs/>
          <w:color w:val="auto"/>
          <w:kern w:val="0"/>
          <w:sz w:val="28"/>
          <w:szCs w:val="28"/>
          <w:highlight w:val="none"/>
          <w:lang w:val="en-US" w:eastAsia="zh-CN"/>
        </w:rPr>
      </w:pPr>
    </w:p>
    <w:p w14:paraId="6C07E959">
      <w:pPr>
        <w:numPr>
          <w:ilvl w:val="0"/>
          <w:numId w:val="0"/>
        </w:numPr>
        <w:jc w:val="both"/>
        <w:outlineLvl w:val="0"/>
        <w:rPr>
          <w:rFonts w:hint="eastAsia"/>
          <w:b/>
          <w:bCs/>
          <w:color w:val="auto"/>
          <w:kern w:val="0"/>
          <w:sz w:val="28"/>
          <w:szCs w:val="28"/>
          <w:highlight w:val="none"/>
          <w:lang w:val="en-US" w:eastAsia="zh-CN"/>
        </w:rPr>
      </w:pPr>
    </w:p>
    <w:p w14:paraId="707DDAC2">
      <w:pPr>
        <w:numPr>
          <w:ilvl w:val="0"/>
          <w:numId w:val="0"/>
        </w:numPr>
        <w:jc w:val="both"/>
        <w:outlineLvl w:val="0"/>
        <w:rPr>
          <w:rFonts w:hint="eastAsia"/>
          <w:b/>
          <w:bCs/>
          <w:color w:val="auto"/>
          <w:kern w:val="0"/>
          <w:sz w:val="28"/>
          <w:szCs w:val="28"/>
          <w:highlight w:val="none"/>
          <w:lang w:val="en-US" w:eastAsia="zh-CN"/>
        </w:rPr>
      </w:pPr>
    </w:p>
    <w:p w14:paraId="26E0F051">
      <w:pPr>
        <w:numPr>
          <w:ilvl w:val="0"/>
          <w:numId w:val="0"/>
        </w:numPr>
        <w:jc w:val="both"/>
        <w:outlineLvl w:val="0"/>
        <w:rPr>
          <w:rFonts w:hint="eastAsia"/>
          <w:b/>
          <w:bCs/>
          <w:color w:val="auto"/>
          <w:kern w:val="0"/>
          <w:sz w:val="28"/>
          <w:szCs w:val="28"/>
          <w:highlight w:val="none"/>
          <w:lang w:val="en-US" w:eastAsia="zh-CN"/>
        </w:rPr>
      </w:pPr>
    </w:p>
    <w:p w14:paraId="4BA7B53A">
      <w:pPr>
        <w:numPr>
          <w:ilvl w:val="0"/>
          <w:numId w:val="0"/>
        </w:numPr>
        <w:jc w:val="both"/>
        <w:outlineLvl w:val="0"/>
        <w:rPr>
          <w:rFonts w:hint="eastAsia"/>
          <w:b/>
          <w:bCs/>
          <w:color w:val="auto"/>
          <w:kern w:val="0"/>
          <w:sz w:val="28"/>
          <w:szCs w:val="28"/>
          <w:highlight w:val="none"/>
          <w:lang w:val="en-US" w:eastAsia="zh-CN"/>
        </w:rPr>
      </w:pPr>
    </w:p>
    <w:p w14:paraId="47551EF0">
      <w:pPr>
        <w:numPr>
          <w:ilvl w:val="0"/>
          <w:numId w:val="0"/>
        </w:numPr>
        <w:jc w:val="both"/>
        <w:outlineLvl w:val="0"/>
        <w:rPr>
          <w:rFonts w:hint="eastAsia"/>
          <w:b/>
          <w:bCs/>
          <w:color w:val="auto"/>
          <w:kern w:val="0"/>
          <w:sz w:val="28"/>
          <w:szCs w:val="28"/>
          <w:highlight w:val="none"/>
          <w:lang w:val="en-US" w:eastAsia="zh-CN"/>
        </w:rPr>
      </w:pPr>
    </w:p>
    <w:p w14:paraId="4C4625BC">
      <w:pPr>
        <w:numPr>
          <w:ilvl w:val="0"/>
          <w:numId w:val="0"/>
        </w:numPr>
        <w:jc w:val="both"/>
        <w:outlineLvl w:val="0"/>
        <w:rPr>
          <w:rFonts w:hint="eastAsia"/>
          <w:b/>
          <w:bCs/>
          <w:color w:val="auto"/>
          <w:kern w:val="0"/>
          <w:sz w:val="28"/>
          <w:szCs w:val="28"/>
          <w:highlight w:val="none"/>
          <w:lang w:val="en-US" w:eastAsia="zh-CN"/>
        </w:rPr>
      </w:pPr>
    </w:p>
    <w:p w14:paraId="23A51B9D">
      <w:pPr>
        <w:numPr>
          <w:ilvl w:val="0"/>
          <w:numId w:val="0"/>
        </w:numPr>
        <w:jc w:val="both"/>
        <w:outlineLvl w:val="0"/>
        <w:rPr>
          <w:rFonts w:hint="eastAsia"/>
          <w:b/>
          <w:bCs/>
          <w:color w:val="auto"/>
          <w:kern w:val="0"/>
          <w:sz w:val="28"/>
          <w:szCs w:val="28"/>
          <w:highlight w:val="none"/>
          <w:lang w:val="en-US" w:eastAsia="zh-CN"/>
        </w:rPr>
      </w:pPr>
    </w:p>
    <w:p w14:paraId="19C6A9C0">
      <w:pPr>
        <w:numPr>
          <w:ilvl w:val="0"/>
          <w:numId w:val="0"/>
        </w:numPr>
        <w:jc w:val="both"/>
        <w:outlineLvl w:val="0"/>
        <w:rPr>
          <w:rFonts w:hint="eastAsia"/>
          <w:b/>
          <w:bCs/>
          <w:color w:val="auto"/>
          <w:kern w:val="0"/>
          <w:sz w:val="28"/>
          <w:szCs w:val="28"/>
          <w:highlight w:val="none"/>
          <w:lang w:val="en-US" w:eastAsia="zh-CN"/>
        </w:rPr>
      </w:pPr>
    </w:p>
    <w:p w14:paraId="05D0032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62" w:name="_Toc270"/>
      <w:r>
        <w:rPr>
          <w:rFonts w:hint="eastAsia"/>
          <w:b/>
          <w:bCs/>
          <w:color w:val="auto"/>
          <w:kern w:val="0"/>
          <w:sz w:val="28"/>
          <w:szCs w:val="28"/>
          <w:highlight w:val="none"/>
        </w:rPr>
        <w:t>评分标准</w:t>
      </w:r>
      <w:bookmarkEnd w:id="59"/>
      <w:bookmarkEnd w:id="60"/>
      <w:bookmarkEnd w:id="61"/>
    </w:p>
    <w:p w14:paraId="24DC9164">
      <w:pPr>
        <w:jc w:val="center"/>
        <w:rPr>
          <w:rFonts w:hint="eastAsia"/>
          <w:b/>
          <w:bCs/>
          <w:color w:val="auto"/>
          <w:sz w:val="24"/>
          <w:szCs w:val="24"/>
          <w:highlight w:val="none"/>
        </w:rPr>
      </w:pPr>
      <w:r>
        <w:rPr>
          <w:rFonts w:hint="eastAsia" w:ascii="宋体" w:hAnsi="宋体"/>
          <w:b/>
          <w:bCs/>
          <w:color w:val="auto"/>
          <w:sz w:val="24"/>
          <w:szCs w:val="24"/>
          <w:highlight w:val="none"/>
        </w:rPr>
        <w:t>南方医科大学第五附属医院</w:t>
      </w:r>
      <w:r>
        <w:rPr>
          <w:rFonts w:hint="eastAsia" w:ascii="宋体" w:hAnsi="宋体" w:eastAsia="宋体"/>
          <w:b/>
          <w:bCs/>
          <w:color w:val="auto"/>
          <w:kern w:val="2"/>
          <w:sz w:val="24"/>
          <w:szCs w:val="24"/>
          <w:highlight w:val="none"/>
          <w:lang w:val="en-US" w:eastAsia="zh-CN"/>
        </w:rPr>
        <w:t>电房电气设备委托维护服务项目</w:t>
      </w:r>
      <w:r>
        <w:rPr>
          <w:rFonts w:hint="eastAsia"/>
          <w:b/>
          <w:bCs/>
          <w:color w:val="auto"/>
          <w:sz w:val="24"/>
          <w:szCs w:val="24"/>
          <w:highlight w:val="none"/>
        </w:rPr>
        <w:t>评分表</w:t>
      </w:r>
    </w:p>
    <w:tbl>
      <w:tblPr>
        <w:tblStyle w:val="20"/>
        <w:tblW w:w="10042" w:type="dxa"/>
        <w:jc w:val="center"/>
        <w:tblLayout w:type="fixed"/>
        <w:tblCellMar>
          <w:top w:w="0" w:type="dxa"/>
          <w:left w:w="0" w:type="dxa"/>
          <w:bottom w:w="0" w:type="dxa"/>
          <w:right w:w="0" w:type="dxa"/>
        </w:tblCellMar>
      </w:tblPr>
      <w:tblGrid>
        <w:gridCol w:w="613"/>
        <w:gridCol w:w="933"/>
        <w:gridCol w:w="7896"/>
        <w:gridCol w:w="600"/>
      </w:tblGrid>
      <w:tr w14:paraId="24A242ED">
        <w:tblPrEx>
          <w:tblCellMar>
            <w:top w:w="0" w:type="dxa"/>
            <w:left w:w="0" w:type="dxa"/>
            <w:bottom w:w="0" w:type="dxa"/>
            <w:right w:w="0" w:type="dxa"/>
          </w:tblCellMar>
        </w:tblPrEx>
        <w:trPr>
          <w:trHeight w:val="310"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1106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1AD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A679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8A8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r>
      <w:tr w14:paraId="4CE27F13">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1C93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81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Theme="minorEastAsia"/>
                <w:b/>
                <w:bCs/>
                <w:color w:val="auto"/>
                <w:sz w:val="20"/>
                <w:szCs w:val="20"/>
                <w:lang w:val="en-US" w:eastAsia="zh-CN"/>
              </w:rPr>
            </w:pPr>
            <w:r>
              <w:rPr>
                <w:rFonts w:hint="eastAsia" w:eastAsiaTheme="minorEastAsia"/>
                <w:b/>
                <w:bCs/>
                <w:color w:val="auto"/>
                <w:sz w:val="20"/>
                <w:szCs w:val="20"/>
                <w:lang w:val="en-US" w:eastAsia="zh-CN"/>
              </w:rPr>
              <w:t>采购需求响应情况</w:t>
            </w:r>
          </w:p>
          <w:p w14:paraId="013EC73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eastAsiaTheme="minorEastAsia"/>
                <w:b/>
                <w:bCs/>
                <w:color w:val="auto"/>
                <w:kern w:val="2"/>
                <w:sz w:val="20"/>
                <w:szCs w:val="20"/>
                <w:lang w:val="en-US" w:eastAsia="zh-CN" w:bidi="ar-SA"/>
              </w:rPr>
            </w:pPr>
            <w:r>
              <w:rPr>
                <w:rFonts w:hint="eastAsia" w:eastAsiaTheme="minorEastAsia"/>
                <w:b/>
                <w:bCs/>
                <w:color w:val="auto"/>
                <w:sz w:val="20"/>
                <w:szCs w:val="20"/>
                <w:lang w:val="en-US" w:eastAsia="zh-CN"/>
              </w:rPr>
              <w:t>（15分）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AC0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根据供应商“采购需求偏离表”中对本项目需求响应情况进行评价：</w:t>
            </w:r>
          </w:p>
          <w:p w14:paraId="46DEB26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优：对采购文件中各条款的响应非常全面，优于采购文件要求的，得15分；</w:t>
            </w:r>
          </w:p>
          <w:p w14:paraId="385242E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良：对采购文件中各条款的响应全面，符合采购文件要求的，得10分；</w:t>
            </w:r>
          </w:p>
          <w:p w14:paraId="7DB23E3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中：对采购文件中各条款的响应较全面，基本满足采购文件要求的，得5分；</w:t>
            </w:r>
          </w:p>
          <w:p w14:paraId="43C5B4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差：对采购文件中各条款的响应较差，只有部分满足采购文件要求的，得1分。</w:t>
            </w:r>
          </w:p>
          <w:p w14:paraId="0FD3F99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kern w:val="2"/>
                <w:sz w:val="21"/>
                <w:szCs w:val="24"/>
                <w:lang w:val="en-US" w:eastAsia="zh-CN" w:bidi="ar-SA"/>
              </w:rPr>
            </w:pPr>
            <w:r>
              <w:rPr>
                <w:rFonts w:hint="eastAsia"/>
                <w:b/>
                <w:bCs/>
                <w:color w:val="auto"/>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28D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r>
      <w:tr w14:paraId="1A7FDB58">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EA85D">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2E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14DA84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bidi="ar-SA"/>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7F7F">
            <w:pPr>
              <w:spacing w:line="240" w:lineRule="exact"/>
              <w:jc w:val="left"/>
              <w:textAlignment w:val="center"/>
              <w:rPr>
                <w:rFonts w:hint="eastAsia" w:ascii="Times New Roman" w:hAnsi="Times New Roman" w:eastAsia="宋体" w:cs="Times New Roman"/>
                <w:b w:val="0"/>
                <w:bCs w:val="0"/>
                <w:color w:val="auto"/>
                <w:kern w:val="2"/>
                <w:sz w:val="21"/>
                <w:szCs w:val="24"/>
                <w:lang w:val="en-US" w:eastAsia="zh-CN"/>
              </w:rPr>
            </w:pPr>
            <w:r>
              <w:rPr>
                <w:rFonts w:hint="eastAsia" w:ascii="Times New Roman" w:hAnsi="Times New Roman" w:eastAsia="宋体" w:cs="Times New Roman"/>
                <w:color w:val="auto"/>
                <w:sz w:val="21"/>
                <w:szCs w:val="24"/>
                <w:lang w:val="en-US" w:eastAsia="zh-CN"/>
              </w:rPr>
              <w:t>根据</w:t>
            </w:r>
            <w:r>
              <w:rPr>
                <w:rFonts w:hint="eastAsia" w:ascii="Times New Roman" w:hAnsi="Times New Roman" w:eastAsia="宋体" w:cs="Times New Roman"/>
                <w:color w:val="auto"/>
                <w:sz w:val="21"/>
                <w:szCs w:val="24"/>
                <w:lang w:eastAsia="zh-CN"/>
              </w:rPr>
              <w:t>各</w:t>
            </w:r>
            <w:r>
              <w:rPr>
                <w:rFonts w:hint="eastAsia" w:ascii="Times New Roman" w:hAnsi="Times New Roman" w:eastAsia="宋体" w:cs="Times New Roman"/>
                <w:color w:val="auto"/>
                <w:sz w:val="21"/>
                <w:szCs w:val="24"/>
              </w:rPr>
              <w:t>供应商</w:t>
            </w:r>
            <w:r>
              <w:rPr>
                <w:rFonts w:hint="eastAsia" w:ascii="Times New Roman" w:hAnsi="Times New Roman" w:eastAsia="宋体" w:cs="Times New Roman"/>
                <w:color w:val="auto"/>
                <w:sz w:val="21"/>
                <w:szCs w:val="24"/>
                <w:lang w:eastAsia="zh-CN"/>
              </w:rPr>
              <w:t>所提供的</w:t>
            </w:r>
            <w:r>
              <w:rPr>
                <w:rFonts w:hint="eastAsia" w:ascii="Times New Roman" w:hAnsi="Times New Roman" w:eastAsia="宋体" w:cs="Times New Roman"/>
                <w:color w:val="auto"/>
                <w:sz w:val="21"/>
                <w:szCs w:val="24"/>
              </w:rPr>
              <w:t>202</w:t>
            </w:r>
            <w:r>
              <w:rPr>
                <w:rFonts w:hint="eastAsia" w:cs="Times New Roman"/>
                <w:color w:val="auto"/>
                <w:sz w:val="21"/>
                <w:szCs w:val="24"/>
                <w:lang w:val="en-US" w:eastAsia="zh-CN"/>
              </w:rPr>
              <w:t>4</w:t>
            </w:r>
            <w:r>
              <w:rPr>
                <w:rFonts w:hint="eastAsia" w:ascii="Times New Roman" w:hAnsi="Times New Roman" w:eastAsia="宋体" w:cs="Times New Roman"/>
                <w:color w:val="auto"/>
                <w:sz w:val="21"/>
                <w:szCs w:val="24"/>
              </w:rPr>
              <w:t>年1月1日至今</w:t>
            </w:r>
            <w:r>
              <w:rPr>
                <w:rFonts w:hint="eastAsia" w:ascii="Times New Roman" w:hAnsi="Times New Roman" w:eastAsia="宋体" w:cs="Times New Roman"/>
                <w:color w:val="auto"/>
                <w:sz w:val="21"/>
                <w:szCs w:val="24"/>
                <w:lang w:val="en-US" w:eastAsia="zh-CN"/>
              </w:rPr>
              <w:t>（以合同签订日期为准）完成过的同类</w:t>
            </w:r>
            <w:r>
              <w:rPr>
                <w:rFonts w:hint="eastAsia" w:ascii="Times New Roman" w:hAnsi="Times New Roman" w:eastAsia="宋体" w:cs="Times New Roman"/>
                <w:color w:val="auto"/>
                <w:sz w:val="21"/>
                <w:szCs w:val="24"/>
              </w:rPr>
              <w:t>高压或低压配电设备（/线路）等维保项目的</w:t>
            </w:r>
            <w:r>
              <w:rPr>
                <w:rFonts w:hint="eastAsia" w:ascii="Times New Roman" w:hAnsi="Times New Roman" w:eastAsia="宋体" w:cs="Times New Roman"/>
                <w:color w:val="auto"/>
                <w:sz w:val="21"/>
                <w:szCs w:val="24"/>
                <w:lang w:val="en-US" w:eastAsia="zh-CN"/>
              </w:rPr>
              <w:t>业绩，</w:t>
            </w:r>
            <w:r>
              <w:rPr>
                <w:rFonts w:hint="eastAsia" w:ascii="Times New Roman" w:hAnsi="Times New Roman" w:eastAsia="宋体" w:cs="Times New Roman"/>
                <w:color w:val="auto"/>
                <w:sz w:val="21"/>
                <w:szCs w:val="24"/>
              </w:rPr>
              <w:t>每提供一个得</w:t>
            </w:r>
            <w:r>
              <w:rPr>
                <w:rFonts w:hint="eastAsia" w:ascii="Times New Roman" w:hAnsi="Times New Roman" w:eastAsia="宋体" w:cs="Times New Roman"/>
                <w:color w:val="auto"/>
                <w:sz w:val="21"/>
                <w:szCs w:val="24"/>
                <w:lang w:val="en-US" w:eastAsia="zh-CN"/>
              </w:rPr>
              <w:t>1</w:t>
            </w:r>
            <w:r>
              <w:rPr>
                <w:rFonts w:hint="eastAsia" w:ascii="Times New Roman" w:hAnsi="Times New Roman" w:eastAsia="宋体" w:cs="Times New Roman"/>
                <w:color w:val="auto"/>
                <w:sz w:val="21"/>
                <w:szCs w:val="24"/>
              </w:rPr>
              <w:t>分，最高得</w:t>
            </w:r>
            <w:r>
              <w:rPr>
                <w:rFonts w:hint="eastAsia" w:ascii="Times New Roman" w:hAnsi="Times New Roman" w:eastAsia="宋体" w:cs="Times New Roman"/>
                <w:color w:val="auto"/>
                <w:sz w:val="21"/>
                <w:szCs w:val="24"/>
                <w:lang w:val="en-US" w:eastAsia="zh-CN"/>
              </w:rPr>
              <w:t>10</w:t>
            </w:r>
            <w:r>
              <w:rPr>
                <w:rFonts w:hint="eastAsia" w:ascii="Times New Roman" w:hAnsi="Times New Roman" w:eastAsia="宋体" w:cs="Times New Roman"/>
                <w:color w:val="auto"/>
                <w:sz w:val="21"/>
                <w:szCs w:val="24"/>
              </w:rPr>
              <w:t>分。未提供不得分。</w:t>
            </w:r>
          </w:p>
          <w:p w14:paraId="1AB57CB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color w:val="auto"/>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0BED9">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390FBB90">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7DC8B">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4D71">
            <w:pPr>
              <w:keepNext w:val="0"/>
              <w:keepLines w:val="0"/>
              <w:widowControl/>
              <w:suppressLineNumbers w:val="0"/>
              <w:jc w:val="center"/>
              <w:textAlignment w:val="center"/>
              <w:rPr>
                <w:rFonts w:hint="eastAsia" w:eastAsiaTheme="minorEastAsia"/>
                <w:b/>
                <w:bCs/>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98E7">
            <w:pPr>
              <w:keepNext w:val="0"/>
              <w:keepLines w:val="0"/>
              <w:widowControl/>
              <w:suppressLineNumbers w:val="0"/>
              <w:jc w:val="left"/>
              <w:textAlignment w:val="center"/>
              <w:rPr>
                <w:rFonts w:hint="eastAsia"/>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根据各供应商提供与上述同类项目业绩对应的用户评价，用户评价须为良好或以上（含同等意义的评价，如85分或以上、满意或以上等），每提供一项得1分，最高得</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r>
              <w:rPr>
                <w:rFonts w:hint="eastAsia" w:ascii="宋体" w:hAnsi="宋体" w:eastAsia="宋体" w:cs="宋体"/>
                <w:i w:val="0"/>
                <w:iCs w:val="0"/>
                <w:color w:val="auto"/>
                <w:kern w:val="0"/>
                <w:sz w:val="20"/>
                <w:szCs w:val="20"/>
                <w:u w:val="none"/>
                <w:lang w:val="en-US" w:eastAsia="zh-CN" w:bidi="ar"/>
              </w:rPr>
              <w:br w:type="textWrapping"/>
            </w:r>
            <w:r>
              <w:rPr>
                <w:rStyle w:val="53"/>
                <w:color w:val="auto"/>
                <w:sz w:val="20"/>
                <w:szCs w:val="20"/>
                <w:lang w:val="en-US" w:eastAsia="zh-CN" w:bidi="ar"/>
              </w:rPr>
              <w:t>注：提供加盖客户公章的评价证明材料复印件，不满足要求或所提供材料无法体现用户评价的不得分。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12C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r>
      <w:tr w14:paraId="32887A3B">
        <w:tblPrEx>
          <w:tblCellMar>
            <w:top w:w="0" w:type="dxa"/>
            <w:left w:w="0" w:type="dxa"/>
            <w:bottom w:w="0" w:type="dxa"/>
            <w:right w:w="0"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399A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64C4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实施方案</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18</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D9CD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根据供应商提供的整体服务实施方案,包括不限于</w:t>
            </w:r>
            <w:r>
              <w:rPr>
                <w:rFonts w:hint="eastAsia" w:asciiTheme="minorEastAsia" w:hAnsiTheme="minorEastAsia" w:eastAsiaTheme="minorEastAsia" w:cstheme="minorEastAsia"/>
                <w:color w:val="auto"/>
                <w:sz w:val="20"/>
                <w:szCs w:val="20"/>
                <w:lang w:val="en-US" w:eastAsia="zh-CN"/>
              </w:rPr>
              <w:t>维保服务范围及要求</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工作安排、响应情况、</w:t>
            </w:r>
            <w:r>
              <w:rPr>
                <w:rFonts w:hint="eastAsia" w:asciiTheme="minorEastAsia" w:hAnsiTheme="minorEastAsia" w:eastAsiaTheme="minorEastAsia" w:cstheme="minorEastAsia"/>
                <w:color w:val="auto"/>
                <w:sz w:val="20"/>
                <w:szCs w:val="20"/>
              </w:rPr>
              <w:t>问题处理、其它服务承诺等方案进行综合评审：</w:t>
            </w:r>
          </w:p>
          <w:p w14:paraId="1C4C173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优：服务实施方案完整科学、可行性强，</w:t>
            </w:r>
            <w:r>
              <w:rPr>
                <w:rFonts w:hint="eastAsia" w:asciiTheme="minorEastAsia" w:hAnsiTheme="minorEastAsia" w:eastAsiaTheme="minorEastAsia" w:cstheme="minorEastAsia"/>
                <w:color w:val="auto"/>
                <w:sz w:val="20"/>
                <w:szCs w:val="20"/>
                <w:lang w:val="en-US" w:eastAsia="zh-CN"/>
              </w:rPr>
              <w:t>内容非</w:t>
            </w:r>
            <w:r>
              <w:rPr>
                <w:rFonts w:hint="eastAsia" w:asciiTheme="minorEastAsia" w:hAnsiTheme="minorEastAsia" w:eastAsiaTheme="minorEastAsia" w:cstheme="minorEastAsia"/>
                <w:color w:val="auto"/>
                <w:sz w:val="20"/>
                <w:szCs w:val="20"/>
              </w:rPr>
              <w:t>常清晰具体、工作</w:t>
            </w:r>
            <w:r>
              <w:rPr>
                <w:color w:val="auto"/>
              </w:rPr>
              <w:t>安排合理</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18</w:t>
            </w:r>
            <w:r>
              <w:rPr>
                <w:rFonts w:hint="eastAsia" w:asciiTheme="minorEastAsia" w:hAnsiTheme="minorEastAsia" w:eastAsiaTheme="minorEastAsia" w:cstheme="minorEastAsia"/>
                <w:color w:val="auto"/>
                <w:sz w:val="20"/>
                <w:szCs w:val="20"/>
              </w:rPr>
              <w:t>分；</w:t>
            </w:r>
          </w:p>
          <w:p w14:paraId="6B1BEC8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良：服务实施方案科学、可行性</w:t>
            </w:r>
            <w:r>
              <w:rPr>
                <w:rFonts w:hint="eastAsia" w:asciiTheme="minorEastAsia" w:hAnsiTheme="minorEastAsia" w:eastAsiaTheme="minorEastAsia" w:cstheme="minorEastAsia"/>
                <w:color w:val="auto"/>
                <w:sz w:val="20"/>
                <w:szCs w:val="20"/>
                <w:lang w:val="en-US" w:eastAsia="zh-CN"/>
              </w:rPr>
              <w:t>较</w:t>
            </w:r>
            <w:r>
              <w:rPr>
                <w:rFonts w:hint="eastAsia" w:asciiTheme="minorEastAsia" w:hAnsiTheme="minorEastAsia" w:eastAsiaTheme="minorEastAsia" w:cstheme="minorEastAsia"/>
                <w:color w:val="auto"/>
                <w:sz w:val="20"/>
                <w:szCs w:val="20"/>
              </w:rPr>
              <w:t>强，</w:t>
            </w:r>
            <w:r>
              <w:rPr>
                <w:rFonts w:hint="eastAsia" w:asciiTheme="minorEastAsia" w:hAnsiTheme="minorEastAsia" w:eastAsiaTheme="minorEastAsia" w:cstheme="minorEastAsia"/>
                <w:color w:val="auto"/>
                <w:sz w:val="20"/>
                <w:szCs w:val="20"/>
                <w:lang w:val="en-US" w:eastAsia="zh-CN"/>
              </w:rPr>
              <w:t>内容</w:t>
            </w:r>
            <w:r>
              <w:rPr>
                <w:color w:val="auto"/>
              </w:rPr>
              <w:t>比较详细、工作安排比较可靠</w:t>
            </w:r>
            <w:r>
              <w:rPr>
                <w:rFonts w:hint="eastAsia"/>
                <w:color w:val="auto"/>
                <w:lang w:eastAsia="zh-CN"/>
              </w:rPr>
              <w:t>，</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12</w:t>
            </w:r>
            <w:r>
              <w:rPr>
                <w:rFonts w:hint="eastAsia" w:asciiTheme="minorEastAsia" w:hAnsiTheme="minorEastAsia" w:eastAsiaTheme="minorEastAsia" w:cstheme="minorEastAsia"/>
                <w:color w:val="auto"/>
                <w:sz w:val="20"/>
                <w:szCs w:val="20"/>
              </w:rPr>
              <w:t>分；</w:t>
            </w:r>
          </w:p>
          <w:p w14:paraId="5C0998F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中：服务实施方案完整、可行性一般，</w:t>
            </w:r>
            <w:r>
              <w:rPr>
                <w:rFonts w:hint="eastAsia" w:asciiTheme="minorEastAsia" w:hAnsiTheme="minorEastAsia" w:eastAsiaTheme="minorEastAsia" w:cstheme="minorEastAsia"/>
                <w:color w:val="auto"/>
                <w:sz w:val="20"/>
                <w:szCs w:val="20"/>
                <w:lang w:val="en-US" w:eastAsia="zh-CN"/>
              </w:rPr>
              <w:t>内容</w:t>
            </w:r>
            <w:r>
              <w:rPr>
                <w:color w:val="auto"/>
              </w:rPr>
              <w:t>基本清晰</w:t>
            </w:r>
            <w:r>
              <w:rPr>
                <w:rFonts w:hint="eastAsia"/>
                <w:color w:val="auto"/>
                <w:lang w:eastAsia="zh-CN"/>
              </w:rPr>
              <w:t>、</w:t>
            </w:r>
            <w:r>
              <w:rPr>
                <w:color w:val="auto"/>
              </w:rPr>
              <w:t>工作安排不够合理的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rPr>
              <w:t>分；</w:t>
            </w:r>
          </w:p>
          <w:p w14:paraId="79CCBDF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rPr>
              <w:t>差：服务实施方案基本完整、可行性较差，</w:t>
            </w:r>
            <w:r>
              <w:rPr>
                <w:rFonts w:hint="eastAsia" w:asciiTheme="minorEastAsia" w:hAnsiTheme="minorEastAsia" w:eastAsiaTheme="minorEastAsia" w:cstheme="minorEastAsia"/>
                <w:color w:val="auto"/>
                <w:sz w:val="20"/>
                <w:szCs w:val="20"/>
                <w:lang w:val="en-US" w:eastAsia="zh-CN"/>
              </w:rPr>
              <w:t>内容不清晰、</w:t>
            </w:r>
            <w:r>
              <w:rPr>
                <w:color w:val="auto"/>
              </w:rPr>
              <w:t>工作流程安排不合理的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eastAsiaTheme="minorEastAsia" w:cstheme="minorEastAsia"/>
                <w:color w:val="auto"/>
                <w:sz w:val="20"/>
                <w:szCs w:val="20"/>
                <w:lang w:val="en-US" w:eastAsia="zh-CN"/>
              </w:rPr>
              <w:t>未</w:t>
            </w:r>
            <w:r>
              <w:rPr>
                <w:rFonts w:hint="eastAsia" w:asciiTheme="minorEastAsia" w:hAnsiTheme="minorEastAsia" w:eastAsiaTheme="minorEastAsia" w:cstheme="minorEastAsia"/>
                <w:color w:val="auto"/>
                <w:sz w:val="20"/>
                <w:szCs w:val="20"/>
              </w:rPr>
              <w:t>提供不得分。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7DF1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r>
      <w:tr w14:paraId="5D342118">
        <w:tblPrEx>
          <w:tblCellMar>
            <w:top w:w="0" w:type="dxa"/>
            <w:left w:w="0" w:type="dxa"/>
            <w:bottom w:w="0" w:type="dxa"/>
            <w:right w:w="0" w:type="dxa"/>
          </w:tblCellMar>
        </w:tblPrEx>
        <w:trPr>
          <w:trHeight w:val="2179"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1A21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134B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color w:val="auto"/>
              </w:rPr>
              <w:t>试验及维护保养组织方案</w:t>
            </w:r>
            <w:r>
              <w:rPr>
                <w:rFonts w:hint="eastAsia"/>
                <w:b/>
                <w:bCs/>
                <w:color w:val="auto"/>
                <w:lang w:eastAsia="zh-CN"/>
              </w:rPr>
              <w:t>（</w:t>
            </w:r>
            <w:r>
              <w:rPr>
                <w:rFonts w:hint="eastAsia"/>
                <w:b/>
                <w:bCs/>
                <w:color w:val="auto"/>
                <w:lang w:val="en-US" w:eastAsia="zh-CN"/>
              </w:rPr>
              <w:t>12分</w:t>
            </w:r>
            <w:r>
              <w:rPr>
                <w:b/>
                <w:bCs/>
                <w:color w:val="auto"/>
                <w:sz w:val="20"/>
                <w:szCs w:val="20"/>
              </w:rPr>
              <w:t>)</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6EA50">
            <w:pPr>
              <w:pStyle w:val="49"/>
              <w:jc w:val="left"/>
              <w:rPr>
                <w:color w:val="auto"/>
              </w:rPr>
            </w:pPr>
            <w:r>
              <w:rPr>
                <w:rFonts w:hint="eastAsia"/>
                <w:color w:val="auto"/>
                <w:lang w:val="en-US" w:eastAsia="zh-CN"/>
              </w:rPr>
              <w:t>各供应商</w:t>
            </w:r>
            <w:r>
              <w:rPr>
                <w:color w:val="auto"/>
              </w:rPr>
              <w:t xml:space="preserve">编制具体的试验及维护保养方案（包括但不限于质量控制方案、进度控制方案、重点、难点分析等方案等）的完整性、合理性进行综合评比： </w:t>
            </w:r>
          </w:p>
          <w:p w14:paraId="2DA34FAC">
            <w:pPr>
              <w:pStyle w:val="49"/>
              <w:jc w:val="left"/>
              <w:rPr>
                <w:color w:val="auto"/>
              </w:rPr>
            </w:pPr>
            <w:r>
              <w:rPr>
                <w:color w:val="auto"/>
              </w:rPr>
              <w:t>提供的试验及维护保养方案完善具体、重点难点分析详细、方案可行性高，完全符合</w:t>
            </w:r>
            <w:r>
              <w:rPr>
                <w:rFonts w:hint="eastAsia"/>
                <w:color w:val="auto"/>
                <w:lang w:val="en-US" w:eastAsia="zh-CN"/>
              </w:rPr>
              <w:t>采购</w:t>
            </w:r>
            <w:r>
              <w:rPr>
                <w:color w:val="auto"/>
              </w:rPr>
              <w:t>文件要求，得</w:t>
            </w:r>
            <w:r>
              <w:rPr>
                <w:rFonts w:hint="eastAsia"/>
                <w:color w:val="auto"/>
                <w:lang w:val="en-US" w:eastAsia="zh-CN"/>
              </w:rPr>
              <w:t>12</w:t>
            </w:r>
            <w:r>
              <w:rPr>
                <w:color w:val="auto"/>
              </w:rPr>
              <w:t xml:space="preserve">分； </w:t>
            </w:r>
          </w:p>
          <w:p w14:paraId="238E0119">
            <w:pPr>
              <w:pStyle w:val="49"/>
              <w:jc w:val="left"/>
              <w:rPr>
                <w:color w:val="auto"/>
              </w:rPr>
            </w:pPr>
            <w:r>
              <w:rPr>
                <w:color w:val="auto"/>
              </w:rPr>
              <w:t>提供的试验及维护保养方案较具体、重点难点分析简单、方案基本可行合理的，得</w:t>
            </w:r>
            <w:r>
              <w:rPr>
                <w:rFonts w:hint="eastAsia"/>
                <w:color w:val="auto"/>
                <w:lang w:val="en-US" w:eastAsia="zh-CN"/>
              </w:rPr>
              <w:t>8</w:t>
            </w:r>
            <w:r>
              <w:rPr>
                <w:color w:val="auto"/>
              </w:rPr>
              <w:t xml:space="preserve">分； </w:t>
            </w:r>
          </w:p>
          <w:p w14:paraId="6A8696CB">
            <w:pPr>
              <w:pStyle w:val="49"/>
              <w:jc w:val="left"/>
              <w:rPr>
                <w:color w:val="auto"/>
              </w:rPr>
            </w:pPr>
            <w:r>
              <w:rPr>
                <w:color w:val="auto"/>
              </w:rPr>
              <w:t>提供的试验及维护保养方案基本达</w:t>
            </w:r>
            <w:r>
              <w:rPr>
                <w:rFonts w:hint="eastAsia"/>
                <w:color w:val="auto"/>
                <w:lang w:val="en-US" w:eastAsia="zh-CN"/>
              </w:rPr>
              <w:t>采购文件</w:t>
            </w:r>
            <w:r>
              <w:rPr>
                <w:color w:val="auto"/>
              </w:rPr>
              <w:t>要求、有重点难点分析、方案可行合理的，得</w:t>
            </w:r>
            <w:r>
              <w:rPr>
                <w:rFonts w:hint="eastAsia"/>
                <w:color w:val="auto"/>
                <w:lang w:val="en-US" w:eastAsia="zh-CN"/>
              </w:rPr>
              <w:t>4</w:t>
            </w:r>
            <w:r>
              <w:rPr>
                <w:color w:val="auto"/>
              </w:rPr>
              <w:t xml:space="preserve">分； </w:t>
            </w:r>
          </w:p>
          <w:p w14:paraId="2A73BBD9">
            <w:pPr>
              <w:pStyle w:val="49"/>
              <w:jc w:val="left"/>
              <w:rPr>
                <w:color w:val="auto"/>
              </w:rPr>
            </w:pPr>
            <w:r>
              <w:rPr>
                <w:color w:val="auto"/>
              </w:rPr>
              <w:t>提供的试验及维护保养方案不够完整，得1分；</w:t>
            </w:r>
          </w:p>
          <w:p w14:paraId="4A228B6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color w:val="auto"/>
                <w:lang w:val="en-US" w:eastAsia="zh-CN"/>
              </w:rPr>
              <w:t>未</w:t>
            </w:r>
            <w:r>
              <w:rPr>
                <w:color w:val="auto"/>
              </w:rPr>
              <w:t>提供的得0分。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5564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r>
      <w:tr w14:paraId="30507953">
        <w:tblPrEx>
          <w:tblCellMar>
            <w:top w:w="0" w:type="dxa"/>
            <w:left w:w="0" w:type="dxa"/>
            <w:bottom w:w="0" w:type="dxa"/>
            <w:right w:w="0" w:type="dxa"/>
          </w:tblCellMar>
        </w:tblPrEx>
        <w:trPr>
          <w:trHeight w:val="665" w:hRule="atLeast"/>
          <w:jc w:val="center"/>
        </w:trPr>
        <w:tc>
          <w:tcPr>
            <w:tcW w:w="6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DF68DD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3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F07A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lang w:bidi="ar"/>
              </w:rPr>
            </w:pPr>
            <w:r>
              <w:rPr>
                <w:b/>
                <w:bCs/>
                <w:color w:val="auto"/>
              </w:rPr>
              <w:t>服务</w:t>
            </w:r>
            <w:r>
              <w:rPr>
                <w:rFonts w:hint="eastAsia"/>
                <w:b/>
                <w:bCs/>
                <w:color w:val="auto"/>
                <w:lang w:val="en-US" w:eastAsia="zh-CN"/>
              </w:rPr>
              <w:t>应急</w:t>
            </w:r>
            <w:r>
              <w:rPr>
                <w:b/>
                <w:bCs/>
                <w:color w:val="auto"/>
              </w:rPr>
              <w:t>响应时间 (9.0分)</w:t>
            </w:r>
          </w:p>
        </w:tc>
        <w:tc>
          <w:tcPr>
            <w:tcW w:w="78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61A4D5B">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 xml:space="preserve">根据各供应商针对本项目技术人员到达现场服务的应急响应时间承诺进行评价： </w:t>
            </w:r>
          </w:p>
          <w:p w14:paraId="6F1C3EFC">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遇障通知后，技术人员20分（含）内到达现场响应服务的得9分； </w:t>
            </w:r>
          </w:p>
          <w:p w14:paraId="7EE84982">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遇障通知后，技术人员20分（不含）-40分钟（含）内到达现场响应服务的得6分； </w:t>
            </w:r>
          </w:p>
          <w:p w14:paraId="3FE21F30">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遇障通知后，技术人员40分钟时（不含）-1小时（含）内到达现场响应服务的得2分； </w:t>
            </w:r>
          </w:p>
          <w:p w14:paraId="2F7B6C94">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遇障通知后，技术人员超过1小时到达现场响应服务不得分；</w:t>
            </w:r>
          </w:p>
          <w:p w14:paraId="162E707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b/>
                <w:bCs/>
                <w:color w:val="auto"/>
              </w:rPr>
              <w:t>注：须提供服务承诺</w:t>
            </w:r>
            <w:r>
              <w:rPr>
                <w:rFonts w:hint="eastAsia"/>
                <w:b/>
                <w:bCs/>
                <w:color w:val="auto"/>
                <w:lang w:val="en-US" w:eastAsia="zh-CN"/>
              </w:rPr>
              <w:t>函</w:t>
            </w:r>
            <w:r>
              <w:rPr>
                <w:rFonts w:hint="eastAsia"/>
                <w:b/>
                <w:bCs/>
                <w:color w:val="auto"/>
              </w:rPr>
              <w:t>加盖公章。未提供不得分。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F227E">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9分</w:t>
            </w:r>
          </w:p>
        </w:tc>
      </w:tr>
      <w:tr w14:paraId="633F1897">
        <w:tblPrEx>
          <w:tblCellMar>
            <w:top w:w="0" w:type="dxa"/>
            <w:left w:w="0" w:type="dxa"/>
            <w:bottom w:w="0" w:type="dxa"/>
            <w:right w:w="0" w:type="dxa"/>
          </w:tblCellMar>
        </w:tblPrEx>
        <w:trPr>
          <w:trHeight w:val="840" w:hRule="atLeast"/>
          <w:jc w:val="center"/>
        </w:trPr>
        <w:tc>
          <w:tcPr>
            <w:tcW w:w="61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1716E0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19B6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3A4AC13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30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2735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AFB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30分</w:t>
            </w:r>
          </w:p>
        </w:tc>
      </w:tr>
      <w:tr w14:paraId="1B7AEEFC">
        <w:tblPrEx>
          <w:tblCellMar>
            <w:top w:w="0" w:type="dxa"/>
            <w:left w:w="0" w:type="dxa"/>
            <w:bottom w:w="0" w:type="dxa"/>
            <w:right w:w="0" w:type="dxa"/>
          </w:tblCellMar>
        </w:tblPrEx>
        <w:trPr>
          <w:trHeight w:val="398" w:hRule="atLeast"/>
          <w:jc w:val="center"/>
        </w:trPr>
        <w:tc>
          <w:tcPr>
            <w:tcW w:w="94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3E0D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0709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r>
    </w:tbl>
    <w:p w14:paraId="30330835">
      <w:pPr>
        <w:jc w:val="center"/>
        <w:rPr>
          <w:rFonts w:hint="eastAsia"/>
          <w:b/>
          <w:bCs/>
          <w:color w:val="auto"/>
          <w:sz w:val="24"/>
          <w:szCs w:val="24"/>
          <w:highlight w:val="none"/>
        </w:rPr>
      </w:pPr>
    </w:p>
    <w:p w14:paraId="6075AE12">
      <w:pPr>
        <w:outlineLvl w:val="0"/>
        <w:rPr>
          <w:rFonts w:hint="eastAsia" w:ascii="宋体" w:hAnsi="宋体" w:eastAsia="宋体" w:cs="Times New Roman"/>
          <w:b/>
          <w:bCs/>
          <w:color w:val="auto"/>
          <w:kern w:val="2"/>
          <w:sz w:val="28"/>
          <w:szCs w:val="28"/>
          <w:highlight w:val="none"/>
          <w:lang w:val="en-US" w:eastAsia="zh-CN" w:bidi="ar-SA"/>
        </w:rPr>
      </w:pPr>
      <w:bookmarkStart w:id="63" w:name="_Toc18949"/>
      <w:bookmarkStart w:id="64" w:name="_Toc23471"/>
    </w:p>
    <w:p w14:paraId="241DB317">
      <w:pPr>
        <w:outlineLvl w:val="0"/>
        <w:rPr>
          <w:rFonts w:hint="eastAsia" w:ascii="宋体" w:hAnsi="宋体" w:eastAsia="宋体" w:cs="Times New Roman"/>
          <w:b/>
          <w:bCs/>
          <w:color w:val="auto"/>
          <w:kern w:val="2"/>
          <w:sz w:val="28"/>
          <w:szCs w:val="28"/>
          <w:highlight w:val="none"/>
          <w:lang w:val="en-US" w:eastAsia="zh-CN" w:bidi="ar-SA"/>
        </w:rPr>
      </w:pPr>
      <w:bookmarkStart w:id="65" w:name="_Toc15131"/>
    </w:p>
    <w:p w14:paraId="28FC4E1F">
      <w:pPr>
        <w:outlineLvl w:val="0"/>
        <w:rPr>
          <w:rFonts w:hint="eastAsia" w:ascii="宋体" w:hAnsi="宋体" w:eastAsia="宋体" w:cs="Times New Roman"/>
          <w:b/>
          <w:bCs/>
          <w:color w:val="auto"/>
          <w:kern w:val="2"/>
          <w:sz w:val="28"/>
          <w:szCs w:val="28"/>
          <w:highlight w:val="none"/>
          <w:lang w:val="en-US" w:eastAsia="zh-CN" w:bidi="ar-SA"/>
        </w:rPr>
      </w:pPr>
    </w:p>
    <w:p w14:paraId="6578A15A">
      <w:pPr>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63"/>
      <w:bookmarkEnd w:id="64"/>
      <w:bookmarkEnd w:id="65"/>
      <w:r>
        <w:rPr>
          <w:rFonts w:hint="eastAsia" w:ascii="宋体" w:hAnsi="宋体" w:eastAsia="宋体" w:cs="Times New Roman"/>
          <w:b/>
          <w:bCs/>
          <w:color w:val="auto"/>
          <w:kern w:val="2"/>
          <w:sz w:val="28"/>
          <w:szCs w:val="28"/>
          <w:highlight w:val="none"/>
          <w:lang w:val="en-US" w:eastAsia="zh-CN" w:bidi="ar-SA"/>
        </w:rPr>
        <w:t xml:space="preserve"> </w:t>
      </w:r>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41C8B837">
      <w:pPr>
        <w:jc w:val="center"/>
        <w:rPr>
          <w:rFonts w:hint="eastAsia" w:ascii="宋体" w:hAnsi="宋体" w:eastAsia="宋体" w:cs="Times New Roman"/>
          <w:b/>
          <w:color w:val="auto"/>
          <w:sz w:val="30"/>
          <w:szCs w:val="30"/>
          <w:highlight w:val="none"/>
          <w:lang w:val="en-US" w:eastAsia="zh-CN"/>
        </w:rPr>
      </w:pPr>
    </w:p>
    <w:p w14:paraId="6CD54041">
      <w:pPr>
        <w:spacing w:line="600" w:lineRule="auto"/>
        <w:jc w:val="both"/>
        <w:rPr>
          <w:rFonts w:hint="eastAsia" w:hAnsi="宋体" w:cs="宋体"/>
          <w:b/>
          <w:bCs/>
          <w:color w:val="auto"/>
          <w:sz w:val="44"/>
          <w:szCs w:val="44"/>
        </w:rPr>
      </w:pPr>
      <w:bookmarkStart w:id="66" w:name="_Toc28173"/>
      <w:bookmarkStart w:id="67" w:name="_Toc26597"/>
    </w:p>
    <w:p w14:paraId="6FA4F4B5">
      <w:pPr>
        <w:autoSpaceDE w:val="0"/>
        <w:autoSpaceDN w:val="0"/>
        <w:adjustRightInd w:val="0"/>
        <w:spacing w:line="360" w:lineRule="auto"/>
        <w:jc w:val="center"/>
        <w:rPr>
          <w:rFonts w:hint="eastAsia" w:ascii="黑体" w:hAnsi="黑体" w:eastAsia="黑体" w:cs="黑体"/>
          <w:b/>
          <w:bCs/>
          <w:color w:val="auto"/>
          <w:kern w:val="0"/>
          <w:sz w:val="52"/>
          <w:szCs w:val="52"/>
        </w:rPr>
      </w:pPr>
      <w:r>
        <w:rPr>
          <w:rFonts w:hint="eastAsia" w:ascii="黑体" w:hAnsi="黑体" w:eastAsia="黑体" w:cs="黑体"/>
          <w:b/>
          <w:bCs/>
          <w:color w:val="auto"/>
          <w:kern w:val="0"/>
          <w:sz w:val="52"/>
          <w:szCs w:val="52"/>
        </w:rPr>
        <w:t>南方医科大学第五附属医院</w:t>
      </w:r>
    </w:p>
    <w:p w14:paraId="66FECBE2">
      <w:pPr>
        <w:autoSpaceDE w:val="0"/>
        <w:autoSpaceDN w:val="0"/>
        <w:adjustRightInd w:val="0"/>
        <w:spacing w:line="360" w:lineRule="auto"/>
        <w:jc w:val="center"/>
        <w:rPr>
          <w:rFonts w:hint="eastAsia" w:ascii="黑体" w:hAnsi="黑体" w:eastAsia="黑体" w:cs="黑体"/>
          <w:b/>
          <w:bCs/>
          <w:color w:val="auto"/>
          <w:kern w:val="0"/>
          <w:sz w:val="52"/>
          <w:szCs w:val="52"/>
        </w:rPr>
      </w:pPr>
      <w:r>
        <w:rPr>
          <w:rFonts w:hint="eastAsia" w:ascii="黑体" w:hAnsi="黑体" w:eastAsia="黑体" w:cs="黑体"/>
          <w:b/>
          <w:bCs/>
          <w:color w:val="auto"/>
          <w:kern w:val="0"/>
          <w:sz w:val="52"/>
          <w:szCs w:val="52"/>
        </w:rPr>
        <w:t>电房电气设备委托维护服务合同</w:t>
      </w:r>
    </w:p>
    <w:p w14:paraId="077EE249">
      <w:pPr>
        <w:rPr>
          <w:color w:val="auto"/>
        </w:rPr>
      </w:pPr>
    </w:p>
    <w:p w14:paraId="4378E1F3">
      <w:pPr>
        <w:jc w:val="center"/>
        <w:rPr>
          <w:color w:val="auto"/>
        </w:rPr>
      </w:pPr>
    </w:p>
    <w:p w14:paraId="0EECB3E2">
      <w:pPr>
        <w:jc w:val="center"/>
        <w:rPr>
          <w:color w:val="auto"/>
        </w:rPr>
      </w:pPr>
    </w:p>
    <w:p w14:paraId="0A2368E1">
      <w:pPr>
        <w:rPr>
          <w:color w:val="auto"/>
        </w:rPr>
      </w:pPr>
    </w:p>
    <w:p w14:paraId="6CF4893A">
      <w:pPr>
        <w:rPr>
          <w:color w:val="auto"/>
        </w:rPr>
      </w:pPr>
    </w:p>
    <w:p w14:paraId="018B2064">
      <w:pPr>
        <w:rPr>
          <w:color w:val="auto"/>
        </w:rPr>
      </w:pPr>
    </w:p>
    <w:p w14:paraId="27942DC2">
      <w:pPr>
        <w:rPr>
          <w:color w:val="auto"/>
        </w:rPr>
      </w:pPr>
    </w:p>
    <w:p w14:paraId="278A7AB6">
      <w:pPr>
        <w:rPr>
          <w:color w:val="auto"/>
        </w:rPr>
      </w:pPr>
    </w:p>
    <w:p w14:paraId="14B1E49E">
      <w:pPr>
        <w:rPr>
          <w:color w:val="auto"/>
        </w:rPr>
      </w:pPr>
    </w:p>
    <w:p w14:paraId="5524933C">
      <w:pPr>
        <w:pStyle w:val="5"/>
        <w:ind w:firstLine="400"/>
        <w:rPr>
          <w:color w:val="auto"/>
        </w:rPr>
      </w:pPr>
    </w:p>
    <w:p w14:paraId="7AAE8A00">
      <w:pPr>
        <w:pStyle w:val="5"/>
        <w:ind w:firstLine="400"/>
        <w:rPr>
          <w:color w:val="auto"/>
        </w:rPr>
      </w:pPr>
    </w:p>
    <w:p w14:paraId="58FC6936">
      <w:pPr>
        <w:spacing w:line="360" w:lineRule="auto"/>
        <w:rPr>
          <w:rFonts w:hint="eastAsia"/>
          <w:b/>
          <w:bCs/>
          <w:color w:val="auto"/>
          <w:sz w:val="28"/>
          <w:szCs w:val="28"/>
        </w:rPr>
      </w:pPr>
      <w:r>
        <w:rPr>
          <w:rFonts w:hint="eastAsia"/>
          <w:b/>
          <w:bCs/>
          <w:color w:val="auto"/>
          <w:sz w:val="28"/>
          <w:szCs w:val="28"/>
        </w:rPr>
        <w:t>合同编号：</w:t>
      </w:r>
    </w:p>
    <w:p w14:paraId="1B888C1F">
      <w:pPr>
        <w:spacing w:line="360" w:lineRule="auto"/>
        <w:rPr>
          <w:color w:val="auto"/>
          <w:sz w:val="28"/>
          <w:szCs w:val="28"/>
        </w:rPr>
      </w:pPr>
      <w:r>
        <w:rPr>
          <w:rFonts w:hint="eastAsia"/>
          <w:b/>
          <w:bCs/>
          <w:color w:val="auto"/>
          <w:sz w:val="28"/>
          <w:szCs w:val="28"/>
        </w:rPr>
        <w:t xml:space="preserve">甲方: </w:t>
      </w:r>
    </w:p>
    <w:p w14:paraId="106ECA9A">
      <w:pPr>
        <w:spacing w:line="360" w:lineRule="auto"/>
        <w:rPr>
          <w:color w:val="auto"/>
          <w:sz w:val="28"/>
          <w:szCs w:val="28"/>
        </w:rPr>
      </w:pPr>
      <w:r>
        <w:rPr>
          <w:rFonts w:hint="eastAsia"/>
          <w:b/>
          <w:bCs/>
          <w:color w:val="auto"/>
          <w:sz w:val="28"/>
          <w:szCs w:val="28"/>
        </w:rPr>
        <w:t>乙方：</w:t>
      </w:r>
    </w:p>
    <w:p w14:paraId="770735CA">
      <w:pPr>
        <w:widowControl/>
        <w:jc w:val="left"/>
        <w:rPr>
          <w:rFonts w:hint="eastAsia" w:ascii="宋体" w:hAnsi="宋体" w:eastAsia="宋体"/>
          <w:b/>
          <w:color w:val="auto"/>
          <w:kern w:val="0"/>
          <w:sz w:val="36"/>
          <w:szCs w:val="22"/>
          <w:lang w:eastAsia="zh-Hans"/>
        </w:rPr>
      </w:pPr>
      <w:r>
        <w:rPr>
          <w:rFonts w:hint="eastAsia"/>
          <w:b/>
          <w:bCs/>
          <w:color w:val="auto"/>
          <w:sz w:val="28"/>
          <w:szCs w:val="28"/>
        </w:rPr>
        <w:t>签署地点：</w:t>
      </w:r>
      <w:r>
        <w:rPr>
          <w:rFonts w:ascii="宋体" w:hAnsi="宋体" w:eastAsia="宋体"/>
          <w:b/>
          <w:color w:val="auto"/>
          <w:sz w:val="36"/>
          <w:szCs w:val="22"/>
        </w:rPr>
        <w:br w:type="page"/>
      </w:r>
    </w:p>
    <w:p w14:paraId="6EF525D4">
      <w:pPr>
        <w:pStyle w:val="49"/>
        <w:spacing w:line="276" w:lineRule="auto"/>
        <w:jc w:val="center"/>
        <w:rPr>
          <w:rFonts w:ascii="宋体" w:hAnsi="宋体" w:eastAsia="宋体"/>
          <w:b/>
          <w:color w:val="auto"/>
          <w:sz w:val="30"/>
          <w:szCs w:val="30"/>
          <w:lang w:eastAsia="zh-CN"/>
        </w:rPr>
      </w:pPr>
      <w:r>
        <w:rPr>
          <w:rFonts w:ascii="宋体" w:hAnsi="宋体" w:eastAsia="宋体"/>
          <w:b/>
          <w:color w:val="auto"/>
          <w:sz w:val="30"/>
          <w:szCs w:val="30"/>
        </w:rPr>
        <w:t>南方医科大学第五附属医院</w:t>
      </w:r>
      <w:r>
        <w:rPr>
          <w:rFonts w:hint="eastAsia" w:ascii="宋体" w:hAnsi="宋体" w:eastAsia="宋体"/>
          <w:b/>
          <w:color w:val="auto"/>
          <w:sz w:val="30"/>
          <w:szCs w:val="30"/>
        </w:rPr>
        <w:t>电房电气设备委托维护服务合同</w:t>
      </w:r>
    </w:p>
    <w:p w14:paraId="77D16788">
      <w:pPr>
        <w:pStyle w:val="49"/>
        <w:keepNext w:val="0"/>
        <w:keepLines w:val="0"/>
        <w:pageBreakBefore w:val="0"/>
        <w:kinsoku/>
        <w:wordWrap/>
        <w:overflowPunct/>
        <w:topLinePunct w:val="0"/>
        <w:bidi w:val="0"/>
        <w:adjustRightInd/>
        <w:snapToGrid/>
        <w:spacing w:line="400" w:lineRule="exact"/>
        <w:ind w:right="1845"/>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甲方：</w:t>
      </w:r>
    </w:p>
    <w:p w14:paraId="2329DB74">
      <w:pPr>
        <w:pStyle w:val="49"/>
        <w:keepNext w:val="0"/>
        <w:keepLines w:val="0"/>
        <w:pageBreakBefore w:val="0"/>
        <w:kinsoku/>
        <w:wordWrap/>
        <w:overflowPunct/>
        <w:topLinePunct w:val="0"/>
        <w:bidi w:val="0"/>
        <w:adjustRightInd/>
        <w:snapToGrid/>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乙方：</w:t>
      </w:r>
    </w:p>
    <w:p w14:paraId="21030448">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依照《中华人民共和国民法典》合同编相关规定及“***项目”（项目编号：***）的采购结果和乙方《响应文件》内容，为明确双方权利和义务，保障双方权益，甲、乙双方在自愿、平等、协商、互利的基础上，订立本合同，合同签订后，需共同遵守。具体条款如下：</w:t>
      </w:r>
    </w:p>
    <w:p w14:paraId="3FDEF022">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第一条   服务内容</w:t>
      </w:r>
    </w:p>
    <w:p w14:paraId="379F9450">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（一）电房座落位置：广州市从化区 城郊街从城大道566号 。</w:t>
      </w:r>
    </w:p>
    <w:p w14:paraId="0905175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（二）乙方对甲方与供电部门的产权分界点10kV从化站F3干线#48号杆、从化站F13干线团星开关房至医院变压器（含变压器）之间连接的电气设备进行维护，维护项目清册详见下表：</w:t>
      </w:r>
    </w:p>
    <w:tbl>
      <w:tblPr>
        <w:tblStyle w:val="20"/>
        <w:tblW w:w="9830" w:type="dxa"/>
        <w:jc w:val="center"/>
        <w:tblLayout w:type="fixed"/>
        <w:tblCellMar>
          <w:top w:w="0" w:type="dxa"/>
          <w:left w:w="108" w:type="dxa"/>
          <w:bottom w:w="0" w:type="dxa"/>
          <w:right w:w="108" w:type="dxa"/>
        </w:tblCellMar>
      </w:tblPr>
      <w:tblGrid>
        <w:gridCol w:w="952"/>
        <w:gridCol w:w="3022"/>
        <w:gridCol w:w="2266"/>
        <w:gridCol w:w="1700"/>
        <w:gridCol w:w="1890"/>
      </w:tblGrid>
      <w:tr w14:paraId="0A0FC33D">
        <w:tblPrEx>
          <w:tblCellMar>
            <w:top w:w="0" w:type="dxa"/>
            <w:left w:w="108" w:type="dxa"/>
            <w:bottom w:w="0" w:type="dxa"/>
            <w:right w:w="108" w:type="dxa"/>
          </w:tblCellMar>
        </w:tblPrEx>
        <w:trPr>
          <w:trHeight w:val="56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15C6ED7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3022" w:type="dxa"/>
            <w:tcBorders>
              <w:top w:val="single" w:color="auto" w:sz="4" w:space="0"/>
              <w:left w:val="nil"/>
              <w:bottom w:val="single" w:color="auto" w:sz="4" w:space="0"/>
              <w:right w:val="single" w:color="auto" w:sz="4" w:space="0"/>
            </w:tcBorders>
            <w:vAlign w:val="center"/>
          </w:tcPr>
          <w:p w14:paraId="7C3A0B8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维护项目名称</w:t>
            </w:r>
          </w:p>
        </w:tc>
        <w:tc>
          <w:tcPr>
            <w:tcW w:w="2266" w:type="dxa"/>
            <w:tcBorders>
              <w:top w:val="single" w:color="auto" w:sz="4" w:space="0"/>
              <w:left w:val="nil"/>
              <w:bottom w:val="single" w:color="auto" w:sz="4" w:space="0"/>
              <w:right w:val="single" w:color="auto" w:sz="4" w:space="0"/>
            </w:tcBorders>
            <w:vAlign w:val="center"/>
          </w:tcPr>
          <w:p w14:paraId="03C9B94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单位</w:t>
            </w:r>
          </w:p>
        </w:tc>
        <w:tc>
          <w:tcPr>
            <w:tcW w:w="1700" w:type="dxa"/>
            <w:tcBorders>
              <w:top w:val="single" w:color="auto" w:sz="4" w:space="0"/>
              <w:left w:val="nil"/>
              <w:bottom w:val="single" w:color="auto" w:sz="4" w:space="0"/>
              <w:right w:val="single" w:color="auto" w:sz="4" w:space="0"/>
            </w:tcBorders>
            <w:vAlign w:val="center"/>
          </w:tcPr>
          <w:p w14:paraId="05F4B06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数量</w:t>
            </w:r>
          </w:p>
        </w:tc>
        <w:tc>
          <w:tcPr>
            <w:tcW w:w="1890" w:type="dxa"/>
            <w:tcBorders>
              <w:top w:val="single" w:color="auto" w:sz="4" w:space="0"/>
              <w:left w:val="nil"/>
              <w:bottom w:val="single" w:color="auto" w:sz="4" w:space="0"/>
              <w:right w:val="single" w:color="auto" w:sz="4" w:space="0"/>
            </w:tcBorders>
            <w:vAlign w:val="center"/>
          </w:tcPr>
          <w:p w14:paraId="352DB4E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备注</w:t>
            </w:r>
          </w:p>
        </w:tc>
      </w:tr>
      <w:tr w14:paraId="6B16381C">
        <w:tblPrEx>
          <w:tblCellMar>
            <w:top w:w="0" w:type="dxa"/>
            <w:left w:w="108" w:type="dxa"/>
            <w:bottom w:w="0" w:type="dxa"/>
            <w:right w:w="108" w:type="dxa"/>
          </w:tblCellMar>
        </w:tblPrEx>
        <w:trPr>
          <w:trHeight w:val="345" w:hRule="atLeast"/>
          <w:jc w:val="center"/>
        </w:trPr>
        <w:tc>
          <w:tcPr>
            <w:tcW w:w="952" w:type="dxa"/>
            <w:tcBorders>
              <w:top w:val="nil"/>
              <w:left w:val="single" w:color="auto" w:sz="4" w:space="0"/>
              <w:bottom w:val="single" w:color="auto" w:sz="4" w:space="0"/>
              <w:right w:val="single" w:color="auto" w:sz="4" w:space="0"/>
            </w:tcBorders>
            <w:vAlign w:val="center"/>
          </w:tcPr>
          <w:p w14:paraId="5B37CF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3022" w:type="dxa"/>
            <w:tcBorders>
              <w:top w:val="nil"/>
              <w:left w:val="nil"/>
              <w:bottom w:val="single" w:color="auto" w:sz="4" w:space="0"/>
              <w:right w:val="single" w:color="auto" w:sz="4" w:space="0"/>
            </w:tcBorders>
            <w:vAlign w:val="center"/>
          </w:tcPr>
          <w:p w14:paraId="1CA103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电力电缆</w:t>
            </w:r>
          </w:p>
        </w:tc>
        <w:tc>
          <w:tcPr>
            <w:tcW w:w="2266" w:type="dxa"/>
            <w:tcBorders>
              <w:top w:val="nil"/>
              <w:left w:val="nil"/>
              <w:bottom w:val="single" w:color="auto" w:sz="4" w:space="0"/>
              <w:right w:val="single" w:color="auto" w:sz="4" w:space="0"/>
            </w:tcBorders>
            <w:vAlign w:val="center"/>
          </w:tcPr>
          <w:p w14:paraId="7E48DB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1700" w:type="dxa"/>
            <w:tcBorders>
              <w:top w:val="nil"/>
              <w:left w:val="nil"/>
              <w:bottom w:val="single" w:color="auto" w:sz="4" w:space="0"/>
              <w:right w:val="single" w:color="auto" w:sz="4" w:space="0"/>
            </w:tcBorders>
            <w:vAlign w:val="center"/>
          </w:tcPr>
          <w:p w14:paraId="106EC0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1382</w:t>
            </w:r>
          </w:p>
        </w:tc>
        <w:tc>
          <w:tcPr>
            <w:tcW w:w="1890" w:type="dxa"/>
            <w:tcBorders>
              <w:top w:val="nil"/>
              <w:left w:val="nil"/>
              <w:bottom w:val="single" w:color="auto" w:sz="4" w:space="0"/>
              <w:right w:val="single" w:color="auto" w:sz="4" w:space="0"/>
            </w:tcBorders>
            <w:vAlign w:val="center"/>
          </w:tcPr>
          <w:p w14:paraId="09B2A3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00FB1ACF">
        <w:tblPrEx>
          <w:tblCellMar>
            <w:top w:w="0" w:type="dxa"/>
            <w:left w:w="108" w:type="dxa"/>
            <w:bottom w:w="0" w:type="dxa"/>
            <w:right w:w="108" w:type="dxa"/>
          </w:tblCellMar>
        </w:tblPrEx>
        <w:trPr>
          <w:trHeight w:val="368" w:hRule="atLeast"/>
          <w:jc w:val="center"/>
        </w:trPr>
        <w:tc>
          <w:tcPr>
            <w:tcW w:w="952" w:type="dxa"/>
            <w:tcBorders>
              <w:top w:val="nil"/>
              <w:left w:val="single" w:color="auto" w:sz="4" w:space="0"/>
              <w:bottom w:val="single" w:color="auto" w:sz="4" w:space="0"/>
              <w:right w:val="single" w:color="auto" w:sz="4" w:space="0"/>
            </w:tcBorders>
            <w:vAlign w:val="center"/>
          </w:tcPr>
          <w:p w14:paraId="43FE88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3022" w:type="dxa"/>
            <w:tcBorders>
              <w:top w:val="nil"/>
              <w:left w:val="nil"/>
              <w:bottom w:val="single" w:color="auto" w:sz="4" w:space="0"/>
              <w:right w:val="single" w:color="auto" w:sz="4" w:space="0"/>
            </w:tcBorders>
            <w:vAlign w:val="center"/>
          </w:tcPr>
          <w:p w14:paraId="3DE945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户内电缆头</w:t>
            </w:r>
          </w:p>
        </w:tc>
        <w:tc>
          <w:tcPr>
            <w:tcW w:w="2266" w:type="dxa"/>
            <w:tcBorders>
              <w:top w:val="nil"/>
              <w:left w:val="nil"/>
              <w:bottom w:val="single" w:color="auto" w:sz="4" w:space="0"/>
              <w:right w:val="single" w:color="auto" w:sz="4" w:space="0"/>
            </w:tcBorders>
            <w:vAlign w:val="center"/>
          </w:tcPr>
          <w:p w14:paraId="3AD8B1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700" w:type="dxa"/>
            <w:tcBorders>
              <w:top w:val="nil"/>
              <w:left w:val="nil"/>
              <w:bottom w:val="single" w:color="auto" w:sz="4" w:space="0"/>
              <w:right w:val="single" w:color="auto" w:sz="4" w:space="0"/>
            </w:tcBorders>
            <w:vAlign w:val="center"/>
          </w:tcPr>
          <w:p w14:paraId="25B089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890" w:type="dxa"/>
            <w:tcBorders>
              <w:top w:val="nil"/>
              <w:left w:val="nil"/>
              <w:bottom w:val="single" w:color="auto" w:sz="4" w:space="0"/>
              <w:right w:val="single" w:color="auto" w:sz="4" w:space="0"/>
            </w:tcBorders>
            <w:vAlign w:val="center"/>
          </w:tcPr>
          <w:p w14:paraId="16A31F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2646B0FF">
        <w:tblPrEx>
          <w:tblCellMar>
            <w:top w:w="0" w:type="dxa"/>
            <w:left w:w="108" w:type="dxa"/>
            <w:bottom w:w="0" w:type="dxa"/>
            <w:right w:w="108" w:type="dxa"/>
          </w:tblCellMar>
        </w:tblPrEx>
        <w:trPr>
          <w:trHeight w:val="326" w:hRule="atLeast"/>
          <w:jc w:val="center"/>
        </w:trPr>
        <w:tc>
          <w:tcPr>
            <w:tcW w:w="952" w:type="dxa"/>
            <w:tcBorders>
              <w:top w:val="nil"/>
              <w:left w:val="single" w:color="auto" w:sz="4" w:space="0"/>
              <w:bottom w:val="single" w:color="auto" w:sz="4" w:space="0"/>
              <w:right w:val="single" w:color="auto" w:sz="4" w:space="0"/>
            </w:tcBorders>
            <w:vAlign w:val="center"/>
          </w:tcPr>
          <w:p w14:paraId="140E9B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3022" w:type="dxa"/>
            <w:tcBorders>
              <w:top w:val="nil"/>
              <w:left w:val="nil"/>
              <w:bottom w:val="single" w:color="auto" w:sz="4" w:space="0"/>
              <w:right w:val="single" w:color="auto" w:sz="4" w:space="0"/>
            </w:tcBorders>
            <w:vAlign w:val="center"/>
          </w:tcPr>
          <w:p w14:paraId="22306A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户外电缆头</w:t>
            </w:r>
          </w:p>
        </w:tc>
        <w:tc>
          <w:tcPr>
            <w:tcW w:w="2266" w:type="dxa"/>
            <w:tcBorders>
              <w:top w:val="nil"/>
              <w:left w:val="nil"/>
              <w:bottom w:val="single" w:color="auto" w:sz="4" w:space="0"/>
              <w:right w:val="single" w:color="auto" w:sz="4" w:space="0"/>
            </w:tcBorders>
            <w:vAlign w:val="center"/>
          </w:tcPr>
          <w:p w14:paraId="405290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700" w:type="dxa"/>
            <w:tcBorders>
              <w:top w:val="nil"/>
              <w:left w:val="nil"/>
              <w:bottom w:val="single" w:color="auto" w:sz="4" w:space="0"/>
              <w:right w:val="single" w:color="auto" w:sz="4" w:space="0"/>
            </w:tcBorders>
            <w:vAlign w:val="center"/>
          </w:tcPr>
          <w:p w14:paraId="30DAAD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52F7D9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DC0C5C5">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41680C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3022" w:type="dxa"/>
            <w:tcBorders>
              <w:top w:val="nil"/>
              <w:left w:val="nil"/>
              <w:bottom w:val="single" w:color="auto" w:sz="4" w:space="0"/>
              <w:right w:val="single" w:color="auto" w:sz="4" w:space="0"/>
            </w:tcBorders>
            <w:vAlign w:val="center"/>
          </w:tcPr>
          <w:p w14:paraId="277698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高压柜</w:t>
            </w:r>
          </w:p>
        </w:tc>
        <w:tc>
          <w:tcPr>
            <w:tcW w:w="2266" w:type="dxa"/>
            <w:tcBorders>
              <w:top w:val="nil"/>
              <w:left w:val="nil"/>
              <w:bottom w:val="single" w:color="auto" w:sz="4" w:space="0"/>
              <w:right w:val="single" w:color="auto" w:sz="4" w:space="0"/>
            </w:tcBorders>
            <w:vAlign w:val="center"/>
          </w:tcPr>
          <w:p w14:paraId="6B48AF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700" w:type="dxa"/>
            <w:tcBorders>
              <w:top w:val="nil"/>
              <w:left w:val="nil"/>
              <w:bottom w:val="single" w:color="auto" w:sz="4" w:space="0"/>
              <w:right w:val="single" w:color="auto" w:sz="4" w:space="0"/>
            </w:tcBorders>
            <w:vAlign w:val="center"/>
          </w:tcPr>
          <w:p w14:paraId="56914C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890" w:type="dxa"/>
            <w:tcBorders>
              <w:top w:val="nil"/>
              <w:left w:val="nil"/>
              <w:bottom w:val="single" w:color="auto" w:sz="4" w:space="0"/>
              <w:right w:val="single" w:color="auto" w:sz="4" w:space="0"/>
            </w:tcBorders>
            <w:vAlign w:val="center"/>
          </w:tcPr>
          <w:p w14:paraId="7ADDA2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0C2D7A08">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7F8487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3022" w:type="dxa"/>
            <w:tcBorders>
              <w:top w:val="nil"/>
              <w:left w:val="nil"/>
              <w:bottom w:val="single" w:color="auto" w:sz="4" w:space="0"/>
              <w:right w:val="single" w:color="auto" w:sz="4" w:space="0"/>
            </w:tcBorders>
            <w:vAlign w:val="center"/>
          </w:tcPr>
          <w:p w14:paraId="7631D5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低压柜</w:t>
            </w:r>
          </w:p>
        </w:tc>
        <w:tc>
          <w:tcPr>
            <w:tcW w:w="2266" w:type="dxa"/>
            <w:tcBorders>
              <w:top w:val="nil"/>
              <w:left w:val="nil"/>
              <w:bottom w:val="single" w:color="auto" w:sz="4" w:space="0"/>
              <w:right w:val="single" w:color="auto" w:sz="4" w:space="0"/>
            </w:tcBorders>
            <w:vAlign w:val="center"/>
          </w:tcPr>
          <w:p w14:paraId="2712A9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700" w:type="dxa"/>
            <w:tcBorders>
              <w:top w:val="nil"/>
              <w:left w:val="nil"/>
              <w:bottom w:val="single" w:color="auto" w:sz="4" w:space="0"/>
              <w:right w:val="single" w:color="auto" w:sz="4" w:space="0"/>
            </w:tcBorders>
            <w:vAlign w:val="center"/>
          </w:tcPr>
          <w:p w14:paraId="0767B2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890" w:type="dxa"/>
            <w:tcBorders>
              <w:top w:val="nil"/>
              <w:left w:val="nil"/>
              <w:bottom w:val="single" w:color="auto" w:sz="4" w:space="0"/>
              <w:right w:val="single" w:color="auto" w:sz="4" w:space="0"/>
            </w:tcBorders>
            <w:vAlign w:val="center"/>
          </w:tcPr>
          <w:p w14:paraId="68103D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F3F9AF6">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3F8C60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3022" w:type="dxa"/>
            <w:tcBorders>
              <w:top w:val="nil"/>
              <w:left w:val="nil"/>
              <w:bottom w:val="single" w:color="auto" w:sz="4" w:space="0"/>
              <w:right w:val="single" w:color="auto" w:sz="4" w:space="0"/>
            </w:tcBorders>
            <w:vAlign w:val="center"/>
          </w:tcPr>
          <w:p w14:paraId="07F7E5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5368A3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500452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2D9F0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SCB10-1600kVA</w:t>
            </w:r>
          </w:p>
        </w:tc>
      </w:tr>
      <w:tr w14:paraId="7C9AD6E3">
        <w:tblPrEx>
          <w:tblCellMar>
            <w:top w:w="0" w:type="dxa"/>
            <w:left w:w="108" w:type="dxa"/>
            <w:bottom w:w="0" w:type="dxa"/>
            <w:right w:w="108" w:type="dxa"/>
          </w:tblCellMar>
        </w:tblPrEx>
        <w:trPr>
          <w:trHeight w:val="397" w:hRule="atLeast"/>
          <w:jc w:val="center"/>
        </w:trPr>
        <w:tc>
          <w:tcPr>
            <w:tcW w:w="952" w:type="dxa"/>
            <w:tcBorders>
              <w:top w:val="nil"/>
              <w:left w:val="single" w:color="auto" w:sz="4" w:space="0"/>
              <w:bottom w:val="single" w:color="auto" w:sz="4" w:space="0"/>
              <w:right w:val="single" w:color="auto" w:sz="4" w:space="0"/>
            </w:tcBorders>
            <w:vAlign w:val="center"/>
          </w:tcPr>
          <w:p w14:paraId="6FBF07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3022" w:type="dxa"/>
            <w:tcBorders>
              <w:top w:val="nil"/>
              <w:left w:val="nil"/>
              <w:bottom w:val="single" w:color="auto" w:sz="4" w:space="0"/>
              <w:right w:val="single" w:color="auto" w:sz="4" w:space="0"/>
            </w:tcBorders>
            <w:vAlign w:val="center"/>
          </w:tcPr>
          <w:p w14:paraId="5D8F7D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63488B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273A83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7E2DE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SCB13-2000kVA</w:t>
            </w:r>
          </w:p>
        </w:tc>
      </w:tr>
      <w:tr w14:paraId="161AB8DD">
        <w:tblPrEx>
          <w:tblCellMar>
            <w:top w:w="0" w:type="dxa"/>
            <w:left w:w="108" w:type="dxa"/>
            <w:bottom w:w="0" w:type="dxa"/>
            <w:right w:w="108" w:type="dxa"/>
          </w:tblCellMar>
        </w:tblPrEx>
        <w:trPr>
          <w:trHeight w:val="419" w:hRule="atLeast"/>
          <w:jc w:val="center"/>
        </w:trPr>
        <w:tc>
          <w:tcPr>
            <w:tcW w:w="952" w:type="dxa"/>
            <w:tcBorders>
              <w:top w:val="nil"/>
              <w:left w:val="single" w:color="auto" w:sz="4" w:space="0"/>
              <w:bottom w:val="single" w:color="auto" w:sz="4" w:space="0"/>
              <w:right w:val="single" w:color="auto" w:sz="4" w:space="0"/>
            </w:tcBorders>
            <w:vAlign w:val="center"/>
          </w:tcPr>
          <w:p w14:paraId="16C2E8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3022" w:type="dxa"/>
            <w:tcBorders>
              <w:top w:val="nil"/>
              <w:left w:val="nil"/>
              <w:bottom w:val="single" w:color="auto" w:sz="4" w:space="0"/>
              <w:right w:val="single" w:color="auto" w:sz="4" w:space="0"/>
            </w:tcBorders>
            <w:vAlign w:val="center"/>
          </w:tcPr>
          <w:p w14:paraId="2D20DE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0B4EA7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0280FA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2B3A2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SCB10-2500kVA</w:t>
            </w:r>
          </w:p>
        </w:tc>
      </w:tr>
      <w:tr w14:paraId="644B2A00">
        <w:tblPrEx>
          <w:tblCellMar>
            <w:top w:w="0" w:type="dxa"/>
            <w:left w:w="108" w:type="dxa"/>
            <w:bottom w:w="0" w:type="dxa"/>
            <w:right w:w="108" w:type="dxa"/>
          </w:tblCellMar>
        </w:tblPrEx>
        <w:trPr>
          <w:trHeight w:val="379" w:hRule="atLeast"/>
          <w:jc w:val="center"/>
        </w:trPr>
        <w:tc>
          <w:tcPr>
            <w:tcW w:w="952" w:type="dxa"/>
            <w:tcBorders>
              <w:top w:val="nil"/>
              <w:left w:val="single" w:color="auto" w:sz="4" w:space="0"/>
              <w:bottom w:val="single" w:color="auto" w:sz="4" w:space="0"/>
              <w:right w:val="single" w:color="auto" w:sz="4" w:space="0"/>
            </w:tcBorders>
            <w:vAlign w:val="center"/>
          </w:tcPr>
          <w:p w14:paraId="685B8C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3022" w:type="dxa"/>
            <w:tcBorders>
              <w:top w:val="nil"/>
              <w:left w:val="nil"/>
              <w:bottom w:val="single" w:color="auto" w:sz="4" w:space="0"/>
              <w:right w:val="single" w:color="auto" w:sz="4" w:space="0"/>
            </w:tcBorders>
            <w:vAlign w:val="center"/>
          </w:tcPr>
          <w:p w14:paraId="625AD4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户外刀闸</w:t>
            </w:r>
          </w:p>
        </w:tc>
        <w:tc>
          <w:tcPr>
            <w:tcW w:w="2266" w:type="dxa"/>
            <w:tcBorders>
              <w:top w:val="nil"/>
              <w:left w:val="nil"/>
              <w:bottom w:val="single" w:color="auto" w:sz="4" w:space="0"/>
              <w:right w:val="single" w:color="auto" w:sz="4" w:space="0"/>
            </w:tcBorders>
            <w:vAlign w:val="center"/>
          </w:tcPr>
          <w:p w14:paraId="71B1FC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4CF9E6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0ACE49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5306560C">
        <w:tblPrEx>
          <w:tblCellMar>
            <w:top w:w="0" w:type="dxa"/>
            <w:left w:w="108" w:type="dxa"/>
            <w:bottom w:w="0" w:type="dxa"/>
            <w:right w:w="108" w:type="dxa"/>
          </w:tblCellMar>
        </w:tblPrEx>
        <w:trPr>
          <w:trHeight w:val="378" w:hRule="atLeast"/>
          <w:jc w:val="center"/>
        </w:trPr>
        <w:tc>
          <w:tcPr>
            <w:tcW w:w="952" w:type="dxa"/>
            <w:tcBorders>
              <w:top w:val="nil"/>
              <w:left w:val="single" w:color="auto" w:sz="4" w:space="0"/>
              <w:bottom w:val="single" w:color="auto" w:sz="4" w:space="0"/>
              <w:right w:val="single" w:color="auto" w:sz="4" w:space="0"/>
            </w:tcBorders>
            <w:vAlign w:val="center"/>
          </w:tcPr>
          <w:p w14:paraId="358B6D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3022" w:type="dxa"/>
            <w:tcBorders>
              <w:top w:val="nil"/>
              <w:left w:val="nil"/>
              <w:bottom w:val="single" w:color="auto" w:sz="4" w:space="0"/>
              <w:right w:val="single" w:color="auto" w:sz="4" w:space="0"/>
            </w:tcBorders>
            <w:vAlign w:val="center"/>
          </w:tcPr>
          <w:p w14:paraId="7104ED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避雷器</w:t>
            </w:r>
          </w:p>
        </w:tc>
        <w:tc>
          <w:tcPr>
            <w:tcW w:w="2266" w:type="dxa"/>
            <w:tcBorders>
              <w:top w:val="nil"/>
              <w:left w:val="nil"/>
              <w:bottom w:val="single" w:color="auto" w:sz="4" w:space="0"/>
              <w:right w:val="single" w:color="auto" w:sz="4" w:space="0"/>
            </w:tcBorders>
            <w:vAlign w:val="center"/>
          </w:tcPr>
          <w:p w14:paraId="7F2D46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07F3CB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6EA162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EE7F818">
        <w:tblPrEx>
          <w:tblCellMar>
            <w:top w:w="0" w:type="dxa"/>
            <w:left w:w="108" w:type="dxa"/>
            <w:bottom w:w="0" w:type="dxa"/>
            <w:right w:w="108" w:type="dxa"/>
          </w:tblCellMar>
        </w:tblPrEx>
        <w:trPr>
          <w:trHeight w:val="357" w:hRule="atLeast"/>
          <w:jc w:val="center"/>
        </w:trPr>
        <w:tc>
          <w:tcPr>
            <w:tcW w:w="952" w:type="dxa"/>
            <w:tcBorders>
              <w:top w:val="nil"/>
              <w:left w:val="single" w:color="auto" w:sz="4" w:space="0"/>
              <w:bottom w:val="single" w:color="auto" w:sz="4" w:space="0"/>
              <w:right w:val="single" w:color="auto" w:sz="4" w:space="0"/>
            </w:tcBorders>
            <w:vAlign w:val="center"/>
          </w:tcPr>
          <w:p w14:paraId="66C365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3022" w:type="dxa"/>
            <w:tcBorders>
              <w:top w:val="nil"/>
              <w:left w:val="nil"/>
              <w:bottom w:val="single" w:color="auto" w:sz="4" w:space="0"/>
              <w:right w:val="single" w:color="auto" w:sz="4" w:space="0"/>
            </w:tcBorders>
            <w:vAlign w:val="center"/>
          </w:tcPr>
          <w:p w14:paraId="27318F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引落线</w:t>
            </w:r>
          </w:p>
        </w:tc>
        <w:tc>
          <w:tcPr>
            <w:tcW w:w="2266" w:type="dxa"/>
            <w:tcBorders>
              <w:top w:val="nil"/>
              <w:left w:val="nil"/>
              <w:bottom w:val="single" w:color="auto" w:sz="4" w:space="0"/>
              <w:right w:val="single" w:color="auto" w:sz="4" w:space="0"/>
            </w:tcBorders>
            <w:vAlign w:val="center"/>
          </w:tcPr>
          <w:p w14:paraId="4AF0C3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3D8DA1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5052CD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FDD0D97">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2E115C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3022" w:type="dxa"/>
            <w:tcBorders>
              <w:top w:val="nil"/>
              <w:left w:val="nil"/>
              <w:bottom w:val="single" w:color="auto" w:sz="4" w:space="0"/>
              <w:right w:val="single" w:color="auto" w:sz="4" w:space="0"/>
            </w:tcBorders>
            <w:vAlign w:val="center"/>
          </w:tcPr>
          <w:p w14:paraId="67A86C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柱上负荷开关</w:t>
            </w:r>
          </w:p>
        </w:tc>
        <w:tc>
          <w:tcPr>
            <w:tcW w:w="2266" w:type="dxa"/>
            <w:tcBorders>
              <w:top w:val="nil"/>
              <w:left w:val="nil"/>
              <w:bottom w:val="single" w:color="auto" w:sz="4" w:space="0"/>
              <w:right w:val="single" w:color="auto" w:sz="4" w:space="0"/>
            </w:tcBorders>
            <w:vAlign w:val="center"/>
          </w:tcPr>
          <w:p w14:paraId="1864B9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4554ED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29E344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8139309">
        <w:tblPrEx>
          <w:tblCellMar>
            <w:top w:w="0" w:type="dxa"/>
            <w:left w:w="108" w:type="dxa"/>
            <w:bottom w:w="0" w:type="dxa"/>
            <w:right w:w="108" w:type="dxa"/>
          </w:tblCellMar>
        </w:tblPrEx>
        <w:trPr>
          <w:trHeight w:val="387" w:hRule="atLeast"/>
          <w:jc w:val="center"/>
        </w:trPr>
        <w:tc>
          <w:tcPr>
            <w:tcW w:w="952" w:type="dxa"/>
            <w:tcBorders>
              <w:top w:val="nil"/>
              <w:left w:val="single" w:color="auto" w:sz="4" w:space="0"/>
              <w:bottom w:val="single" w:color="auto" w:sz="4" w:space="0"/>
              <w:right w:val="single" w:color="auto" w:sz="4" w:space="0"/>
            </w:tcBorders>
            <w:vAlign w:val="center"/>
          </w:tcPr>
          <w:p w14:paraId="7722FD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3022" w:type="dxa"/>
            <w:tcBorders>
              <w:top w:val="nil"/>
              <w:left w:val="nil"/>
              <w:bottom w:val="single" w:color="auto" w:sz="4" w:space="0"/>
              <w:right w:val="single" w:color="auto" w:sz="4" w:space="0"/>
            </w:tcBorders>
            <w:vAlign w:val="center"/>
          </w:tcPr>
          <w:p w14:paraId="1C0280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接地网</w:t>
            </w:r>
          </w:p>
        </w:tc>
        <w:tc>
          <w:tcPr>
            <w:tcW w:w="2266" w:type="dxa"/>
            <w:tcBorders>
              <w:top w:val="nil"/>
              <w:left w:val="nil"/>
              <w:bottom w:val="single" w:color="auto" w:sz="4" w:space="0"/>
              <w:right w:val="single" w:color="auto" w:sz="4" w:space="0"/>
            </w:tcBorders>
            <w:vAlign w:val="center"/>
          </w:tcPr>
          <w:p w14:paraId="5FFA21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系统</w:t>
            </w:r>
          </w:p>
        </w:tc>
        <w:tc>
          <w:tcPr>
            <w:tcW w:w="1700" w:type="dxa"/>
            <w:tcBorders>
              <w:top w:val="nil"/>
              <w:left w:val="nil"/>
              <w:bottom w:val="single" w:color="auto" w:sz="4" w:space="0"/>
              <w:right w:val="single" w:color="auto" w:sz="4" w:space="0"/>
            </w:tcBorders>
            <w:vAlign w:val="center"/>
          </w:tcPr>
          <w:p w14:paraId="69FE11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07FDE2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bl>
    <w:p w14:paraId="16A8FE45">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color w:val="auto"/>
          <w:sz w:val="21"/>
          <w:szCs w:val="21"/>
        </w:rPr>
        <w:t xml:space="preserve">第二条  </w:t>
      </w:r>
      <w:r>
        <w:rPr>
          <w:rFonts w:hint="eastAsia" w:ascii="宋体" w:hAnsi="宋体" w:eastAsia="宋体" w:cs="宋体"/>
          <w:b/>
          <w:bCs/>
          <w:color w:val="auto"/>
          <w:sz w:val="21"/>
          <w:szCs w:val="21"/>
        </w:rPr>
        <w:t>合同</w:t>
      </w:r>
      <w:r>
        <w:rPr>
          <w:rFonts w:hint="eastAsia" w:ascii="宋体" w:hAnsi="宋体" w:eastAsia="宋体" w:cs="宋体"/>
          <w:b/>
          <w:color w:val="auto"/>
          <w:sz w:val="21"/>
          <w:szCs w:val="21"/>
        </w:rPr>
        <w:t>金额</w:t>
      </w:r>
    </w:p>
    <w:p w14:paraId="3C1251B5">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val="0"/>
          <w:bCs w:val="0"/>
          <w:i w:val="0"/>
          <w:iCs w:val="0"/>
          <w:caps w:val="0"/>
          <w:color w:val="auto"/>
          <w:spacing w:val="0"/>
          <w:kern w:val="0"/>
          <w:sz w:val="21"/>
          <w:szCs w:val="21"/>
          <w:u w:val="none"/>
          <w:shd w:val="clear"/>
          <w:lang w:val="en-US" w:eastAsia="zh-CN"/>
        </w:rPr>
        <w:t>（一）合同总价为大写人民币</w:t>
      </w:r>
      <w:r>
        <w:rPr>
          <w:rFonts w:hint="eastAsia" w:ascii="宋体" w:hAnsi="宋体" w:eastAsia="宋体" w:cs="宋体"/>
          <w:b w:val="0"/>
          <w:bCs w:val="0"/>
          <w:i w:val="0"/>
          <w:iCs w:val="0"/>
          <w:caps w:val="0"/>
          <w:color w:val="auto"/>
          <w:spacing w:val="0"/>
          <w:kern w:val="0"/>
          <w:sz w:val="21"/>
          <w:szCs w:val="21"/>
          <w:u w:val="single"/>
          <w:shd w:val="clear"/>
          <w:lang w:val="en-US" w:eastAsia="zh-CN"/>
        </w:rPr>
        <w:t xml:space="preserve">    </w:t>
      </w:r>
      <w:r>
        <w:rPr>
          <w:rFonts w:hint="eastAsia" w:ascii="宋体" w:hAnsi="宋体" w:eastAsia="宋体" w:cs="宋体"/>
          <w:b w:val="0"/>
          <w:bCs w:val="0"/>
          <w:i w:val="0"/>
          <w:iCs w:val="0"/>
          <w:caps w:val="0"/>
          <w:color w:val="auto"/>
          <w:spacing w:val="0"/>
          <w:kern w:val="0"/>
          <w:sz w:val="21"/>
          <w:szCs w:val="21"/>
          <w:u w:val="none"/>
          <w:shd w:val="clear"/>
          <w:lang w:val="en-US" w:eastAsia="zh-CN"/>
        </w:rPr>
        <w:t>元整（¥00.00）。</w:t>
      </w:r>
    </w:p>
    <w:p w14:paraId="188ED29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val="0"/>
          <w:bCs w:val="0"/>
          <w:i w:val="0"/>
          <w:iCs w:val="0"/>
          <w:caps w:val="0"/>
          <w:color w:val="auto"/>
          <w:spacing w:val="0"/>
          <w:kern w:val="0"/>
          <w:sz w:val="21"/>
          <w:szCs w:val="21"/>
          <w:u w:val="none"/>
          <w:shd w:val="clear"/>
          <w:lang w:val="en-US" w:eastAsia="zh-CN"/>
        </w:rPr>
        <w:t>（二）费用包含但不限于各种税费、投入人员的工资、现场勘察、每年预防性试验、各项可预见和不可预见等完成本采购内容所需的全部费用。如果乙方在合同履行过程中，出现任何遗漏或修改内容而产生额外费用，均由乙方承担，甲方将不再另行支付任何费用。</w:t>
      </w:r>
    </w:p>
    <w:p w14:paraId="14D1091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bCs/>
          <w:i w:val="0"/>
          <w:iCs w:val="0"/>
          <w:caps w:val="0"/>
          <w:color w:val="auto"/>
          <w:spacing w:val="0"/>
          <w:kern w:val="0"/>
          <w:sz w:val="21"/>
          <w:szCs w:val="21"/>
          <w:u w:val="none"/>
          <w:shd w:val="clear"/>
          <w:lang w:val="en-US" w:eastAsia="zh-CN"/>
        </w:rPr>
      </w:pPr>
      <w:r>
        <w:rPr>
          <w:rFonts w:hint="eastAsia" w:ascii="宋体" w:hAnsi="宋体" w:eastAsia="宋体" w:cs="宋体"/>
          <w:b/>
          <w:bCs/>
          <w:i w:val="0"/>
          <w:iCs w:val="0"/>
          <w:caps w:val="0"/>
          <w:color w:val="auto"/>
          <w:spacing w:val="0"/>
          <w:kern w:val="0"/>
          <w:sz w:val="21"/>
          <w:szCs w:val="21"/>
          <w:u w:val="none"/>
          <w:shd w:val="clear"/>
          <w:lang w:val="en-US" w:eastAsia="zh-CN"/>
        </w:rPr>
        <w:t>第三条 付款方式</w:t>
      </w:r>
    </w:p>
    <w:p w14:paraId="46BF8D62">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bCs/>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（一）服务期每满一年，甲方支付合同总额1/3的服务费用给乙方。乙方于每年最后15个工作日内向甲方提供正规全额发票，甲方收到发票并核对无误后，以银行转账方式在30天内支付完成。</w:t>
      </w:r>
      <w:r>
        <w:rPr>
          <w:rFonts w:hint="eastAsia" w:ascii="宋体" w:hAnsi="宋体" w:eastAsia="宋体" w:cs="宋体"/>
          <w:b/>
          <w:bCs/>
          <w:i w:val="0"/>
          <w:iCs w:val="0"/>
          <w:caps w:val="0"/>
          <w:color w:val="auto"/>
          <w:spacing w:val="0"/>
          <w:kern w:val="0"/>
          <w:sz w:val="21"/>
          <w:szCs w:val="21"/>
          <w:u w:val="none"/>
          <w:shd w:val="clear"/>
          <w:lang w:val="en-US" w:eastAsia="zh-CN"/>
        </w:rPr>
        <w:t>（若乙方为中小企业的，甲方核对无误后，在15天内支付服务费）</w:t>
      </w:r>
    </w:p>
    <w:p w14:paraId="6E77DB7E">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（二）如遇节假日或不可抗拒原因，支付日期可顺延。</w:t>
      </w:r>
    </w:p>
    <w:p w14:paraId="51E35CD7">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（三）若乙方未及时提供有效等额的发票等原因，导致延迟付款的，后果由乙方承担，甲方不承担任何逾期付款的责任。</w:t>
      </w:r>
    </w:p>
    <w:p w14:paraId="5B708119">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（四）代管电气设备设施项目范围外的其他电气设备的维护、检修和改造服务费用，每次再由双方协商确定，费用另行支付。</w:t>
      </w:r>
    </w:p>
    <w:p w14:paraId="22BAE5A0">
      <w:pPr>
        <w:pStyle w:val="49"/>
        <w:keepNext w:val="0"/>
        <w:keepLines w:val="0"/>
        <w:pageBreakBefore w:val="0"/>
        <w:kinsoku/>
        <w:wordWrap/>
        <w:overflowPunct/>
        <w:topLinePunct w:val="0"/>
        <w:bidi w:val="0"/>
        <w:adjustRightInd/>
        <w:snapToGrid/>
        <w:spacing w:after="120" w:line="400" w:lineRule="exact"/>
        <w:ind w:firstLine="422"/>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合同组成</w:t>
      </w:r>
    </w:p>
    <w:p w14:paraId="6AE0F878">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（一）合同文件组成内容包括：本合同书、采购文件、响应文件等均为合同的有效组成部分，并纳入本合同条款内容，与本合同具有同等法律效力。</w:t>
      </w:r>
    </w:p>
    <w:p w14:paraId="3B2FCEDE">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（二）在协商和执行本合同的过程中，所有经双方签署确认的文件（包括会议纪要、补充协议、往来信函）也可成为本合同的有效组成部分。</w:t>
      </w:r>
    </w:p>
    <w:p w14:paraId="581B9724">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（三）以上若不同文件之间有冲突的，适用有利于甲方的条款。</w:t>
      </w:r>
    </w:p>
    <w:p w14:paraId="6031F86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服务期</w:t>
      </w:r>
    </w:p>
    <w:p w14:paraId="5726BB5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（一）服务期：三年，自2026年4月1日起计算。</w:t>
      </w:r>
    </w:p>
    <w:p w14:paraId="6E75BDF6">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（二）服务期内，如甲方因业务调整，不再需要维护服务，甲方有权提前终止合同，且不需承担违约责任。</w:t>
      </w:r>
    </w:p>
    <w:p w14:paraId="29263E9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b/>
          <w:color w:val="auto"/>
          <w:kern w:val="0"/>
          <w:sz w:val="21"/>
          <w:szCs w:val="21"/>
          <w:lang w:val="en-US" w:eastAsia="zh-CN"/>
        </w:rPr>
        <w:t>第</w:t>
      </w:r>
      <w:r>
        <w:rPr>
          <w:rFonts w:hint="eastAsia" w:ascii="宋体" w:hAnsi="宋体" w:cs="宋体"/>
          <w:b/>
          <w:color w:val="auto"/>
          <w:kern w:val="0"/>
          <w:sz w:val="21"/>
          <w:szCs w:val="21"/>
          <w:lang w:val="en-US" w:eastAsia="zh-CN"/>
        </w:rPr>
        <w:t>六</w:t>
      </w:r>
      <w:r>
        <w:rPr>
          <w:rFonts w:hint="eastAsia" w:ascii="宋体" w:hAnsi="宋体" w:eastAsia="宋体" w:cs="宋体"/>
          <w:b/>
          <w:color w:val="auto"/>
          <w:kern w:val="0"/>
          <w:sz w:val="21"/>
          <w:szCs w:val="21"/>
          <w:lang w:val="en-US" w:eastAsia="zh-CN"/>
        </w:rPr>
        <w:t xml:space="preserve">条 </w:t>
      </w:r>
      <w:r>
        <w:rPr>
          <w:rFonts w:hint="eastAsia" w:ascii="宋体" w:hAnsi="宋体" w:cs="宋体"/>
          <w:b/>
          <w:color w:val="auto"/>
          <w:kern w:val="0"/>
          <w:sz w:val="21"/>
          <w:szCs w:val="21"/>
          <w:lang w:val="en-US" w:eastAsia="zh-CN"/>
        </w:rPr>
        <w:t>服务内容</w:t>
      </w:r>
      <w:r>
        <w:rPr>
          <w:rFonts w:hint="eastAsia" w:ascii="宋体" w:hAnsi="宋体" w:eastAsia="宋体" w:cs="宋体"/>
          <w:b/>
          <w:color w:val="auto"/>
          <w:kern w:val="0"/>
          <w:sz w:val="21"/>
          <w:szCs w:val="21"/>
          <w:lang w:val="en-US" w:eastAsia="zh-CN"/>
        </w:rPr>
        <w:t>（参照用户需求对应内容，具体根据乙方响应情况调整）</w:t>
      </w:r>
    </w:p>
    <w:p w14:paraId="43BEF0D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（一）乙方对甲方执行有关的电力法规、政策、规程和正确、安全用电等具有建议权。</w:t>
      </w:r>
    </w:p>
    <w:p w14:paraId="4731912B">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（二）根据有关法律、法规、政策和本合同的规定，自主开展各项管理活动。乙方每月</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none"/>
          <w:lang w:val="en-US" w:eastAsia="zh-CN"/>
        </w:rPr>
        <w:t>次对代管范围内的电气设备进行巡视维护，建立代管电气设备设施的管理档案，定期向甲方报送《设备运行报告》。</w:t>
      </w:r>
    </w:p>
    <w:p w14:paraId="283FCF18">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（三）乙方每年为代管范围内的电气设备按国家规范进行1次预防性试验(检测)，并提交《试验报告》，内容需包含测试数据、分析结论及处理建议。</w:t>
      </w:r>
    </w:p>
    <w:p w14:paraId="3ADD2E1A">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（四）乙方每年为甲方的高压绝缘杆、高压验电笔、高压绝缘靴及高压绝缘手套做预防性试验，并取得合格报告。</w:t>
      </w:r>
    </w:p>
    <w:p w14:paraId="2E2043A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（五）乙方每年进行1次停电保养，与停电试验同时进行。</w:t>
      </w:r>
    </w:p>
    <w:p w14:paraId="348E82F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六）乙方提供7×24小时故障受理服务，一般故障下在接到甲方通知后2小时内到达现场，紧急故障下在接到甲方通知后1小时内到达现场，根据实际情况安排故障检修并协助甲方恢复用电。对维保期内已发生的电力故障或事故，需提供书面的事后《技术分析评估报告》，进行定量技术分析，明确故障原因、影响范围，并提出改进措施与预防建议。</w:t>
      </w:r>
    </w:p>
    <w:p w14:paraId="287B6C1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（七）合同期内免人工费为甲方的高、低压电房、变压器室、电气设施进行故障检修、规范保养和维护，进行高压设备的停、送电操作。在巡查、检测、抢修中发现的设备线</w:t>
      </w:r>
      <w:r>
        <w:rPr>
          <w:rFonts w:hint="eastAsia" w:ascii="宋体" w:hAnsi="宋体" w:cs="宋体"/>
          <w:color w:val="auto"/>
          <w:kern w:val="0"/>
          <w:sz w:val="21"/>
          <w:szCs w:val="21"/>
          <w:u w:val="none"/>
          <w:lang w:val="en-US" w:eastAsia="zh-CN"/>
        </w:rPr>
        <w:t>路</w:t>
      </w:r>
      <w:r>
        <w:rPr>
          <w:rFonts w:hint="eastAsia" w:ascii="宋体" w:hAnsi="宋体" w:eastAsia="宋体" w:cs="宋体"/>
          <w:color w:val="auto"/>
          <w:kern w:val="0"/>
          <w:sz w:val="21"/>
          <w:szCs w:val="21"/>
          <w:u w:val="none"/>
          <w:lang w:val="en-US" w:eastAsia="zh-CN"/>
        </w:rPr>
        <w:t>异常或故障，乙方需先向甲方书面提交维修方案及报价单，在获得甲方同意后方可按方案进行维修。</w:t>
      </w:r>
    </w:p>
    <w:p w14:paraId="18EDE34A">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（八）乙方不得擅自改变代管电气设备设施的使用功能，如需改建、扩建及完善配套项目，须经甲方同意后方可实施。</w:t>
      </w:r>
    </w:p>
    <w:p w14:paraId="265F7038">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（九）根据甲方的需要，乙方为甲方制定最佳用电方案，特殊情况下的保供电方案和故障应急方案。</w:t>
      </w:r>
    </w:p>
    <w:p w14:paraId="43CB8BEF">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（十）乙方接受地方电力主管部门的监督和管理，接受甲方的监督和检查。</w:t>
      </w:r>
    </w:p>
    <w:p w14:paraId="7819CCB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（十一）乙方必须根据电力线路(设备)运行维护有关法律法规、行业标准、技术规范的规定，做好维保工作。</w:t>
      </w:r>
    </w:p>
    <w:p w14:paraId="7E48C42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（十二）非甲方工作生产区域内的治安管理原因，乙方承担本单位的工作人员在甲方工作生产区域内的人身安全责任。</w:t>
      </w:r>
    </w:p>
    <w:p w14:paraId="7837BE5A">
      <w:pPr>
        <w:widowControl/>
        <w:numPr>
          <w:ilvl w:val="0"/>
          <w:numId w:val="0"/>
        </w:numPr>
        <w:spacing w:line="360" w:lineRule="auto"/>
        <w:ind w:leftChars="0"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七</w:t>
      </w:r>
      <w:r>
        <w:rPr>
          <w:rFonts w:hint="eastAsia" w:ascii="宋体" w:hAnsi="宋体" w:eastAsia="宋体" w:cs="宋体"/>
          <w:b/>
          <w:color w:val="auto"/>
          <w:sz w:val="21"/>
          <w:szCs w:val="21"/>
        </w:rPr>
        <w:t>条 双方的权利与义务</w:t>
      </w:r>
    </w:p>
    <w:p w14:paraId="67CDF4B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（一）甲方的权利和义务</w:t>
      </w:r>
    </w:p>
    <w:p w14:paraId="1464D7E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1.有权对乙方的维护工作进行监督检查，并提出合理建议。</w:t>
      </w:r>
    </w:p>
    <w:p w14:paraId="50D7DA0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2.有权查阅乙方的巡检记录、维护报告、试验报告等资料，了解设备运行及故障处理情况。</w:t>
      </w:r>
    </w:p>
    <w:p w14:paraId="7371BF8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3.有权对乙方完成的维护、抢修等工作进行验收，对不符合要求的部分要求整改或返工。</w:t>
      </w:r>
    </w:p>
    <w:p w14:paraId="5ACAFC0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4.为乙方的维护工作提供便利和协助。</w:t>
      </w:r>
    </w:p>
    <w:p w14:paraId="14384DF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5.按照有关电力法规、政策和规程，正确、安全用电，保证电气设备设施符合相关法规、规程的标准。</w:t>
      </w:r>
    </w:p>
    <w:p w14:paraId="165A009B">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6.甲方应按合同规定向乙方支付服务费用。</w:t>
      </w:r>
    </w:p>
    <w:p w14:paraId="5FFD57F5">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7.甲方应指定以下人员（姓名：    ，联系电话：      ）协助乙方做好代管设备设施的运维工作及日常运维资料交接工作。</w:t>
      </w:r>
    </w:p>
    <w:p w14:paraId="29AF69A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8.法规、政策规定由甲方承担的其他责任。</w:t>
      </w:r>
    </w:p>
    <w:p w14:paraId="5C6CC0C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（二）乙方的权利和义务</w:t>
      </w:r>
    </w:p>
    <w:p w14:paraId="494E9537">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1.按合同约定收取维护服务费用。</w:t>
      </w:r>
    </w:p>
    <w:p w14:paraId="478AFD71">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2.在巡检中发现重大隐患时，如需重大维修、改造项目，有权提出专业方案及费用预算供甲方决策。</w:t>
      </w:r>
    </w:p>
    <w:p w14:paraId="5C90605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3.不得擅自改变代管电气设备设施的使用功能，如需改建、扩建及完善配套项目，须经甲方同意后方可实施。</w:t>
      </w:r>
    </w:p>
    <w:p w14:paraId="1493504F">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4.乙方需派遣持证上岗的专业技术人员提供服务，配电房维保人员必须持有相应类别的特种作业操作证（电工作业），证书需在有效期内并定期复审。</w:t>
      </w:r>
    </w:p>
    <w:p w14:paraId="201E7A7C">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5.按合同约定的范围、内容和周期（如巡检频次、预防性试验周期等）提供服务。</w:t>
      </w:r>
    </w:p>
    <w:p w14:paraId="3C8B9F63">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6.遵守安全操作规程，落实安全措施，对作业现场的安全负责，承担工作生产区域内的人身安全责任。</w:t>
      </w:r>
    </w:p>
    <w:p w14:paraId="795143E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7.隐患告知：发现安全隐患时，立即书面通知甲方并提出整改建议。</w:t>
      </w:r>
    </w:p>
    <w:p w14:paraId="49F60CB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8.维修更换的备件、材料须符合国家及行业标准，因使用不合格产品导致的损失由乙方承担。</w:t>
      </w:r>
    </w:p>
    <w:p w14:paraId="5E8CF2B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9.对在服务中获知的甲方商业秘密和技术资料予以保密。</w:t>
      </w:r>
    </w:p>
    <w:p w14:paraId="207D9229">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10.根据甲方的需要，为甲方制定最佳用电方案，特殊情况下的保供电方案和故障应急方案。</w:t>
      </w:r>
    </w:p>
    <w:p w14:paraId="03E4A6B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11.接受地方电力主管部门的监督和管理，接受甲方的监督和检查。</w:t>
      </w:r>
    </w:p>
    <w:p w14:paraId="657A880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12.乙方履行本合同的指定项目经理（联系人）为 【 】；身份证号码：【】；职务：【】；联系电话【】。在履行合同过程中，该指定项目经理（联系人）的行为、意思表示及对甲方所作的任何承诺、通知等，都对乙方直接具有约束力；甲方通知送达该联系人及授权代表时，即视为通知送达乙方。</w:t>
      </w:r>
    </w:p>
    <w:p w14:paraId="47D65F02">
      <w:pPr>
        <w:numPr>
          <w:ilvl w:val="0"/>
          <w:numId w:val="0"/>
        </w:numPr>
        <w:spacing w:line="360" w:lineRule="auto"/>
        <w:ind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u w:val="none"/>
          <w:lang w:val="en-US" w:eastAsia="zh-CN"/>
        </w:rPr>
        <w:t>13.乙方须接受甲方的履约评价。</w:t>
      </w:r>
    </w:p>
    <w:p w14:paraId="7AFA15D2">
      <w:pPr>
        <w:pStyle w:val="49"/>
        <w:spacing w:after="120" w:line="400" w:lineRule="exact"/>
        <w:ind w:firstLine="420"/>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条 违约责任与赔偿损失</w:t>
      </w:r>
    </w:p>
    <w:p w14:paraId="7F4EA190">
      <w:pPr>
        <w:widowControl/>
        <w:numPr>
          <w:ilvl w:val="0"/>
          <w:numId w:val="0"/>
        </w:numPr>
        <w:spacing w:line="360" w:lineRule="auto"/>
        <w:ind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（一）乙方违约责任与赔偿损失</w:t>
      </w:r>
    </w:p>
    <w:p w14:paraId="323820F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rPr>
        <w:t>1. 除依本合同约定外，</w:t>
      </w:r>
      <w:r>
        <w:rPr>
          <w:rFonts w:hint="eastAsia" w:ascii="宋体" w:hAnsi="宋体" w:cs="宋体"/>
          <w:color w:val="auto"/>
          <w:kern w:val="2"/>
          <w:sz w:val="21"/>
          <w:szCs w:val="21"/>
          <w:u w:val="none"/>
          <w:lang w:val="en-US" w:eastAsia="zh-CN"/>
        </w:rPr>
        <w:t>乙</w:t>
      </w:r>
      <w:r>
        <w:rPr>
          <w:rFonts w:hint="eastAsia" w:ascii="宋体" w:hAnsi="宋体" w:eastAsia="宋体" w:cs="宋体"/>
          <w:color w:val="auto"/>
          <w:kern w:val="2"/>
          <w:sz w:val="21"/>
          <w:szCs w:val="21"/>
          <w:u w:val="none"/>
          <w:lang w:val="en-US" w:eastAsia="zh-CN"/>
        </w:rPr>
        <w:t>方单方面解除合同，应向</w:t>
      </w:r>
      <w:r>
        <w:rPr>
          <w:rFonts w:hint="eastAsia" w:ascii="宋体" w:hAnsi="宋体" w:cs="宋体"/>
          <w:color w:val="auto"/>
          <w:kern w:val="2"/>
          <w:sz w:val="21"/>
          <w:szCs w:val="21"/>
          <w:u w:val="none"/>
          <w:lang w:val="en-US" w:eastAsia="zh-CN"/>
        </w:rPr>
        <w:t>甲</w:t>
      </w:r>
      <w:r>
        <w:rPr>
          <w:rFonts w:hint="eastAsia" w:ascii="宋体" w:hAnsi="宋体" w:eastAsia="宋体" w:cs="宋体"/>
          <w:color w:val="auto"/>
          <w:kern w:val="2"/>
          <w:sz w:val="21"/>
          <w:szCs w:val="21"/>
          <w:u w:val="none"/>
          <w:lang w:val="en-US" w:eastAsia="zh-CN"/>
        </w:rPr>
        <w:t>方支付合同总金额20%的违约金。</w:t>
      </w:r>
    </w:p>
    <w:p w14:paraId="0A9ABFF9">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eastAsia="宋体" w:cs="宋体"/>
          <w:color w:val="auto"/>
          <w:kern w:val="2"/>
          <w:sz w:val="21"/>
          <w:szCs w:val="21"/>
          <w:u w:val="none"/>
          <w:lang w:val="en-US" w:eastAsia="zh-CN" w:bidi="ar"/>
        </w:rPr>
        <w:t>1.乙方未按合同约定的内容、频次、标准提供维护服务，或服务质量不符合国家及行业相关标准的，甲方有权要求乙方限期整改；乙方逾期未整改或整改后仍不符合要求的，甲方有权扣减相应服务费用，并要求乙方按该部分服务费的20%支付违约金。</w:t>
      </w:r>
      <w:r>
        <w:rPr>
          <w:rFonts w:hint="eastAsia" w:ascii="宋体" w:hAnsi="宋体" w:eastAsia="宋体" w:cs="宋体"/>
          <w:color w:val="auto"/>
          <w:kern w:val="2"/>
          <w:sz w:val="21"/>
          <w:szCs w:val="21"/>
          <w:u w:val="none"/>
          <w:lang w:val="en-US" w:eastAsia="zh-CN"/>
        </w:rPr>
        <w:t>若违约金不足以弥补损失，乙方仍应补足。</w:t>
      </w:r>
    </w:p>
    <w:p w14:paraId="5CC1B482">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2.</w:t>
      </w:r>
      <w:r>
        <w:rPr>
          <w:rFonts w:hint="eastAsia" w:ascii="宋体" w:hAnsi="宋体" w:eastAsia="宋体" w:cs="宋体"/>
          <w:color w:val="auto"/>
          <w:kern w:val="2"/>
          <w:sz w:val="21"/>
          <w:szCs w:val="21"/>
          <w:u w:val="none"/>
          <w:lang w:val="en-US" w:eastAsia="zh-CN" w:bidi="ar"/>
        </w:rPr>
        <w:t>乙方未按合同约定的周期完成巡检、预防性试验等工作，每逾期一次，应向甲方支付违约金人民币10000 元；因巡检、维保不到位导致设备发生故障或安全隐患的，乙方应承担维修、更换费用及由此给甲方造成的直接经济损失。</w:t>
      </w:r>
    </w:p>
    <w:p w14:paraId="6756D64E">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eastAsia="宋体" w:cs="宋体"/>
          <w:color w:val="auto"/>
          <w:kern w:val="2"/>
          <w:sz w:val="21"/>
          <w:szCs w:val="21"/>
          <w:u w:val="none"/>
          <w:lang w:val="en-US" w:eastAsia="zh-CN" w:bidi="ar"/>
        </w:rPr>
        <w:t>3.乙方未按合同约定的时限到达现场处理故障的，每逾期一次，应向甲方支付违约金人民币10000元；因响应或抢修严重延误导致停电时间延长、生产中断或扩大损失的，乙方应就扩大的损失承担赔偿责任。</w:t>
      </w:r>
    </w:p>
    <w:p w14:paraId="0740AF3C">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4.</w:t>
      </w:r>
      <w:r>
        <w:rPr>
          <w:rFonts w:hint="eastAsia" w:ascii="宋体" w:hAnsi="宋体" w:eastAsia="宋体" w:cs="宋体"/>
          <w:color w:val="auto"/>
          <w:kern w:val="2"/>
          <w:sz w:val="21"/>
          <w:szCs w:val="21"/>
          <w:u w:val="none"/>
          <w:lang w:val="en-US" w:eastAsia="zh-CN" w:bidi="ar"/>
        </w:rPr>
        <w:t>乙方维修、更换后的设备在正常使用条件下，在质保期内出现同一故障的，乙方应免费返修或更换，并承担由此产生的全部费用；如因此造成甲方其他损失的，乙方应予赔偿。</w:t>
      </w:r>
    </w:p>
    <w:p w14:paraId="195847B5">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cs="宋体"/>
          <w:color w:val="auto"/>
          <w:kern w:val="2"/>
          <w:sz w:val="21"/>
          <w:szCs w:val="21"/>
          <w:u w:val="none"/>
          <w:lang w:val="en-US" w:eastAsia="zh-CN"/>
        </w:rPr>
        <w:t>5</w:t>
      </w:r>
      <w:r>
        <w:rPr>
          <w:rFonts w:hint="eastAsia" w:ascii="宋体" w:hAnsi="宋体" w:cs="宋体"/>
          <w:color w:val="auto"/>
          <w:kern w:val="2"/>
          <w:sz w:val="21"/>
          <w:szCs w:val="21"/>
          <w:u w:val="none"/>
          <w:lang w:val="en-US" w:eastAsia="zh-CN" w:bidi="ar"/>
        </w:rPr>
        <w:t>.</w:t>
      </w:r>
      <w:r>
        <w:rPr>
          <w:rFonts w:hint="eastAsia" w:ascii="宋体" w:hAnsi="宋体" w:eastAsia="宋体" w:cs="宋体"/>
          <w:color w:val="auto"/>
          <w:kern w:val="2"/>
          <w:sz w:val="21"/>
          <w:szCs w:val="21"/>
          <w:u w:val="none"/>
          <w:lang w:val="en-US" w:eastAsia="zh-CN" w:bidi="ar"/>
        </w:rPr>
        <w:t>乙方在维护中使用不符合国家、行业质量标准或合同约定的材料、备件的，甲方有权要求乙方立即更换并重新验收；因此造成设备损坏或安全事故的，乙方应承担全部责任及甲方全部损失。</w:t>
      </w:r>
    </w:p>
    <w:p w14:paraId="489B8D2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Cs w:val="21"/>
          <w:u w:val="none"/>
          <w:lang w:val="en-US" w:eastAsia="zh-CN"/>
        </w:rPr>
        <w:t>6.</w:t>
      </w:r>
      <w:r>
        <w:rPr>
          <w:rFonts w:hint="eastAsia" w:ascii="宋体" w:hAnsi="宋体" w:eastAsia="宋体" w:cs="宋体"/>
          <w:color w:val="auto"/>
          <w:kern w:val="2"/>
          <w:sz w:val="21"/>
          <w:szCs w:val="21"/>
          <w:u w:val="none"/>
          <w:lang w:val="en-US" w:eastAsia="zh-CN"/>
        </w:rPr>
        <w:t>乙方或其人员在履行本合同过程中违反安全操作规程，或因过错导致人身伤亡、设备损坏、火灾、停电等事故的，由乙方承担全部法律责任和经济赔偿责任；甲方因此被追究责任的，有权向乙方全额追偿。</w:t>
      </w:r>
    </w:p>
    <w:p w14:paraId="3FE3771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7.</w:t>
      </w:r>
      <w:r>
        <w:rPr>
          <w:rFonts w:hint="eastAsia" w:ascii="宋体" w:hAnsi="宋体" w:eastAsia="宋体" w:cs="宋体"/>
          <w:color w:val="auto"/>
          <w:kern w:val="2"/>
          <w:sz w:val="21"/>
          <w:szCs w:val="21"/>
          <w:u w:val="none"/>
          <w:lang w:val="en-US" w:eastAsia="zh-CN"/>
        </w:rPr>
        <w:t>乙方不得以任何方式转包、分包本项目，否则甲方有权解除合同，乙方需支付合同总价10%的违约金，并赔偿甲方重新寻找合作方的额外费用。（如紧急采购溢价）</w:t>
      </w:r>
    </w:p>
    <w:p w14:paraId="1801B32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8.乙方</w:t>
      </w:r>
      <w:r>
        <w:rPr>
          <w:rFonts w:hint="eastAsia" w:ascii="宋体" w:hAnsi="宋体" w:eastAsia="宋体" w:cs="宋体"/>
          <w:color w:val="auto"/>
          <w:kern w:val="2"/>
          <w:sz w:val="21"/>
          <w:szCs w:val="21"/>
          <w:u w:val="none"/>
          <w:lang w:val="en-US" w:eastAsia="zh-CN"/>
        </w:rPr>
        <w:t>未按照合同约定完成服务工作的，甲方有权要求成交供应商限期整改，</w:t>
      </w:r>
      <w:r>
        <w:rPr>
          <w:rFonts w:hint="eastAsia" w:ascii="宋体" w:hAnsi="宋体" w:cs="宋体"/>
          <w:color w:val="auto"/>
          <w:kern w:val="2"/>
          <w:sz w:val="21"/>
          <w:szCs w:val="21"/>
          <w:u w:val="none"/>
          <w:lang w:val="en-US" w:eastAsia="zh-CN"/>
        </w:rPr>
        <w:t>乙方</w:t>
      </w:r>
      <w:r>
        <w:rPr>
          <w:rFonts w:hint="eastAsia" w:ascii="宋体" w:hAnsi="宋体" w:eastAsia="宋体" w:cs="宋体"/>
          <w:color w:val="auto"/>
          <w:kern w:val="2"/>
          <w:sz w:val="21"/>
          <w:szCs w:val="21"/>
          <w:u w:val="none"/>
          <w:lang w:val="en-US" w:eastAsia="zh-CN"/>
        </w:rPr>
        <w:t xml:space="preserve">超过限期仍不整改或整改不符合要求的，甲方有权单方面终止合同，不需承担由此产生的责任。 </w:t>
      </w:r>
    </w:p>
    <w:p w14:paraId="15374647">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9.乙方</w:t>
      </w:r>
      <w:r>
        <w:rPr>
          <w:rFonts w:hint="eastAsia" w:ascii="宋体" w:hAnsi="宋体" w:eastAsia="宋体" w:cs="宋体"/>
          <w:color w:val="auto"/>
          <w:kern w:val="2"/>
          <w:sz w:val="21"/>
          <w:szCs w:val="21"/>
          <w:u w:val="none"/>
          <w:lang w:val="en-US" w:eastAsia="zh-CN"/>
        </w:rPr>
        <w:t>未经甲方同意擅自改变代管电气设备设施使用功能的，甲方有权利要求恢复原状。</w:t>
      </w:r>
    </w:p>
    <w:p w14:paraId="20387B9A">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10.乙方</w:t>
      </w:r>
      <w:r>
        <w:rPr>
          <w:rFonts w:hint="eastAsia" w:ascii="宋体" w:hAnsi="宋体" w:eastAsia="宋体" w:cs="宋体"/>
          <w:color w:val="auto"/>
          <w:kern w:val="2"/>
          <w:sz w:val="21"/>
          <w:szCs w:val="21"/>
          <w:u w:val="none"/>
          <w:lang w:val="en-US" w:eastAsia="zh-CN" w:bidi="ar"/>
        </w:rPr>
        <w:t>向第三方泄露对方商业秘密、技术资料或电房运行信息的，应向对方支付违约金人民币10000元；如违约金不足以弥补对方损失的，应就差额部分继续承担赔偿责任。</w:t>
      </w:r>
    </w:p>
    <w:p w14:paraId="3ABAA7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（二）甲方违约责任与赔偿损失</w:t>
      </w:r>
    </w:p>
    <w:p w14:paraId="674CD33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甲方违反电力法规、政策和规程等用电，或对电气设备设施进行改建、扩建造成电气设备设施故障或损坏的，由甲方承担损失和责任。</w:t>
      </w:r>
    </w:p>
    <w:p w14:paraId="20214DD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2.甲方未按合同规定支付乙方报酬的，每延误一天，需按未付金额的万分之五支付利息给乙方，且承担乙方可能因此而延误服务带来的损失。</w:t>
      </w:r>
    </w:p>
    <w:p w14:paraId="35780EE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490A062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其它违约责任按照《中华人民共和国民法典》合同编相关规定处理。</w:t>
      </w:r>
    </w:p>
    <w:p w14:paraId="57DBA9DD">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w:t>
      </w: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条 争议的解决</w:t>
      </w:r>
    </w:p>
    <w:p w14:paraId="24373438">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 xml:space="preserve">签约双方在履约中发生争执和分歧，双方应通过友好协商解决，若经协商不能达成协议时，应向甲方所在地有管辖权的法院提起诉讼。受理期间，不涉及争议部分的条款，双方仍须继续履行。  </w:t>
      </w:r>
    </w:p>
    <w:p w14:paraId="173EA7DF">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第十条 不可抗力</w:t>
      </w:r>
    </w:p>
    <w:p w14:paraId="0BD33EB5">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本合同执行期间，如遇不可抗力，如战争、水灾、地震、雷击、火灾、政策法规改变等，致使代管电气设备设施损毁或本合同内容发生重大改变的，双方均有权要求解除本合同，且不需承担违约责任。</w:t>
      </w:r>
    </w:p>
    <w:p w14:paraId="26518363">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条 其它</w:t>
      </w:r>
    </w:p>
    <w:p w14:paraId="1169F482">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（一）本合同项目实施过程中所产生的软件（系统）可执行代码及其技术文档等成果的所有权由甲方享有；未经甲方许可，乙方不得提供给第三方。</w:t>
      </w:r>
    </w:p>
    <w:p w14:paraId="07F88E58">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（二）如一方地址、电话、人员有变更，应在变更当日内书面通知对方，否则，应承担相应责任。</w:t>
      </w:r>
    </w:p>
    <w:p w14:paraId="559BD01F">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（三）本合同未尽事宜，由双方协商处理。</w:t>
      </w:r>
    </w:p>
    <w:p w14:paraId="1A112005">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rPr>
        <w:t>条 合同生效</w:t>
      </w:r>
    </w:p>
    <w:p w14:paraId="7F883762">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（一）本合同在甲乙双方法定代表人或其授权代表签字并加盖公章后生效。</w:t>
      </w:r>
    </w:p>
    <w:p w14:paraId="272624CB">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（二）本合同一式  份，甲方执  份，乙方执  份。各份合同具有同等法律效力。</w:t>
      </w:r>
    </w:p>
    <w:p w14:paraId="7FED4428">
      <w:pPr>
        <w:pStyle w:val="49"/>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(以下无正文）</w:t>
      </w:r>
    </w:p>
    <w:p w14:paraId="4096C93B">
      <w:pPr>
        <w:pStyle w:val="49"/>
        <w:spacing w:line="276" w:lineRule="auto"/>
        <w:ind w:firstLine="422"/>
        <w:jc w:val="center"/>
        <w:rPr>
          <w:rFonts w:hint="eastAsia" w:ascii="宋体" w:hAnsi="宋体" w:eastAsia="宋体" w:cs="宋体"/>
          <w:b/>
          <w:color w:val="auto"/>
          <w:sz w:val="21"/>
          <w:szCs w:val="21"/>
        </w:rPr>
      </w:pPr>
    </w:p>
    <w:p w14:paraId="19CC9853">
      <w:pPr>
        <w:pStyle w:val="49"/>
        <w:spacing w:line="360" w:lineRule="auto"/>
        <w:rPr>
          <w:rFonts w:hint="eastAsia" w:ascii="宋体" w:hAnsi="宋体" w:eastAsia="宋体" w:cs="宋体"/>
          <w:b/>
          <w:color w:val="auto"/>
          <w:sz w:val="21"/>
          <w:szCs w:val="21"/>
        </w:rPr>
      </w:pPr>
    </w:p>
    <w:p w14:paraId="3963C2B8">
      <w:pPr>
        <w:pStyle w:val="49"/>
        <w:spacing w:line="360" w:lineRule="auto"/>
        <w:rPr>
          <w:rFonts w:hint="eastAsia" w:ascii="宋体" w:hAnsi="宋体" w:eastAsia="宋体" w:cs="宋体"/>
          <w:b/>
          <w:color w:val="auto"/>
          <w:sz w:val="21"/>
          <w:szCs w:val="21"/>
        </w:rPr>
      </w:pPr>
    </w:p>
    <w:p w14:paraId="48289472">
      <w:pPr>
        <w:pStyle w:val="49"/>
        <w:spacing w:line="36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甲方：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 乙方：</w:t>
      </w:r>
    </w:p>
    <w:p w14:paraId="34E5D0FE">
      <w:pPr>
        <w:pStyle w:val="49"/>
        <w:spacing w:line="360" w:lineRule="auto"/>
        <w:rPr>
          <w:rFonts w:hint="eastAsia" w:ascii="宋体" w:hAnsi="宋体" w:eastAsia="宋体" w:cs="宋体"/>
          <w:color w:val="auto"/>
          <w:sz w:val="21"/>
          <w:szCs w:val="21"/>
          <w:lang w:eastAsia="zh-CN"/>
        </w:rPr>
      </w:pPr>
    </w:p>
    <w:p w14:paraId="1F189C6E">
      <w:pPr>
        <w:pStyle w:val="49"/>
        <w:spacing w:line="360" w:lineRule="auto"/>
        <w:rPr>
          <w:rFonts w:hint="eastAsia" w:ascii="宋体" w:hAnsi="宋体" w:eastAsia="宋体" w:cs="宋体"/>
          <w:b/>
          <w:color w:val="auto"/>
          <w:sz w:val="21"/>
          <w:szCs w:val="21"/>
        </w:rPr>
      </w:pPr>
    </w:p>
    <w:p w14:paraId="084F5F70">
      <w:pPr>
        <w:pStyle w:val="49"/>
        <w:spacing w:line="36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法定代表人或授权代表（签字）：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法定代表人或授权代表（签字）：</w:t>
      </w:r>
    </w:p>
    <w:p w14:paraId="1AE272FA">
      <w:pPr>
        <w:pStyle w:val="49"/>
        <w:spacing w:line="360" w:lineRule="auto"/>
        <w:rPr>
          <w:rFonts w:hint="eastAsia" w:ascii="宋体" w:hAnsi="宋体" w:eastAsia="宋体" w:cs="宋体"/>
          <w:color w:val="auto"/>
          <w:sz w:val="21"/>
          <w:szCs w:val="21"/>
          <w:lang w:eastAsia="zh-CN"/>
        </w:rPr>
      </w:pPr>
    </w:p>
    <w:p w14:paraId="4D9FAE52">
      <w:pPr>
        <w:pStyle w:val="49"/>
        <w:spacing w:line="360" w:lineRule="auto"/>
        <w:rPr>
          <w:rFonts w:hint="eastAsia" w:ascii="宋体" w:hAnsi="宋体" w:eastAsia="宋体" w:cs="宋体"/>
          <w:color w:val="auto"/>
          <w:sz w:val="21"/>
          <w:szCs w:val="21"/>
          <w:lang w:eastAsia="zh-CN"/>
        </w:rPr>
      </w:pPr>
    </w:p>
    <w:p w14:paraId="355D0743">
      <w:pPr>
        <w:pStyle w:val="49"/>
        <w:spacing w:line="360" w:lineRule="auto"/>
        <w:rPr>
          <w:rFonts w:hint="eastAsia" w:ascii="宋体" w:hAnsi="宋体" w:eastAsia="宋体" w:cs="宋体"/>
          <w:color w:val="auto"/>
          <w:sz w:val="21"/>
          <w:szCs w:val="21"/>
          <w:lang w:eastAsia="zh-CN"/>
        </w:rPr>
      </w:pPr>
    </w:p>
    <w:p w14:paraId="3B167D47">
      <w:pPr>
        <w:pStyle w:val="49"/>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日期：</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                      日期：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w:t>
      </w:r>
    </w:p>
    <w:p w14:paraId="459F95EB">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auto"/>
          <w:sz w:val="21"/>
          <w:szCs w:val="21"/>
        </w:rPr>
      </w:pPr>
    </w:p>
    <w:p w14:paraId="59CDFC1C">
      <w:pPr>
        <w:jc w:val="center"/>
        <w:outlineLvl w:val="0"/>
        <w:rPr>
          <w:rFonts w:hint="eastAsia" w:ascii="宋体" w:hAnsi="宋体" w:eastAsia="宋体" w:cs="Times New Roman"/>
          <w:b/>
          <w:bCs/>
          <w:color w:val="auto"/>
          <w:kern w:val="2"/>
          <w:sz w:val="28"/>
          <w:szCs w:val="28"/>
          <w:highlight w:val="none"/>
          <w:lang w:val="en-US" w:eastAsia="zh-CN" w:bidi="ar-SA"/>
        </w:rPr>
      </w:pPr>
    </w:p>
    <w:p w14:paraId="484BE12C">
      <w:pPr>
        <w:jc w:val="center"/>
        <w:outlineLvl w:val="0"/>
        <w:rPr>
          <w:rFonts w:hint="eastAsia" w:ascii="宋体" w:hAnsi="宋体" w:eastAsia="宋体" w:cs="Times New Roman"/>
          <w:b/>
          <w:bCs/>
          <w:color w:val="auto"/>
          <w:kern w:val="2"/>
          <w:sz w:val="28"/>
          <w:szCs w:val="28"/>
          <w:highlight w:val="none"/>
          <w:lang w:val="en-US" w:eastAsia="zh-CN" w:bidi="ar-SA"/>
        </w:rPr>
      </w:pPr>
    </w:p>
    <w:p w14:paraId="35700E58">
      <w:pPr>
        <w:jc w:val="center"/>
        <w:outlineLvl w:val="0"/>
        <w:rPr>
          <w:rFonts w:hint="eastAsia" w:ascii="宋体" w:hAnsi="宋体" w:eastAsia="宋体" w:cs="Times New Roman"/>
          <w:b/>
          <w:bCs/>
          <w:color w:val="auto"/>
          <w:kern w:val="2"/>
          <w:sz w:val="28"/>
          <w:szCs w:val="28"/>
          <w:highlight w:val="none"/>
          <w:lang w:val="en-US" w:eastAsia="zh-CN" w:bidi="ar-SA"/>
        </w:rPr>
      </w:pPr>
    </w:p>
    <w:p w14:paraId="60EAA572">
      <w:pPr>
        <w:jc w:val="center"/>
        <w:outlineLvl w:val="0"/>
        <w:rPr>
          <w:rFonts w:hint="eastAsia" w:ascii="宋体" w:hAnsi="宋体" w:eastAsia="宋体" w:cs="Times New Roman"/>
          <w:b/>
          <w:bCs/>
          <w:color w:val="auto"/>
          <w:kern w:val="2"/>
          <w:sz w:val="28"/>
          <w:szCs w:val="28"/>
          <w:highlight w:val="none"/>
          <w:lang w:val="en-US" w:eastAsia="zh-CN" w:bidi="ar-SA"/>
        </w:rPr>
      </w:pPr>
    </w:p>
    <w:p w14:paraId="7B3EC0A7">
      <w:pPr>
        <w:jc w:val="center"/>
        <w:outlineLvl w:val="0"/>
        <w:rPr>
          <w:rFonts w:hint="eastAsia" w:ascii="宋体" w:hAnsi="宋体" w:eastAsia="宋体" w:cs="Times New Roman"/>
          <w:b/>
          <w:bCs/>
          <w:color w:val="auto"/>
          <w:kern w:val="2"/>
          <w:sz w:val="28"/>
          <w:szCs w:val="28"/>
          <w:highlight w:val="none"/>
          <w:lang w:val="en-US" w:eastAsia="zh-CN" w:bidi="ar-SA"/>
        </w:rPr>
      </w:pPr>
    </w:p>
    <w:p w14:paraId="403908B7">
      <w:pPr>
        <w:jc w:val="center"/>
        <w:outlineLvl w:val="0"/>
        <w:rPr>
          <w:rFonts w:hint="eastAsia" w:ascii="宋体" w:hAnsi="宋体" w:eastAsia="宋体" w:cs="Times New Roman"/>
          <w:b/>
          <w:bCs/>
          <w:color w:val="auto"/>
          <w:kern w:val="2"/>
          <w:sz w:val="28"/>
          <w:szCs w:val="28"/>
          <w:highlight w:val="none"/>
          <w:lang w:val="en-US" w:eastAsia="zh-CN" w:bidi="ar-SA"/>
        </w:rPr>
      </w:pPr>
    </w:p>
    <w:p w14:paraId="2ED95C99">
      <w:pPr>
        <w:jc w:val="center"/>
        <w:outlineLvl w:val="0"/>
        <w:rPr>
          <w:rFonts w:hint="eastAsia" w:ascii="宋体" w:hAnsi="宋体" w:eastAsia="宋体" w:cs="Times New Roman"/>
          <w:b/>
          <w:bCs/>
          <w:color w:val="auto"/>
          <w:kern w:val="2"/>
          <w:sz w:val="28"/>
          <w:szCs w:val="28"/>
          <w:highlight w:val="none"/>
          <w:lang w:val="en-US" w:eastAsia="zh-CN" w:bidi="ar-SA"/>
        </w:rPr>
      </w:pPr>
    </w:p>
    <w:p w14:paraId="5FF26ECE">
      <w:pPr>
        <w:jc w:val="center"/>
        <w:outlineLvl w:val="0"/>
        <w:rPr>
          <w:rFonts w:hint="eastAsia" w:ascii="宋体" w:hAnsi="宋体" w:eastAsia="宋体" w:cs="Times New Roman"/>
          <w:b/>
          <w:bCs/>
          <w:color w:val="auto"/>
          <w:kern w:val="2"/>
          <w:sz w:val="28"/>
          <w:szCs w:val="28"/>
          <w:highlight w:val="none"/>
          <w:lang w:val="en-US" w:eastAsia="zh-CN" w:bidi="ar-SA"/>
        </w:rPr>
      </w:pPr>
    </w:p>
    <w:p w14:paraId="69DE4352">
      <w:pPr>
        <w:jc w:val="center"/>
        <w:outlineLvl w:val="0"/>
        <w:rPr>
          <w:rFonts w:hint="eastAsia" w:ascii="宋体" w:hAnsi="宋体" w:eastAsia="宋体" w:cs="Times New Roman"/>
          <w:b/>
          <w:bCs/>
          <w:color w:val="auto"/>
          <w:kern w:val="2"/>
          <w:sz w:val="28"/>
          <w:szCs w:val="28"/>
          <w:highlight w:val="none"/>
          <w:lang w:val="en-US" w:eastAsia="zh-CN" w:bidi="ar-SA"/>
        </w:rPr>
      </w:pPr>
    </w:p>
    <w:p w14:paraId="250BB2D5">
      <w:pPr>
        <w:jc w:val="center"/>
        <w:outlineLvl w:val="0"/>
        <w:rPr>
          <w:rFonts w:hint="eastAsia" w:ascii="宋体" w:hAnsi="宋体" w:eastAsia="宋体" w:cs="Times New Roman"/>
          <w:b/>
          <w:bCs/>
          <w:color w:val="auto"/>
          <w:kern w:val="2"/>
          <w:sz w:val="28"/>
          <w:szCs w:val="28"/>
          <w:highlight w:val="none"/>
          <w:lang w:val="en-US" w:eastAsia="zh-CN" w:bidi="ar-SA"/>
        </w:rPr>
      </w:pPr>
    </w:p>
    <w:p w14:paraId="2DD32B4B">
      <w:pPr>
        <w:jc w:val="center"/>
        <w:outlineLvl w:val="0"/>
        <w:rPr>
          <w:rFonts w:hint="eastAsia" w:ascii="宋体" w:hAnsi="宋体" w:eastAsia="宋体" w:cs="Times New Roman"/>
          <w:b/>
          <w:bCs/>
          <w:color w:val="auto"/>
          <w:kern w:val="2"/>
          <w:sz w:val="28"/>
          <w:szCs w:val="28"/>
          <w:highlight w:val="none"/>
          <w:lang w:val="en-US" w:eastAsia="zh-CN" w:bidi="ar-SA"/>
        </w:rPr>
      </w:pPr>
    </w:p>
    <w:p w14:paraId="310F1695">
      <w:pPr>
        <w:jc w:val="center"/>
        <w:outlineLvl w:val="0"/>
        <w:rPr>
          <w:rFonts w:hint="eastAsia" w:ascii="宋体" w:hAnsi="宋体" w:eastAsia="宋体" w:cs="Times New Roman"/>
          <w:b/>
          <w:bCs/>
          <w:color w:val="auto"/>
          <w:kern w:val="2"/>
          <w:sz w:val="28"/>
          <w:szCs w:val="28"/>
          <w:highlight w:val="none"/>
          <w:lang w:val="en-US" w:eastAsia="zh-CN" w:bidi="ar-SA"/>
        </w:rPr>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68" w:name="_Toc8593"/>
      <w:r>
        <w:rPr>
          <w:rFonts w:hint="eastAsia" w:ascii="宋体" w:hAnsi="宋体" w:eastAsia="宋体" w:cs="Times New Roman"/>
          <w:b/>
          <w:bCs/>
          <w:color w:val="auto"/>
          <w:kern w:val="2"/>
          <w:sz w:val="28"/>
          <w:szCs w:val="28"/>
          <w:highlight w:val="none"/>
          <w:lang w:val="en-US" w:eastAsia="zh-CN" w:bidi="ar-SA"/>
        </w:rPr>
        <w:t xml:space="preserve">第五部分 </w:t>
      </w:r>
      <w:bookmarkEnd w:id="66"/>
      <w:bookmarkEnd w:id="67"/>
      <w:bookmarkEnd w:id="68"/>
      <w:r>
        <w:rPr>
          <w:rFonts w:hint="eastAsia" w:ascii="宋体" w:hAnsi="宋体" w:cs="Times New Roman"/>
          <w:b/>
          <w:bCs/>
          <w:color w:val="auto"/>
          <w:kern w:val="2"/>
          <w:sz w:val="28"/>
          <w:szCs w:val="28"/>
          <w:highlight w:val="none"/>
          <w:lang w:val="en-US" w:eastAsia="zh-CN" w:bidi="ar-SA"/>
        </w:rPr>
        <w:t>供应商须知</w:t>
      </w:r>
    </w:p>
    <w:bookmarkEnd w:id="56"/>
    <w:bookmarkEnd w:id="57"/>
    <w:bookmarkEnd w:id="58"/>
    <w:bookmarkEnd w:id="62"/>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9" w:name="_Toc2093311"/>
      <w:bookmarkStart w:id="70" w:name="_Toc10962"/>
      <w:bookmarkStart w:id="71" w:name="_Toc2094450"/>
      <w:r>
        <w:rPr>
          <w:rFonts w:hint="eastAsia" w:ascii="宋体" w:hAnsi="宋体" w:eastAsia="宋体" w:cs="Times New Roman"/>
          <w:color w:val="auto"/>
          <w:sz w:val="21"/>
          <w:szCs w:val="21"/>
          <w:highlight w:val="none"/>
        </w:rPr>
        <w:t>1.</w:t>
      </w:r>
      <w:bookmarkStart w:id="72" w:name="_Toc2094422"/>
      <w:bookmarkStart w:id="73" w:name="_Toc2093283"/>
      <w:bookmarkStart w:id="74" w:name="_Toc3184"/>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72"/>
      <w:bookmarkEnd w:id="73"/>
      <w:bookmarkEnd w:id="74"/>
    </w:p>
    <w:p w14:paraId="4A5E84C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5" w:name="_Toc2094438"/>
      <w:bookmarkStart w:id="76" w:name="_Toc19652"/>
      <w:bookmarkStart w:id="77"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75"/>
      <w:bookmarkEnd w:id="76"/>
      <w:bookmarkEnd w:id="77"/>
    </w:p>
    <w:p w14:paraId="239F542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78" w:name="_Toc11399"/>
      <w:bookmarkStart w:id="79" w:name="_Toc2093280"/>
      <w:bookmarkStart w:id="80" w:name="_Toc2094419"/>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提出侵犯其专利权、商标权或其它知识产权的主张，该责任应由供应商承担。</w:t>
      </w:r>
      <w:bookmarkEnd w:id="78"/>
      <w:bookmarkEnd w:id="79"/>
      <w:bookmarkEnd w:id="80"/>
    </w:p>
    <w:p w14:paraId="7D1B7397">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1" w:name="_Toc9126"/>
      <w:bookmarkStart w:id="82" w:name="_Toc2094420"/>
      <w:bookmarkStart w:id="83"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81"/>
      <w:bookmarkEnd w:id="82"/>
      <w:bookmarkEnd w:id="83"/>
    </w:p>
    <w:p w14:paraId="643E8E4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19"/>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13CD21C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19"/>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69"/>
    <w:bookmarkEnd w:id="70"/>
    <w:bookmarkEnd w:id="71"/>
    <w:p w14:paraId="4583167C">
      <w:pPr>
        <w:spacing w:line="480" w:lineRule="auto"/>
        <w:rPr>
          <w:rFonts w:ascii="宋体" w:hAnsi="宋体"/>
          <w:color w:val="auto"/>
          <w:sz w:val="24"/>
          <w:highlight w:val="none"/>
        </w:rPr>
      </w:pPr>
    </w:p>
    <w:p w14:paraId="48FEE252">
      <w:pPr>
        <w:rPr>
          <w:color w:val="auto"/>
          <w:highlight w:val="none"/>
        </w:rPr>
      </w:pPr>
      <w:bookmarkStart w:id="84" w:name="_Toc40346212"/>
      <w:bookmarkStart w:id="85" w:name="_Toc40776107"/>
    </w:p>
    <w:bookmarkEnd w:id="84"/>
    <w:bookmarkEnd w:id="85"/>
    <w:p w14:paraId="2B901FB4">
      <w:pPr>
        <w:rPr>
          <w:rFonts w:hint="eastAsia" w:ascii="宋体" w:hAnsi="宋体" w:eastAsia="宋体"/>
          <w:color w:val="auto"/>
          <w:sz w:val="40"/>
          <w:highlight w:val="none"/>
        </w:rPr>
      </w:pPr>
      <w:bookmarkStart w:id="86" w:name="_Toc40776108"/>
      <w:bookmarkStart w:id="87" w:name="_Toc32228"/>
      <w:bookmarkStart w:id="88" w:name="_Toc2647"/>
      <w:bookmarkStart w:id="89" w:name="_Toc7581"/>
      <w:bookmarkStart w:id="90" w:name="_Toc30230"/>
      <w:bookmarkStart w:id="91" w:name="_Toc5829"/>
      <w:bookmarkStart w:id="92" w:name="_Toc32164"/>
      <w:bookmarkStart w:id="93" w:name="_Toc19354"/>
      <w:bookmarkStart w:id="94" w:name="_Toc2347"/>
      <w:bookmarkStart w:id="95" w:name="_Toc9461"/>
      <w:bookmarkStart w:id="96" w:name="_Toc13814"/>
      <w:bookmarkStart w:id="97" w:name="_Toc40346213"/>
      <w:bookmarkStart w:id="98" w:name="_Toc30326"/>
    </w:p>
    <w:p w14:paraId="6392FB7E">
      <w:pPr>
        <w:pStyle w:val="27"/>
        <w:rPr>
          <w:rFonts w:hint="eastAsia"/>
          <w:color w:val="auto"/>
          <w:highlight w:val="none"/>
        </w:rPr>
      </w:pPr>
    </w:p>
    <w:p w14:paraId="3BCE44BF">
      <w:pPr>
        <w:pStyle w:val="27"/>
        <w:rPr>
          <w:rFonts w:hint="eastAsia"/>
          <w:color w:val="auto"/>
          <w:highlight w:val="none"/>
        </w:rPr>
      </w:pPr>
    </w:p>
    <w:p w14:paraId="5B10D786">
      <w:pPr>
        <w:pStyle w:val="27"/>
        <w:rPr>
          <w:rFonts w:hint="eastAsia"/>
          <w:color w:val="auto"/>
          <w:highlight w:val="none"/>
        </w:rPr>
      </w:pPr>
    </w:p>
    <w:p w14:paraId="68CE10C7">
      <w:pPr>
        <w:pStyle w:val="27"/>
        <w:rPr>
          <w:rFonts w:hint="eastAsia"/>
          <w:color w:val="auto"/>
          <w:highlight w:val="none"/>
        </w:rPr>
      </w:pPr>
    </w:p>
    <w:p w14:paraId="2D791416">
      <w:pPr>
        <w:pStyle w:val="27"/>
        <w:rPr>
          <w:rFonts w:hint="eastAsia"/>
          <w:color w:val="auto"/>
          <w:highlight w:val="none"/>
        </w:rPr>
      </w:pPr>
    </w:p>
    <w:p w14:paraId="508C9B3A">
      <w:pPr>
        <w:pStyle w:val="27"/>
        <w:rPr>
          <w:rFonts w:hint="eastAsia"/>
          <w:color w:val="auto"/>
          <w:highlight w:val="none"/>
        </w:rPr>
      </w:pPr>
    </w:p>
    <w:p w14:paraId="2C31D5DD">
      <w:pPr>
        <w:pStyle w:val="27"/>
        <w:rPr>
          <w:rFonts w:hint="eastAsia"/>
          <w:color w:val="auto"/>
          <w:highlight w:val="none"/>
        </w:rPr>
      </w:pPr>
    </w:p>
    <w:p w14:paraId="55713781">
      <w:pPr>
        <w:pStyle w:val="27"/>
        <w:rPr>
          <w:rFonts w:hint="eastAsia"/>
          <w:color w:val="auto"/>
          <w:highlight w:val="none"/>
        </w:rPr>
      </w:pPr>
    </w:p>
    <w:p w14:paraId="535EFCF6">
      <w:pPr>
        <w:pStyle w:val="27"/>
        <w:rPr>
          <w:rFonts w:hint="eastAsia"/>
          <w:color w:val="auto"/>
          <w:highlight w:val="none"/>
        </w:rPr>
      </w:pPr>
    </w:p>
    <w:p w14:paraId="7472BCCE">
      <w:pPr>
        <w:pStyle w:val="27"/>
        <w:rPr>
          <w:rFonts w:hint="eastAsia"/>
          <w:color w:val="auto"/>
          <w:highlight w:val="none"/>
        </w:rPr>
      </w:pPr>
    </w:p>
    <w:p w14:paraId="57F5CAA3">
      <w:pPr>
        <w:pStyle w:val="27"/>
        <w:rPr>
          <w:rFonts w:hint="eastAsia"/>
          <w:color w:val="auto"/>
          <w:highlight w:val="none"/>
        </w:rPr>
      </w:pPr>
    </w:p>
    <w:p w14:paraId="23C5216D">
      <w:pPr>
        <w:pStyle w:val="27"/>
        <w:rPr>
          <w:rFonts w:hint="eastAsia"/>
          <w:color w:val="auto"/>
          <w:highlight w:val="none"/>
        </w:rPr>
      </w:pPr>
    </w:p>
    <w:p w14:paraId="4D16C1FC">
      <w:pPr>
        <w:pStyle w:val="27"/>
        <w:rPr>
          <w:rFonts w:hint="eastAsia"/>
          <w:color w:val="auto"/>
          <w:highlight w:val="none"/>
        </w:rPr>
      </w:pPr>
    </w:p>
    <w:p w14:paraId="498A27DF">
      <w:pPr>
        <w:pStyle w:val="27"/>
        <w:rPr>
          <w:rFonts w:hint="eastAsia"/>
          <w:color w:val="auto"/>
          <w:highlight w:val="none"/>
        </w:rPr>
      </w:pPr>
    </w:p>
    <w:p w14:paraId="6E807E07">
      <w:pPr>
        <w:pStyle w:val="27"/>
        <w:rPr>
          <w:rFonts w:hint="eastAsia"/>
          <w:color w:val="auto"/>
          <w:highlight w:val="none"/>
        </w:rPr>
      </w:pPr>
    </w:p>
    <w:p w14:paraId="42F9868F">
      <w:pPr>
        <w:pStyle w:val="27"/>
        <w:rPr>
          <w:rFonts w:hint="eastAsia"/>
          <w:color w:val="auto"/>
          <w:highlight w:val="none"/>
        </w:rPr>
      </w:pPr>
    </w:p>
    <w:p w14:paraId="56854CA2">
      <w:pPr>
        <w:pStyle w:val="27"/>
        <w:rPr>
          <w:rFonts w:hint="eastAsia"/>
          <w:color w:val="auto"/>
          <w:highlight w:val="none"/>
        </w:rPr>
      </w:pPr>
    </w:p>
    <w:p w14:paraId="4CA54043">
      <w:pPr>
        <w:pStyle w:val="27"/>
        <w:rPr>
          <w:rFonts w:hint="eastAsia"/>
          <w:color w:val="auto"/>
          <w:highlight w:val="none"/>
        </w:rPr>
      </w:pPr>
    </w:p>
    <w:p w14:paraId="66644D82">
      <w:pPr>
        <w:pStyle w:val="27"/>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99" w:name="_Toc2059"/>
      <w:bookmarkStart w:id="100" w:name="_Toc3228"/>
      <w:bookmarkStart w:id="101"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02" w:name="_Toc40346381"/>
      <w:bookmarkStart w:id="103" w:name="_Toc4407"/>
      <w:bookmarkStart w:id="104" w:name="_Toc3784"/>
      <w:bookmarkStart w:id="105" w:name="_Toc18837"/>
      <w:bookmarkStart w:id="106" w:name="_Toc10213"/>
      <w:bookmarkStart w:id="107" w:name="_Toc23156"/>
      <w:bookmarkStart w:id="108" w:name="_Toc40776117"/>
      <w:bookmarkStart w:id="109" w:name="_Toc28217"/>
      <w:bookmarkStart w:id="110" w:name="_Toc22145"/>
      <w:bookmarkStart w:id="111" w:name="_Toc12431"/>
      <w:bookmarkStart w:id="112" w:name="_Toc22864"/>
      <w:bookmarkStart w:id="113" w:name="_Toc9134"/>
      <w:bookmarkStart w:id="114" w:name="_Toc40346222"/>
      <w:bookmarkStart w:id="115" w:name="_Toc25470"/>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16" w:name="_Toc40346216"/>
      <w:bookmarkStart w:id="117" w:name="_Toc15870"/>
      <w:bookmarkStart w:id="118" w:name="_Toc3471"/>
      <w:bookmarkStart w:id="119" w:name="_Toc435"/>
      <w:bookmarkStart w:id="120" w:name="_Toc40776111"/>
      <w:bookmarkStart w:id="121" w:name="_Toc26267"/>
      <w:bookmarkStart w:id="122" w:name="_Toc1994"/>
      <w:bookmarkStart w:id="123" w:name="_Toc28703"/>
      <w:bookmarkStart w:id="124" w:name="_Toc40346375"/>
      <w:bookmarkStart w:id="125" w:name="_Toc7291"/>
      <w:bookmarkStart w:id="126" w:name="_Toc11305"/>
      <w:bookmarkStart w:id="127" w:name="_Toc21249"/>
      <w:bookmarkStart w:id="128" w:name="_Toc11075"/>
      <w:bookmarkStart w:id="129" w:name="_Toc29113"/>
      <w:bookmarkStart w:id="130" w:name="_Toc12520"/>
      <w:bookmarkStart w:id="131" w:name="_Toc6547"/>
      <w:bookmarkStart w:id="132" w:name="_Toc8364"/>
    </w:p>
    <w:p w14:paraId="601FC3C1">
      <w:pPr>
        <w:widowControl/>
        <w:spacing w:line="360" w:lineRule="auto"/>
        <w:ind w:firstLine="600"/>
        <w:outlineLvl w:val="0"/>
        <w:rPr>
          <w:color w:val="auto"/>
          <w:highlight w:val="none"/>
        </w:rPr>
      </w:pPr>
      <w:bookmarkStart w:id="133" w:name="_Toc11245"/>
      <w:bookmarkStart w:id="134" w:name="_Toc13141"/>
      <w:bookmarkStart w:id="135" w:name="_Toc22456"/>
      <w:bookmarkStart w:id="136" w:name="_Toc335"/>
      <w:bookmarkStart w:id="137" w:name="_Toc27329"/>
      <w:bookmarkStart w:id="138" w:name="_Toc937"/>
      <w:bookmarkStart w:id="139" w:name="_Toc4116"/>
      <w:bookmarkStart w:id="140" w:name="_Toc13633"/>
      <w:r>
        <w:rPr>
          <w:rFonts w:ascii="宋体" w:hAnsi="宋体" w:cs="宋体"/>
          <w:color w:val="auto"/>
          <w:kern w:val="0"/>
          <w:sz w:val="30"/>
          <w:szCs w:val="30"/>
          <w:highlight w:val="none"/>
        </w:rPr>
        <w:t>项目编号：</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40776112"/>
      <w:bookmarkStart w:id="142" w:name="_Toc2916"/>
      <w:bookmarkStart w:id="143" w:name="_Toc40346376"/>
      <w:bookmarkStart w:id="144" w:name="_Toc17709"/>
      <w:bookmarkStart w:id="145" w:name="_Toc27997"/>
      <w:bookmarkStart w:id="146" w:name="_Toc20884"/>
      <w:bookmarkStart w:id="147" w:name="_Toc40346217"/>
      <w:bookmarkStart w:id="148" w:name="_Toc1743"/>
    </w:p>
    <w:p w14:paraId="1A311817">
      <w:pPr>
        <w:widowControl/>
        <w:spacing w:line="360" w:lineRule="auto"/>
        <w:ind w:firstLine="600"/>
        <w:outlineLvl w:val="0"/>
        <w:rPr>
          <w:rFonts w:cs="宋体"/>
          <w:color w:val="auto"/>
          <w:kern w:val="0"/>
          <w:sz w:val="30"/>
          <w:szCs w:val="30"/>
          <w:highlight w:val="none"/>
        </w:rPr>
      </w:pPr>
      <w:bookmarkStart w:id="149" w:name="_Toc3677"/>
      <w:bookmarkStart w:id="150" w:name="_Toc23155"/>
      <w:bookmarkStart w:id="151" w:name="_Toc2029"/>
      <w:bookmarkStart w:id="152" w:name="_Toc31538"/>
      <w:bookmarkStart w:id="153" w:name="_Toc11485"/>
      <w:bookmarkStart w:id="154" w:name="_Toc11603"/>
      <w:bookmarkStart w:id="155" w:name="_Toc2012"/>
      <w:bookmarkStart w:id="156" w:name="_Toc22817"/>
      <w:bookmarkStart w:id="157" w:name="_Toc5238"/>
      <w:bookmarkStart w:id="158" w:name="_Toc30220"/>
      <w:bookmarkStart w:id="159" w:name="_Toc19699"/>
      <w:bookmarkStart w:id="160" w:name="_Toc29102"/>
      <w:bookmarkStart w:id="161" w:name="_Toc2786"/>
      <w:bookmarkStart w:id="162" w:name="_Toc23097"/>
      <w:bookmarkStart w:id="163" w:name="_Toc26785"/>
      <w:bookmarkStart w:id="164" w:name="_Toc30979"/>
      <w:bookmarkStart w:id="165" w:name="_Toc3075"/>
      <w:r>
        <w:rPr>
          <w:rFonts w:ascii="宋体" w:hAnsi="宋体" w:cs="宋体"/>
          <w:color w:val="auto"/>
          <w:kern w:val="0"/>
          <w:sz w:val="30"/>
          <w:szCs w:val="30"/>
          <w:highlight w:val="none"/>
        </w:rPr>
        <w:t>公司名称：</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6559834">
      <w:pPr>
        <w:widowControl/>
        <w:spacing w:line="360" w:lineRule="auto"/>
        <w:ind w:firstLine="600"/>
        <w:outlineLvl w:val="0"/>
        <w:rPr>
          <w:rFonts w:cs="宋体"/>
          <w:color w:val="auto"/>
          <w:kern w:val="0"/>
          <w:sz w:val="30"/>
          <w:szCs w:val="30"/>
          <w:highlight w:val="none"/>
        </w:rPr>
      </w:pPr>
      <w:bookmarkStart w:id="166" w:name="_Toc26700"/>
      <w:bookmarkStart w:id="167" w:name="_Toc28064"/>
      <w:bookmarkStart w:id="168" w:name="_Toc11558"/>
      <w:bookmarkStart w:id="169" w:name="_Toc24763"/>
      <w:bookmarkStart w:id="170" w:name="_Toc40346377"/>
      <w:bookmarkStart w:id="171" w:name="_Toc29767"/>
      <w:bookmarkStart w:id="172" w:name="_Toc27867"/>
      <w:bookmarkStart w:id="173" w:name="_Toc4013"/>
      <w:bookmarkStart w:id="174" w:name="_Toc11288"/>
      <w:bookmarkStart w:id="175" w:name="_Toc14474"/>
      <w:bookmarkStart w:id="176" w:name="_Toc7052"/>
      <w:bookmarkStart w:id="177" w:name="_Toc13212"/>
      <w:bookmarkStart w:id="178" w:name="_Toc40776113"/>
      <w:bookmarkStart w:id="179" w:name="_Toc16794"/>
      <w:bookmarkStart w:id="180" w:name="_Toc11141"/>
      <w:bookmarkStart w:id="181" w:name="_Toc32315"/>
      <w:bookmarkStart w:id="182" w:name="_Toc20623"/>
      <w:bookmarkStart w:id="183" w:name="_Toc31993"/>
      <w:bookmarkStart w:id="184" w:name="_Toc15278"/>
      <w:bookmarkStart w:id="185" w:name="_Toc17930"/>
      <w:bookmarkStart w:id="186" w:name="_Toc40346218"/>
      <w:bookmarkStart w:id="187" w:name="_Toc13522"/>
      <w:bookmarkStart w:id="188" w:name="_Toc21483"/>
      <w:bookmarkStart w:id="189" w:name="_Toc12645"/>
      <w:bookmarkStart w:id="190" w:name="_Toc14824"/>
      <w:r>
        <w:rPr>
          <w:rFonts w:ascii="宋体" w:hAnsi="宋体" w:cs="宋体"/>
          <w:color w:val="auto"/>
          <w:kern w:val="0"/>
          <w:sz w:val="30"/>
          <w:szCs w:val="30"/>
          <w:highlight w:val="none"/>
        </w:rPr>
        <w:t>业务代表：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F8D26E9">
      <w:pPr>
        <w:widowControl/>
        <w:spacing w:line="360" w:lineRule="auto"/>
        <w:ind w:firstLine="600"/>
        <w:outlineLvl w:val="0"/>
        <w:rPr>
          <w:rFonts w:cs="宋体"/>
          <w:color w:val="auto"/>
          <w:kern w:val="0"/>
          <w:sz w:val="30"/>
          <w:szCs w:val="30"/>
          <w:highlight w:val="none"/>
        </w:rPr>
      </w:pPr>
      <w:bookmarkStart w:id="191" w:name="_Toc40776114"/>
      <w:bookmarkStart w:id="192" w:name="_Toc4563"/>
      <w:bookmarkStart w:id="193" w:name="_Toc31197"/>
      <w:bookmarkStart w:id="194" w:name="_Toc6438"/>
      <w:bookmarkStart w:id="195" w:name="_Toc1324"/>
      <w:bookmarkStart w:id="196" w:name="_Toc24651"/>
      <w:bookmarkStart w:id="197" w:name="_Toc18920"/>
      <w:bookmarkStart w:id="198" w:name="_Toc16813"/>
      <w:bookmarkStart w:id="199" w:name="_Toc182"/>
      <w:bookmarkStart w:id="200" w:name="_Toc40346378"/>
      <w:bookmarkStart w:id="201" w:name="_Toc27594"/>
      <w:bookmarkStart w:id="202" w:name="_Toc9504"/>
      <w:bookmarkStart w:id="203" w:name="_Toc17537"/>
      <w:bookmarkStart w:id="204" w:name="_Toc11334"/>
      <w:bookmarkStart w:id="205" w:name="_Toc19831"/>
      <w:bookmarkStart w:id="206" w:name="_Toc40346219"/>
      <w:bookmarkStart w:id="207" w:name="_Toc14287"/>
      <w:bookmarkStart w:id="208" w:name="_Toc13060"/>
      <w:bookmarkStart w:id="209" w:name="_Toc26029"/>
      <w:bookmarkStart w:id="210" w:name="_Toc10942"/>
      <w:bookmarkStart w:id="211" w:name="_Toc9883"/>
      <w:bookmarkStart w:id="212" w:name="_Toc1070"/>
      <w:bookmarkStart w:id="213" w:name="_Toc32709"/>
      <w:bookmarkStart w:id="214" w:name="_Toc27771"/>
      <w:bookmarkStart w:id="215" w:name="_Toc8017"/>
      <w:r>
        <w:rPr>
          <w:rFonts w:ascii="宋体" w:hAnsi="宋体" w:cs="宋体"/>
          <w:color w:val="auto"/>
          <w:kern w:val="0"/>
          <w:sz w:val="30"/>
          <w:szCs w:val="30"/>
          <w:highlight w:val="none"/>
        </w:rPr>
        <w:t>联系电话：</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BEACC29">
      <w:pPr>
        <w:widowControl/>
        <w:spacing w:line="360" w:lineRule="auto"/>
        <w:ind w:firstLine="600"/>
        <w:outlineLvl w:val="0"/>
        <w:rPr>
          <w:rFonts w:cs="宋体"/>
          <w:color w:val="auto"/>
          <w:kern w:val="0"/>
          <w:sz w:val="30"/>
          <w:szCs w:val="30"/>
          <w:highlight w:val="none"/>
        </w:rPr>
      </w:pPr>
      <w:bookmarkStart w:id="216" w:name="_Toc15554"/>
      <w:bookmarkStart w:id="217" w:name="_Toc40346220"/>
      <w:bookmarkStart w:id="218" w:name="_Toc12650"/>
      <w:bookmarkStart w:id="219" w:name="_Toc30336"/>
      <w:bookmarkStart w:id="220" w:name="_Toc18353"/>
      <w:bookmarkStart w:id="221" w:name="_Toc19045"/>
      <w:bookmarkStart w:id="222" w:name="_Toc17483"/>
      <w:bookmarkStart w:id="223" w:name="_Toc8912"/>
      <w:bookmarkStart w:id="224" w:name="_Toc27868"/>
      <w:bookmarkStart w:id="225" w:name="_Toc40776115"/>
      <w:bookmarkStart w:id="226" w:name="_Toc22178"/>
      <w:bookmarkStart w:id="227" w:name="_Toc3895"/>
      <w:bookmarkStart w:id="228" w:name="_Toc20994"/>
      <w:bookmarkStart w:id="229" w:name="_Toc30285"/>
      <w:bookmarkStart w:id="230" w:name="_Toc40346379"/>
      <w:bookmarkStart w:id="231" w:name="_Toc9963"/>
      <w:bookmarkStart w:id="232" w:name="_Toc5634"/>
      <w:bookmarkStart w:id="233" w:name="_Toc13222"/>
      <w:bookmarkStart w:id="234" w:name="_Toc15130"/>
      <w:bookmarkStart w:id="235" w:name="_Toc21940"/>
      <w:bookmarkStart w:id="236" w:name="_Toc5189"/>
      <w:bookmarkStart w:id="237" w:name="_Toc27206"/>
      <w:bookmarkStart w:id="238" w:name="_Toc13284"/>
      <w:bookmarkStart w:id="239" w:name="_Toc21686"/>
      <w:bookmarkStart w:id="240" w:name="_Toc14586"/>
      <w:r>
        <w:rPr>
          <w:rFonts w:ascii="宋体" w:hAnsi="宋体" w:cs="宋体"/>
          <w:color w:val="auto"/>
          <w:kern w:val="0"/>
          <w:sz w:val="30"/>
          <w:szCs w:val="30"/>
          <w:highlight w:val="none"/>
        </w:rPr>
        <w:t>联系邮箱：</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7C16F88">
      <w:pPr>
        <w:widowControl/>
        <w:spacing w:line="360" w:lineRule="auto"/>
        <w:ind w:firstLine="600"/>
        <w:outlineLvl w:val="0"/>
        <w:rPr>
          <w:rFonts w:cs="宋体"/>
          <w:color w:val="auto"/>
          <w:kern w:val="0"/>
          <w:sz w:val="30"/>
          <w:szCs w:val="30"/>
          <w:highlight w:val="none"/>
        </w:rPr>
      </w:pPr>
      <w:bookmarkStart w:id="241" w:name="_Toc12649"/>
      <w:bookmarkStart w:id="242" w:name="_Toc30904"/>
      <w:bookmarkStart w:id="243" w:name="_Toc40346380"/>
      <w:bookmarkStart w:id="244" w:name="_Toc21960"/>
      <w:bookmarkStart w:id="245" w:name="_Toc7054"/>
      <w:bookmarkStart w:id="246" w:name="_Toc21449"/>
      <w:bookmarkStart w:id="247" w:name="_Toc9282"/>
      <w:bookmarkStart w:id="248" w:name="_Toc12127"/>
      <w:bookmarkStart w:id="249" w:name="_Toc40346221"/>
      <w:bookmarkStart w:id="250" w:name="_Toc11547"/>
      <w:bookmarkStart w:id="251" w:name="_Toc27009"/>
      <w:bookmarkStart w:id="252" w:name="_Toc11243"/>
      <w:bookmarkStart w:id="253" w:name="_Toc27186"/>
      <w:bookmarkStart w:id="254" w:name="_Toc3498"/>
      <w:bookmarkStart w:id="255" w:name="_Toc32371"/>
      <w:bookmarkStart w:id="256" w:name="_Toc27646"/>
      <w:bookmarkStart w:id="257" w:name="_Toc10454"/>
      <w:bookmarkStart w:id="258" w:name="_Toc5220"/>
      <w:bookmarkStart w:id="259" w:name="_Toc30856"/>
      <w:bookmarkStart w:id="260" w:name="_Toc30616"/>
      <w:bookmarkStart w:id="261" w:name="_Toc14462"/>
      <w:bookmarkStart w:id="262" w:name="_Toc40776116"/>
      <w:bookmarkStart w:id="263" w:name="_Toc8003"/>
      <w:bookmarkStart w:id="264" w:name="_Toc8526"/>
      <w:bookmarkStart w:id="265" w:name="_Toc12453"/>
      <w:r>
        <w:rPr>
          <w:rFonts w:ascii="宋体" w:hAnsi="宋体" w:cs="宋体"/>
          <w:color w:val="auto"/>
          <w:kern w:val="0"/>
          <w:sz w:val="30"/>
          <w:szCs w:val="30"/>
          <w:highlight w:val="none"/>
        </w:rPr>
        <w:t>日    期：</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5A18A00F">
      <w:pPr>
        <w:rPr>
          <w:rFonts w:hint="eastAsia" w:ascii="宋体" w:hAnsi="宋体" w:eastAsia="宋体" w:cs="Times New Roman"/>
          <w:b/>
          <w:bCs/>
          <w:color w:val="auto"/>
          <w:kern w:val="2"/>
          <w:sz w:val="28"/>
          <w:szCs w:val="28"/>
          <w:highlight w:val="none"/>
          <w:lang w:val="en-US" w:eastAsia="zh-CN" w:bidi="ar-SA"/>
        </w:rPr>
      </w:pPr>
      <w:bookmarkStart w:id="266" w:name="_Toc14353"/>
      <w:bookmarkStart w:id="267" w:name="_Toc26575"/>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66"/>
    <w:bookmarkEnd w:id="267"/>
    <w:p w14:paraId="70BE719B">
      <w:pPr>
        <w:pStyle w:val="10"/>
        <w:numPr>
          <w:ilvl w:val="0"/>
          <w:numId w:val="0"/>
        </w:numPr>
        <w:rPr>
          <w:color w:val="auto"/>
          <w:highlight w:val="none"/>
        </w:rPr>
      </w:pPr>
    </w:p>
    <w:tbl>
      <w:tblPr>
        <w:tblStyle w:val="20"/>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0"/>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0"/>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0"/>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0"/>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0"/>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0"/>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0"/>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0"/>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0"/>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0"/>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8" w:name="_Toc889"/>
      <w:bookmarkStart w:id="269" w:name="_Toc11635"/>
      <w:bookmarkStart w:id="270" w:name="_Toc22627"/>
      <w:bookmarkStart w:id="271" w:name="_Toc29844"/>
      <w:bookmarkStart w:id="272" w:name="_Toc9431"/>
      <w:bookmarkStart w:id="273" w:name="_Toc15777"/>
      <w:bookmarkStart w:id="274" w:name="_Toc32435"/>
      <w:bookmarkStart w:id="275" w:name="_Toc27925"/>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8"/>
      <w:bookmarkEnd w:id="269"/>
      <w:bookmarkEnd w:id="270"/>
      <w:bookmarkEnd w:id="271"/>
      <w:bookmarkEnd w:id="272"/>
      <w:bookmarkEnd w:id="273"/>
      <w:bookmarkEnd w:id="274"/>
      <w:bookmarkEnd w:id="275"/>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5440"/>
      <w:bookmarkStart w:id="278" w:name="_Toc18164"/>
      <w:bookmarkStart w:id="279" w:name="_Toc14126"/>
      <w:bookmarkStart w:id="280" w:name="_Toc12435"/>
      <w:bookmarkStart w:id="281" w:name="_Toc7824"/>
      <w:bookmarkStart w:id="282" w:name="_Toc22079"/>
      <w:bookmarkStart w:id="283" w:name="_Toc17107"/>
      <w:bookmarkStart w:id="284" w:name="_Toc26151"/>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285" w:name="_Toc4912"/>
      <w:bookmarkStart w:id="286" w:name="_Toc2350"/>
      <w:bookmarkStart w:id="287" w:name="_Toc16277"/>
      <w:bookmarkStart w:id="288" w:name="_Toc10710"/>
      <w:bookmarkStart w:id="289" w:name="_Toc20261"/>
      <w:bookmarkStart w:id="290" w:name="_Toc19842"/>
      <w:bookmarkStart w:id="291" w:name="_Toc20489"/>
      <w:bookmarkStart w:id="292" w:name="_Toc3247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5"/>
      <w:bookmarkEnd w:id="286"/>
      <w:bookmarkEnd w:id="287"/>
      <w:bookmarkEnd w:id="288"/>
      <w:bookmarkEnd w:id="289"/>
      <w:bookmarkEnd w:id="290"/>
      <w:bookmarkEnd w:id="291"/>
      <w:bookmarkEnd w:id="292"/>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400" w:lineRule="exact"/>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97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519D3504">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vAlign w:val="center"/>
          </w:tcPr>
          <w:p w14:paraId="429077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具有有效的承装（修、试）电力设施许可证</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需提供证件复印件，并加盖供应商公章。</w:t>
            </w:r>
          </w:p>
        </w:tc>
        <w:tc>
          <w:tcPr>
            <w:tcW w:w="1665" w:type="dxa"/>
            <w:vAlign w:val="center"/>
          </w:tcPr>
          <w:p w14:paraId="5D9E2F69">
            <w:pPr>
              <w:spacing w:line="360" w:lineRule="auto"/>
              <w:jc w:val="center"/>
              <w:rPr>
                <w:rFonts w:ascii="Times New Roman" w:hAnsi="Times New Roman" w:cs="Times New Roman"/>
                <w:color w:val="auto"/>
                <w:highlight w:val="none"/>
              </w:rPr>
            </w:pPr>
          </w:p>
        </w:tc>
        <w:tc>
          <w:tcPr>
            <w:tcW w:w="1230" w:type="dxa"/>
            <w:vAlign w:val="center"/>
          </w:tcPr>
          <w:p w14:paraId="3954AC3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12C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0271F9C">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vAlign w:val="center"/>
          </w:tcPr>
          <w:p w14:paraId="093945D1">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参加采购活动前3年内，在经营活动中没有重大违法记录</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1A48CF6B">
            <w:pPr>
              <w:spacing w:line="360" w:lineRule="auto"/>
              <w:jc w:val="center"/>
              <w:rPr>
                <w:rFonts w:ascii="Times New Roman" w:hAnsi="Times New Roman" w:cs="Times New Roman"/>
                <w:color w:val="auto"/>
                <w:highlight w:val="none"/>
              </w:rPr>
            </w:pPr>
          </w:p>
        </w:tc>
        <w:tc>
          <w:tcPr>
            <w:tcW w:w="1230" w:type="dxa"/>
            <w:vAlign w:val="center"/>
          </w:tcPr>
          <w:p w14:paraId="7113197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vAlign w:val="center"/>
          </w:tcPr>
          <w:p w14:paraId="2BE01DEE">
            <w:pPr>
              <w:keepNext w:val="0"/>
              <w:keepLines w:val="0"/>
              <w:pageBreakBefore w:val="0"/>
              <w:widowControl/>
              <w:kinsoku/>
              <w:wordWrap/>
              <w:overflowPunct/>
              <w:topLinePunct w:val="0"/>
              <w:bidi w:val="0"/>
              <w:spacing w:line="40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vAlign w:val="center"/>
          </w:tcPr>
          <w:p w14:paraId="3C69CF7F">
            <w:pPr>
              <w:keepNext w:val="0"/>
              <w:keepLines w:val="0"/>
              <w:pageBreakBefore w:val="0"/>
              <w:widowControl/>
              <w:kinsoku/>
              <w:wordWrap/>
              <w:overflowPunct/>
              <w:topLinePunct w:val="0"/>
              <w:bidi w:val="0"/>
              <w:spacing w:line="40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517D2152">
            <w:pPr>
              <w:spacing w:line="360" w:lineRule="auto"/>
              <w:jc w:val="center"/>
              <w:rPr>
                <w:rFonts w:ascii="Times New Roman" w:hAnsi="Times New Roman" w:cs="Times New Roman"/>
                <w:color w:val="auto"/>
                <w:highlight w:val="none"/>
              </w:rPr>
            </w:pPr>
          </w:p>
        </w:tc>
        <w:tc>
          <w:tcPr>
            <w:tcW w:w="1230" w:type="dxa"/>
            <w:vAlign w:val="center"/>
          </w:tcPr>
          <w:p w14:paraId="40D801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vAlign w:val="center"/>
          </w:tcPr>
          <w:p w14:paraId="28BF89C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b w:val="0"/>
                <w:bCs/>
                <w:color w:val="auto"/>
                <w:kern w:val="0"/>
                <w:sz w:val="21"/>
                <w:szCs w:val="21"/>
                <w:lang w:val="en-US" w:eastAsia="zh-CN"/>
              </w:rPr>
              <w:t>“★”条款响应情况。</w:t>
            </w:r>
            <w:r>
              <w:rPr>
                <w:rFonts w:hint="eastAsia" w:ascii="宋体" w:hAnsi="宋体" w:eastAsia="宋体" w:cs="宋体"/>
                <w:b/>
                <w:bCs w:val="0"/>
                <w:color w:val="auto"/>
                <w:kern w:val="0"/>
                <w:sz w:val="21"/>
                <w:szCs w:val="21"/>
                <w:lang w:val="en-US" w:eastAsia="zh-CN"/>
              </w:rPr>
              <w:t>需提供书面声明函或承诺函，格式自拟，并加盖公章</w:t>
            </w:r>
            <w:r>
              <w:rPr>
                <w:rFonts w:hint="eastAsia" w:ascii="宋体" w:hAnsi="宋体" w:cs="宋体"/>
                <w:b/>
                <w:bCs w:val="0"/>
                <w:color w:val="auto"/>
                <w:kern w:val="0"/>
                <w:sz w:val="21"/>
                <w:szCs w:val="21"/>
                <w:lang w:val="en-US" w:eastAsia="zh-CN"/>
              </w:rPr>
              <w:t>。</w:t>
            </w:r>
          </w:p>
        </w:tc>
        <w:tc>
          <w:tcPr>
            <w:tcW w:w="1665" w:type="dxa"/>
            <w:vAlign w:val="center"/>
          </w:tcPr>
          <w:p w14:paraId="626C7576">
            <w:pPr>
              <w:spacing w:line="360" w:lineRule="auto"/>
              <w:jc w:val="center"/>
              <w:rPr>
                <w:rFonts w:ascii="Times New Roman" w:hAnsi="Times New Roman" w:cs="Times New Roman"/>
                <w:color w:val="auto"/>
                <w:highlight w:val="none"/>
              </w:rPr>
            </w:pPr>
          </w:p>
        </w:tc>
        <w:tc>
          <w:tcPr>
            <w:tcW w:w="1230" w:type="dxa"/>
            <w:vAlign w:val="center"/>
          </w:tcPr>
          <w:p w14:paraId="23A3A74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vAlign w:val="center"/>
          </w:tcPr>
          <w:p w14:paraId="0D3AB40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并加盖公章</w:t>
            </w:r>
            <w:r>
              <w:rPr>
                <w:rFonts w:hint="eastAsia" w:ascii="宋体" w:hAnsi="宋体" w:cs="Times New Roman"/>
                <w:b/>
                <w:bCs/>
                <w:color w:val="auto"/>
                <w:sz w:val="21"/>
                <w:szCs w:val="21"/>
                <w:highlight w:val="none"/>
              </w:rPr>
              <w:t>)</w:t>
            </w:r>
          </w:p>
        </w:tc>
        <w:tc>
          <w:tcPr>
            <w:tcW w:w="1665" w:type="dxa"/>
            <w:vAlign w:val="center"/>
          </w:tcPr>
          <w:p w14:paraId="40566ED2">
            <w:pPr>
              <w:spacing w:line="360" w:lineRule="auto"/>
              <w:jc w:val="center"/>
              <w:rPr>
                <w:rFonts w:ascii="Times New Roman" w:hAnsi="Times New Roman" w:cs="Times New Roman"/>
                <w:color w:val="auto"/>
                <w:highlight w:val="none"/>
              </w:rPr>
            </w:pPr>
          </w:p>
        </w:tc>
        <w:tc>
          <w:tcPr>
            <w:tcW w:w="1230" w:type="dxa"/>
            <w:vAlign w:val="center"/>
          </w:tcPr>
          <w:p w14:paraId="49641CCF">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vAlign w:val="center"/>
          </w:tcPr>
          <w:p w14:paraId="26B16E99">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67DC64C5">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D4CF739">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6B7B9747">
            <w:pPr>
              <w:jc w:val="center"/>
              <w:rPr>
                <w:rFonts w:ascii="Times New Roman" w:hAnsi="Times New Roman" w:cs="Times New Roman"/>
                <w:color w:val="auto"/>
                <w:highlight w:val="none"/>
              </w:rPr>
            </w:pPr>
          </w:p>
        </w:tc>
        <w:tc>
          <w:tcPr>
            <w:tcW w:w="1230" w:type="dxa"/>
            <w:vAlign w:val="center"/>
          </w:tcPr>
          <w:p w14:paraId="2B9B0119">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vAlign w:val="center"/>
          </w:tcPr>
          <w:p w14:paraId="672DAA35">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53EEC075">
            <w:pPr>
              <w:spacing w:line="360" w:lineRule="auto"/>
              <w:jc w:val="center"/>
              <w:rPr>
                <w:rFonts w:ascii="Times New Roman" w:hAnsi="Times New Roman" w:cs="Times New Roman"/>
                <w:color w:val="auto"/>
                <w:highlight w:val="none"/>
              </w:rPr>
            </w:pPr>
          </w:p>
        </w:tc>
        <w:tc>
          <w:tcPr>
            <w:tcW w:w="1230" w:type="dxa"/>
            <w:vAlign w:val="center"/>
          </w:tcPr>
          <w:p w14:paraId="54F7759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vAlign w:val="center"/>
          </w:tcPr>
          <w:p w14:paraId="31C100B4">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8D0863F">
            <w:pPr>
              <w:spacing w:line="360" w:lineRule="auto"/>
              <w:jc w:val="center"/>
              <w:rPr>
                <w:rFonts w:ascii="Times New Roman" w:hAnsi="Times New Roman" w:cs="Times New Roman"/>
                <w:color w:val="auto"/>
                <w:highlight w:val="none"/>
              </w:rPr>
            </w:pPr>
          </w:p>
        </w:tc>
        <w:tc>
          <w:tcPr>
            <w:tcW w:w="1230" w:type="dxa"/>
            <w:vAlign w:val="center"/>
          </w:tcPr>
          <w:p w14:paraId="19269D0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3A8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1FE92655">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vAlign w:val="center"/>
          </w:tcPr>
          <w:p w14:paraId="2BA5D517">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40CB632F">
            <w:pPr>
              <w:spacing w:line="360" w:lineRule="auto"/>
              <w:jc w:val="center"/>
              <w:rPr>
                <w:rFonts w:ascii="Times New Roman" w:hAnsi="Times New Roman" w:cs="Times New Roman"/>
                <w:color w:val="auto"/>
                <w:highlight w:val="none"/>
              </w:rPr>
            </w:pPr>
          </w:p>
        </w:tc>
        <w:tc>
          <w:tcPr>
            <w:tcW w:w="1230" w:type="dxa"/>
            <w:vAlign w:val="center"/>
          </w:tcPr>
          <w:p w14:paraId="1EC9453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24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1B3CF0BD">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w:t>
            </w:r>
          </w:p>
        </w:tc>
        <w:tc>
          <w:tcPr>
            <w:tcW w:w="6489" w:type="dxa"/>
            <w:vAlign w:val="center"/>
          </w:tcPr>
          <w:p w14:paraId="06BDBD12">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665" w:type="dxa"/>
            <w:vAlign w:val="center"/>
          </w:tcPr>
          <w:p w14:paraId="58C0C654">
            <w:pPr>
              <w:spacing w:line="360" w:lineRule="auto"/>
              <w:jc w:val="center"/>
              <w:rPr>
                <w:rFonts w:ascii="Times New Roman" w:hAnsi="Times New Roman" w:cs="Times New Roman"/>
                <w:color w:val="auto"/>
                <w:highlight w:val="none"/>
              </w:rPr>
            </w:pPr>
          </w:p>
        </w:tc>
        <w:tc>
          <w:tcPr>
            <w:tcW w:w="1230" w:type="dxa"/>
            <w:vAlign w:val="center"/>
          </w:tcPr>
          <w:p w14:paraId="0E9F11BE">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281D88A">
      <w:pPr>
        <w:tabs>
          <w:tab w:val="left" w:pos="3656"/>
        </w:tabs>
        <w:jc w:val="both"/>
        <w:outlineLvl w:val="9"/>
        <w:rPr>
          <w:rFonts w:hint="eastAsia" w:cs="Times New Roman"/>
          <w:b/>
          <w:color w:val="auto"/>
          <w:sz w:val="24"/>
          <w:highlight w:val="none"/>
          <w:lang w:val="en-US" w:eastAsia="zh-CN"/>
        </w:rPr>
      </w:pPr>
    </w:p>
    <w:p w14:paraId="3415A7F1">
      <w:pPr>
        <w:numPr>
          <w:ilvl w:val="0"/>
          <w:numId w:val="4"/>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93" w:name="_Toc4011"/>
      <w:bookmarkStart w:id="294" w:name="_Toc16921"/>
      <w:bookmarkStart w:id="295" w:name="_Toc19923"/>
      <w:bookmarkStart w:id="296" w:name="_Toc3741"/>
      <w:bookmarkStart w:id="297" w:name="_Toc19939"/>
      <w:bookmarkStart w:id="298" w:name="_Toc16128"/>
      <w:bookmarkStart w:id="299" w:name="_Toc24066"/>
      <w:bookmarkStart w:id="300" w:name="_Toc29754"/>
      <w:r>
        <w:rPr>
          <w:rFonts w:hint="eastAsia" w:ascii="Times New Roman" w:hAnsi="Times New Roman" w:eastAsia="宋体" w:cs="Times New Roman"/>
          <w:b/>
          <w:bCs/>
          <w:color w:val="auto"/>
          <w:highlight w:val="none"/>
          <w:lang w:eastAsia="zh-CN"/>
        </w:rPr>
        <w:t>评分部分自查</w:t>
      </w:r>
      <w:bookmarkEnd w:id="276"/>
      <w:bookmarkEnd w:id="293"/>
      <w:bookmarkEnd w:id="294"/>
      <w:bookmarkEnd w:id="295"/>
      <w:bookmarkEnd w:id="296"/>
      <w:bookmarkEnd w:id="297"/>
      <w:bookmarkEnd w:id="298"/>
      <w:bookmarkEnd w:id="299"/>
      <w:bookmarkEnd w:id="300"/>
    </w:p>
    <w:tbl>
      <w:tblPr>
        <w:tblStyle w:val="20"/>
        <w:tblpPr w:leftFromText="180" w:rightFromText="180" w:vertAnchor="text" w:horzAnchor="page" w:tblpX="1083" w:tblpY="212"/>
        <w:tblOverlap w:val="never"/>
        <w:tblW w:w="9440" w:type="dxa"/>
        <w:tblInd w:w="0" w:type="dxa"/>
        <w:tblLayout w:type="fixed"/>
        <w:tblCellMar>
          <w:top w:w="0" w:type="dxa"/>
          <w:left w:w="0" w:type="dxa"/>
          <w:bottom w:w="0" w:type="dxa"/>
          <w:right w:w="0" w:type="dxa"/>
        </w:tblCellMar>
      </w:tblPr>
      <w:tblGrid>
        <w:gridCol w:w="601"/>
        <w:gridCol w:w="914"/>
        <w:gridCol w:w="5882"/>
        <w:gridCol w:w="539"/>
        <w:gridCol w:w="752"/>
        <w:gridCol w:w="752"/>
      </w:tblGrid>
      <w:tr w14:paraId="7238C4D6">
        <w:tblPrEx>
          <w:tblCellMar>
            <w:top w:w="0" w:type="dxa"/>
            <w:left w:w="0" w:type="dxa"/>
            <w:bottom w:w="0" w:type="dxa"/>
            <w:right w:w="0" w:type="dxa"/>
          </w:tblCellMar>
        </w:tblPrEx>
        <w:trPr>
          <w:trHeight w:val="310"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1EBE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06E7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05F8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FC46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3EBC7">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color w:val="auto"/>
                <w:sz w:val="21"/>
                <w:szCs w:val="21"/>
                <w:highlight w:val="none"/>
                <w:lang w:val="en-US" w:eastAsia="zh-CN"/>
              </w:rPr>
              <w:t>自评得分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A01B5">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color w:val="auto"/>
                <w:sz w:val="21"/>
                <w:szCs w:val="21"/>
                <w:highlight w:val="none"/>
                <w:lang w:val="en-US" w:eastAsia="zh-CN"/>
              </w:rPr>
              <w:t>证明文件指引</w:t>
            </w:r>
          </w:p>
        </w:tc>
      </w:tr>
      <w:tr w14:paraId="59CE4547">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7F63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191F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Theme="minorEastAsia"/>
                <w:b/>
                <w:bCs/>
                <w:color w:val="auto"/>
                <w:sz w:val="20"/>
                <w:szCs w:val="20"/>
                <w:lang w:val="en-US" w:eastAsia="zh-CN"/>
              </w:rPr>
            </w:pPr>
            <w:r>
              <w:rPr>
                <w:rFonts w:hint="eastAsia" w:eastAsiaTheme="minorEastAsia"/>
                <w:b/>
                <w:bCs/>
                <w:color w:val="auto"/>
                <w:sz w:val="20"/>
                <w:szCs w:val="20"/>
                <w:lang w:val="en-US" w:eastAsia="zh-CN"/>
              </w:rPr>
              <w:t>采购需求响应情况</w:t>
            </w:r>
          </w:p>
          <w:p w14:paraId="10F4EE5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（15分）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9C76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根据供应商“采购需求偏离表”中对本项目需求响应情况进行评价：</w:t>
            </w:r>
          </w:p>
          <w:p w14:paraId="5E62149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优：对采购文件中各条款的响应非常全面，优于采购文件要求的，得15分；</w:t>
            </w:r>
          </w:p>
          <w:p w14:paraId="69F2ECE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良：对采购文件中各条款的响应全面，符合采购文件要求的，得10分；</w:t>
            </w:r>
          </w:p>
          <w:p w14:paraId="7961BD1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中：对采购文件中各条款的响应较全面，基本满足采购文件要求的，得5分；</w:t>
            </w:r>
          </w:p>
          <w:p w14:paraId="4D76CF2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差：对采购文件中各条款的响应较差，只有部分满足采购文件要求的，得1分。</w:t>
            </w:r>
          </w:p>
          <w:p w14:paraId="531943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b/>
                <w:bCs/>
                <w:color w:val="auto"/>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0316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CF2F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1AF6">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EAB7388">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F8F6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39B5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3F5FB53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05EB3">
            <w:pPr>
              <w:spacing w:line="240" w:lineRule="exact"/>
              <w:jc w:val="left"/>
              <w:textAlignment w:val="center"/>
              <w:rPr>
                <w:rFonts w:hint="eastAsia" w:ascii="Times New Roman" w:hAnsi="Times New Roman" w:eastAsia="宋体" w:cs="Times New Roman"/>
                <w:b w:val="0"/>
                <w:bCs w:val="0"/>
                <w:color w:val="auto"/>
                <w:kern w:val="2"/>
                <w:sz w:val="21"/>
                <w:szCs w:val="24"/>
                <w:lang w:val="en-US" w:eastAsia="zh-CN"/>
              </w:rPr>
            </w:pPr>
            <w:r>
              <w:rPr>
                <w:rFonts w:hint="eastAsia" w:ascii="Times New Roman" w:hAnsi="Times New Roman" w:eastAsia="宋体" w:cs="Times New Roman"/>
                <w:color w:val="auto"/>
                <w:sz w:val="21"/>
                <w:szCs w:val="24"/>
                <w:lang w:val="en-US" w:eastAsia="zh-CN"/>
              </w:rPr>
              <w:t>根据</w:t>
            </w:r>
            <w:r>
              <w:rPr>
                <w:rFonts w:hint="eastAsia" w:ascii="Times New Roman" w:hAnsi="Times New Roman" w:eastAsia="宋体" w:cs="Times New Roman"/>
                <w:color w:val="auto"/>
                <w:sz w:val="21"/>
                <w:szCs w:val="24"/>
                <w:lang w:eastAsia="zh-CN"/>
              </w:rPr>
              <w:t>各</w:t>
            </w:r>
            <w:r>
              <w:rPr>
                <w:rFonts w:hint="eastAsia" w:ascii="Times New Roman" w:hAnsi="Times New Roman" w:eastAsia="宋体" w:cs="Times New Roman"/>
                <w:color w:val="auto"/>
                <w:sz w:val="21"/>
                <w:szCs w:val="24"/>
              </w:rPr>
              <w:t>供应商</w:t>
            </w:r>
            <w:r>
              <w:rPr>
                <w:rFonts w:hint="eastAsia" w:ascii="Times New Roman" w:hAnsi="Times New Roman" w:eastAsia="宋体" w:cs="Times New Roman"/>
                <w:color w:val="auto"/>
                <w:sz w:val="21"/>
                <w:szCs w:val="24"/>
                <w:lang w:eastAsia="zh-CN"/>
              </w:rPr>
              <w:t>所提供的</w:t>
            </w:r>
            <w:r>
              <w:rPr>
                <w:rFonts w:hint="eastAsia" w:ascii="Times New Roman" w:hAnsi="Times New Roman" w:eastAsia="宋体" w:cs="Times New Roman"/>
                <w:color w:val="auto"/>
                <w:sz w:val="21"/>
                <w:szCs w:val="24"/>
              </w:rPr>
              <w:t>202</w:t>
            </w:r>
            <w:r>
              <w:rPr>
                <w:rFonts w:hint="eastAsia" w:cs="Times New Roman"/>
                <w:color w:val="auto"/>
                <w:sz w:val="21"/>
                <w:szCs w:val="24"/>
                <w:lang w:val="en-US" w:eastAsia="zh-CN"/>
              </w:rPr>
              <w:t>4</w:t>
            </w:r>
            <w:r>
              <w:rPr>
                <w:rFonts w:hint="eastAsia" w:ascii="Times New Roman" w:hAnsi="Times New Roman" w:eastAsia="宋体" w:cs="Times New Roman"/>
                <w:color w:val="auto"/>
                <w:sz w:val="21"/>
                <w:szCs w:val="24"/>
              </w:rPr>
              <w:t>年1月1日至今</w:t>
            </w:r>
            <w:r>
              <w:rPr>
                <w:rFonts w:hint="eastAsia" w:ascii="Times New Roman" w:hAnsi="Times New Roman" w:eastAsia="宋体" w:cs="Times New Roman"/>
                <w:color w:val="auto"/>
                <w:sz w:val="21"/>
                <w:szCs w:val="24"/>
                <w:lang w:val="en-US" w:eastAsia="zh-CN"/>
              </w:rPr>
              <w:t>（以合同签订日期为准）完成过的同类</w:t>
            </w:r>
            <w:r>
              <w:rPr>
                <w:rFonts w:hint="eastAsia" w:ascii="Times New Roman" w:hAnsi="Times New Roman" w:eastAsia="宋体" w:cs="Times New Roman"/>
                <w:color w:val="auto"/>
                <w:sz w:val="21"/>
                <w:szCs w:val="24"/>
              </w:rPr>
              <w:t>高压或低压配电设备（/线路）等维保项目的</w:t>
            </w:r>
            <w:r>
              <w:rPr>
                <w:rFonts w:hint="eastAsia" w:ascii="Times New Roman" w:hAnsi="Times New Roman" w:eastAsia="宋体" w:cs="Times New Roman"/>
                <w:color w:val="auto"/>
                <w:sz w:val="21"/>
                <w:szCs w:val="24"/>
                <w:lang w:val="en-US" w:eastAsia="zh-CN"/>
              </w:rPr>
              <w:t>业绩，</w:t>
            </w:r>
            <w:r>
              <w:rPr>
                <w:rFonts w:hint="eastAsia" w:ascii="Times New Roman" w:hAnsi="Times New Roman" w:eastAsia="宋体" w:cs="Times New Roman"/>
                <w:color w:val="auto"/>
                <w:sz w:val="21"/>
                <w:szCs w:val="24"/>
              </w:rPr>
              <w:t>每提供一个得</w:t>
            </w:r>
            <w:r>
              <w:rPr>
                <w:rFonts w:hint="eastAsia" w:ascii="Times New Roman" w:hAnsi="Times New Roman" w:eastAsia="宋体" w:cs="Times New Roman"/>
                <w:color w:val="auto"/>
                <w:sz w:val="21"/>
                <w:szCs w:val="24"/>
                <w:lang w:val="en-US" w:eastAsia="zh-CN"/>
              </w:rPr>
              <w:t>1</w:t>
            </w:r>
            <w:r>
              <w:rPr>
                <w:rFonts w:hint="eastAsia" w:ascii="Times New Roman" w:hAnsi="Times New Roman" w:eastAsia="宋体" w:cs="Times New Roman"/>
                <w:color w:val="auto"/>
                <w:sz w:val="21"/>
                <w:szCs w:val="24"/>
              </w:rPr>
              <w:t>分，最高得</w:t>
            </w:r>
            <w:r>
              <w:rPr>
                <w:rFonts w:hint="eastAsia" w:ascii="Times New Roman" w:hAnsi="Times New Roman" w:eastAsia="宋体" w:cs="Times New Roman"/>
                <w:color w:val="auto"/>
                <w:sz w:val="21"/>
                <w:szCs w:val="24"/>
                <w:lang w:val="en-US" w:eastAsia="zh-CN"/>
              </w:rPr>
              <w:t>10</w:t>
            </w:r>
            <w:r>
              <w:rPr>
                <w:rFonts w:hint="eastAsia" w:ascii="Times New Roman" w:hAnsi="Times New Roman" w:eastAsia="宋体" w:cs="Times New Roman"/>
                <w:color w:val="auto"/>
                <w:sz w:val="21"/>
                <w:szCs w:val="24"/>
              </w:rPr>
              <w:t>分。未提供不得分。</w:t>
            </w:r>
          </w:p>
          <w:p w14:paraId="6571AE4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color w:val="auto"/>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18DE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C762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1984">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70ED55B">
        <w:tblPrEx>
          <w:tblCellMar>
            <w:top w:w="0" w:type="dxa"/>
            <w:left w:w="0" w:type="dxa"/>
            <w:bottom w:w="0" w:type="dxa"/>
            <w:right w:w="0" w:type="dxa"/>
          </w:tblCellMar>
        </w:tblPrEx>
        <w:trPr>
          <w:trHeight w:val="1596"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C65B5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F7251F">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C0B3E">
            <w:pPr>
              <w:keepNext w:val="0"/>
              <w:keepLines w:val="0"/>
              <w:widowControl/>
              <w:suppressLineNumbers w:val="0"/>
              <w:jc w:val="left"/>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根据各供应商提供与上述同类项目业绩对应的用户评价，用户评价须为良好或以上（含同等意义的评价，如85分或以上、满意或以上等），每提供一项得1分，最高得</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r>
              <w:rPr>
                <w:rFonts w:hint="eastAsia" w:ascii="宋体" w:hAnsi="宋体" w:eastAsia="宋体" w:cs="宋体"/>
                <w:i w:val="0"/>
                <w:iCs w:val="0"/>
                <w:color w:val="auto"/>
                <w:kern w:val="0"/>
                <w:sz w:val="20"/>
                <w:szCs w:val="20"/>
                <w:u w:val="none"/>
                <w:lang w:val="en-US" w:eastAsia="zh-CN" w:bidi="ar"/>
              </w:rPr>
              <w:br w:type="textWrapping"/>
            </w:r>
            <w:r>
              <w:rPr>
                <w:rStyle w:val="53"/>
                <w:color w:val="auto"/>
                <w:sz w:val="20"/>
                <w:szCs w:val="20"/>
                <w:lang w:val="en-US" w:eastAsia="zh-CN" w:bidi="ar"/>
              </w:rPr>
              <w:t>注：提供加盖客户公章的评价证明材料复印件，不满足要求或所提供材料无法体现用户评价的不得分。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97DF6">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C39C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6166">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762E9F4">
        <w:tblPrEx>
          <w:tblCellMar>
            <w:top w:w="0" w:type="dxa"/>
            <w:left w:w="0" w:type="dxa"/>
            <w:bottom w:w="0" w:type="dxa"/>
            <w:right w:w="0" w:type="dxa"/>
          </w:tblCellMar>
        </w:tblPrEx>
        <w:trPr>
          <w:trHeight w:val="898"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641B4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1EE03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实施方案</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18</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C0BA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根据供应商提供的整体服务实施方案,包括不限于</w:t>
            </w:r>
            <w:r>
              <w:rPr>
                <w:rFonts w:hint="eastAsia" w:asciiTheme="minorEastAsia" w:hAnsiTheme="minorEastAsia" w:eastAsiaTheme="minorEastAsia" w:cstheme="minorEastAsia"/>
                <w:color w:val="auto"/>
                <w:sz w:val="20"/>
                <w:szCs w:val="20"/>
                <w:lang w:val="en-US" w:eastAsia="zh-CN"/>
              </w:rPr>
              <w:t>维保服务范围及要求</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工作安排、响应情况、</w:t>
            </w:r>
            <w:r>
              <w:rPr>
                <w:rFonts w:hint="eastAsia" w:asciiTheme="minorEastAsia" w:hAnsiTheme="minorEastAsia" w:eastAsiaTheme="minorEastAsia" w:cstheme="minorEastAsia"/>
                <w:color w:val="auto"/>
                <w:sz w:val="20"/>
                <w:szCs w:val="20"/>
              </w:rPr>
              <w:t>问题处理、其它服务承诺等方案进行综合评审：</w:t>
            </w:r>
          </w:p>
          <w:p w14:paraId="6FCBE62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优：服务实施方案完整科学、可行性强，</w:t>
            </w:r>
            <w:r>
              <w:rPr>
                <w:rFonts w:hint="eastAsia" w:asciiTheme="minorEastAsia" w:hAnsiTheme="minorEastAsia" w:eastAsiaTheme="minorEastAsia" w:cstheme="minorEastAsia"/>
                <w:color w:val="auto"/>
                <w:sz w:val="20"/>
                <w:szCs w:val="20"/>
                <w:lang w:val="en-US" w:eastAsia="zh-CN"/>
              </w:rPr>
              <w:t>内容非</w:t>
            </w:r>
            <w:r>
              <w:rPr>
                <w:rFonts w:hint="eastAsia" w:asciiTheme="minorEastAsia" w:hAnsiTheme="minorEastAsia" w:eastAsiaTheme="minorEastAsia" w:cstheme="minorEastAsia"/>
                <w:color w:val="auto"/>
                <w:sz w:val="20"/>
                <w:szCs w:val="20"/>
              </w:rPr>
              <w:t>常清晰具体、工作</w:t>
            </w:r>
            <w:r>
              <w:rPr>
                <w:color w:val="auto"/>
              </w:rPr>
              <w:t>安排合理</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18</w:t>
            </w:r>
            <w:r>
              <w:rPr>
                <w:rFonts w:hint="eastAsia" w:asciiTheme="minorEastAsia" w:hAnsiTheme="minorEastAsia" w:eastAsiaTheme="minorEastAsia" w:cstheme="minorEastAsia"/>
                <w:color w:val="auto"/>
                <w:sz w:val="20"/>
                <w:szCs w:val="20"/>
              </w:rPr>
              <w:t>分；</w:t>
            </w:r>
          </w:p>
          <w:p w14:paraId="37D517D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良：服务实施方案科学、可行性</w:t>
            </w:r>
            <w:r>
              <w:rPr>
                <w:rFonts w:hint="eastAsia" w:asciiTheme="minorEastAsia" w:hAnsiTheme="minorEastAsia" w:eastAsiaTheme="minorEastAsia" w:cstheme="minorEastAsia"/>
                <w:color w:val="auto"/>
                <w:sz w:val="20"/>
                <w:szCs w:val="20"/>
                <w:lang w:val="en-US" w:eastAsia="zh-CN"/>
              </w:rPr>
              <w:t>较</w:t>
            </w:r>
            <w:r>
              <w:rPr>
                <w:rFonts w:hint="eastAsia" w:asciiTheme="minorEastAsia" w:hAnsiTheme="minorEastAsia" w:eastAsiaTheme="minorEastAsia" w:cstheme="minorEastAsia"/>
                <w:color w:val="auto"/>
                <w:sz w:val="20"/>
                <w:szCs w:val="20"/>
              </w:rPr>
              <w:t>强，</w:t>
            </w:r>
            <w:r>
              <w:rPr>
                <w:rFonts w:hint="eastAsia" w:asciiTheme="minorEastAsia" w:hAnsiTheme="minorEastAsia" w:eastAsiaTheme="minorEastAsia" w:cstheme="minorEastAsia"/>
                <w:color w:val="auto"/>
                <w:sz w:val="20"/>
                <w:szCs w:val="20"/>
                <w:lang w:val="en-US" w:eastAsia="zh-CN"/>
              </w:rPr>
              <w:t>内容</w:t>
            </w:r>
            <w:r>
              <w:rPr>
                <w:color w:val="auto"/>
              </w:rPr>
              <w:t>比较详细、工作安排比较可靠</w:t>
            </w:r>
            <w:r>
              <w:rPr>
                <w:rFonts w:hint="eastAsia"/>
                <w:color w:val="auto"/>
                <w:lang w:eastAsia="zh-CN"/>
              </w:rPr>
              <w:t>，</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12</w:t>
            </w:r>
            <w:r>
              <w:rPr>
                <w:rFonts w:hint="eastAsia" w:asciiTheme="minorEastAsia" w:hAnsiTheme="minorEastAsia" w:eastAsiaTheme="minorEastAsia" w:cstheme="minorEastAsia"/>
                <w:color w:val="auto"/>
                <w:sz w:val="20"/>
                <w:szCs w:val="20"/>
              </w:rPr>
              <w:t>分；</w:t>
            </w:r>
          </w:p>
          <w:p w14:paraId="692BBB9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中：服务实施方案完整、可行性一般，</w:t>
            </w:r>
            <w:r>
              <w:rPr>
                <w:rFonts w:hint="eastAsia" w:asciiTheme="minorEastAsia" w:hAnsiTheme="minorEastAsia" w:eastAsiaTheme="minorEastAsia" w:cstheme="minorEastAsia"/>
                <w:color w:val="auto"/>
                <w:sz w:val="20"/>
                <w:szCs w:val="20"/>
                <w:lang w:val="en-US" w:eastAsia="zh-CN"/>
              </w:rPr>
              <w:t>内容</w:t>
            </w:r>
            <w:r>
              <w:rPr>
                <w:color w:val="auto"/>
              </w:rPr>
              <w:t>基本清晰</w:t>
            </w:r>
            <w:r>
              <w:rPr>
                <w:rFonts w:hint="eastAsia"/>
                <w:color w:val="auto"/>
                <w:lang w:eastAsia="zh-CN"/>
              </w:rPr>
              <w:t>、</w:t>
            </w:r>
            <w:r>
              <w:rPr>
                <w:color w:val="auto"/>
              </w:rPr>
              <w:t>工作安排不够合理的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rPr>
              <w:t>分；</w:t>
            </w:r>
          </w:p>
          <w:p w14:paraId="333AFBF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rPr>
              <w:t>差：服务实施方案基本完整、可行性较差，</w:t>
            </w:r>
            <w:r>
              <w:rPr>
                <w:rFonts w:hint="eastAsia" w:asciiTheme="minorEastAsia" w:hAnsiTheme="minorEastAsia" w:eastAsiaTheme="minorEastAsia" w:cstheme="minorEastAsia"/>
                <w:color w:val="auto"/>
                <w:sz w:val="20"/>
                <w:szCs w:val="20"/>
                <w:lang w:val="en-US" w:eastAsia="zh-CN"/>
              </w:rPr>
              <w:t>内容不清晰、</w:t>
            </w:r>
            <w:r>
              <w:rPr>
                <w:color w:val="auto"/>
              </w:rPr>
              <w:t>工作流程安排不合理的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eastAsiaTheme="minorEastAsia" w:cstheme="minorEastAsia"/>
                <w:color w:val="auto"/>
                <w:sz w:val="20"/>
                <w:szCs w:val="20"/>
                <w:lang w:val="en-US" w:eastAsia="zh-CN"/>
              </w:rPr>
              <w:t>未</w:t>
            </w:r>
            <w:r>
              <w:rPr>
                <w:rFonts w:hint="eastAsia" w:asciiTheme="minorEastAsia" w:hAnsiTheme="minorEastAsia" w:eastAsiaTheme="minorEastAsia" w:cstheme="minorEastAsia"/>
                <w:color w:val="auto"/>
                <w:sz w:val="20"/>
                <w:szCs w:val="20"/>
              </w:rPr>
              <w:t>提供不得分。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A581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2587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B5E5">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80A3DA1">
        <w:tblPrEx>
          <w:tblCellMar>
            <w:top w:w="0" w:type="dxa"/>
            <w:left w:w="0" w:type="dxa"/>
            <w:bottom w:w="0" w:type="dxa"/>
            <w:right w:w="0" w:type="dxa"/>
          </w:tblCellMar>
        </w:tblPrEx>
        <w:trPr>
          <w:trHeight w:val="665"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146B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3ABF6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color w:val="auto"/>
              </w:rPr>
              <w:t>试验及维护保养组织方案</w:t>
            </w:r>
            <w:r>
              <w:rPr>
                <w:rFonts w:hint="eastAsia"/>
                <w:b/>
                <w:bCs/>
                <w:color w:val="auto"/>
                <w:lang w:eastAsia="zh-CN"/>
              </w:rPr>
              <w:t>（</w:t>
            </w:r>
            <w:r>
              <w:rPr>
                <w:rFonts w:hint="eastAsia"/>
                <w:b/>
                <w:bCs/>
                <w:color w:val="auto"/>
                <w:lang w:val="en-US" w:eastAsia="zh-CN"/>
              </w:rPr>
              <w:t>12分</w:t>
            </w:r>
            <w:r>
              <w:rPr>
                <w:b/>
                <w:bCs/>
                <w:color w:val="auto"/>
                <w:sz w:val="20"/>
                <w:szCs w:val="20"/>
              </w:rPr>
              <w:t>)</w:t>
            </w:r>
          </w:p>
        </w:tc>
        <w:tc>
          <w:tcPr>
            <w:tcW w:w="588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308EDB">
            <w:pPr>
              <w:pStyle w:val="49"/>
              <w:jc w:val="left"/>
              <w:rPr>
                <w:color w:val="auto"/>
              </w:rPr>
            </w:pPr>
            <w:r>
              <w:rPr>
                <w:rFonts w:hint="eastAsia"/>
                <w:color w:val="auto"/>
                <w:lang w:val="en-US" w:eastAsia="zh-CN"/>
              </w:rPr>
              <w:t>各供应商</w:t>
            </w:r>
            <w:r>
              <w:rPr>
                <w:color w:val="auto"/>
              </w:rPr>
              <w:t xml:space="preserve">编制具体的试验及维护保养方案（包括但不限于质量控制方案、进度控制方案、重点、难点分析等方案等）的完整性、合理性进行综合评比： </w:t>
            </w:r>
          </w:p>
          <w:p w14:paraId="42724AD1">
            <w:pPr>
              <w:pStyle w:val="49"/>
              <w:jc w:val="left"/>
              <w:rPr>
                <w:color w:val="auto"/>
              </w:rPr>
            </w:pPr>
            <w:r>
              <w:rPr>
                <w:color w:val="auto"/>
              </w:rPr>
              <w:t>提供的试验及维护保养方案完善具体、重点难点分析详细、方案可行性高，完全符合</w:t>
            </w:r>
            <w:r>
              <w:rPr>
                <w:rFonts w:hint="eastAsia"/>
                <w:color w:val="auto"/>
                <w:lang w:val="en-US" w:eastAsia="zh-CN"/>
              </w:rPr>
              <w:t>采购</w:t>
            </w:r>
            <w:r>
              <w:rPr>
                <w:color w:val="auto"/>
              </w:rPr>
              <w:t>文件要求，得</w:t>
            </w:r>
            <w:r>
              <w:rPr>
                <w:rFonts w:hint="eastAsia"/>
                <w:color w:val="auto"/>
                <w:lang w:val="en-US" w:eastAsia="zh-CN"/>
              </w:rPr>
              <w:t>12</w:t>
            </w:r>
            <w:r>
              <w:rPr>
                <w:color w:val="auto"/>
              </w:rPr>
              <w:t xml:space="preserve">分； </w:t>
            </w:r>
          </w:p>
          <w:p w14:paraId="4EA84752">
            <w:pPr>
              <w:pStyle w:val="49"/>
              <w:jc w:val="left"/>
              <w:rPr>
                <w:color w:val="auto"/>
              </w:rPr>
            </w:pPr>
            <w:r>
              <w:rPr>
                <w:color w:val="auto"/>
              </w:rPr>
              <w:t>提供的试验及维护保养方案较具体、重点难点分析简单、方案基本可行合理的，得</w:t>
            </w:r>
            <w:r>
              <w:rPr>
                <w:rFonts w:hint="eastAsia"/>
                <w:color w:val="auto"/>
                <w:lang w:val="en-US" w:eastAsia="zh-CN"/>
              </w:rPr>
              <w:t>8</w:t>
            </w:r>
            <w:r>
              <w:rPr>
                <w:color w:val="auto"/>
              </w:rPr>
              <w:t xml:space="preserve">分； </w:t>
            </w:r>
          </w:p>
          <w:p w14:paraId="45916C4E">
            <w:pPr>
              <w:pStyle w:val="49"/>
              <w:jc w:val="left"/>
              <w:rPr>
                <w:color w:val="auto"/>
              </w:rPr>
            </w:pPr>
            <w:r>
              <w:rPr>
                <w:color w:val="auto"/>
              </w:rPr>
              <w:t>提供的试验及维护保养方案基本达</w:t>
            </w:r>
            <w:r>
              <w:rPr>
                <w:rFonts w:hint="eastAsia"/>
                <w:color w:val="auto"/>
                <w:lang w:val="en-US" w:eastAsia="zh-CN"/>
              </w:rPr>
              <w:t>采购文件</w:t>
            </w:r>
            <w:r>
              <w:rPr>
                <w:color w:val="auto"/>
              </w:rPr>
              <w:t>要求、有重点难点分析、方案可行合理的，得</w:t>
            </w:r>
            <w:r>
              <w:rPr>
                <w:rFonts w:hint="eastAsia"/>
                <w:color w:val="auto"/>
                <w:lang w:val="en-US" w:eastAsia="zh-CN"/>
              </w:rPr>
              <w:t>4</w:t>
            </w:r>
            <w:r>
              <w:rPr>
                <w:color w:val="auto"/>
              </w:rPr>
              <w:t xml:space="preserve">分； </w:t>
            </w:r>
          </w:p>
          <w:p w14:paraId="613AD890">
            <w:pPr>
              <w:pStyle w:val="49"/>
              <w:jc w:val="left"/>
              <w:rPr>
                <w:color w:val="auto"/>
              </w:rPr>
            </w:pPr>
            <w:r>
              <w:rPr>
                <w:color w:val="auto"/>
              </w:rPr>
              <w:t>提供的试验及维护保养方案不够完整，得1分；</w:t>
            </w:r>
          </w:p>
          <w:p w14:paraId="6A31F64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0"/>
                <w:szCs w:val="20"/>
                <w:lang w:val="en-US" w:eastAsia="zh-CN"/>
              </w:rPr>
            </w:pPr>
            <w:r>
              <w:rPr>
                <w:rFonts w:hint="eastAsia"/>
                <w:color w:val="auto"/>
                <w:lang w:val="en-US" w:eastAsia="zh-CN"/>
              </w:rPr>
              <w:t>未</w:t>
            </w:r>
            <w:r>
              <w:rPr>
                <w:color w:val="auto"/>
              </w:rPr>
              <w:t>提供的得0分。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01CD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4EE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D561">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C0C40C7">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3F4CC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08717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b/>
                <w:bCs/>
                <w:color w:val="auto"/>
              </w:rPr>
              <w:t>服务</w:t>
            </w:r>
            <w:r>
              <w:rPr>
                <w:rFonts w:hint="eastAsia"/>
                <w:b/>
                <w:bCs/>
                <w:color w:val="auto"/>
                <w:lang w:val="en-US" w:eastAsia="zh-CN"/>
              </w:rPr>
              <w:t>应急</w:t>
            </w:r>
            <w:r>
              <w:rPr>
                <w:b/>
                <w:bCs/>
                <w:color w:val="auto"/>
              </w:rPr>
              <w:t>响应时间 (9.0分)</w:t>
            </w:r>
          </w:p>
        </w:tc>
        <w:tc>
          <w:tcPr>
            <w:tcW w:w="588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42B8B1">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 xml:space="preserve">根据各供应商针对本项目技术人员到达现场服务的应急响应时间承诺进行评价： </w:t>
            </w:r>
          </w:p>
          <w:p w14:paraId="1EA76D15">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遇障通知后，技术人员20分（含）内到达现场响应服务的得9分； </w:t>
            </w:r>
          </w:p>
          <w:p w14:paraId="4938C2C7">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遇障通知后，技术人员20分（不含）-40分钟（含）内到达现场响应服务的得6分； </w:t>
            </w:r>
          </w:p>
          <w:p w14:paraId="7E1FF311">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遇障通知后，技术人员40分钟时（不含）-1小时（含）内到达现场响应服务的得2分； </w:t>
            </w:r>
          </w:p>
          <w:p w14:paraId="49D61C3A">
            <w:pPr>
              <w:keepNext w:val="0"/>
              <w:keepLines w:val="0"/>
              <w:pageBreakBefore w:val="0"/>
              <w:kinsoku/>
              <w:wordWrap/>
              <w:overflowPunct/>
              <w:topLinePunct w:val="0"/>
              <w:autoSpaceDE/>
              <w:autoSpaceDN/>
              <w:bidi w:val="0"/>
              <w:adjustRightInd/>
              <w:snapToGrid/>
              <w:spacing w:line="240" w:lineRule="exact"/>
              <w:rPr>
                <w:rFonts w:hint="eastAsia" w:eastAsia="宋体"/>
                <w:color w:val="auto"/>
                <w:lang w:eastAsia="zh-CN"/>
              </w:rPr>
            </w:pPr>
            <w:r>
              <w:rPr>
                <w:rFonts w:hint="eastAsia"/>
                <w:color w:val="auto"/>
              </w:rPr>
              <w:t>接到</w:t>
            </w:r>
            <w:r>
              <w:rPr>
                <w:rFonts w:hint="eastAsia"/>
                <w:color w:val="auto"/>
                <w:lang w:val="en-US" w:eastAsia="zh-CN"/>
              </w:rPr>
              <w:t>采购人</w:t>
            </w:r>
            <w:r>
              <w:rPr>
                <w:rFonts w:hint="eastAsia"/>
                <w:color w:val="auto"/>
              </w:rPr>
              <w:t>遇障通知后，技术人员超过1小时到达现场响应服务不得分</w:t>
            </w:r>
            <w:r>
              <w:rPr>
                <w:rFonts w:hint="eastAsia"/>
                <w:color w:val="auto"/>
                <w:lang w:eastAsia="zh-CN"/>
              </w:rPr>
              <w:t>。</w:t>
            </w:r>
          </w:p>
          <w:p w14:paraId="70372E41">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b/>
                <w:bCs/>
                <w:color w:val="auto"/>
              </w:rPr>
              <w:t>注：须提供服务承诺</w:t>
            </w:r>
            <w:r>
              <w:rPr>
                <w:rFonts w:hint="eastAsia"/>
                <w:b/>
                <w:bCs/>
                <w:color w:val="auto"/>
                <w:lang w:val="en-US" w:eastAsia="zh-CN"/>
              </w:rPr>
              <w:t>函</w:t>
            </w:r>
            <w:r>
              <w:rPr>
                <w:rFonts w:hint="eastAsia"/>
                <w:b/>
                <w:bCs/>
                <w:color w:val="auto"/>
              </w:rPr>
              <w:t>加盖公章。未提供不得分。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F4D1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EE5C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F2EC">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F2E1529">
        <w:tblPrEx>
          <w:tblCellMar>
            <w:top w:w="0" w:type="dxa"/>
            <w:left w:w="0" w:type="dxa"/>
            <w:bottom w:w="0" w:type="dxa"/>
            <w:right w:w="0" w:type="dxa"/>
          </w:tblCellMar>
        </w:tblPrEx>
        <w:trPr>
          <w:trHeight w:val="840" w:hRule="atLeast"/>
        </w:trPr>
        <w:tc>
          <w:tcPr>
            <w:tcW w:w="6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EE4AB2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C557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1C3BDF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30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9FC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FA7F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30分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150D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95C9">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5FF62D01">
        <w:tblPrEx>
          <w:tblCellMar>
            <w:top w:w="0" w:type="dxa"/>
            <w:left w:w="0" w:type="dxa"/>
            <w:bottom w:w="0" w:type="dxa"/>
            <w:right w:w="0" w:type="dxa"/>
          </w:tblCellMar>
        </w:tblPrEx>
        <w:trPr>
          <w:trHeight w:val="600" w:hRule="atLeast"/>
        </w:trPr>
        <w:tc>
          <w:tcPr>
            <w:tcW w:w="73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4B39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22AA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80BA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C26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w:t>
            </w:r>
          </w:p>
        </w:tc>
      </w:tr>
    </w:tbl>
    <w:p w14:paraId="6C0BDC6B">
      <w:pPr>
        <w:pStyle w:val="31"/>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08BF6DC">
      <w:pPr>
        <w:pStyle w:val="31"/>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5B463E4B">
      <w:pPr>
        <w:pStyle w:val="31"/>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1"/>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7CE8CBCC">
      <w:pPr>
        <w:spacing w:line="360" w:lineRule="auto"/>
        <w:jc w:val="center"/>
        <w:outlineLvl w:val="0"/>
        <w:rPr>
          <w:rFonts w:hint="eastAsia" w:ascii="宋体" w:hAnsi="宋体"/>
          <w:b/>
          <w:bCs/>
          <w:color w:val="auto"/>
          <w:sz w:val="28"/>
          <w:szCs w:val="28"/>
          <w:highlight w:val="none"/>
        </w:rPr>
      </w:pPr>
      <w:bookmarkStart w:id="301" w:name="_Toc17193"/>
      <w:bookmarkStart w:id="302" w:name="_Toc8677"/>
      <w:bookmarkStart w:id="303" w:name="_Toc6121"/>
      <w:bookmarkStart w:id="304" w:name="_Toc6838"/>
      <w:bookmarkStart w:id="305" w:name="_Toc337"/>
      <w:bookmarkStart w:id="306" w:name="_Toc21593"/>
      <w:r>
        <w:rPr>
          <w:rFonts w:hint="eastAsia" w:ascii="宋体" w:hAnsi="宋体"/>
          <w:b/>
          <w:bCs/>
          <w:color w:val="auto"/>
          <w:sz w:val="28"/>
          <w:szCs w:val="28"/>
          <w:highlight w:val="none"/>
        </w:rPr>
        <w:t>报价表</w:t>
      </w:r>
      <w:bookmarkEnd w:id="301"/>
      <w:bookmarkEnd w:id="302"/>
      <w:bookmarkEnd w:id="303"/>
      <w:bookmarkEnd w:id="304"/>
      <w:bookmarkEnd w:id="305"/>
      <w:bookmarkEnd w:id="306"/>
    </w:p>
    <w:tbl>
      <w:tblPr>
        <w:tblStyle w:val="20"/>
        <w:tblW w:w="105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809"/>
        <w:gridCol w:w="1033"/>
        <w:gridCol w:w="4087"/>
        <w:gridCol w:w="1293"/>
      </w:tblGrid>
      <w:tr w14:paraId="436FF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right w:val="single" w:color="000000" w:sz="4" w:space="0"/>
            </w:tcBorders>
            <w:vAlign w:val="center"/>
          </w:tcPr>
          <w:p w14:paraId="786D025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809" w:type="dxa"/>
            <w:tcBorders>
              <w:right w:val="single" w:color="000000" w:sz="4" w:space="0"/>
            </w:tcBorders>
            <w:vAlign w:val="center"/>
          </w:tcPr>
          <w:p w14:paraId="0F674ED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1033" w:type="dxa"/>
            <w:tcBorders>
              <w:right w:val="single" w:color="000000" w:sz="4" w:space="0"/>
            </w:tcBorders>
            <w:vAlign w:val="center"/>
          </w:tcPr>
          <w:p w14:paraId="5A8F585F">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087" w:type="dxa"/>
            <w:tcBorders>
              <w:right w:val="single" w:color="000000" w:sz="4" w:space="0"/>
            </w:tcBorders>
            <w:vAlign w:val="center"/>
          </w:tcPr>
          <w:p w14:paraId="01137BA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c>
          <w:tcPr>
            <w:tcW w:w="1293" w:type="dxa"/>
            <w:tcBorders>
              <w:left w:val="single" w:color="000000" w:sz="4" w:space="0"/>
            </w:tcBorders>
            <w:vAlign w:val="center"/>
          </w:tcPr>
          <w:p w14:paraId="71204F50">
            <w:pPr>
              <w:jc w:val="center"/>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3D612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000000" w:sz="4" w:space="0"/>
              <w:right w:val="single" w:color="000000" w:sz="4" w:space="0"/>
            </w:tcBorders>
            <w:vAlign w:val="center"/>
          </w:tcPr>
          <w:p w14:paraId="54C89B6B">
            <w:pPr>
              <w:keepNext w:val="0"/>
              <w:keepLines w:val="0"/>
              <w:pageBreakBefore w:val="0"/>
              <w:numPr>
                <w:ilvl w:val="0"/>
                <w:numId w:val="0"/>
              </w:numPr>
              <w:kinsoku/>
              <w:wordWrap/>
              <w:overflowPunct/>
              <w:topLinePunct w:val="0"/>
              <w:autoSpaceDE w:val="0"/>
              <w:autoSpaceDN w:val="0"/>
              <w:bidi w:val="0"/>
              <w:spacing w:line="400" w:lineRule="exact"/>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南方医科大学第五附属医院电房电气设备委托维护服务项目</w:t>
            </w:r>
            <w:r>
              <w:rPr>
                <w:rFonts w:hint="eastAsia" w:ascii="宋体" w:hAnsi="宋体" w:cs="宋体"/>
                <w:b w:val="0"/>
                <w:bCs w:val="0"/>
                <w:color w:val="auto"/>
                <w:sz w:val="21"/>
                <w:szCs w:val="21"/>
                <w:lang w:val="en-US" w:eastAsia="zh-CN"/>
              </w:rPr>
              <w:t>（二次）</w:t>
            </w:r>
          </w:p>
          <w:p w14:paraId="794AA08F">
            <w:pPr>
              <w:jc w:val="left"/>
              <w:rPr>
                <w:rFonts w:hint="eastAsia" w:ascii="宋体" w:hAnsi="宋体" w:eastAsia="宋体" w:cs="宋体"/>
                <w:b w:val="0"/>
                <w:bCs w:val="0"/>
                <w:color w:val="auto"/>
                <w:kern w:val="2"/>
                <w:sz w:val="21"/>
                <w:szCs w:val="21"/>
                <w:highlight w:val="none"/>
                <w:lang w:val="zh-CN" w:eastAsia="zh-CN" w:bidi="ar-SA"/>
              </w:rPr>
            </w:pPr>
          </w:p>
        </w:tc>
        <w:tc>
          <w:tcPr>
            <w:tcW w:w="809" w:type="dxa"/>
            <w:tcBorders>
              <w:top w:val="single" w:color="000000" w:sz="4" w:space="0"/>
              <w:right w:val="single" w:color="000000" w:sz="4" w:space="0"/>
            </w:tcBorders>
            <w:vAlign w:val="center"/>
          </w:tcPr>
          <w:p w14:paraId="7E7CEE8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1033" w:type="dxa"/>
            <w:tcBorders>
              <w:top w:val="single" w:color="000000" w:sz="4" w:space="0"/>
              <w:right w:val="single" w:color="000000" w:sz="4" w:space="0"/>
            </w:tcBorders>
            <w:vAlign w:val="center"/>
          </w:tcPr>
          <w:p w14:paraId="406D4E3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4087" w:type="dxa"/>
            <w:tcBorders>
              <w:top w:val="single" w:color="000000" w:sz="4" w:space="0"/>
              <w:right w:val="single" w:color="000000" w:sz="4" w:space="0"/>
            </w:tcBorders>
            <w:vAlign w:val="center"/>
          </w:tcPr>
          <w:p w14:paraId="6C1F6A21">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人民币大写： </w:t>
            </w:r>
          </w:p>
          <w:p w14:paraId="770B80EE">
            <w:pPr>
              <w:pStyle w:val="27"/>
              <w:rPr>
                <w:rFonts w:hint="eastAsia" w:ascii="宋体" w:hAnsi="宋体" w:eastAsia="宋体" w:cs="宋体"/>
                <w:b w:val="0"/>
                <w:bCs w:val="0"/>
                <w:color w:val="auto"/>
                <w:sz w:val="21"/>
                <w:szCs w:val="21"/>
                <w:highlight w:val="none"/>
              </w:rPr>
            </w:pPr>
          </w:p>
          <w:p w14:paraId="2AE38BC7">
            <w:pPr>
              <w:pStyle w:val="27"/>
              <w:rPr>
                <w:rFonts w:hint="eastAsia" w:ascii="宋体" w:hAnsi="宋体" w:eastAsia="宋体" w:cs="宋体"/>
                <w:b w:val="0"/>
                <w:bCs w:val="0"/>
                <w:color w:val="auto"/>
                <w:sz w:val="21"/>
                <w:szCs w:val="21"/>
                <w:highlight w:val="none"/>
              </w:rPr>
            </w:pPr>
          </w:p>
          <w:p w14:paraId="23401C39">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c>
          <w:tcPr>
            <w:tcW w:w="1293" w:type="dxa"/>
            <w:tcBorders>
              <w:top w:val="single" w:color="000000" w:sz="4" w:space="0"/>
              <w:left w:val="single" w:color="000000" w:sz="4" w:space="0"/>
            </w:tcBorders>
            <w:vAlign w:val="center"/>
          </w:tcPr>
          <w:p w14:paraId="52E7C117">
            <w:pPr>
              <w:spacing w:before="86" w:line="364" w:lineRule="auto"/>
              <w:ind w:right="188"/>
              <w:jc w:val="center"/>
              <w:rPr>
                <w:rFonts w:hint="default" w:ascii="宋体" w:hAnsi="宋体" w:eastAsia="宋体" w:cs="宋体"/>
                <w:bCs/>
                <w:color w:val="auto"/>
                <w:sz w:val="21"/>
                <w:szCs w:val="21"/>
                <w:lang w:val="en-US" w:bidi="zh-CN"/>
              </w:rPr>
            </w:pPr>
            <w:r>
              <w:rPr>
                <w:rFonts w:hint="eastAsia" w:ascii="宋体" w:hAnsi="宋体" w:cs="宋体"/>
                <w:bCs/>
                <w:color w:val="auto"/>
                <w:sz w:val="21"/>
                <w:szCs w:val="21"/>
                <w:lang w:val="en-US" w:bidi="zh-CN"/>
              </w:rPr>
              <w:t>服务期三年</w:t>
            </w:r>
          </w:p>
        </w:tc>
      </w:tr>
    </w:tbl>
    <w:p w14:paraId="1E016574">
      <w:pPr>
        <w:pStyle w:val="27"/>
        <w:rPr>
          <w:rFonts w:hint="eastAsia" w:ascii="宋体" w:hAnsi="宋体" w:eastAsia="宋体" w:cs="宋体"/>
          <w:color w:val="auto"/>
          <w:sz w:val="21"/>
          <w:szCs w:val="21"/>
        </w:rPr>
      </w:pPr>
    </w:p>
    <w:p w14:paraId="3368228D">
      <w:pPr>
        <w:pStyle w:val="27"/>
        <w:rPr>
          <w:rFonts w:hint="eastAsia" w:ascii="宋体" w:hAnsi="宋体" w:eastAsia="宋体" w:cs="宋体"/>
          <w:color w:val="auto"/>
          <w:sz w:val="21"/>
          <w:szCs w:val="21"/>
        </w:rPr>
      </w:pPr>
    </w:p>
    <w:p w14:paraId="47ED1214">
      <w:pPr>
        <w:pStyle w:val="27"/>
        <w:spacing w:line="360" w:lineRule="auto"/>
        <w:jc w:val="left"/>
        <w:rPr>
          <w:rFonts w:hint="eastAsia" w:ascii="宋体" w:hAnsi="宋体" w:eastAsia="宋体" w:cs="宋体"/>
          <w:color w:val="auto"/>
          <w:sz w:val="21"/>
          <w:szCs w:val="21"/>
        </w:rPr>
      </w:pPr>
      <w:bookmarkStart w:id="307" w:name="_Toc28125"/>
      <w:bookmarkStart w:id="308" w:name="_Toc12770"/>
      <w:bookmarkStart w:id="309" w:name="_Toc1767"/>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 、佰、仟、万</w:t>
      </w:r>
    </w:p>
    <w:p w14:paraId="310459C2">
      <w:pPr>
        <w:tabs>
          <w:tab w:val="left" w:pos="180"/>
          <w:tab w:val="left" w:pos="1620"/>
        </w:tabs>
        <w:spacing w:line="360" w:lineRule="auto"/>
        <w:outlineLvl w:val="2"/>
        <w:rPr>
          <w:rFonts w:hint="eastAsia" w:ascii="宋体" w:hAnsi="宋体" w:eastAsia="宋体" w:cs="宋体"/>
          <w:b/>
          <w:color w:val="auto"/>
          <w:sz w:val="21"/>
          <w:szCs w:val="21"/>
        </w:rPr>
      </w:pPr>
      <w:bookmarkStart w:id="310" w:name="_Toc30244"/>
      <w:r>
        <w:rPr>
          <w:rFonts w:hint="eastAsia" w:ascii="宋体" w:hAnsi="宋体" w:eastAsia="宋体" w:cs="宋体"/>
          <w:b/>
          <w:color w:val="auto"/>
          <w:sz w:val="21"/>
          <w:szCs w:val="21"/>
        </w:rPr>
        <w:t>2.其他承诺：</w:t>
      </w:r>
      <w:bookmarkEnd w:id="310"/>
    </w:p>
    <w:bookmarkEnd w:id="307"/>
    <w:bookmarkEnd w:id="308"/>
    <w:bookmarkEnd w:id="309"/>
    <w:p w14:paraId="4C08AF00">
      <w:pPr>
        <w:tabs>
          <w:tab w:val="left" w:pos="180"/>
          <w:tab w:val="left" w:pos="1620"/>
        </w:tabs>
        <w:spacing w:line="360" w:lineRule="auto"/>
        <w:rPr>
          <w:rFonts w:hint="eastAsia" w:ascii="宋体" w:hAnsi="宋体" w:eastAsia="宋体" w:cs="宋体"/>
          <w:bCs/>
          <w:color w:val="auto"/>
          <w:sz w:val="21"/>
          <w:szCs w:val="21"/>
        </w:rPr>
      </w:pPr>
    </w:p>
    <w:p w14:paraId="0A5738B1">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bookmarkStart w:id="311" w:name="_Toc2864"/>
      <w:bookmarkStart w:id="312" w:name="_Toc10413"/>
      <w:bookmarkStart w:id="313" w:name="_Toc16360"/>
    </w:p>
    <w:bookmarkEnd w:id="311"/>
    <w:bookmarkEnd w:id="312"/>
    <w:bookmarkEnd w:id="313"/>
    <w:p w14:paraId="465F3B43">
      <w:pPr>
        <w:spacing w:line="360" w:lineRule="auto"/>
        <w:jc w:val="both"/>
        <w:rPr>
          <w:rFonts w:hint="eastAsia" w:ascii="宋体" w:hAnsi="宋体" w:eastAsia="宋体" w:cs="宋体"/>
          <w:b w:val="0"/>
          <w:bCs/>
          <w:color w:val="auto"/>
          <w:sz w:val="21"/>
          <w:szCs w:val="21"/>
        </w:rPr>
      </w:pPr>
    </w:p>
    <w:p w14:paraId="608B7C01">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1E021ADD">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74246A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0BF53874">
      <w:pPr>
        <w:spacing w:line="360" w:lineRule="auto"/>
        <w:ind w:firstLine="5760" w:firstLineChars="2400"/>
        <w:jc w:val="both"/>
        <w:rPr>
          <w:rFonts w:hint="eastAsia" w:ascii="宋体" w:hAnsi="宋体" w:eastAsia="宋体" w:cs="宋体"/>
          <w:b w:val="0"/>
          <w:bCs/>
          <w:color w:val="auto"/>
          <w:sz w:val="24"/>
          <w:szCs w:val="24"/>
        </w:rPr>
      </w:pPr>
    </w:p>
    <w:p w14:paraId="5BFBAC7B">
      <w:pPr>
        <w:spacing w:line="360" w:lineRule="auto"/>
        <w:ind w:firstLine="5760" w:firstLineChars="2400"/>
        <w:jc w:val="both"/>
        <w:rPr>
          <w:rFonts w:hint="eastAsia" w:ascii="宋体" w:hAnsi="宋体" w:eastAsia="宋体" w:cs="宋体"/>
          <w:b w:val="0"/>
          <w:bCs/>
          <w:color w:val="auto"/>
          <w:sz w:val="24"/>
          <w:szCs w:val="24"/>
        </w:rPr>
      </w:pPr>
    </w:p>
    <w:p w14:paraId="23801CCE">
      <w:pPr>
        <w:spacing w:line="360" w:lineRule="auto"/>
        <w:jc w:val="center"/>
        <w:outlineLvl w:val="0"/>
        <w:rPr>
          <w:rFonts w:hint="eastAsia" w:ascii="宋体" w:hAnsi="宋体"/>
          <w:b/>
          <w:bCs/>
          <w:color w:val="auto"/>
          <w:sz w:val="28"/>
          <w:szCs w:val="28"/>
          <w:highlight w:val="none"/>
        </w:rPr>
      </w:pPr>
    </w:p>
    <w:p w14:paraId="20C19A53">
      <w:pPr>
        <w:spacing w:line="360" w:lineRule="auto"/>
        <w:jc w:val="center"/>
        <w:outlineLvl w:val="0"/>
        <w:rPr>
          <w:rFonts w:hint="eastAsia" w:ascii="宋体" w:hAnsi="宋体"/>
          <w:b/>
          <w:bCs/>
          <w:color w:val="auto"/>
          <w:sz w:val="28"/>
          <w:szCs w:val="28"/>
          <w:highlight w:val="none"/>
        </w:rPr>
      </w:pPr>
    </w:p>
    <w:p w14:paraId="531B7CE5">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0DA3EF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E1B734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5012DCD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9DBE4D1">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2675DA8">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4ADB6934">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7CFB65CA">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7594E9F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1E0568E8">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5B8E9D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本表所列条款必须一一予以响应，“报价文件响应”一栏应填写具体的响应内容，</w:t>
      </w:r>
      <w:r>
        <w:rPr>
          <w:rFonts w:hint="eastAsia" w:ascii="宋体" w:hAnsi="宋体"/>
          <w:b/>
          <w:bCs/>
          <w:color w:val="auto"/>
          <w:sz w:val="21"/>
          <w:szCs w:val="21"/>
          <w:highlight w:val="none"/>
          <w:lang w:val="en-GB"/>
        </w:rPr>
        <w:t>如无偏离则不需列明</w:t>
      </w:r>
      <w:r>
        <w:rPr>
          <w:rFonts w:hint="eastAsia" w:ascii="宋体" w:hAnsi="宋体"/>
          <w:b/>
          <w:bCs/>
          <w:color w:val="auto"/>
          <w:sz w:val="21"/>
          <w:szCs w:val="21"/>
          <w:highlight w:val="none"/>
          <w:lang w:val="en-GB" w:eastAsia="zh-CN"/>
        </w:rPr>
        <w:t>；</w:t>
      </w:r>
      <w:r>
        <w:rPr>
          <w:rFonts w:hint="eastAsia" w:ascii="宋体" w:hAnsi="宋体"/>
          <w:b/>
          <w:bCs/>
          <w:color w:val="auto"/>
          <w:sz w:val="21"/>
          <w:szCs w:val="21"/>
          <w:highlight w:val="none"/>
        </w:rPr>
        <w:t>有差异的要具体说明。</w:t>
      </w:r>
    </w:p>
    <w:p w14:paraId="38045054">
      <w:pPr>
        <w:keepNext w:val="0"/>
        <w:keepLines w:val="0"/>
        <w:pageBreakBefore w:val="0"/>
        <w:widowControl w:val="0"/>
        <w:numPr>
          <w:ilvl w:val="0"/>
          <w:numId w:val="5"/>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0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A1036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B1283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E327C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AE8FB4">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4908D0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29A64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14FEE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5BA991B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A9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60FD7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F60CEA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FB955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72268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4C51E5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4EEE9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33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F648A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E2DF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A2A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3A3CC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1862A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396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B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159062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43F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A3A8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7E48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FE5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538C8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382B20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二、项目限价</w:t>
      </w:r>
      <w:r>
        <w:rPr>
          <w:rFonts w:hint="eastAsia" w:ascii="宋体" w:hAnsi="宋体" w:eastAsia="宋体" w:cs="宋体"/>
          <w:b/>
          <w:bCs/>
          <w:color w:val="auto"/>
          <w:sz w:val="21"/>
          <w:szCs w:val="21"/>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34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6D49D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CD0A9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BDD0B6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DD7B6F9">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D38D2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33A56B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551E0E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769E6CF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7C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2DD1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2CA20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3AE38B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33DD5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221CD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7290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F7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11CEC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136D4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5AE6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BC3C1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E5DB61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1091F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0E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C69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DEEFBE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359F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AC1E10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F8A32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D47A7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付款方式条款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rPr>
        <w:t>、</w:t>
      </w:r>
      <w:r>
        <w:rPr>
          <w:rFonts w:hint="eastAsia"/>
          <w:b/>
          <w:bCs/>
          <w:color w:val="auto"/>
          <w:sz w:val="21"/>
          <w:szCs w:val="21"/>
          <w:highlight w:val="none"/>
          <w:lang w:val="en-US" w:eastAsia="zh-CN"/>
        </w:rPr>
        <w:t>服务内容</w:t>
      </w:r>
      <w:r>
        <w:rPr>
          <w:rFonts w:hint="eastAsia" w:ascii="宋体" w:hAnsi="宋体" w:cs="宋体"/>
          <w:b/>
          <w:bCs/>
          <w:color w:val="auto"/>
          <w:sz w:val="21"/>
          <w:szCs w:val="21"/>
          <w:highlight w:val="none"/>
          <w:lang w:val="en-US" w:eastAsia="zh-CN"/>
        </w:rPr>
        <w:t>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0C3BF758">
      <w:pPr>
        <w:pStyle w:val="28"/>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五、违约</w:t>
      </w:r>
      <w:r>
        <w:rPr>
          <w:rFonts w:hint="eastAsia" w:ascii="宋体" w:hAnsi="宋体"/>
          <w:b/>
          <w:color w:val="auto"/>
          <w:sz w:val="21"/>
          <w:szCs w:val="21"/>
          <w:highlight w:val="none"/>
        </w:rPr>
        <w:t>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EBA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720A1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6E9BDD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2F62D0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071D6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1EF785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34F14D3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6BDFA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1826859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662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906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3F4F35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27999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ABA4FA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6E03F7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413EFF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A4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C4D37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8A0BF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E72DC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3687A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10FF15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695C04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73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0ECB12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24CF54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84379B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19A5D4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E4D1AB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042EA6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747D8B6A">
      <w:pPr>
        <w:pStyle w:val="28"/>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六、</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5E357895">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547F61B">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1510694">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77A78DEF">
      <w:pPr>
        <w:pStyle w:val="31"/>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14" w:name="_Toc15747"/>
      <w:bookmarkStart w:id="315" w:name="_Toc12562"/>
      <w:bookmarkStart w:id="316" w:name="_Toc29687"/>
      <w:bookmarkStart w:id="317" w:name="_Toc8755"/>
      <w:bookmarkStart w:id="318" w:name="_Toc16096"/>
      <w:bookmarkStart w:id="319" w:name="_Toc18653"/>
      <w:bookmarkStart w:id="320" w:name="_Toc21213"/>
      <w:bookmarkStart w:id="321" w:name="_Toc28851"/>
      <w:bookmarkStart w:id="322" w:name="_Toc6214"/>
      <w:bookmarkStart w:id="323" w:name="_Toc31077"/>
      <w:bookmarkStart w:id="324" w:name="_Toc31674"/>
      <w:bookmarkStart w:id="325" w:name="_Toc21561"/>
    </w:p>
    <w:p w14:paraId="1E04DC58">
      <w:pPr>
        <w:pStyle w:val="31"/>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26" w:name="_Toc23413"/>
      <w:bookmarkStart w:id="327" w:name="_Toc14003"/>
    </w:p>
    <w:p w14:paraId="7C002D73">
      <w:pPr>
        <w:pStyle w:val="31"/>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14"/>
      <w:bookmarkEnd w:id="315"/>
      <w:bookmarkEnd w:id="316"/>
      <w:bookmarkEnd w:id="317"/>
      <w:bookmarkEnd w:id="318"/>
      <w:bookmarkEnd w:id="319"/>
      <w:bookmarkEnd w:id="326"/>
      <w:bookmarkEnd w:id="327"/>
    </w:p>
    <w:bookmarkEnd w:id="320"/>
    <w:bookmarkEnd w:id="321"/>
    <w:bookmarkEnd w:id="322"/>
    <w:bookmarkEnd w:id="323"/>
    <w:p w14:paraId="4F3A926B">
      <w:pPr>
        <w:pStyle w:val="31"/>
        <w:tabs>
          <w:tab w:val="left" w:pos="1050"/>
          <w:tab w:val="center" w:pos="4535"/>
        </w:tabs>
        <w:spacing w:line="360" w:lineRule="auto"/>
        <w:jc w:val="center"/>
        <w:outlineLvl w:val="0"/>
        <w:rPr>
          <w:b/>
          <w:bCs/>
          <w:color w:val="auto"/>
          <w:sz w:val="28"/>
          <w:szCs w:val="28"/>
          <w:highlight w:val="none"/>
        </w:rPr>
      </w:pPr>
      <w:bookmarkStart w:id="328" w:name="_Toc14073"/>
      <w:bookmarkStart w:id="329" w:name="_Toc19528"/>
      <w:bookmarkStart w:id="330" w:name="_Toc18442"/>
      <w:bookmarkStart w:id="331" w:name="_Toc24790"/>
      <w:bookmarkStart w:id="332" w:name="_Toc14931"/>
      <w:bookmarkStart w:id="333" w:name="_Toc31787"/>
      <w:bookmarkStart w:id="334" w:name="_Toc31311"/>
      <w:bookmarkStart w:id="335" w:name="_Toc23326"/>
      <w:bookmarkStart w:id="336" w:name="_Toc32303"/>
      <w:bookmarkStart w:id="337" w:name="_Toc22827"/>
      <w:bookmarkStart w:id="338" w:name="_Toc23684"/>
      <w:bookmarkStart w:id="339" w:name="_Toc14020"/>
      <w:bookmarkStart w:id="340" w:name="_Toc18443"/>
      <w:bookmarkStart w:id="341" w:name="_Toc14853"/>
      <w:bookmarkStart w:id="342" w:name="_Toc14591"/>
      <w:bookmarkStart w:id="343" w:name="_Toc7276"/>
      <w:bookmarkStart w:id="344" w:name="_Toc23685"/>
      <w:bookmarkStart w:id="345" w:name="_Toc15050"/>
      <w:bookmarkStart w:id="346" w:name="_Toc3241"/>
      <w:bookmarkStart w:id="347" w:name="_Toc22175"/>
      <w:bookmarkStart w:id="348" w:name="_Toc3758"/>
      <w:bookmarkStart w:id="349" w:name="_Toc28957"/>
      <w:r>
        <w:rPr>
          <w:rFonts w:hint="eastAsia"/>
          <w:b/>
          <w:bCs/>
          <w:color w:val="auto"/>
          <w:sz w:val="28"/>
          <w:szCs w:val="28"/>
          <w:highlight w:val="none"/>
        </w:rPr>
        <w:t>法定代表人资格证明书</w:t>
      </w:r>
      <w:bookmarkEnd w:id="328"/>
      <w:bookmarkEnd w:id="329"/>
      <w:bookmarkEnd w:id="330"/>
      <w:bookmarkEnd w:id="331"/>
      <w:bookmarkEnd w:id="332"/>
      <w:bookmarkEnd w:id="333"/>
      <w:bookmarkEnd w:id="334"/>
      <w:bookmarkEnd w:id="335"/>
      <w:bookmarkEnd w:id="336"/>
      <w:bookmarkEnd w:id="337"/>
      <w:bookmarkEnd w:id="338"/>
    </w:p>
    <w:p w14:paraId="098A2AE5">
      <w:pPr>
        <w:pStyle w:val="31"/>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60149AD8">
      <w:pPr>
        <w:pStyle w:val="31"/>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1"/>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1"/>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39"/>
    <w:bookmarkEnd w:id="340"/>
    <w:bookmarkEnd w:id="341"/>
    <w:bookmarkEnd w:id="342"/>
    <w:bookmarkEnd w:id="343"/>
    <w:bookmarkEnd w:id="344"/>
    <w:bookmarkEnd w:id="345"/>
    <w:bookmarkEnd w:id="346"/>
    <w:bookmarkEnd w:id="347"/>
    <w:bookmarkEnd w:id="348"/>
    <w:bookmarkEnd w:id="349"/>
    <w:p w14:paraId="2837EFFA">
      <w:pPr>
        <w:pStyle w:val="31"/>
        <w:spacing w:line="360" w:lineRule="auto"/>
        <w:jc w:val="both"/>
        <w:outlineLvl w:val="0"/>
        <w:rPr>
          <w:rFonts w:hint="eastAsia"/>
          <w:b/>
          <w:bCs/>
          <w:color w:val="auto"/>
          <w:sz w:val="28"/>
          <w:szCs w:val="28"/>
          <w:highlight w:val="none"/>
        </w:rPr>
      </w:pPr>
      <w:bookmarkStart w:id="350" w:name="_Toc17511"/>
      <w:bookmarkStart w:id="351" w:name="_Toc3494"/>
      <w:bookmarkStart w:id="352" w:name="_Toc14277"/>
      <w:bookmarkStart w:id="353" w:name="_Toc26675"/>
      <w:bookmarkStart w:id="354" w:name="_Toc3470"/>
      <w:bookmarkStart w:id="355" w:name="_Toc9844"/>
      <w:bookmarkStart w:id="356" w:name="_Toc23308"/>
      <w:bookmarkStart w:id="357" w:name="_Toc18069"/>
    </w:p>
    <w:p w14:paraId="3AC8AC7F">
      <w:pPr>
        <w:pStyle w:val="31"/>
        <w:spacing w:line="360" w:lineRule="auto"/>
        <w:jc w:val="center"/>
        <w:outlineLvl w:val="0"/>
        <w:rPr>
          <w:rFonts w:hint="eastAsia"/>
          <w:b/>
          <w:bCs/>
          <w:color w:val="auto"/>
          <w:sz w:val="28"/>
          <w:szCs w:val="28"/>
          <w:highlight w:val="none"/>
        </w:rPr>
      </w:pPr>
    </w:p>
    <w:p w14:paraId="45932794">
      <w:pPr>
        <w:pStyle w:val="31"/>
        <w:spacing w:line="360" w:lineRule="auto"/>
        <w:jc w:val="center"/>
        <w:outlineLvl w:val="0"/>
        <w:rPr>
          <w:b/>
          <w:bCs/>
          <w:color w:val="auto"/>
          <w:sz w:val="28"/>
          <w:szCs w:val="28"/>
          <w:highlight w:val="none"/>
        </w:rPr>
      </w:pPr>
      <w:bookmarkStart w:id="358" w:name="_Toc5147"/>
      <w:bookmarkStart w:id="359" w:name="_Toc16130"/>
      <w:bookmarkStart w:id="360" w:name="_Toc11510"/>
      <w:r>
        <w:rPr>
          <w:rFonts w:hint="eastAsia"/>
          <w:b/>
          <w:bCs/>
          <w:color w:val="auto"/>
          <w:sz w:val="28"/>
          <w:szCs w:val="28"/>
          <w:highlight w:val="none"/>
        </w:rPr>
        <w:t>法定代表人授权委托书</w:t>
      </w:r>
      <w:bookmarkEnd w:id="350"/>
      <w:bookmarkEnd w:id="351"/>
      <w:bookmarkEnd w:id="352"/>
      <w:bookmarkEnd w:id="353"/>
      <w:bookmarkEnd w:id="354"/>
      <w:bookmarkEnd w:id="355"/>
      <w:bookmarkEnd w:id="356"/>
      <w:bookmarkEnd w:id="357"/>
      <w:bookmarkEnd w:id="358"/>
      <w:bookmarkEnd w:id="359"/>
      <w:bookmarkEnd w:id="360"/>
    </w:p>
    <w:p w14:paraId="4F0FB4B1">
      <w:pPr>
        <w:pStyle w:val="32"/>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1"/>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1"/>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20BD7617">
      <w:pPr>
        <w:pStyle w:val="31"/>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063AC3EA">
      <w:pPr>
        <w:pStyle w:val="31"/>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75AE914A">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1"/>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1"/>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1"/>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7"/>
        <w:ind w:firstLine="3975" w:firstLineChars="1100"/>
        <w:rPr>
          <w:b/>
          <w:bCs/>
          <w:color w:val="auto"/>
          <w:sz w:val="36"/>
          <w:szCs w:val="36"/>
          <w:highlight w:val="none"/>
        </w:rPr>
      </w:pPr>
    </w:p>
    <w:p w14:paraId="0F003FF8">
      <w:pPr>
        <w:pStyle w:val="31"/>
        <w:tabs>
          <w:tab w:val="left" w:pos="1050"/>
          <w:tab w:val="center" w:pos="4535"/>
        </w:tabs>
        <w:spacing w:line="360" w:lineRule="auto"/>
        <w:jc w:val="center"/>
        <w:outlineLvl w:val="9"/>
        <w:rPr>
          <w:rFonts w:hint="eastAsia"/>
          <w:b/>
          <w:bCs/>
          <w:color w:val="auto"/>
          <w:sz w:val="32"/>
          <w:szCs w:val="32"/>
          <w:highlight w:val="none"/>
        </w:rPr>
      </w:pPr>
      <w:bookmarkStart w:id="361" w:name="_Toc10212"/>
      <w:bookmarkStart w:id="362" w:name="_Toc32281"/>
    </w:p>
    <w:p w14:paraId="617F30D9">
      <w:pPr>
        <w:pStyle w:val="31"/>
        <w:tabs>
          <w:tab w:val="left" w:pos="1050"/>
          <w:tab w:val="center" w:pos="4535"/>
        </w:tabs>
        <w:spacing w:line="360" w:lineRule="auto"/>
        <w:jc w:val="both"/>
        <w:outlineLvl w:val="9"/>
        <w:rPr>
          <w:rFonts w:hint="eastAsia"/>
          <w:b/>
          <w:bCs/>
          <w:color w:val="auto"/>
          <w:sz w:val="21"/>
          <w:szCs w:val="21"/>
          <w:highlight w:val="none"/>
          <w:lang w:val="en-US" w:eastAsia="zh-CN"/>
        </w:rPr>
      </w:pPr>
      <w:bookmarkStart w:id="363" w:name="_Toc13766"/>
    </w:p>
    <w:p w14:paraId="1BAF7A8C">
      <w:pPr>
        <w:pStyle w:val="31"/>
        <w:tabs>
          <w:tab w:val="left" w:pos="1050"/>
          <w:tab w:val="center" w:pos="4535"/>
        </w:tabs>
        <w:spacing w:line="360" w:lineRule="auto"/>
        <w:jc w:val="both"/>
        <w:outlineLvl w:val="9"/>
        <w:rPr>
          <w:rFonts w:hint="eastAsia"/>
          <w:b/>
          <w:bCs/>
          <w:color w:val="auto"/>
          <w:sz w:val="21"/>
          <w:szCs w:val="21"/>
          <w:highlight w:val="none"/>
          <w:lang w:val="en-US" w:eastAsia="zh-CN"/>
        </w:rPr>
      </w:pPr>
    </w:p>
    <w:p w14:paraId="7675B93B">
      <w:pPr>
        <w:pStyle w:val="31"/>
        <w:tabs>
          <w:tab w:val="left" w:pos="1050"/>
          <w:tab w:val="center" w:pos="4535"/>
        </w:tabs>
        <w:spacing w:line="360" w:lineRule="auto"/>
        <w:jc w:val="both"/>
        <w:outlineLvl w:val="0"/>
        <w:rPr>
          <w:rFonts w:hint="eastAsia"/>
          <w:b/>
          <w:bCs/>
          <w:color w:val="auto"/>
          <w:sz w:val="21"/>
          <w:szCs w:val="21"/>
          <w:highlight w:val="none"/>
        </w:rPr>
      </w:pPr>
      <w:bookmarkStart w:id="364" w:name="_Toc22587"/>
      <w:bookmarkStart w:id="365" w:name="_Toc4185"/>
      <w:bookmarkStart w:id="366" w:name="_Toc26640"/>
      <w:bookmarkStart w:id="367" w:name="_Toc20534"/>
      <w:bookmarkStart w:id="368" w:name="_Toc32147"/>
      <w:bookmarkStart w:id="369" w:name="_Toc6192"/>
      <w:bookmarkStart w:id="370" w:name="_Toc409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63"/>
      <w:bookmarkEnd w:id="364"/>
      <w:bookmarkEnd w:id="365"/>
      <w:bookmarkEnd w:id="366"/>
      <w:bookmarkEnd w:id="367"/>
      <w:bookmarkEnd w:id="368"/>
      <w:bookmarkEnd w:id="369"/>
      <w:bookmarkEnd w:id="370"/>
    </w:p>
    <w:p w14:paraId="4C27A723">
      <w:pPr>
        <w:pStyle w:val="31"/>
        <w:tabs>
          <w:tab w:val="left" w:pos="1050"/>
          <w:tab w:val="center" w:pos="4535"/>
        </w:tabs>
        <w:spacing w:line="360" w:lineRule="auto"/>
        <w:jc w:val="center"/>
        <w:outlineLvl w:val="0"/>
        <w:rPr>
          <w:b/>
          <w:bCs/>
          <w:color w:val="auto"/>
          <w:sz w:val="24"/>
          <w:szCs w:val="24"/>
          <w:highlight w:val="none"/>
        </w:rPr>
      </w:pPr>
      <w:bookmarkStart w:id="371" w:name="_Toc17724"/>
      <w:bookmarkStart w:id="372" w:name="_Toc13372"/>
      <w:bookmarkStart w:id="373" w:name="_Toc27402"/>
      <w:bookmarkStart w:id="374" w:name="_Toc27041"/>
      <w:bookmarkStart w:id="375" w:name="_Toc2703"/>
      <w:bookmarkStart w:id="376" w:name="_Toc6189"/>
      <w:bookmarkStart w:id="377" w:name="_Toc22733"/>
      <w:bookmarkStart w:id="378" w:name="_Toc12811"/>
      <w:r>
        <w:rPr>
          <w:rFonts w:hint="eastAsia"/>
          <w:b/>
          <w:bCs/>
          <w:color w:val="auto"/>
          <w:sz w:val="24"/>
          <w:szCs w:val="24"/>
          <w:highlight w:val="none"/>
        </w:rPr>
        <w:t>同类项目经验情况一览表</w:t>
      </w:r>
      <w:bookmarkEnd w:id="324"/>
      <w:bookmarkEnd w:id="325"/>
      <w:bookmarkEnd w:id="361"/>
      <w:bookmarkEnd w:id="362"/>
      <w:bookmarkEnd w:id="371"/>
      <w:bookmarkEnd w:id="372"/>
      <w:bookmarkEnd w:id="373"/>
      <w:bookmarkEnd w:id="374"/>
      <w:bookmarkEnd w:id="375"/>
      <w:bookmarkEnd w:id="376"/>
      <w:bookmarkEnd w:id="377"/>
      <w:bookmarkEnd w:id="378"/>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7"/>
        <w:rPr>
          <w:rFonts w:ascii="宋体" w:hAnsi="宋体"/>
          <w:color w:val="auto"/>
          <w:sz w:val="21"/>
          <w:szCs w:val="21"/>
          <w:highlight w:val="none"/>
        </w:rPr>
      </w:pPr>
    </w:p>
    <w:p w14:paraId="55BD41A0">
      <w:pPr>
        <w:pStyle w:val="27"/>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9" w:name="_Toc6536"/>
      <w:bookmarkStart w:id="380" w:name="_Toc16613"/>
      <w:bookmarkStart w:id="381" w:name="_Toc1667"/>
      <w:bookmarkStart w:id="382" w:name="_Toc25473"/>
      <w:bookmarkStart w:id="383" w:name="_Toc30168"/>
      <w:bookmarkStart w:id="384" w:name="_Toc29821"/>
      <w:bookmarkStart w:id="385" w:name="_Toc4106"/>
      <w:bookmarkStart w:id="386" w:name="_Toc8547"/>
      <w:bookmarkStart w:id="387" w:name="_Toc16606"/>
      <w:bookmarkStart w:id="388" w:name="_Toc31502"/>
      <w:r>
        <w:rPr>
          <w:rFonts w:hint="eastAsia" w:ascii="宋体" w:hAnsi="宋体" w:eastAsia="宋体" w:cs="宋体"/>
          <w:b/>
          <w:bCs/>
          <w:color w:val="auto"/>
          <w:kern w:val="0"/>
          <w:sz w:val="21"/>
          <w:szCs w:val="21"/>
          <w:highlight w:val="none"/>
          <w:lang w:val="en-US" w:eastAsia="zh-CN" w:bidi="ar-SA"/>
        </w:rPr>
        <w:t>注：</w:t>
      </w:r>
      <w:bookmarkEnd w:id="379"/>
      <w:bookmarkEnd w:id="380"/>
      <w:r>
        <w:rPr>
          <w:rFonts w:hint="eastAsia" w:ascii="宋体" w:hAnsi="宋体" w:eastAsia="宋体" w:cs="宋体"/>
          <w:b/>
          <w:bCs/>
          <w:color w:val="auto"/>
          <w:kern w:val="0"/>
          <w:sz w:val="21"/>
          <w:szCs w:val="21"/>
          <w:highlight w:val="none"/>
          <w:lang w:val="en-US" w:eastAsia="zh-CN" w:bidi="ar-SA"/>
        </w:rPr>
        <w:t>按评分标准提供相关证明材料。</w:t>
      </w:r>
      <w:bookmarkEnd w:id="381"/>
      <w:bookmarkEnd w:id="382"/>
      <w:bookmarkEnd w:id="383"/>
      <w:bookmarkEnd w:id="384"/>
      <w:bookmarkEnd w:id="385"/>
      <w:bookmarkEnd w:id="386"/>
      <w:bookmarkEnd w:id="387"/>
      <w:bookmarkEnd w:id="388"/>
    </w:p>
    <w:p w14:paraId="468EB6BB">
      <w:pPr>
        <w:pStyle w:val="27"/>
        <w:ind w:firstLine="3614" w:firstLineChars="1000"/>
        <w:rPr>
          <w:b/>
          <w:bCs/>
          <w:color w:val="auto"/>
          <w:sz w:val="36"/>
          <w:szCs w:val="36"/>
          <w:highlight w:val="none"/>
        </w:rPr>
      </w:pPr>
    </w:p>
    <w:p w14:paraId="074F7417">
      <w:pPr>
        <w:pStyle w:val="27"/>
        <w:ind w:firstLine="3614" w:firstLineChars="1000"/>
        <w:rPr>
          <w:b/>
          <w:bCs/>
          <w:color w:val="auto"/>
          <w:sz w:val="36"/>
          <w:szCs w:val="36"/>
          <w:highlight w:val="none"/>
        </w:rPr>
      </w:pPr>
    </w:p>
    <w:p w14:paraId="5F12D652">
      <w:pPr>
        <w:pStyle w:val="27"/>
        <w:ind w:firstLine="3614" w:firstLineChars="1000"/>
        <w:rPr>
          <w:b/>
          <w:bCs/>
          <w:color w:val="auto"/>
          <w:sz w:val="36"/>
          <w:szCs w:val="36"/>
          <w:highlight w:val="none"/>
        </w:rPr>
      </w:pPr>
    </w:p>
    <w:p w14:paraId="3FE32856">
      <w:pPr>
        <w:pStyle w:val="27"/>
        <w:ind w:firstLine="3614" w:firstLineChars="1000"/>
        <w:rPr>
          <w:b/>
          <w:bCs/>
          <w:color w:val="auto"/>
          <w:sz w:val="36"/>
          <w:szCs w:val="36"/>
          <w:highlight w:val="none"/>
        </w:rPr>
      </w:pPr>
    </w:p>
    <w:p w14:paraId="2F4407E3">
      <w:pPr>
        <w:pStyle w:val="27"/>
        <w:ind w:firstLine="3614" w:firstLineChars="1000"/>
        <w:rPr>
          <w:b/>
          <w:bCs/>
          <w:color w:val="auto"/>
          <w:sz w:val="36"/>
          <w:szCs w:val="36"/>
          <w:highlight w:val="none"/>
        </w:rPr>
      </w:pPr>
    </w:p>
    <w:p w14:paraId="1496E620">
      <w:pPr>
        <w:pStyle w:val="27"/>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389" w:name="_Toc24877"/>
      <w:bookmarkStart w:id="390" w:name="_Toc17929"/>
      <w:bookmarkStart w:id="391" w:name="_Toc40346385"/>
      <w:bookmarkStart w:id="392" w:name="_Toc30558"/>
      <w:bookmarkStart w:id="393" w:name="_Toc21435"/>
      <w:bookmarkStart w:id="394" w:name="_Toc27180"/>
      <w:bookmarkStart w:id="395" w:name="_Toc16505"/>
      <w:bookmarkStart w:id="396" w:name="_Toc23732"/>
      <w:bookmarkStart w:id="397" w:name="_Toc40776119"/>
      <w:bookmarkStart w:id="398" w:name="_Toc20164"/>
      <w:bookmarkStart w:id="399" w:name="_Toc9749"/>
      <w:bookmarkStart w:id="400" w:name="_Toc40346226"/>
    </w:p>
    <w:bookmarkEnd w:id="389"/>
    <w:bookmarkEnd w:id="390"/>
    <w:bookmarkEnd w:id="391"/>
    <w:bookmarkEnd w:id="392"/>
    <w:bookmarkEnd w:id="393"/>
    <w:bookmarkEnd w:id="394"/>
    <w:bookmarkEnd w:id="395"/>
    <w:bookmarkEnd w:id="396"/>
    <w:bookmarkEnd w:id="397"/>
    <w:bookmarkEnd w:id="398"/>
    <w:bookmarkEnd w:id="399"/>
    <w:bookmarkEnd w:id="400"/>
    <w:p w14:paraId="4CD1B0A1">
      <w:pPr>
        <w:pStyle w:val="2"/>
        <w:rPr>
          <w:rFonts w:hint="default"/>
          <w:color w:val="auto"/>
          <w:highlight w:val="none"/>
          <w:lang w:val="en-US"/>
        </w:rPr>
      </w:pPr>
      <w:bookmarkStart w:id="401" w:name="_Toc30135"/>
      <w:bookmarkStart w:id="402" w:name="_Toc19039"/>
      <w:bookmarkStart w:id="403" w:name="_Toc2855"/>
      <w:bookmarkStart w:id="404" w:name="_Toc2005"/>
      <w:bookmarkStart w:id="405" w:name="_Toc1241"/>
      <w:bookmarkStart w:id="406" w:name="_Toc32422"/>
      <w:bookmarkStart w:id="407" w:name="_Toc27262"/>
      <w:bookmarkStart w:id="408" w:name="_Toc30531"/>
      <w:bookmarkStart w:id="409" w:name="_Toc16816"/>
      <w:bookmarkStart w:id="410" w:name="_Toc17932"/>
      <w:bookmarkStart w:id="411" w:name="_Toc2196"/>
      <w:bookmarkStart w:id="412" w:name="_Toc25012"/>
      <w:bookmarkStart w:id="413" w:name="_Toc19803"/>
      <w:bookmarkStart w:id="414" w:name="_Toc5396"/>
      <w:bookmarkStart w:id="415" w:name="_Toc14321"/>
      <w:bookmarkStart w:id="416" w:name="_Toc14093"/>
      <w:bookmarkStart w:id="417" w:name="_Toc1521"/>
      <w:bookmarkStart w:id="418" w:name="_Toc27834"/>
      <w:bookmarkStart w:id="419" w:name="_Toc24705"/>
      <w:r>
        <w:rPr>
          <w:rFonts w:hint="eastAsia"/>
          <w:b/>
          <w:color w:val="auto"/>
          <w:sz w:val="24"/>
          <w:highlight w:val="none"/>
          <w:lang w:val="en-US" w:eastAsia="zh-CN"/>
        </w:rPr>
        <w:t>2.6公平竞争承诺书</w:t>
      </w:r>
      <w:bookmarkEnd w:id="401"/>
      <w:bookmarkEnd w:id="402"/>
      <w:bookmarkEnd w:id="403"/>
      <w:bookmarkEnd w:id="404"/>
      <w:bookmarkEnd w:id="405"/>
      <w:bookmarkEnd w:id="406"/>
      <w:bookmarkEnd w:id="407"/>
      <w:bookmarkEnd w:id="408"/>
    </w:p>
    <w:p w14:paraId="41872051">
      <w:pPr>
        <w:pStyle w:val="31"/>
        <w:spacing w:line="360" w:lineRule="auto"/>
        <w:jc w:val="center"/>
        <w:outlineLvl w:val="0"/>
        <w:rPr>
          <w:rFonts w:hint="eastAsia"/>
          <w:b/>
          <w:bCs/>
          <w:color w:val="auto"/>
          <w:sz w:val="32"/>
          <w:szCs w:val="32"/>
          <w:highlight w:val="none"/>
        </w:rPr>
      </w:pPr>
      <w:bookmarkStart w:id="420" w:name="_Toc18674"/>
      <w:bookmarkStart w:id="421" w:name="_Toc2531"/>
      <w:bookmarkStart w:id="422" w:name="_Toc9778"/>
      <w:bookmarkStart w:id="423" w:name="_Toc32579"/>
      <w:bookmarkStart w:id="424" w:name="_Toc21492"/>
      <w:bookmarkStart w:id="425" w:name="_Toc8233"/>
      <w:bookmarkStart w:id="426" w:name="_Toc11542"/>
      <w:bookmarkStart w:id="427" w:name="_Toc9163"/>
      <w:r>
        <w:rPr>
          <w:rFonts w:hint="eastAsia"/>
          <w:b/>
          <w:bCs/>
          <w:color w:val="auto"/>
          <w:sz w:val="32"/>
          <w:szCs w:val="32"/>
          <w:highlight w:val="none"/>
        </w:rPr>
        <w:t>公平竞争承诺书</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397AD65">
      <w:pPr>
        <w:pStyle w:val="31"/>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28" w:name="_Toc16887"/>
      <w:bookmarkStart w:id="429" w:name="_Toc6051"/>
      <w:bookmarkStart w:id="430" w:name="_Toc25290"/>
      <w:bookmarkStart w:id="431" w:name="_Toc31660"/>
      <w:bookmarkStart w:id="432" w:name="_Toc4776"/>
      <w:bookmarkStart w:id="433" w:name="_Toc28837"/>
      <w:bookmarkStart w:id="434" w:name="_Toc17440"/>
      <w:bookmarkStart w:id="435" w:name="_Toc11498"/>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28"/>
      <w:bookmarkEnd w:id="429"/>
      <w:bookmarkEnd w:id="430"/>
      <w:bookmarkEnd w:id="431"/>
      <w:bookmarkEnd w:id="432"/>
      <w:bookmarkEnd w:id="433"/>
      <w:bookmarkEnd w:id="434"/>
      <w:bookmarkEnd w:id="435"/>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28"/>
        <w:rPr>
          <w:rFonts w:hint="eastAsia"/>
          <w:color w:val="auto"/>
          <w:sz w:val="21"/>
          <w:szCs w:val="21"/>
          <w:highlight w:val="none"/>
        </w:rPr>
      </w:pPr>
    </w:p>
    <w:p w14:paraId="0709F2AB">
      <w:pPr>
        <w:pStyle w:val="28"/>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28"/>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28"/>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56F88860">
      <w:pPr>
        <w:pStyle w:val="28"/>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28"/>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28"/>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1"/>
        <w:spacing w:line="360" w:lineRule="auto"/>
        <w:jc w:val="center"/>
        <w:outlineLvl w:val="0"/>
        <w:rPr>
          <w:b/>
          <w:bCs/>
          <w:color w:val="auto"/>
          <w:sz w:val="32"/>
          <w:szCs w:val="32"/>
          <w:highlight w:val="none"/>
        </w:rPr>
      </w:pPr>
      <w:bookmarkStart w:id="436" w:name="_Toc12210"/>
      <w:bookmarkStart w:id="437" w:name="_Toc9813"/>
      <w:bookmarkStart w:id="438" w:name="_Toc12567"/>
      <w:bookmarkStart w:id="439" w:name="_Toc24408"/>
      <w:bookmarkStart w:id="440" w:name="_Toc9333"/>
      <w:bookmarkStart w:id="441" w:name="_Toc29986"/>
      <w:bookmarkStart w:id="442" w:name="_Toc22349"/>
      <w:bookmarkStart w:id="443" w:name="_Toc5237"/>
      <w:bookmarkStart w:id="444" w:name="_Toc24964"/>
      <w:bookmarkStart w:id="445" w:name="_Toc6773"/>
      <w:bookmarkStart w:id="446" w:name="_Toc29038"/>
      <w:bookmarkStart w:id="447" w:name="_Toc9085"/>
      <w:bookmarkStart w:id="448" w:name="_Toc4538"/>
      <w:bookmarkStart w:id="449" w:name="_Toc21003"/>
      <w:bookmarkStart w:id="450" w:name="_Toc3968"/>
      <w:bookmarkStart w:id="451" w:name="_Toc32565"/>
      <w:bookmarkStart w:id="452" w:name="_Toc30920"/>
      <w:bookmarkStart w:id="453" w:name="_Toc20949"/>
      <w:bookmarkStart w:id="454" w:name="_Toc9308"/>
      <w:bookmarkStart w:id="455" w:name="_Toc12986"/>
      <w:r>
        <w:rPr>
          <w:rFonts w:hint="eastAsia"/>
          <w:b/>
          <w:bCs/>
          <w:color w:val="auto"/>
          <w:sz w:val="32"/>
          <w:szCs w:val="32"/>
          <w:highlight w:val="none"/>
        </w:rPr>
        <w:t>关于资格和响应文件的声明函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48652C27">
      <w:pPr>
        <w:pStyle w:val="27"/>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7"/>
        <w:rPr>
          <w:rFonts w:hint="eastAsia" w:ascii="宋体" w:hAnsi="宋体"/>
          <w:color w:val="auto"/>
          <w:sz w:val="24"/>
          <w:highlight w:val="none"/>
        </w:rPr>
      </w:pPr>
    </w:p>
    <w:p w14:paraId="148001B0">
      <w:pPr>
        <w:pStyle w:val="27"/>
        <w:rPr>
          <w:rFonts w:hint="eastAsia" w:ascii="宋体" w:hAnsi="宋体"/>
          <w:color w:val="auto"/>
          <w:sz w:val="24"/>
          <w:highlight w:val="none"/>
        </w:rPr>
      </w:pPr>
    </w:p>
    <w:p w14:paraId="013E4714">
      <w:pPr>
        <w:pStyle w:val="27"/>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eastAsia="zh-CN"/>
        </w:rPr>
        <w:t>2.8</w:t>
      </w:r>
      <w:r>
        <w:rPr>
          <w:rStyle w:val="47"/>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020949BA">
      <w:pPr>
        <w:pStyle w:val="27"/>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456" w:name="_Toc14094"/>
      <w:bookmarkStart w:id="457" w:name="_Toc29898"/>
      <w:bookmarkStart w:id="458" w:name="_Toc30483"/>
      <w:bookmarkStart w:id="459" w:name="_Toc9456"/>
      <w:bookmarkStart w:id="460" w:name="_Toc6025"/>
      <w:bookmarkStart w:id="461" w:name="_Toc29810"/>
      <w:bookmarkStart w:id="462" w:name="_Toc27851"/>
      <w:bookmarkStart w:id="463" w:name="_Toc13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56"/>
      <w:bookmarkEnd w:id="457"/>
      <w:bookmarkEnd w:id="458"/>
      <w:bookmarkEnd w:id="459"/>
      <w:bookmarkEnd w:id="460"/>
      <w:bookmarkEnd w:id="461"/>
      <w:bookmarkEnd w:id="462"/>
      <w:bookmarkEnd w:id="463"/>
    </w:p>
    <w:p w14:paraId="2BBCB10A">
      <w:pPr>
        <w:pStyle w:val="27"/>
        <w:rPr>
          <w:rFonts w:hint="eastAsia" w:asciiTheme="minorEastAsia" w:hAnsiTheme="minorEastAsia" w:eastAsiaTheme="minorEastAsia" w:cstheme="minorEastAsia"/>
          <w:b/>
          <w:bCs/>
          <w:color w:val="auto"/>
          <w:sz w:val="24"/>
          <w:szCs w:val="24"/>
          <w:highlight w:val="none"/>
          <w:lang w:eastAsia="zh-CN"/>
        </w:rPr>
      </w:pPr>
    </w:p>
    <w:p w14:paraId="17735CAE">
      <w:pPr>
        <w:pStyle w:val="27"/>
        <w:rPr>
          <w:rFonts w:hint="eastAsia" w:ascii="宋体" w:hAnsi="宋体"/>
          <w:color w:val="auto"/>
          <w:sz w:val="24"/>
          <w:highlight w:val="none"/>
        </w:rPr>
      </w:pPr>
    </w:p>
    <w:p w14:paraId="7659A08A">
      <w:pPr>
        <w:pStyle w:val="27"/>
        <w:rPr>
          <w:rFonts w:hint="eastAsia" w:ascii="宋体" w:hAnsi="宋体"/>
          <w:color w:val="auto"/>
          <w:sz w:val="24"/>
          <w:highlight w:val="none"/>
        </w:rPr>
      </w:pPr>
    </w:p>
    <w:p w14:paraId="1BF3983D">
      <w:pPr>
        <w:pStyle w:val="27"/>
        <w:rPr>
          <w:rFonts w:hint="eastAsia" w:ascii="宋体" w:hAnsi="宋体"/>
          <w:color w:val="auto"/>
          <w:sz w:val="24"/>
          <w:highlight w:val="none"/>
        </w:rPr>
      </w:pPr>
    </w:p>
    <w:p w14:paraId="51885393">
      <w:pPr>
        <w:pStyle w:val="27"/>
        <w:rPr>
          <w:rFonts w:hint="eastAsia" w:ascii="宋体" w:hAnsi="宋体"/>
          <w:color w:val="auto"/>
          <w:sz w:val="24"/>
          <w:highlight w:val="none"/>
        </w:rPr>
      </w:pPr>
    </w:p>
    <w:p w14:paraId="0F82E334">
      <w:pPr>
        <w:pStyle w:val="27"/>
        <w:rPr>
          <w:rFonts w:hint="eastAsia" w:ascii="宋体" w:hAnsi="宋体"/>
          <w:color w:val="auto"/>
          <w:sz w:val="24"/>
          <w:highlight w:val="none"/>
        </w:rPr>
      </w:pPr>
    </w:p>
    <w:p w14:paraId="1A44BF95">
      <w:pPr>
        <w:pStyle w:val="27"/>
        <w:rPr>
          <w:rFonts w:hint="eastAsia" w:ascii="宋体" w:hAnsi="宋体"/>
          <w:color w:val="auto"/>
          <w:sz w:val="24"/>
          <w:highlight w:val="none"/>
        </w:rPr>
      </w:pPr>
    </w:p>
    <w:p w14:paraId="64DC080E">
      <w:pPr>
        <w:pStyle w:val="27"/>
        <w:rPr>
          <w:rFonts w:hint="eastAsia" w:ascii="宋体" w:hAnsi="宋体"/>
          <w:color w:val="auto"/>
          <w:sz w:val="24"/>
          <w:highlight w:val="none"/>
        </w:rPr>
      </w:pPr>
    </w:p>
    <w:p w14:paraId="40CBFC86">
      <w:pPr>
        <w:pStyle w:val="27"/>
        <w:rPr>
          <w:rFonts w:hint="eastAsia" w:ascii="宋体" w:hAnsi="宋体"/>
          <w:color w:val="auto"/>
          <w:sz w:val="24"/>
          <w:highlight w:val="none"/>
        </w:rPr>
      </w:pPr>
    </w:p>
    <w:p w14:paraId="634DFD4D">
      <w:pPr>
        <w:pStyle w:val="27"/>
        <w:rPr>
          <w:rFonts w:hint="eastAsia" w:ascii="宋体" w:hAnsi="宋体"/>
          <w:color w:val="auto"/>
          <w:sz w:val="24"/>
          <w:highlight w:val="none"/>
        </w:rPr>
      </w:pPr>
    </w:p>
    <w:p w14:paraId="009AE202">
      <w:pPr>
        <w:pStyle w:val="27"/>
        <w:rPr>
          <w:rFonts w:hint="eastAsia" w:ascii="宋体" w:hAnsi="宋体"/>
          <w:color w:val="auto"/>
          <w:sz w:val="24"/>
          <w:highlight w:val="none"/>
        </w:rPr>
      </w:pPr>
    </w:p>
    <w:p w14:paraId="11DA17BB">
      <w:pPr>
        <w:pStyle w:val="27"/>
        <w:rPr>
          <w:rFonts w:hint="eastAsia" w:ascii="宋体" w:hAnsi="宋体"/>
          <w:color w:val="auto"/>
          <w:sz w:val="24"/>
          <w:highlight w:val="none"/>
        </w:rPr>
      </w:pPr>
    </w:p>
    <w:p w14:paraId="39DC24BF">
      <w:pPr>
        <w:pStyle w:val="27"/>
        <w:rPr>
          <w:rFonts w:hint="eastAsia" w:ascii="宋体" w:hAnsi="宋体"/>
          <w:color w:val="auto"/>
          <w:sz w:val="24"/>
          <w:highlight w:val="none"/>
        </w:rPr>
      </w:pPr>
    </w:p>
    <w:p w14:paraId="160D49AE">
      <w:pPr>
        <w:pStyle w:val="27"/>
        <w:rPr>
          <w:rFonts w:hint="eastAsia" w:ascii="宋体" w:hAnsi="宋体"/>
          <w:color w:val="auto"/>
          <w:sz w:val="24"/>
          <w:highlight w:val="none"/>
        </w:rPr>
      </w:pPr>
    </w:p>
    <w:p w14:paraId="73865A1C">
      <w:pPr>
        <w:pStyle w:val="27"/>
        <w:rPr>
          <w:rFonts w:hint="eastAsia" w:ascii="宋体" w:hAnsi="宋体"/>
          <w:color w:val="auto"/>
          <w:sz w:val="24"/>
          <w:highlight w:val="none"/>
        </w:rPr>
      </w:pPr>
    </w:p>
    <w:p w14:paraId="75FDE87A">
      <w:pPr>
        <w:pStyle w:val="27"/>
        <w:rPr>
          <w:rFonts w:hint="eastAsia" w:ascii="宋体" w:hAnsi="宋体"/>
          <w:color w:val="auto"/>
          <w:sz w:val="24"/>
          <w:highlight w:val="none"/>
        </w:rPr>
      </w:pPr>
    </w:p>
    <w:p w14:paraId="538F6EAC">
      <w:pPr>
        <w:rPr>
          <w:color w:val="auto"/>
          <w:highlight w:val="none"/>
        </w:rPr>
      </w:pPr>
    </w:p>
    <w:p w14:paraId="442AF6FE">
      <w:pPr>
        <w:pStyle w:val="28"/>
        <w:rPr>
          <w:color w:val="auto"/>
          <w:highlight w:val="none"/>
        </w:rPr>
      </w:pPr>
    </w:p>
    <w:p w14:paraId="0F11627E">
      <w:pPr>
        <w:pStyle w:val="28"/>
        <w:rPr>
          <w:color w:val="auto"/>
          <w:highlight w:val="none"/>
        </w:rPr>
      </w:pPr>
    </w:p>
    <w:p w14:paraId="7E2D96BA">
      <w:pPr>
        <w:pStyle w:val="28"/>
        <w:rPr>
          <w:color w:val="auto"/>
          <w:highlight w:val="none"/>
        </w:rPr>
      </w:pPr>
    </w:p>
    <w:p w14:paraId="79836E8E">
      <w:pPr>
        <w:pStyle w:val="28"/>
        <w:rPr>
          <w:color w:val="auto"/>
          <w:highlight w:val="none"/>
        </w:rPr>
      </w:pPr>
    </w:p>
    <w:p w14:paraId="6868A2BF">
      <w:pPr>
        <w:pStyle w:val="28"/>
        <w:rPr>
          <w:color w:val="auto"/>
          <w:highlight w:val="none"/>
        </w:rPr>
      </w:pPr>
    </w:p>
    <w:p w14:paraId="3073BCC6">
      <w:pPr>
        <w:pStyle w:val="28"/>
        <w:rPr>
          <w:color w:val="auto"/>
          <w:highlight w:val="none"/>
        </w:rPr>
      </w:pPr>
    </w:p>
    <w:p w14:paraId="71AF29CE">
      <w:pPr>
        <w:pStyle w:val="27"/>
        <w:rPr>
          <w:rFonts w:hint="eastAsia"/>
          <w:color w:val="auto"/>
          <w:highlight w:val="none"/>
          <w:lang w:eastAsia="zh-CN"/>
        </w:rPr>
      </w:pPr>
    </w:p>
    <w:p w14:paraId="27CAFE0B">
      <w:pPr>
        <w:pStyle w:val="27"/>
        <w:rPr>
          <w:rFonts w:hint="eastAsia"/>
          <w:color w:val="auto"/>
          <w:highlight w:val="none"/>
          <w:lang w:eastAsia="zh-CN"/>
        </w:rPr>
      </w:pPr>
    </w:p>
    <w:p w14:paraId="4803DC0F">
      <w:pPr>
        <w:pStyle w:val="27"/>
        <w:rPr>
          <w:rFonts w:hint="eastAsia"/>
          <w:color w:val="auto"/>
          <w:highlight w:val="none"/>
          <w:lang w:eastAsia="zh-CN"/>
        </w:rPr>
      </w:pPr>
    </w:p>
    <w:p w14:paraId="4F963B7B">
      <w:pPr>
        <w:pStyle w:val="27"/>
        <w:rPr>
          <w:rFonts w:hint="eastAsia"/>
          <w:color w:val="auto"/>
          <w:highlight w:val="none"/>
          <w:lang w:eastAsia="zh-CN"/>
        </w:rPr>
      </w:pPr>
    </w:p>
    <w:p w14:paraId="77350F74">
      <w:pPr>
        <w:pStyle w:val="27"/>
        <w:rPr>
          <w:rFonts w:hint="eastAsia"/>
          <w:color w:val="auto"/>
          <w:highlight w:val="none"/>
          <w:lang w:eastAsia="zh-CN"/>
        </w:rPr>
      </w:pPr>
    </w:p>
    <w:p w14:paraId="757A5AE9">
      <w:pPr>
        <w:pStyle w:val="27"/>
        <w:rPr>
          <w:rFonts w:hint="eastAsia"/>
          <w:color w:val="auto"/>
          <w:highlight w:val="none"/>
          <w:lang w:eastAsia="zh-CN"/>
        </w:rPr>
      </w:pPr>
    </w:p>
    <w:p w14:paraId="6250965F">
      <w:pPr>
        <w:pStyle w:val="27"/>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4"/>
      </w:rPr>
    </w:pPr>
    <w:r>
      <w:fldChar w:fldCharType="begin"/>
    </w:r>
    <w:r>
      <w:rPr>
        <w:rStyle w:val="24"/>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1E58B1"/>
    <w:rsid w:val="032337B5"/>
    <w:rsid w:val="034404CF"/>
    <w:rsid w:val="039B179B"/>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90A11DE"/>
    <w:rsid w:val="0966427E"/>
    <w:rsid w:val="09B02342"/>
    <w:rsid w:val="09EA79FA"/>
    <w:rsid w:val="0A146A4B"/>
    <w:rsid w:val="0A9C5E28"/>
    <w:rsid w:val="0AA45825"/>
    <w:rsid w:val="0B0A307C"/>
    <w:rsid w:val="0B0A3975"/>
    <w:rsid w:val="0B6E199F"/>
    <w:rsid w:val="0BA56654"/>
    <w:rsid w:val="0BCD2048"/>
    <w:rsid w:val="0C5D6F25"/>
    <w:rsid w:val="0C705246"/>
    <w:rsid w:val="0CAD27D4"/>
    <w:rsid w:val="0CE366E9"/>
    <w:rsid w:val="0D1C720F"/>
    <w:rsid w:val="0DDD2866"/>
    <w:rsid w:val="0DF802D1"/>
    <w:rsid w:val="0E21791C"/>
    <w:rsid w:val="0E2B2B11"/>
    <w:rsid w:val="0E2F3F26"/>
    <w:rsid w:val="0E86496D"/>
    <w:rsid w:val="0EB45115"/>
    <w:rsid w:val="0ED05230"/>
    <w:rsid w:val="0F9B7CBC"/>
    <w:rsid w:val="10014154"/>
    <w:rsid w:val="10277357"/>
    <w:rsid w:val="115E45A5"/>
    <w:rsid w:val="116C3A15"/>
    <w:rsid w:val="117621CC"/>
    <w:rsid w:val="11A13229"/>
    <w:rsid w:val="123F5759"/>
    <w:rsid w:val="12D574C5"/>
    <w:rsid w:val="12EB2AD0"/>
    <w:rsid w:val="13DA397B"/>
    <w:rsid w:val="14331D3D"/>
    <w:rsid w:val="147A5AF1"/>
    <w:rsid w:val="1489025A"/>
    <w:rsid w:val="15325191"/>
    <w:rsid w:val="157F4BFE"/>
    <w:rsid w:val="1586383D"/>
    <w:rsid w:val="15FC5BCD"/>
    <w:rsid w:val="160B5F1C"/>
    <w:rsid w:val="16133E5E"/>
    <w:rsid w:val="164C7363"/>
    <w:rsid w:val="16A8688B"/>
    <w:rsid w:val="16B65E2B"/>
    <w:rsid w:val="17562ADF"/>
    <w:rsid w:val="178F7B63"/>
    <w:rsid w:val="17BC58AB"/>
    <w:rsid w:val="17ED4678"/>
    <w:rsid w:val="19141BD3"/>
    <w:rsid w:val="19AB5200"/>
    <w:rsid w:val="1A0602EA"/>
    <w:rsid w:val="1A6D7C20"/>
    <w:rsid w:val="1A812401"/>
    <w:rsid w:val="1AC1037E"/>
    <w:rsid w:val="1ADC16AD"/>
    <w:rsid w:val="1AF93CE3"/>
    <w:rsid w:val="1BFC6CC3"/>
    <w:rsid w:val="1C2E774C"/>
    <w:rsid w:val="1C631DA7"/>
    <w:rsid w:val="1C7C1EB6"/>
    <w:rsid w:val="1CAC7FE6"/>
    <w:rsid w:val="1DA90161"/>
    <w:rsid w:val="1DC35F95"/>
    <w:rsid w:val="1DE30DB3"/>
    <w:rsid w:val="1F187406"/>
    <w:rsid w:val="1F3C5C35"/>
    <w:rsid w:val="1FC016D2"/>
    <w:rsid w:val="1FC87893"/>
    <w:rsid w:val="1FEC26BF"/>
    <w:rsid w:val="20995391"/>
    <w:rsid w:val="20B81B4B"/>
    <w:rsid w:val="20EE2C7A"/>
    <w:rsid w:val="21282075"/>
    <w:rsid w:val="21D627A8"/>
    <w:rsid w:val="224277DF"/>
    <w:rsid w:val="22A53EBB"/>
    <w:rsid w:val="23AD21E9"/>
    <w:rsid w:val="23FB60A3"/>
    <w:rsid w:val="242554C8"/>
    <w:rsid w:val="24E1111B"/>
    <w:rsid w:val="255B747B"/>
    <w:rsid w:val="262F2952"/>
    <w:rsid w:val="26C20E41"/>
    <w:rsid w:val="26F058DC"/>
    <w:rsid w:val="274618E3"/>
    <w:rsid w:val="27715F5E"/>
    <w:rsid w:val="277952D7"/>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9D18B8"/>
    <w:rsid w:val="2DA7679B"/>
    <w:rsid w:val="2DD3689C"/>
    <w:rsid w:val="2DF41ABE"/>
    <w:rsid w:val="2F9D0B74"/>
    <w:rsid w:val="2FD82C2E"/>
    <w:rsid w:val="3017479B"/>
    <w:rsid w:val="30C47B2A"/>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016E77"/>
    <w:rsid w:val="37114F57"/>
    <w:rsid w:val="37541FBF"/>
    <w:rsid w:val="37796717"/>
    <w:rsid w:val="387633F7"/>
    <w:rsid w:val="39501943"/>
    <w:rsid w:val="39744E8F"/>
    <w:rsid w:val="397E60B8"/>
    <w:rsid w:val="3A613565"/>
    <w:rsid w:val="3AAE72D0"/>
    <w:rsid w:val="3C263095"/>
    <w:rsid w:val="3C37572C"/>
    <w:rsid w:val="3CC531BB"/>
    <w:rsid w:val="3DBE51F4"/>
    <w:rsid w:val="3E561EDD"/>
    <w:rsid w:val="3E8F178D"/>
    <w:rsid w:val="3EBA1C45"/>
    <w:rsid w:val="3EFF6336"/>
    <w:rsid w:val="3F8955E2"/>
    <w:rsid w:val="3FF40D85"/>
    <w:rsid w:val="3FF52FF7"/>
    <w:rsid w:val="416E58B5"/>
    <w:rsid w:val="41713269"/>
    <w:rsid w:val="41B60C35"/>
    <w:rsid w:val="41D2693B"/>
    <w:rsid w:val="42A321BA"/>
    <w:rsid w:val="42AF6223"/>
    <w:rsid w:val="43070703"/>
    <w:rsid w:val="435B5C8B"/>
    <w:rsid w:val="44211D49"/>
    <w:rsid w:val="443A18C0"/>
    <w:rsid w:val="44546201"/>
    <w:rsid w:val="44623562"/>
    <w:rsid w:val="446D567D"/>
    <w:rsid w:val="44D52909"/>
    <w:rsid w:val="451E6F60"/>
    <w:rsid w:val="45244DEA"/>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EB6C72"/>
    <w:rsid w:val="4B5D4915"/>
    <w:rsid w:val="4C113007"/>
    <w:rsid w:val="4C7171D6"/>
    <w:rsid w:val="4C981BA5"/>
    <w:rsid w:val="4CA76874"/>
    <w:rsid w:val="4CE72AA2"/>
    <w:rsid w:val="4D72553A"/>
    <w:rsid w:val="4DDA05B4"/>
    <w:rsid w:val="4DDF729F"/>
    <w:rsid w:val="4E4C452A"/>
    <w:rsid w:val="4E5E5E11"/>
    <w:rsid w:val="4E98699E"/>
    <w:rsid w:val="4EC56BC8"/>
    <w:rsid w:val="4ED23FAB"/>
    <w:rsid w:val="4ED4505D"/>
    <w:rsid w:val="4FEC4D9A"/>
    <w:rsid w:val="50221520"/>
    <w:rsid w:val="503448AC"/>
    <w:rsid w:val="50586A07"/>
    <w:rsid w:val="513444D8"/>
    <w:rsid w:val="51A4105B"/>
    <w:rsid w:val="51A73BDA"/>
    <w:rsid w:val="51BF1745"/>
    <w:rsid w:val="521E6D6F"/>
    <w:rsid w:val="52726854"/>
    <w:rsid w:val="52AF0E96"/>
    <w:rsid w:val="53201D9E"/>
    <w:rsid w:val="53582DD5"/>
    <w:rsid w:val="537A5AB3"/>
    <w:rsid w:val="53810C3C"/>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7F35E9"/>
    <w:rsid w:val="58873381"/>
    <w:rsid w:val="58A321B7"/>
    <w:rsid w:val="58A758D2"/>
    <w:rsid w:val="58D76A1B"/>
    <w:rsid w:val="58EA6DB5"/>
    <w:rsid w:val="59076B22"/>
    <w:rsid w:val="59232E69"/>
    <w:rsid w:val="59D406CA"/>
    <w:rsid w:val="59D606DD"/>
    <w:rsid w:val="59E9425F"/>
    <w:rsid w:val="5A4B59E1"/>
    <w:rsid w:val="5A6E3589"/>
    <w:rsid w:val="5A9647D7"/>
    <w:rsid w:val="5A9814EF"/>
    <w:rsid w:val="5AA575EE"/>
    <w:rsid w:val="5B240D2B"/>
    <w:rsid w:val="5B245060"/>
    <w:rsid w:val="5BA934CB"/>
    <w:rsid w:val="5C58551F"/>
    <w:rsid w:val="5C8E6CC1"/>
    <w:rsid w:val="5CE41D02"/>
    <w:rsid w:val="5D453D32"/>
    <w:rsid w:val="5D585F58"/>
    <w:rsid w:val="5D6F1865"/>
    <w:rsid w:val="5D80551E"/>
    <w:rsid w:val="5E55246A"/>
    <w:rsid w:val="5F0B7BE8"/>
    <w:rsid w:val="5FA32AF4"/>
    <w:rsid w:val="5FA82935"/>
    <w:rsid w:val="603C7BC2"/>
    <w:rsid w:val="60423FDD"/>
    <w:rsid w:val="610775F2"/>
    <w:rsid w:val="614B10EF"/>
    <w:rsid w:val="61CB7501"/>
    <w:rsid w:val="61E13DED"/>
    <w:rsid w:val="61F84AAE"/>
    <w:rsid w:val="62A23DBC"/>
    <w:rsid w:val="635941B3"/>
    <w:rsid w:val="641439D1"/>
    <w:rsid w:val="6429050D"/>
    <w:rsid w:val="64A305A4"/>
    <w:rsid w:val="64C02086"/>
    <w:rsid w:val="658925AF"/>
    <w:rsid w:val="658A6077"/>
    <w:rsid w:val="65AC3028"/>
    <w:rsid w:val="65B131D7"/>
    <w:rsid w:val="65C221ED"/>
    <w:rsid w:val="6610648F"/>
    <w:rsid w:val="66F347C2"/>
    <w:rsid w:val="67346EF9"/>
    <w:rsid w:val="6772399F"/>
    <w:rsid w:val="6780006F"/>
    <w:rsid w:val="684D2239"/>
    <w:rsid w:val="689C77C3"/>
    <w:rsid w:val="68B72DD1"/>
    <w:rsid w:val="68E3749B"/>
    <w:rsid w:val="69B30DDE"/>
    <w:rsid w:val="69BE6F9C"/>
    <w:rsid w:val="69FE2F40"/>
    <w:rsid w:val="6A274C05"/>
    <w:rsid w:val="6A3570B4"/>
    <w:rsid w:val="6A9B6E5E"/>
    <w:rsid w:val="6ACC3AEE"/>
    <w:rsid w:val="6B9122C0"/>
    <w:rsid w:val="6BC77FCB"/>
    <w:rsid w:val="6BDE1D04"/>
    <w:rsid w:val="6BEE02A6"/>
    <w:rsid w:val="6C2D4552"/>
    <w:rsid w:val="6CBA2914"/>
    <w:rsid w:val="6D211C97"/>
    <w:rsid w:val="6D526662"/>
    <w:rsid w:val="6D971A88"/>
    <w:rsid w:val="6DB629AF"/>
    <w:rsid w:val="6E7F2BD8"/>
    <w:rsid w:val="6E86573A"/>
    <w:rsid w:val="6EB82A9C"/>
    <w:rsid w:val="6EFB13D7"/>
    <w:rsid w:val="6F32730A"/>
    <w:rsid w:val="6F647730"/>
    <w:rsid w:val="6FAA2C9A"/>
    <w:rsid w:val="6FE34182"/>
    <w:rsid w:val="70466C1E"/>
    <w:rsid w:val="705C256B"/>
    <w:rsid w:val="7139323E"/>
    <w:rsid w:val="717A73C6"/>
    <w:rsid w:val="743D52CE"/>
    <w:rsid w:val="7453486F"/>
    <w:rsid w:val="745A4405"/>
    <w:rsid w:val="752E6281"/>
    <w:rsid w:val="75916DBA"/>
    <w:rsid w:val="76CE06C3"/>
    <w:rsid w:val="76E67008"/>
    <w:rsid w:val="77B36564"/>
    <w:rsid w:val="77C91904"/>
    <w:rsid w:val="77E13C28"/>
    <w:rsid w:val="783919C4"/>
    <w:rsid w:val="78D00495"/>
    <w:rsid w:val="78FA1F51"/>
    <w:rsid w:val="790B2F23"/>
    <w:rsid w:val="795067BF"/>
    <w:rsid w:val="797D7F1B"/>
    <w:rsid w:val="79FA6E97"/>
    <w:rsid w:val="7A597865"/>
    <w:rsid w:val="7ABC137E"/>
    <w:rsid w:val="7B15298F"/>
    <w:rsid w:val="7B1665E7"/>
    <w:rsid w:val="7B3F380D"/>
    <w:rsid w:val="7B7E06B1"/>
    <w:rsid w:val="7B986019"/>
    <w:rsid w:val="7BC06797"/>
    <w:rsid w:val="7BFE5B74"/>
    <w:rsid w:val="7C4A0BE1"/>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6"/>
    <w:unhideWhenUsed/>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3"/>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5"/>
    <w:qFormat/>
    <w:uiPriority w:val="0"/>
    <w:rPr>
      <w:sz w:val="18"/>
      <w:szCs w:val="18"/>
    </w:rPr>
  </w:style>
  <w:style w:type="paragraph" w:styleId="13">
    <w:name w:val="footer"/>
    <w:basedOn w:val="1"/>
    <w:link w:val="4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character" w:styleId="26">
    <w:name w:val="HTML Code"/>
    <w:basedOn w:val="22"/>
    <w:qFormat/>
    <w:uiPriority w:val="0"/>
    <w:rPr>
      <w:rFonts w:ascii="Courier New" w:hAnsi="Courier New"/>
      <w:sz w:val="20"/>
    </w:rPr>
  </w:style>
  <w:style w:type="paragraph" w:customStyle="1" w:styleId="2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p16"/>
    <w:basedOn w:val="1"/>
    <w:qFormat/>
    <w:uiPriority w:val="0"/>
    <w:pPr>
      <w:widowControl/>
    </w:pPr>
    <w:rPr>
      <w:rFonts w:ascii="宋体" w:hAnsi="宋体" w:cs="宋体"/>
      <w:kern w:val="0"/>
      <w:szCs w:val="21"/>
    </w:rPr>
  </w:style>
  <w:style w:type="paragraph" w:customStyle="1" w:styleId="3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NormalCharacter"/>
    <w:qFormat/>
    <w:uiPriority w:val="0"/>
  </w:style>
  <w:style w:type="character" w:customStyle="1" w:styleId="35">
    <w:name w:val="批注框文本 Char"/>
    <w:basedOn w:val="22"/>
    <w:link w:val="12"/>
    <w:qFormat/>
    <w:uiPriority w:val="0"/>
    <w:rPr>
      <w:rFonts w:ascii="Times New Roman" w:hAnsi="Times New Roman" w:eastAsia="宋体" w:cs="Times New Roman"/>
      <w:kern w:val="2"/>
      <w:sz w:val="18"/>
      <w:szCs w:val="18"/>
    </w:rPr>
  </w:style>
  <w:style w:type="character" w:customStyle="1" w:styleId="36">
    <w:name w:val="标题 3 Char"/>
    <w:basedOn w:val="22"/>
    <w:link w:val="4"/>
    <w:semiHidden/>
    <w:qFormat/>
    <w:uiPriority w:val="0"/>
    <w:rPr>
      <w:rFonts w:ascii="Times New Roman" w:hAnsi="Times New Roman" w:eastAsia="宋体" w:cs="Times New Roman"/>
      <w:b/>
      <w:bCs/>
      <w:kern w:val="2"/>
      <w:sz w:val="32"/>
      <w:szCs w:val="32"/>
    </w:rPr>
  </w:style>
  <w:style w:type="paragraph" w:customStyle="1" w:styleId="37">
    <w:name w:val="--规划正文"/>
    <w:basedOn w:val="1"/>
    <w:qFormat/>
    <w:uiPriority w:val="0"/>
    <w:pPr>
      <w:spacing w:line="360" w:lineRule="auto"/>
      <w:ind w:firstLine="200" w:firstLineChars="200"/>
    </w:pPr>
    <w:rPr>
      <w:rFonts w:ascii="宋体"/>
      <w:kern w:val="0"/>
      <w:sz w:val="24"/>
      <w:szCs w:val="20"/>
    </w:rPr>
  </w:style>
  <w:style w:type="paragraph" w:customStyle="1" w:styleId="38">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1">
    <w:name w:val="页脚 Char"/>
    <w:basedOn w:val="22"/>
    <w:link w:val="13"/>
    <w:qFormat/>
    <w:uiPriority w:val="99"/>
    <w:rPr>
      <w:rFonts w:ascii="Times New Roman" w:hAnsi="Times New Roman" w:eastAsia="宋体" w:cs="Times New Roman"/>
      <w:kern w:val="2"/>
      <w:sz w:val="18"/>
      <w:szCs w:val="18"/>
    </w:rPr>
  </w:style>
  <w:style w:type="paragraph" w:customStyle="1" w:styleId="42">
    <w:name w:val="Table Paragraph"/>
    <w:basedOn w:val="1"/>
    <w:qFormat/>
    <w:uiPriority w:val="1"/>
    <w:pPr>
      <w:spacing w:before="58"/>
    </w:pPr>
    <w:rPr>
      <w:rFonts w:ascii="华文仿宋" w:hAnsi="华文仿宋" w:eastAsia="华文仿宋" w:cs="华文仿宋"/>
      <w:lang w:val="zh-CN" w:bidi="zh-CN"/>
    </w:rPr>
  </w:style>
  <w:style w:type="character" w:customStyle="1" w:styleId="43">
    <w:name w:val="正文文本 Char"/>
    <w:basedOn w:val="22"/>
    <w:link w:val="7"/>
    <w:qFormat/>
    <w:uiPriority w:val="0"/>
    <w:rPr>
      <w:rFonts w:ascii="Times New Roman" w:hAnsi="Times New Roman" w:eastAsia="宋体" w:cs="Times New Roman"/>
      <w:kern w:val="2"/>
      <w:sz w:val="21"/>
      <w:szCs w:val="24"/>
    </w:rPr>
  </w:style>
  <w:style w:type="paragraph" w:customStyle="1" w:styleId="44">
    <w:name w:val="正文文本_0"/>
    <w:basedOn w:val="1"/>
    <w:qFormat/>
    <w:uiPriority w:val="0"/>
    <w:pPr>
      <w:spacing w:after="120" w:line="276" w:lineRule="auto"/>
    </w:pPr>
    <w:rPr>
      <w:rFonts w:ascii="Tahoma" w:hAnsi="Tahoma"/>
      <w:kern w:val="0"/>
      <w:sz w:val="20"/>
      <w:szCs w:val="20"/>
    </w:rPr>
  </w:style>
  <w:style w:type="paragraph" w:customStyle="1" w:styleId="45">
    <w:name w:val="普通(网站)1"/>
    <w:basedOn w:val="1"/>
    <w:qFormat/>
    <w:uiPriority w:val="0"/>
    <w:pPr>
      <w:widowControl/>
    </w:pPr>
    <w:rPr>
      <w:rFonts w:hAnsi="宋体"/>
      <w:sz w:val="15"/>
      <w:szCs w:val="15"/>
    </w:rPr>
  </w:style>
  <w:style w:type="character" w:customStyle="1" w:styleId="46">
    <w:name w:val="p141"/>
    <w:qFormat/>
    <w:uiPriority w:val="99"/>
    <w:rPr>
      <w:sz w:val="21"/>
    </w:rPr>
  </w:style>
  <w:style w:type="character" w:customStyle="1" w:styleId="47">
    <w:name w:val="标题 2 Char1"/>
    <w:link w:val="3"/>
    <w:qFormat/>
    <w:locked/>
    <w:uiPriority w:val="0"/>
    <w:rPr>
      <w:rFonts w:ascii="Arial" w:hAnsi="Arial" w:eastAsia="黑体"/>
      <w:b/>
      <w:bCs/>
      <w:sz w:val="32"/>
      <w:szCs w:val="32"/>
    </w:rPr>
  </w:style>
  <w:style w:type="paragraph" w:customStyle="1" w:styleId="48">
    <w:name w:val="表格文字"/>
    <w:basedOn w:val="1"/>
    <w:qFormat/>
    <w:uiPriority w:val="0"/>
    <w:pPr>
      <w:spacing w:before="25" w:after="25"/>
    </w:pPr>
    <w:rPr>
      <w:bCs/>
      <w:spacing w:val="10"/>
    </w:rPr>
  </w:style>
  <w:style w:type="paragraph" w:customStyle="1" w:styleId="49">
    <w:name w:val="null3"/>
    <w:qFormat/>
    <w:uiPriority w:val="0"/>
    <w:rPr>
      <w:rFonts w:hint="eastAsia" w:ascii="Calibri" w:hAnsi="Calibri" w:eastAsia="宋体" w:cs="Times New Roman"/>
      <w:lang w:val="en-US" w:eastAsia="zh-Hans"/>
    </w:rPr>
  </w:style>
  <w:style w:type="character" w:customStyle="1" w:styleId="50">
    <w:name w:val="font11"/>
    <w:basedOn w:val="22"/>
    <w:qFormat/>
    <w:uiPriority w:val="0"/>
    <w:rPr>
      <w:rFonts w:hint="eastAsia" w:ascii="宋体" w:hAnsi="宋体" w:eastAsia="宋体" w:cs="宋体"/>
      <w:color w:val="000000"/>
      <w:sz w:val="20"/>
      <w:szCs w:val="20"/>
      <w:u w:val="none"/>
    </w:rPr>
  </w:style>
  <w:style w:type="character" w:customStyle="1" w:styleId="51">
    <w:name w:val="font81"/>
    <w:basedOn w:val="22"/>
    <w:qFormat/>
    <w:uiPriority w:val="0"/>
    <w:rPr>
      <w:rFonts w:hint="eastAsia" w:ascii="宋体" w:hAnsi="宋体" w:eastAsia="宋体" w:cs="宋体"/>
      <w:color w:val="000000"/>
      <w:sz w:val="22"/>
      <w:szCs w:val="22"/>
      <w:u w:val="none"/>
    </w:rPr>
  </w:style>
  <w:style w:type="character" w:customStyle="1" w:styleId="52">
    <w:name w:val="font61"/>
    <w:basedOn w:val="22"/>
    <w:qFormat/>
    <w:uiPriority w:val="0"/>
    <w:rPr>
      <w:rFonts w:hint="default" w:ascii="仿宋" w:hAnsi="仿宋" w:eastAsia="仿宋" w:cs="仿宋"/>
      <w:color w:val="FF0000"/>
      <w:sz w:val="22"/>
      <w:szCs w:val="22"/>
      <w:u w:val="none"/>
    </w:rPr>
  </w:style>
  <w:style w:type="character" w:customStyle="1" w:styleId="53">
    <w:name w:val="font51"/>
    <w:basedOn w:val="22"/>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29</Pages>
  <Words>14660</Words>
  <Characters>15163</Characters>
  <Lines>93</Lines>
  <Paragraphs>26</Paragraphs>
  <TotalTime>10</TotalTime>
  <ScaleCrop>false</ScaleCrop>
  <LinksUpToDate>false</LinksUpToDate>
  <CharactersWithSpaces>15835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2026-03-19T10:16:59Z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2F64E2D9D38F4158983DE839AC650CF3_13</vt:lpwstr>
  </property>
  <property fmtid="{D5CDD505-2E9C-101B-9397-08002B2CF9AE}" pid="4" name="KSOTemplateDocerSaveRecord">
    <vt:lpwstr>eyJoZGlkIjoiMzM3ODllNDNhYzUzMWRjZjgyNGMyZWMwMmI0ODg1OTEiLCJ1c2VySWQiOiI0NTI3MTEyMDAifQ==</vt:lpwstr>
  </property>
</Properties>
</file>