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7D9BAE61">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21682"/>
      <w:bookmarkStart w:id="1" w:name="_Toc6489"/>
      <w:bookmarkStart w:id="2" w:name="_Toc27889"/>
      <w:bookmarkStart w:id="3" w:name="_Toc2082"/>
      <w:bookmarkStart w:id="4" w:name="_Toc7601"/>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p>
    <w:p w14:paraId="55AF671D">
      <w:pPr>
        <w:spacing w:line="240" w:lineRule="auto"/>
        <w:jc w:val="center"/>
        <w:rPr>
          <w:rFonts w:hint="eastAsia" w:ascii="宋体" w:hAnsi="宋体"/>
          <w:b/>
          <w:bCs w:val="0"/>
          <w:color w:val="auto"/>
          <w:kern w:val="0"/>
          <w:sz w:val="18"/>
          <w:szCs w:val="18"/>
          <w:highlight w:val="none"/>
          <w:lang w:val="en-US" w:eastAsia="zh-CN"/>
        </w:rPr>
      </w:pPr>
    </w:p>
    <w:p w14:paraId="404F6C69">
      <w:pPr>
        <w:spacing w:line="240" w:lineRule="auto"/>
        <w:jc w:val="center"/>
        <w:outlineLvl w:val="0"/>
        <w:rPr>
          <w:rFonts w:hint="eastAsia" w:ascii="宋体" w:hAnsi="宋体" w:cs="Times New Roman"/>
          <w:b/>
          <w:bCs w:val="0"/>
          <w:color w:val="auto"/>
          <w:kern w:val="0"/>
          <w:sz w:val="48"/>
          <w:szCs w:val="48"/>
          <w:highlight w:val="none"/>
          <w:lang w:val="en-US" w:eastAsia="zh-CN"/>
        </w:rPr>
      </w:pPr>
      <w:bookmarkStart w:id="5" w:name="_Toc4726"/>
      <w:bookmarkStart w:id="6" w:name="_Toc21588"/>
      <w:bookmarkStart w:id="7" w:name="_Toc1392"/>
      <w:r>
        <w:rPr>
          <w:rFonts w:hint="eastAsia" w:ascii="宋体" w:hAnsi="宋体" w:cs="Times New Roman"/>
          <w:b/>
          <w:bCs w:val="0"/>
          <w:color w:val="auto"/>
          <w:kern w:val="0"/>
          <w:sz w:val="48"/>
          <w:szCs w:val="48"/>
          <w:highlight w:val="none"/>
          <w:lang w:val="en-US" w:eastAsia="zh-CN"/>
        </w:rPr>
        <w:t>菌群移植服务项目</w:t>
      </w:r>
      <w:bookmarkEnd w:id="5"/>
    </w:p>
    <w:p w14:paraId="4AA17ADB">
      <w:pPr>
        <w:spacing w:line="480" w:lineRule="auto"/>
        <w:jc w:val="center"/>
        <w:outlineLvl w:val="9"/>
        <w:rPr>
          <w:rFonts w:hint="eastAsia" w:ascii="宋体" w:hAnsi="宋体"/>
          <w:b/>
          <w:bCs/>
          <w:color w:val="auto"/>
          <w:sz w:val="72"/>
          <w:szCs w:val="72"/>
          <w:highlight w:val="none"/>
        </w:rPr>
      </w:pPr>
      <w:bookmarkStart w:id="8" w:name="_Toc6352"/>
    </w:p>
    <w:p w14:paraId="79B9A50E">
      <w:pPr>
        <w:spacing w:line="480" w:lineRule="auto"/>
        <w:jc w:val="center"/>
        <w:outlineLvl w:val="0"/>
        <w:rPr>
          <w:rFonts w:ascii="宋体" w:hAnsi="宋体"/>
          <w:b/>
          <w:bCs/>
          <w:color w:val="auto"/>
          <w:sz w:val="72"/>
          <w:szCs w:val="72"/>
          <w:highlight w:val="none"/>
        </w:rPr>
      </w:pPr>
      <w:bookmarkStart w:id="9" w:name="_Toc17289"/>
      <w:bookmarkStart w:id="10" w:name="_Toc18082"/>
      <w:r>
        <w:rPr>
          <w:rFonts w:hint="eastAsia" w:ascii="宋体" w:hAnsi="宋体"/>
          <w:b/>
          <w:bCs/>
          <w:color w:val="auto"/>
          <w:sz w:val="72"/>
          <w:szCs w:val="72"/>
          <w:highlight w:val="none"/>
        </w:rPr>
        <w:t>院内采购文件</w:t>
      </w:r>
      <w:bookmarkEnd w:id="6"/>
      <w:bookmarkEnd w:id="7"/>
      <w:bookmarkEnd w:id="8"/>
      <w:bookmarkEnd w:id="9"/>
      <w:bookmarkEnd w:id="10"/>
    </w:p>
    <w:p w14:paraId="1A3E8BF3">
      <w:pPr>
        <w:spacing w:line="480" w:lineRule="auto"/>
        <w:ind w:firstLine="843" w:firstLineChars="300"/>
        <w:jc w:val="center"/>
        <w:rPr>
          <w:rFonts w:ascii="宋体" w:hAnsi="宋体"/>
          <w:b/>
          <w:bCs/>
          <w:color w:val="auto"/>
          <w:sz w:val="28"/>
          <w:szCs w:val="28"/>
          <w:highlight w:val="none"/>
        </w:rPr>
      </w:pPr>
    </w:p>
    <w:p w14:paraId="3D5FB56F">
      <w:pPr>
        <w:pStyle w:val="23"/>
        <w:rPr>
          <w:color w:val="auto"/>
          <w:highlight w:val="none"/>
        </w:rPr>
      </w:pPr>
    </w:p>
    <w:p w14:paraId="577BF8E1">
      <w:pPr>
        <w:pStyle w:val="23"/>
        <w:rPr>
          <w:color w:val="auto"/>
          <w:highlight w:val="none"/>
        </w:rPr>
      </w:pPr>
    </w:p>
    <w:p w14:paraId="4F087DED">
      <w:pPr>
        <w:pStyle w:val="23"/>
        <w:rPr>
          <w:color w:val="auto"/>
          <w:highlight w:val="none"/>
        </w:rPr>
      </w:pPr>
    </w:p>
    <w:p w14:paraId="0BE99D7F">
      <w:pPr>
        <w:pStyle w:val="23"/>
        <w:rPr>
          <w:color w:val="auto"/>
          <w:highlight w:val="none"/>
        </w:rPr>
      </w:pPr>
    </w:p>
    <w:p w14:paraId="04662845">
      <w:pPr>
        <w:pStyle w:val="23"/>
        <w:rPr>
          <w:color w:val="auto"/>
          <w:highlight w:val="none"/>
        </w:rPr>
      </w:pPr>
    </w:p>
    <w:p w14:paraId="5B2C348F">
      <w:pPr>
        <w:pStyle w:val="23"/>
        <w:spacing w:line="360" w:lineRule="auto"/>
        <w:rPr>
          <w:rFonts w:hint="eastAsia" w:ascii="方正小标宋简体" w:hAnsi="宋体" w:eastAsia="方正小标宋简体"/>
          <w:color w:val="auto"/>
          <w:sz w:val="32"/>
          <w:highlight w:val="none"/>
        </w:rPr>
      </w:pPr>
    </w:p>
    <w:p w14:paraId="7AC04F10">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1" w:name="_Toc14397"/>
      <w:bookmarkStart w:id="12" w:name="_Toc26438"/>
      <w:bookmarkStart w:id="13" w:name="_Toc25591"/>
      <w:bookmarkStart w:id="14" w:name="_Toc21404"/>
      <w:bookmarkStart w:id="15" w:name="_Toc19397"/>
      <w:r>
        <w:rPr>
          <w:rFonts w:hint="eastAsia" w:ascii="宋体" w:hAnsi="宋体" w:eastAsia="宋体" w:cs="Times New Roman"/>
          <w:b/>
          <w:bCs/>
          <w:color w:val="auto"/>
          <w:kern w:val="2"/>
          <w:sz w:val="36"/>
          <w:szCs w:val="36"/>
          <w:highlight w:val="none"/>
          <w:lang w:val="en-US" w:eastAsia="zh-CN" w:bidi="ar-SA"/>
        </w:rPr>
        <w:t>项目编号：NYWY</w:t>
      </w:r>
      <w:r>
        <w:rPr>
          <w:rFonts w:hint="eastAsia" w:ascii="宋体" w:hAnsi="宋体" w:cs="Times New Roman"/>
          <w:b/>
          <w:bCs/>
          <w:color w:val="auto"/>
          <w:kern w:val="2"/>
          <w:sz w:val="36"/>
          <w:szCs w:val="36"/>
          <w:highlight w:val="none"/>
          <w:lang w:val="en-US" w:eastAsia="zh-CN" w:bidi="ar-SA"/>
        </w:rPr>
        <w:t>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5</w:t>
      </w:r>
      <w:r>
        <w:rPr>
          <w:rFonts w:hint="eastAsia" w:ascii="宋体" w:hAnsi="宋体" w:eastAsia="宋体" w:cs="Times New Roman"/>
          <w:b/>
          <w:bCs/>
          <w:color w:val="auto"/>
          <w:kern w:val="2"/>
          <w:sz w:val="36"/>
          <w:szCs w:val="36"/>
          <w:highlight w:val="none"/>
          <w:lang w:val="en-US" w:eastAsia="zh-CN" w:bidi="ar-SA"/>
        </w:rPr>
        <w:t>00</w:t>
      </w:r>
      <w:bookmarkEnd w:id="11"/>
      <w:bookmarkEnd w:id="12"/>
      <w:bookmarkEnd w:id="13"/>
      <w:bookmarkEnd w:id="14"/>
      <w:r>
        <w:rPr>
          <w:rFonts w:hint="eastAsia" w:ascii="宋体" w:hAnsi="宋体" w:cs="Times New Roman"/>
          <w:b/>
          <w:bCs/>
          <w:color w:val="auto"/>
          <w:kern w:val="2"/>
          <w:sz w:val="36"/>
          <w:szCs w:val="36"/>
          <w:highlight w:val="none"/>
          <w:lang w:val="en-US" w:eastAsia="zh-CN" w:bidi="ar-SA"/>
        </w:rPr>
        <w:t>10</w:t>
      </w:r>
      <w:bookmarkEnd w:id="15"/>
    </w:p>
    <w:p w14:paraId="697AB77F">
      <w:pPr>
        <w:pStyle w:val="23"/>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6" w:name="_Toc17298"/>
      <w:bookmarkStart w:id="17" w:name="_Toc21516"/>
      <w:bookmarkStart w:id="18" w:name="_Toc16418"/>
      <w:bookmarkStart w:id="19" w:name="_Toc2813"/>
      <w:bookmarkStart w:id="20" w:name="_Toc5841"/>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bookmarkEnd w:id="16"/>
      <w:bookmarkEnd w:id="17"/>
      <w:bookmarkEnd w:id="18"/>
      <w:bookmarkEnd w:id="19"/>
      <w:bookmarkEnd w:id="20"/>
    </w:p>
    <w:p w14:paraId="35ADF065">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color w:val="auto"/>
          <w:kern w:val="2"/>
          <w:sz w:val="21"/>
          <w:szCs w:val="24"/>
          <w:highlight w:val="none"/>
          <w:lang w:val="en-US" w:eastAsia="zh-CN" w:bidi="ar-SA"/>
        </w:rPr>
        <w:id w:val="14747671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3400BC7">
          <w:pPr>
            <w:spacing w:before="0" w:beforeLines="0" w:after="0" w:afterLines="0" w:line="240" w:lineRule="auto"/>
            <w:ind w:left="0" w:leftChars="0" w:right="0" w:rightChars="0" w:firstLine="0" w:firstLineChars="0"/>
            <w:jc w:val="center"/>
            <w:rPr>
              <w:b/>
              <w:bCs/>
              <w:color w:val="auto"/>
              <w:sz w:val="30"/>
              <w:szCs w:val="30"/>
              <w:highlight w:val="none"/>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14:paraId="453DDF1C">
          <w:pPr>
            <w:pStyle w:val="14"/>
            <w:tabs>
              <w:tab w:val="right" w:leader="dot" w:pos="9638"/>
            </w:tabs>
            <w:rPr>
              <w:color w:val="auto"/>
            </w:rPr>
          </w:pPr>
          <w:r>
            <w:rPr>
              <w:color w:val="auto"/>
              <w:highlight w:val="none"/>
              <w:lang w:val="en-US" w:eastAsia="zh-CN"/>
            </w:rPr>
            <w:fldChar w:fldCharType="begin"/>
          </w:r>
          <w:r>
            <w:rPr>
              <w:color w:val="auto"/>
              <w:highlight w:val="none"/>
              <w:lang w:val="en-US" w:eastAsia="zh-CN"/>
            </w:rPr>
            <w:instrText xml:space="preserve">TOC \o "1-1" \h \u </w:instrText>
          </w:r>
          <w:r>
            <w:rPr>
              <w:color w:val="auto"/>
              <w:highlight w:val="none"/>
              <w:lang w:val="en-US" w:eastAsia="zh-CN"/>
            </w:rPr>
            <w:fldChar w:fldCharType="separate"/>
          </w:r>
        </w:p>
        <w:p w14:paraId="02FA3A2F">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_Toc10239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第一部分 报名邀请函</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_Toc10239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19ACF9A0">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_Toc22640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rPr>
            <w:t xml:space="preserve">第二部分 </w:t>
          </w:r>
          <w:r>
            <w:rPr>
              <w:rFonts w:hint="eastAsia" w:ascii="宋体" w:hAnsi="宋体" w:eastAsia="宋体" w:cs="宋体"/>
              <w:b/>
              <w:bCs/>
              <w:color w:val="auto"/>
              <w:sz w:val="24"/>
              <w:szCs w:val="24"/>
              <w:highlight w:val="none"/>
              <w:lang w:val="en-US" w:eastAsia="zh-CN"/>
            </w:rPr>
            <w:t>采购需求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_Toc22640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42A458E6">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_Toc10847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第三部分</w:t>
          </w:r>
          <w:r>
            <w:rPr>
              <w:rFonts w:hint="eastAsia" w:ascii="宋体" w:hAnsi="宋体" w:eastAsia="宋体" w:cs="宋体"/>
              <w:b/>
              <w:bCs/>
              <w:color w:val="auto"/>
              <w:kern w:val="0"/>
              <w:sz w:val="24"/>
              <w:szCs w:val="24"/>
              <w:highlight w:val="none"/>
            </w:rPr>
            <w:t xml:space="preserve"> 评分标准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_Toc10847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669227FB">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_Toc7483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第四部分 合同模板</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_Toc7483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66F0357D">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_Toc27361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第五部分 响应文件资料整理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_Toc27361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18</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1FE65263">
          <w:pPr>
            <w:pStyle w:val="14"/>
            <w:tabs>
              <w:tab w:val="right" w:leader="dot" w:pos="9638"/>
            </w:tabs>
            <w:spacing w:line="360" w:lineRule="auto"/>
            <w:rPr>
              <w:color w:val="auto"/>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_Toc1245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第六部分  相关格式文件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_Toc1245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4E5BB526">
          <w:pPr>
            <w:pStyle w:val="14"/>
            <w:tabs>
              <w:tab w:val="right" w:leader="dot" w:pos="9638"/>
            </w:tabs>
            <w:rPr>
              <w:color w:val="auto"/>
            </w:rPr>
          </w:pPr>
        </w:p>
        <w:p w14:paraId="63DBB1C9">
          <w:pPr>
            <w:rPr>
              <w:rFonts w:ascii="Times New Roman" w:hAnsi="Times New Roman" w:eastAsia="宋体" w:cs="Times New Roman"/>
              <w:color w:val="auto"/>
              <w:kern w:val="2"/>
              <w:sz w:val="21"/>
              <w:szCs w:val="24"/>
              <w:highlight w:val="none"/>
              <w:lang w:val="en-US" w:eastAsia="zh-CN" w:bidi="ar-SA"/>
            </w:rPr>
          </w:pPr>
          <w:r>
            <w:rPr>
              <w:color w:val="auto"/>
              <w:highlight w:val="none"/>
              <w:lang w:val="en-US" w:eastAsia="zh-CN"/>
            </w:rPr>
            <w:fldChar w:fldCharType="end"/>
          </w:r>
        </w:p>
      </w:sdtContent>
    </w:sdt>
    <w:p w14:paraId="27B24FFC">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21" w:name="_Toc517"/>
      <w:bookmarkStart w:id="22" w:name="_Toc19427"/>
    </w:p>
    <w:p w14:paraId="2617A0F5">
      <w:pPr>
        <w:spacing w:line="360" w:lineRule="auto"/>
        <w:jc w:val="center"/>
        <w:outlineLvl w:val="0"/>
        <w:rPr>
          <w:rFonts w:ascii="仿宋" w:hAnsi="仿宋" w:eastAsia="仿宋" w:cs="Helvetica"/>
          <w:color w:val="auto"/>
          <w:sz w:val="33"/>
          <w:szCs w:val="33"/>
          <w:highlight w:val="none"/>
        </w:rPr>
      </w:pPr>
      <w:bookmarkStart w:id="23" w:name="_Toc16951"/>
      <w:bookmarkStart w:id="24" w:name="_Toc10239"/>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21"/>
      <w:bookmarkEnd w:id="22"/>
      <w:bookmarkEnd w:id="23"/>
      <w:bookmarkEnd w:id="24"/>
    </w:p>
    <w:p w14:paraId="01540DCD">
      <w:pPr>
        <w:autoSpaceDE w:val="0"/>
        <w:autoSpaceDN w:val="0"/>
        <w:ind w:firstLine="420" w:firstLineChars="200"/>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根据我院业务发展需要，现拟采购菌群移植服务项目，现根据相关规定特此公告，欢迎符合条件的供应商参加。</w:t>
      </w:r>
    </w:p>
    <w:p w14:paraId="4A74EAD1">
      <w:pPr>
        <w:keepNext w:val="0"/>
        <w:keepLines w:val="0"/>
        <w:pageBreakBefore w:val="0"/>
        <w:numPr>
          <w:ilvl w:val="0"/>
          <w:numId w:val="2"/>
        </w:numPr>
        <w:tabs>
          <w:tab w:val="left" w:pos="0"/>
          <w:tab w:val="left" w:pos="7174"/>
        </w:tabs>
        <w:kinsoku/>
        <w:wordWrap/>
        <w:overflowPunct/>
        <w:topLinePunct w:val="0"/>
        <w:bidi w:val="0"/>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6B6C8993">
      <w:pPr>
        <w:keepNext w:val="0"/>
        <w:keepLines w:val="0"/>
        <w:pageBreakBefore w:val="0"/>
        <w:kinsoku/>
        <w:wordWrap/>
        <w:overflowPunct/>
        <w:topLinePunct w:val="0"/>
        <w:autoSpaceDE w:val="0"/>
        <w:autoSpaceDN w:val="0"/>
        <w:bidi w:val="0"/>
        <w:spacing w:line="360" w:lineRule="exact"/>
        <w:ind w:firstLine="422" w:firstLineChars="200"/>
        <w:textAlignment w:val="auto"/>
        <w:rPr>
          <w:rFonts w:hint="default" w:ascii="宋体" w:hAnsi="宋体" w:eastAsia="宋体" w:cs="宋体"/>
          <w:b w:val="0"/>
          <w:bCs w:val="0"/>
          <w:color w:val="auto"/>
          <w:sz w:val="21"/>
          <w:szCs w:val="21"/>
          <w:lang w:val="en-US"/>
        </w:rPr>
      </w:pPr>
      <w:r>
        <w:rPr>
          <w:rFonts w:hint="eastAsia" w:ascii="宋体" w:hAnsi="宋体" w:eastAsia="宋体" w:cs="宋体"/>
          <w:b/>
          <w:bCs/>
          <w:color w:val="auto"/>
          <w:sz w:val="21"/>
          <w:szCs w:val="21"/>
          <w:lang w:val="en-US" w:eastAsia="zh-CN"/>
        </w:rPr>
        <w:t>1.项目编号：</w:t>
      </w:r>
      <w:r>
        <w:rPr>
          <w:rFonts w:hint="eastAsia" w:ascii="宋体" w:hAnsi="宋体" w:eastAsia="宋体" w:cs="宋体"/>
          <w:b w:val="0"/>
          <w:bCs w:val="0"/>
          <w:color w:val="auto"/>
          <w:sz w:val="21"/>
          <w:szCs w:val="21"/>
          <w:lang w:val="en-US" w:eastAsia="zh-CN"/>
        </w:rPr>
        <w:t>NYWYF202500</w:t>
      </w:r>
      <w:r>
        <w:rPr>
          <w:rFonts w:hint="eastAsia" w:ascii="宋体" w:hAnsi="宋体" w:cs="宋体"/>
          <w:b w:val="0"/>
          <w:bCs w:val="0"/>
          <w:color w:val="auto"/>
          <w:sz w:val="21"/>
          <w:szCs w:val="21"/>
          <w:lang w:val="en-US" w:eastAsia="zh-CN"/>
        </w:rPr>
        <w:t>10</w:t>
      </w:r>
    </w:p>
    <w:p w14:paraId="08CC66FE">
      <w:pPr>
        <w:autoSpaceDE w:val="0"/>
        <w:autoSpaceDN w:val="0"/>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南方医科大学第五附属医院菌群移植服务项目</w:t>
      </w:r>
    </w:p>
    <w:p w14:paraId="440745F1">
      <w:pPr>
        <w:keepNext w:val="0"/>
        <w:keepLines w:val="0"/>
        <w:pageBreakBefore w:val="0"/>
        <w:kinsoku/>
        <w:wordWrap/>
        <w:overflowPunct/>
        <w:topLinePunct w:val="0"/>
        <w:autoSpaceDE w:val="0"/>
        <w:autoSpaceDN w:val="0"/>
        <w:bidi w:val="0"/>
        <w:spacing w:line="36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cs="宋体"/>
          <w:b w:val="0"/>
          <w:bCs w:val="0"/>
          <w:color w:val="auto"/>
          <w:sz w:val="21"/>
          <w:szCs w:val="21"/>
          <w:lang w:val="en-US" w:eastAsia="zh-CN"/>
        </w:rPr>
        <w:t>45万元。</w:t>
      </w:r>
    </w:p>
    <w:p w14:paraId="6FDAC070">
      <w:pPr>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4.服务期：</w:t>
      </w:r>
      <w:r>
        <w:rPr>
          <w:rFonts w:hint="eastAsia" w:ascii="宋体" w:hAnsi="宋体" w:eastAsia="宋体" w:cs="宋体"/>
          <w:b w:val="0"/>
          <w:bCs w:val="0"/>
          <w:color w:val="auto"/>
          <w:sz w:val="21"/>
          <w:szCs w:val="21"/>
          <w:lang w:val="en-US" w:eastAsia="zh-CN"/>
        </w:rPr>
        <w:t>1年。合同期（最长）为1年或在服务期内，采购人支付的服务费用</w:t>
      </w:r>
      <w:r>
        <w:rPr>
          <w:rFonts w:hint="eastAsia" w:ascii="宋体" w:hAnsi="宋体" w:cs="宋体"/>
          <w:b w:val="0"/>
          <w:bCs w:val="0"/>
          <w:color w:val="auto"/>
          <w:sz w:val="21"/>
          <w:szCs w:val="21"/>
          <w:lang w:val="en-US" w:eastAsia="zh-CN"/>
        </w:rPr>
        <w:t>累计</w:t>
      </w:r>
      <w:r>
        <w:rPr>
          <w:rFonts w:hint="eastAsia" w:ascii="宋体" w:hAnsi="宋体" w:eastAsia="宋体" w:cs="宋体"/>
          <w:b w:val="0"/>
          <w:bCs w:val="0"/>
          <w:color w:val="auto"/>
          <w:sz w:val="21"/>
          <w:szCs w:val="21"/>
          <w:lang w:val="en-US" w:eastAsia="zh-CN"/>
        </w:rPr>
        <w:t>达到450000元，前述两者中，其中一项达到上述约定的条件，则合同结束。</w:t>
      </w:r>
    </w:p>
    <w:p w14:paraId="5FE7927F">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5.采购内容及要求：</w:t>
      </w:r>
      <w:r>
        <w:rPr>
          <w:rFonts w:hint="eastAsia" w:ascii="宋体" w:hAnsi="宋体" w:eastAsia="宋体" w:cs="宋体"/>
          <w:b w:val="0"/>
          <w:bCs w:val="0"/>
          <w:color w:val="auto"/>
          <w:sz w:val="21"/>
          <w:szCs w:val="21"/>
          <w:lang w:val="en-US" w:eastAsia="zh-CN"/>
        </w:rPr>
        <w:t>详见附件1采购文件第二部分用户需求书</w:t>
      </w:r>
    </w:p>
    <w:p w14:paraId="1351CB14">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0356D18F">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5</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28</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00286A3E">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42D0BF5D">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：详见附件3报名资料</w:t>
      </w:r>
    </w:p>
    <w:p w14:paraId="3D432B5C">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182FB96">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B7B49C8">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726C9788">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6CD2620">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76F7FD43">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0C4DADE">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3F2AF2DB">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1.具备独立承担民事责任能力，为中华人民共和国境内合法注册的独立法人企业</w:t>
      </w:r>
      <w:r>
        <w:rPr>
          <w:rFonts w:hint="eastAsia" w:ascii="宋体" w:hAnsi="宋体" w:cs="宋体"/>
          <w:b/>
          <w:bCs w:val="0"/>
          <w:color w:val="auto"/>
          <w:kern w:val="0"/>
          <w:sz w:val="21"/>
          <w:szCs w:val="21"/>
          <w:lang w:val="en-US" w:eastAsia="zh-CN"/>
        </w:rPr>
        <w:t>（提供有效的营业执照副本复印件，并加盖公章）</w:t>
      </w:r>
    </w:p>
    <w:p w14:paraId="264E0E3E">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2.具有良好的商业信誉和健全的财务会计制度。</w:t>
      </w:r>
      <w:r>
        <w:rPr>
          <w:rFonts w:hint="eastAsia" w:ascii="宋体" w:hAnsi="宋体" w:eastAsia="宋体" w:cs="宋体"/>
          <w:b/>
          <w:bCs w:val="0"/>
          <w:color w:val="auto"/>
          <w:kern w:val="0"/>
          <w:sz w:val="21"/>
          <w:szCs w:val="21"/>
        </w:rPr>
        <w:t>（提供书面声明函或承诺函，格式自拟，并加盖公章）</w:t>
      </w:r>
    </w:p>
    <w:p w14:paraId="6EA31BC8">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3.具有履行合同所必需的设备和专业技术能力。</w:t>
      </w:r>
      <w:r>
        <w:rPr>
          <w:rFonts w:hint="eastAsia" w:ascii="宋体" w:hAnsi="宋体" w:eastAsia="宋体" w:cs="宋体"/>
          <w:b/>
          <w:bCs w:val="0"/>
          <w:color w:val="auto"/>
          <w:kern w:val="0"/>
          <w:sz w:val="21"/>
          <w:szCs w:val="21"/>
        </w:rPr>
        <w:t>（提供书面声明函或承诺函，格式自拟，并加盖公章）</w:t>
      </w:r>
    </w:p>
    <w:p w14:paraId="0E1EBE14">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4.具有依法缴纳税收和社会保障资金的良好记录。</w:t>
      </w:r>
      <w:r>
        <w:rPr>
          <w:rFonts w:hint="eastAsia" w:ascii="宋体" w:hAnsi="宋体" w:cs="宋体"/>
          <w:b/>
          <w:bCs w:val="0"/>
          <w:color w:val="auto"/>
          <w:kern w:val="0"/>
          <w:sz w:val="21"/>
          <w:szCs w:val="21"/>
          <w:lang w:val="en-US" w:eastAsia="zh-CN"/>
        </w:rPr>
        <w:t xml:space="preserve">（提供书面声明函或承诺函，格式自拟，并加盖公章） </w:t>
      </w:r>
    </w:p>
    <w:p w14:paraId="489F7475">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5.参加采购活动前三年内，在经营活动中没有重大违法记录。</w:t>
      </w:r>
      <w:r>
        <w:rPr>
          <w:rFonts w:hint="eastAsia" w:ascii="宋体" w:hAnsi="宋体" w:eastAsia="宋体" w:cs="宋体"/>
          <w:b/>
          <w:bCs w:val="0"/>
          <w:color w:val="auto"/>
          <w:kern w:val="0"/>
          <w:sz w:val="21"/>
          <w:szCs w:val="21"/>
        </w:rPr>
        <w:t>（提供书面声明函或承诺函，格式自拟，并加盖公章）</w:t>
      </w:r>
    </w:p>
    <w:p w14:paraId="246DD786">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6.符合法律、行政法规规定的其他条件。</w:t>
      </w:r>
      <w:r>
        <w:rPr>
          <w:rFonts w:hint="eastAsia" w:ascii="宋体" w:hAnsi="宋体" w:cs="宋体"/>
          <w:b/>
          <w:bCs w:val="0"/>
          <w:color w:val="auto"/>
          <w:kern w:val="0"/>
          <w:sz w:val="21"/>
          <w:szCs w:val="21"/>
          <w:lang w:val="en-US" w:eastAsia="zh-CN"/>
        </w:rPr>
        <w:t>（提供书面声明函或承诺函，格式自拟，并加盖公章）</w:t>
      </w:r>
    </w:p>
    <w:p w14:paraId="070F1E49">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7.本项目不接受联合体参与，不接受转包和分包。</w:t>
      </w:r>
      <w:r>
        <w:rPr>
          <w:rFonts w:hint="eastAsia" w:ascii="宋体" w:hAnsi="宋体" w:eastAsia="宋体" w:cs="宋体"/>
          <w:b/>
          <w:bCs w:val="0"/>
          <w:color w:val="auto"/>
          <w:kern w:val="0"/>
          <w:sz w:val="21"/>
          <w:szCs w:val="21"/>
        </w:rPr>
        <w:t>（提供书面声明函或承诺函，格式自拟，并加盖公章）</w:t>
      </w:r>
    </w:p>
    <w:p w14:paraId="1541CF5D">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bCs/>
          <w:color w:val="auto"/>
          <w:sz w:val="21"/>
          <w:szCs w:val="21"/>
          <w:shd w:val="clear" w:color="auto" w:fill="FFFFFF"/>
        </w:rPr>
      </w:pPr>
      <w:r>
        <w:rPr>
          <w:rFonts w:hint="eastAsia" w:cs="宋体"/>
          <w:b w:val="0"/>
          <w:bCs/>
          <w:color w:val="auto"/>
          <w:kern w:val="0"/>
          <w:sz w:val="21"/>
          <w:szCs w:val="21"/>
          <w:lang w:val="en-US" w:eastAsia="zh-CN" w:bidi="ar-SA"/>
        </w:rPr>
        <w:t>8.</w:t>
      </w:r>
      <w:r>
        <w:rPr>
          <w:rFonts w:hint="default" w:ascii="宋体" w:hAnsi="宋体" w:eastAsia="宋体" w:cs="宋体"/>
          <w:b w:val="0"/>
          <w:bCs/>
          <w:color w:val="auto"/>
          <w:kern w:val="0"/>
          <w:sz w:val="21"/>
          <w:szCs w:val="21"/>
          <w:lang w:val="en-US" w:eastAsia="zh-CN" w:bidi="ar-SA"/>
        </w:rPr>
        <w:t>单位负责人为同一人或者存在直接控股、管理关系的不同</w:t>
      </w:r>
      <w:r>
        <w:rPr>
          <w:rFonts w:hint="eastAsia" w:ascii="宋体" w:hAnsi="宋体" w:cs="宋体"/>
          <w:b w:val="0"/>
          <w:bCs/>
          <w:color w:val="auto"/>
          <w:kern w:val="0"/>
          <w:sz w:val="21"/>
          <w:szCs w:val="21"/>
          <w:lang w:val="en-US" w:eastAsia="zh-CN" w:bidi="ar-SA"/>
        </w:rPr>
        <w:t>供应商</w:t>
      </w:r>
      <w:r>
        <w:rPr>
          <w:rFonts w:hint="default" w:ascii="宋体" w:hAnsi="宋体" w:eastAsia="宋体" w:cs="宋体"/>
          <w:b w:val="0"/>
          <w:bCs/>
          <w:color w:val="auto"/>
          <w:kern w:val="0"/>
          <w:sz w:val="21"/>
          <w:szCs w:val="21"/>
          <w:lang w:val="en-US" w:eastAsia="zh-CN" w:bidi="ar-SA"/>
        </w:rPr>
        <w:t>，不得同时参加本采购项目。</w:t>
      </w:r>
      <w:r>
        <w:rPr>
          <w:rFonts w:hint="eastAsia" w:ascii="宋体" w:hAnsi="宋体" w:eastAsia="宋体" w:cs="宋体"/>
          <w:b/>
          <w:bCs w:val="0"/>
          <w:color w:val="auto"/>
          <w:kern w:val="0"/>
          <w:sz w:val="21"/>
          <w:szCs w:val="21"/>
        </w:rPr>
        <w:t>（提供书面声明函或承诺函，格式自拟，并加盖公章）</w:t>
      </w:r>
    </w:p>
    <w:p w14:paraId="29B13AE7">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14:paraId="54F322F3">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2D4CEEC3">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3560678E">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i w:val="0"/>
          <w:iCs w:val="0"/>
          <w:caps w:val="0"/>
          <w:color w:val="000000"/>
          <w:spacing w:val="0"/>
          <w:sz w:val="21"/>
          <w:szCs w:val="21"/>
          <w:bdr w:val="none" w:color="auto" w:sz="0" w:space="0"/>
          <w:shd w:val="clear" w:fill="FFFFFF"/>
        </w:rPr>
      </w:pPr>
      <w:r>
        <w:rPr>
          <w:rFonts w:hint="eastAsia" w:ascii="宋体" w:hAnsi="宋体" w:eastAsia="宋体" w:cs="宋体"/>
          <w:i w:val="0"/>
          <w:iCs w:val="0"/>
          <w:caps w:val="0"/>
          <w:color w:val="000000"/>
          <w:spacing w:val="0"/>
          <w:sz w:val="21"/>
          <w:szCs w:val="21"/>
          <w:bdr w:val="none" w:color="auto" w:sz="0" w:space="0"/>
          <w:shd w:val="clear" w:fill="FFFFFF"/>
        </w:rPr>
        <w:t>翁老师：020-62236036（项目需求咨询）</w:t>
      </w:r>
    </w:p>
    <w:p w14:paraId="3CCF7944">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bookmarkStart w:id="383" w:name="_GoBack"/>
      <w:bookmarkEnd w:id="383"/>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2A202E77">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DAEBFD3">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1B847FFA">
      <w:pPr>
        <w:keepNext w:val="0"/>
        <w:keepLines w:val="0"/>
        <w:pageBreakBefore w:val="0"/>
        <w:widowControl/>
        <w:kinsoku/>
        <w:wordWrap/>
        <w:overflowPunct/>
        <w:topLinePunct w:val="0"/>
        <w:bidi w:val="0"/>
        <w:spacing w:line="360" w:lineRule="exact"/>
        <w:jc w:val="right"/>
        <w:textAlignment w:val="auto"/>
        <w:rPr>
          <w:color w:val="auto"/>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24</w:t>
      </w:r>
      <w:r>
        <w:rPr>
          <w:rFonts w:hint="eastAsia" w:ascii="宋体" w:hAnsi="宋体" w:eastAsia="宋体" w:cs="宋体"/>
          <w:color w:val="auto"/>
          <w:kern w:val="0"/>
          <w:sz w:val="21"/>
          <w:szCs w:val="21"/>
        </w:rPr>
        <w:t>日</w:t>
      </w:r>
    </w:p>
    <w:p w14:paraId="59E5C18D">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5B97BD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C70D1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E8266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BB7811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CAC6DC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932698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DA3E6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3D2E5C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57BA22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D9E31B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86F68E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D84BED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692178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73040F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A712C9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DAF248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EA1F72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32FC82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9552AE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D81BEC6">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4C5CDD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3070ED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25" w:name="_Toc31562"/>
      <w:bookmarkStart w:id="26" w:name="_Toc22640"/>
      <w:bookmarkStart w:id="27" w:name="_Toc11230"/>
      <w:r>
        <w:rPr>
          <w:rFonts w:hint="eastAsia" w:ascii="宋体" w:hAnsi="宋体"/>
          <w:b/>
          <w:bCs/>
          <w:color w:val="auto"/>
          <w:sz w:val="28"/>
          <w:szCs w:val="28"/>
          <w:highlight w:val="none"/>
          <w:lang w:val="en-US" w:eastAsia="zh-CN"/>
        </w:rPr>
        <w:t>采购需求</w:t>
      </w:r>
      <w:bookmarkEnd w:id="25"/>
      <w:bookmarkEnd w:id="26"/>
      <w:bookmarkEnd w:id="27"/>
    </w:p>
    <w:p w14:paraId="567D09AC">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bookmarkStart w:id="28" w:name="_Toc20606"/>
      <w:bookmarkStart w:id="29" w:name="_Toc28850"/>
      <w:bookmarkStart w:id="30" w:name="_Toc26796"/>
      <w:bookmarkStart w:id="31" w:name="_Toc6416"/>
      <w:bookmarkStart w:id="32" w:name="_Toc27614"/>
      <w:bookmarkStart w:id="33" w:name="_Toc20762"/>
      <w:bookmarkStart w:id="34" w:name="_Toc8122"/>
      <w:r>
        <w:rPr>
          <w:rFonts w:hint="eastAsia" w:ascii="宋体" w:hAnsi="宋体" w:eastAsia="宋体" w:cs="宋体"/>
          <w:b/>
          <w:bCs/>
          <w:color w:val="auto"/>
          <w:kern w:val="0"/>
          <w:sz w:val="21"/>
          <w:szCs w:val="21"/>
        </w:rPr>
        <w:t>一、项目概况</w:t>
      </w:r>
    </w:p>
    <w:p w14:paraId="7EC37BC2">
      <w:pPr>
        <w:keepNext w:val="0"/>
        <w:keepLines w:val="0"/>
        <w:pageBreakBefore w:val="0"/>
        <w:kinsoku/>
        <w:wordWrap/>
        <w:overflowPunct/>
        <w:topLinePunct w:val="0"/>
        <w:autoSpaceDE w:val="0"/>
        <w:autoSpaceDN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一</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项目名称：</w:t>
      </w:r>
      <w:r>
        <w:rPr>
          <w:rFonts w:hint="eastAsia" w:ascii="宋体" w:hAnsi="宋体" w:eastAsia="宋体" w:cs="宋体"/>
          <w:color w:val="auto"/>
          <w:kern w:val="0"/>
          <w:sz w:val="21"/>
          <w:szCs w:val="21"/>
        </w:rPr>
        <w:t>南方医科大学第五附属医院菌群移植服务项目</w:t>
      </w:r>
    </w:p>
    <w:p w14:paraId="59CCE77A">
      <w:pPr>
        <w:keepNext w:val="0"/>
        <w:keepLines w:val="0"/>
        <w:pageBreakBefore w:val="0"/>
        <w:kinsoku/>
        <w:wordWrap/>
        <w:overflowPunct/>
        <w:topLinePunct w:val="0"/>
        <w:autoSpaceDE w:val="0"/>
        <w:autoSpaceDN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数量：</w:t>
      </w:r>
      <w:r>
        <w:rPr>
          <w:rFonts w:hint="eastAsia" w:ascii="宋体" w:hAnsi="宋体" w:eastAsia="宋体" w:cs="宋体"/>
          <w:color w:val="auto"/>
          <w:kern w:val="0"/>
          <w:sz w:val="21"/>
          <w:szCs w:val="21"/>
        </w:rPr>
        <w:t>1项</w:t>
      </w:r>
    </w:p>
    <w:p w14:paraId="4C92036F">
      <w:pPr>
        <w:autoSpaceDE/>
        <w:autoSpaceDN/>
        <w:adjustRightInd/>
        <w:spacing w:line="400" w:lineRule="exact"/>
        <w:ind w:firstLine="422" w:firstLineChars="200"/>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三</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项目预算：</w:t>
      </w:r>
      <w:r>
        <w:rPr>
          <w:rFonts w:hint="eastAsia" w:ascii="宋体" w:hAnsi="宋体" w:eastAsia="宋体" w:cs="宋体"/>
          <w:color w:val="auto"/>
          <w:kern w:val="0"/>
          <w:sz w:val="21"/>
          <w:szCs w:val="21"/>
        </w:rPr>
        <w:t>45万元</w:t>
      </w:r>
      <w:r>
        <w:rPr>
          <w:rFonts w:hint="eastAsia" w:ascii="宋体" w:hAnsi="宋体" w:cs="宋体"/>
          <w:color w:val="auto"/>
          <w:kern w:val="0"/>
          <w:sz w:val="21"/>
          <w:szCs w:val="21"/>
          <w:lang w:eastAsia="zh-CN"/>
        </w:rPr>
        <w:t>，</w:t>
      </w:r>
      <w:r>
        <w:rPr>
          <w:rFonts w:hint="eastAsia" w:ascii="宋体" w:hAnsi="宋体" w:cs="宋体"/>
          <w:color w:val="auto"/>
          <w:kern w:val="0"/>
          <w:sz w:val="21"/>
          <w:szCs w:val="21"/>
          <w:highlight w:val="none"/>
          <w:lang w:val="en-US" w:eastAsia="zh-CN"/>
        </w:rPr>
        <w:t>按实际采购的数量进行结算。</w:t>
      </w:r>
    </w:p>
    <w:p w14:paraId="67B634C7">
      <w:pPr>
        <w:autoSpaceDE/>
        <w:autoSpaceDN/>
        <w:adjustRightInd/>
        <w:spacing w:line="400" w:lineRule="exact"/>
        <w:ind w:firstLine="422" w:firstLineChars="20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（四）报价要求</w:t>
      </w:r>
    </w:p>
    <w:p w14:paraId="2F2C1BB9">
      <w:pPr>
        <w:autoSpaceDE/>
        <w:autoSpaceDN/>
        <w:adjustRightInd/>
        <w:spacing w:line="400" w:lineRule="exact"/>
        <w:ind w:firstLine="420" w:firstLineChars="200"/>
        <w:rPr>
          <w:rFonts w:hint="eastAsia" w:ascii="宋体" w:hAnsi="宋体" w:eastAsia="宋体" w:cs="宋体"/>
          <w:color w:val="auto"/>
          <w:kern w:val="0"/>
          <w:sz w:val="21"/>
          <w:szCs w:val="21"/>
          <w:lang w:eastAsia="zh-CN"/>
        </w:rPr>
      </w:pPr>
      <w:r>
        <w:rPr>
          <w:rFonts w:hint="eastAsia" w:hAnsi="宋体" w:cs="宋体"/>
          <w:color w:val="auto"/>
          <w:sz w:val="21"/>
          <w:szCs w:val="21"/>
          <w:lang w:val="en-US" w:eastAsia="zh-CN"/>
        </w:rPr>
        <w:t>1.价格</w:t>
      </w:r>
      <w:r>
        <w:rPr>
          <w:rFonts w:hint="eastAsia" w:hAnsi="宋体" w:cs="宋体"/>
          <w:color w:val="auto"/>
          <w:sz w:val="21"/>
          <w:szCs w:val="21"/>
        </w:rPr>
        <w:t>包含但不限于各种货款、运费、</w:t>
      </w:r>
      <w:r>
        <w:rPr>
          <w:rFonts w:hint="eastAsia" w:hAnsi="宋体" w:cs="宋体"/>
          <w:color w:val="auto"/>
          <w:sz w:val="21"/>
          <w:szCs w:val="21"/>
          <w:lang w:val="en-US" w:eastAsia="zh-CN"/>
        </w:rPr>
        <w:t>各种</w:t>
      </w:r>
      <w:r>
        <w:rPr>
          <w:rFonts w:hint="eastAsia" w:hAnsi="宋体" w:cs="宋体"/>
          <w:color w:val="auto"/>
          <w:sz w:val="21"/>
          <w:szCs w:val="21"/>
        </w:rPr>
        <w:t>税费、人工费、</w:t>
      </w:r>
      <w:r>
        <w:rPr>
          <w:rFonts w:hint="eastAsia" w:hAnsi="宋体" w:cs="宋体"/>
          <w:color w:val="auto"/>
          <w:sz w:val="21"/>
          <w:szCs w:val="21"/>
          <w:lang w:val="en-US" w:eastAsia="zh-CN"/>
        </w:rPr>
        <w:t>资料费、</w:t>
      </w:r>
      <w:r>
        <w:rPr>
          <w:rFonts w:hint="eastAsia" w:hAnsi="宋体" w:cs="宋体"/>
          <w:color w:val="auto"/>
          <w:sz w:val="21"/>
          <w:szCs w:val="21"/>
        </w:rPr>
        <w:t>售后及可预见和不可预见等完成本</w:t>
      </w:r>
      <w:r>
        <w:rPr>
          <w:rFonts w:hint="eastAsia" w:hAnsi="宋体" w:cs="宋体"/>
          <w:color w:val="auto"/>
          <w:sz w:val="21"/>
          <w:szCs w:val="21"/>
          <w:lang w:val="en-US" w:eastAsia="zh-CN"/>
        </w:rPr>
        <w:t>服务</w:t>
      </w:r>
      <w:r>
        <w:rPr>
          <w:rFonts w:hint="eastAsia" w:hAnsi="宋体" w:cs="宋体"/>
          <w:color w:val="auto"/>
          <w:sz w:val="21"/>
          <w:szCs w:val="21"/>
        </w:rPr>
        <w:t>内容所需的全部费用。</w:t>
      </w:r>
      <w:r>
        <w:rPr>
          <w:rFonts w:hint="eastAsia" w:hAnsi="宋体" w:cs="宋体"/>
          <w:color w:val="auto"/>
          <w:sz w:val="21"/>
          <w:szCs w:val="21"/>
          <w:lang w:val="en-US" w:eastAsia="zh-CN"/>
        </w:rPr>
        <w:t>供应商</w:t>
      </w:r>
      <w:r>
        <w:rPr>
          <w:rFonts w:hint="eastAsia" w:hAnsi="宋体" w:cs="宋体"/>
          <w:color w:val="auto"/>
          <w:sz w:val="21"/>
          <w:szCs w:val="21"/>
        </w:rPr>
        <w:t>在合同履行过程中，出现任何遗漏内容需产生额外费用，均由</w:t>
      </w:r>
      <w:r>
        <w:rPr>
          <w:rFonts w:hint="eastAsia" w:hAnsi="宋体" w:cs="宋体"/>
          <w:color w:val="auto"/>
          <w:sz w:val="21"/>
          <w:szCs w:val="21"/>
          <w:lang w:val="en-US" w:eastAsia="zh-CN"/>
        </w:rPr>
        <w:t>供应商</w:t>
      </w:r>
      <w:r>
        <w:rPr>
          <w:rFonts w:hint="eastAsia" w:hAnsi="宋体" w:cs="宋体"/>
          <w:color w:val="auto"/>
          <w:sz w:val="21"/>
          <w:szCs w:val="21"/>
        </w:rPr>
        <w:t>承担，</w:t>
      </w:r>
      <w:r>
        <w:rPr>
          <w:rFonts w:hint="eastAsia" w:hAnsi="宋体" w:cs="宋体"/>
          <w:color w:val="auto"/>
          <w:sz w:val="21"/>
          <w:szCs w:val="21"/>
          <w:lang w:val="en-US" w:eastAsia="zh-CN"/>
        </w:rPr>
        <w:t>采购人</w:t>
      </w:r>
      <w:r>
        <w:rPr>
          <w:rFonts w:hint="eastAsia" w:hAnsi="宋体" w:cs="宋体"/>
          <w:color w:val="auto"/>
          <w:sz w:val="21"/>
          <w:szCs w:val="21"/>
        </w:rPr>
        <w:t>将不再支付任何费用，在合同期内</w:t>
      </w:r>
      <w:r>
        <w:rPr>
          <w:rFonts w:hint="eastAsia" w:hAnsi="宋体" w:cs="宋体"/>
          <w:color w:val="auto"/>
          <w:sz w:val="21"/>
          <w:szCs w:val="21"/>
          <w:lang w:val="en-US" w:eastAsia="zh-CN"/>
        </w:rPr>
        <w:t>成交</w:t>
      </w:r>
      <w:r>
        <w:rPr>
          <w:rFonts w:hint="eastAsia" w:hAnsi="宋体" w:cs="宋体"/>
          <w:color w:val="auto"/>
          <w:sz w:val="21"/>
          <w:szCs w:val="21"/>
        </w:rPr>
        <w:t>价不得因任何因素上调。</w:t>
      </w:r>
    </w:p>
    <w:p w14:paraId="4922A852">
      <w:pPr>
        <w:autoSpaceDE/>
        <w:autoSpaceDN/>
        <w:adjustRightInd/>
        <w:spacing w:line="400" w:lineRule="exact"/>
        <w:ind w:firstLine="420" w:firstLineChars="200"/>
        <w:rPr>
          <w:rFonts w:hint="eastAsia" w:hAnsi="宋体" w:cs="宋体"/>
          <w:color w:val="auto"/>
          <w:sz w:val="21"/>
          <w:szCs w:val="21"/>
          <w:lang w:eastAsia="zh-CN"/>
        </w:rPr>
      </w:pPr>
      <w:r>
        <w:rPr>
          <w:rFonts w:hint="eastAsia" w:hAnsi="宋体" w:cs="宋体"/>
          <w:color w:val="auto"/>
          <w:sz w:val="21"/>
          <w:szCs w:val="21"/>
          <w:lang w:val="en-US" w:eastAsia="zh-CN"/>
        </w:rPr>
        <w:t>2.</w:t>
      </w:r>
      <w:r>
        <w:rPr>
          <w:rFonts w:hint="eastAsia" w:hAnsi="宋体" w:cs="宋体"/>
          <w:color w:val="auto"/>
          <w:sz w:val="21"/>
          <w:szCs w:val="21"/>
          <w:lang w:eastAsia="zh-CN"/>
        </w:rPr>
        <w:t>本项目的报价方式为折扣率报价，只允许供应商报一个折扣率。例如：报七折，则填写70.00%,采购人不接受任何有选择的报价。</w:t>
      </w:r>
    </w:p>
    <w:p w14:paraId="797F26B3">
      <w:pPr>
        <w:autoSpaceDE/>
        <w:autoSpaceDN/>
        <w:adjustRightInd/>
        <w:spacing w:line="400" w:lineRule="exact"/>
        <w:ind w:firstLine="420" w:firstLineChars="200"/>
        <w:rPr>
          <w:rFonts w:hint="eastAsia" w:ascii="宋体" w:hAnsi="宋体" w:cs="宋体"/>
          <w:b/>
          <w:bCs/>
          <w:color w:val="auto"/>
          <w:kern w:val="0"/>
          <w:sz w:val="21"/>
          <w:szCs w:val="21"/>
          <w:lang w:eastAsia="zh-CN"/>
        </w:rPr>
      </w:pPr>
      <w:r>
        <w:rPr>
          <w:rFonts w:hint="eastAsia" w:hAnsi="宋体" w:cs="宋体"/>
          <w:color w:val="auto"/>
          <w:sz w:val="21"/>
          <w:szCs w:val="21"/>
          <w:lang w:val="en-US" w:eastAsia="zh-CN"/>
        </w:rPr>
        <w:t>3.</w:t>
      </w:r>
      <w:r>
        <w:rPr>
          <w:rFonts w:hint="eastAsia" w:hAnsi="宋体" w:cs="宋体"/>
          <w:color w:val="auto"/>
          <w:sz w:val="21"/>
          <w:szCs w:val="21"/>
          <w:lang w:eastAsia="zh-CN"/>
        </w:rPr>
        <w:t>报价方式：供应商以《产品情况》中单价限价为基准，报出统一的折扣率，该折扣率为所有产品统一的报价折扣率，即所有产品结算时按此折扣率结算。</w:t>
      </w:r>
    </w:p>
    <w:p w14:paraId="07330699">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服务期限</w:t>
      </w:r>
      <w:r>
        <w:rPr>
          <w:rFonts w:hint="eastAsia" w:ascii="宋体" w:hAnsi="宋体" w:eastAsia="宋体" w:cs="宋体"/>
          <w:color w:val="auto"/>
          <w:kern w:val="0"/>
          <w:sz w:val="21"/>
          <w:szCs w:val="21"/>
        </w:rPr>
        <w:t>：1年。合同期（最长）为</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年或在委托服务期内，采购人支付的服务费用</w:t>
      </w:r>
      <w:r>
        <w:rPr>
          <w:rFonts w:hint="eastAsia" w:ascii="宋体" w:hAnsi="宋体" w:eastAsia="宋体" w:cs="宋体"/>
          <w:color w:val="auto"/>
          <w:kern w:val="0"/>
          <w:sz w:val="21"/>
          <w:szCs w:val="21"/>
          <w:lang w:val="en-US" w:eastAsia="zh-CN"/>
        </w:rPr>
        <w:t>累积</w:t>
      </w:r>
      <w:r>
        <w:rPr>
          <w:rFonts w:hint="eastAsia" w:ascii="宋体" w:hAnsi="宋体" w:eastAsia="宋体" w:cs="宋体"/>
          <w:color w:val="auto"/>
          <w:kern w:val="0"/>
          <w:sz w:val="21"/>
          <w:szCs w:val="21"/>
        </w:rPr>
        <w:t>达到</w:t>
      </w:r>
      <w:r>
        <w:rPr>
          <w:rFonts w:hint="eastAsia" w:ascii="宋体" w:hAnsi="宋体" w:eastAsia="宋体" w:cs="宋体"/>
          <w:color w:val="auto"/>
          <w:kern w:val="0"/>
          <w:sz w:val="21"/>
          <w:szCs w:val="21"/>
          <w:lang w:val="en-US" w:eastAsia="zh-CN"/>
        </w:rPr>
        <w:t>45</w:t>
      </w:r>
      <w:r>
        <w:rPr>
          <w:rFonts w:hint="eastAsia" w:ascii="宋体" w:hAnsi="宋体" w:cs="宋体"/>
          <w:color w:val="auto"/>
          <w:kern w:val="0"/>
          <w:sz w:val="21"/>
          <w:szCs w:val="21"/>
          <w:lang w:val="en-US" w:eastAsia="zh-CN"/>
        </w:rPr>
        <w:t>万</w:t>
      </w:r>
      <w:r>
        <w:rPr>
          <w:rFonts w:hint="eastAsia" w:ascii="宋体" w:hAnsi="宋体" w:eastAsia="宋体" w:cs="宋体"/>
          <w:color w:val="auto"/>
          <w:kern w:val="0"/>
          <w:sz w:val="21"/>
          <w:szCs w:val="21"/>
        </w:rPr>
        <w:t>元，前述两者中，其中一项达到上述约定的条件，则合同结束。</w:t>
      </w:r>
    </w:p>
    <w:p w14:paraId="49781930">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服务</w:t>
      </w:r>
      <w:r>
        <w:rPr>
          <w:rFonts w:hint="eastAsia" w:ascii="宋体" w:hAnsi="宋体" w:eastAsia="宋体" w:cs="宋体"/>
          <w:b/>
          <w:bCs/>
          <w:color w:val="auto"/>
          <w:kern w:val="0"/>
          <w:sz w:val="21"/>
          <w:szCs w:val="21"/>
        </w:rPr>
        <w:t>地点</w:t>
      </w:r>
      <w:r>
        <w:rPr>
          <w:rFonts w:hint="eastAsia" w:ascii="宋体" w:hAnsi="宋体" w:eastAsia="宋体" w:cs="宋体"/>
          <w:color w:val="auto"/>
          <w:kern w:val="0"/>
          <w:sz w:val="21"/>
          <w:szCs w:val="21"/>
        </w:rPr>
        <w:t>：产品配送至采购人指定地点。</w:t>
      </w:r>
    </w:p>
    <w:p w14:paraId="117B6A1D">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二、技术</w:t>
      </w:r>
      <w:r>
        <w:rPr>
          <w:rFonts w:hint="eastAsia" w:ascii="宋体" w:hAnsi="宋体" w:eastAsia="宋体" w:cs="宋体"/>
          <w:b/>
          <w:bCs/>
          <w:color w:val="auto"/>
          <w:kern w:val="0"/>
          <w:sz w:val="21"/>
          <w:szCs w:val="21"/>
        </w:rPr>
        <w:t>要求</w:t>
      </w:r>
    </w:p>
    <w:p w14:paraId="3F861778">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（一）产品</w:t>
      </w:r>
      <w:r>
        <w:rPr>
          <w:rFonts w:hint="eastAsia" w:ascii="宋体" w:hAnsi="宋体" w:cs="宋体"/>
          <w:b/>
          <w:bCs/>
          <w:color w:val="auto"/>
          <w:kern w:val="0"/>
          <w:sz w:val="21"/>
          <w:szCs w:val="21"/>
          <w:lang w:val="en-US" w:eastAsia="zh-CN"/>
        </w:rPr>
        <w:t>情况</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254"/>
        <w:gridCol w:w="968"/>
        <w:gridCol w:w="6068"/>
        <w:gridCol w:w="628"/>
        <w:gridCol w:w="968"/>
      </w:tblGrid>
      <w:tr w14:paraId="38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55" w:type="pct"/>
            <w:vAlign w:val="center"/>
          </w:tcPr>
          <w:p w14:paraId="57CD53F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序号</w:t>
            </w:r>
          </w:p>
        </w:tc>
        <w:tc>
          <w:tcPr>
            <w:tcW w:w="601" w:type="pct"/>
            <w:vAlign w:val="center"/>
          </w:tcPr>
          <w:p w14:paraId="31A065D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菌群移植配套产品</w:t>
            </w:r>
          </w:p>
        </w:tc>
        <w:tc>
          <w:tcPr>
            <w:tcW w:w="464" w:type="pct"/>
            <w:vAlign w:val="center"/>
          </w:tcPr>
          <w:p w14:paraId="04EAC65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剂型</w:t>
            </w:r>
          </w:p>
        </w:tc>
        <w:tc>
          <w:tcPr>
            <w:tcW w:w="2912" w:type="pct"/>
            <w:vAlign w:val="center"/>
          </w:tcPr>
          <w:p w14:paraId="062636BE">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cs="宋体"/>
                <w:b/>
                <w:bCs/>
                <w:color w:val="auto"/>
                <w:kern w:val="0"/>
                <w:sz w:val="21"/>
                <w:szCs w:val="21"/>
                <w:lang w:val="en-US" w:eastAsia="zh-CN"/>
              </w:rPr>
              <w:t>参考技术</w:t>
            </w:r>
            <w:r>
              <w:rPr>
                <w:rFonts w:hint="eastAsia" w:ascii="宋体" w:hAnsi="宋体" w:eastAsia="宋体" w:cs="宋体"/>
                <w:b/>
                <w:bCs/>
                <w:color w:val="auto"/>
                <w:kern w:val="0"/>
                <w:sz w:val="21"/>
                <w:szCs w:val="21"/>
              </w:rPr>
              <w:t>参数</w:t>
            </w:r>
          </w:p>
        </w:tc>
        <w:tc>
          <w:tcPr>
            <w:tcW w:w="301" w:type="pct"/>
            <w:vAlign w:val="center"/>
          </w:tcPr>
          <w:p w14:paraId="4A261B00">
            <w:pPr>
              <w:keepNext w:val="0"/>
              <w:keepLines w:val="0"/>
              <w:pageBreakBefore w:val="0"/>
              <w:kinsoku/>
              <w:wordWrap/>
              <w:overflowPunct/>
              <w:topLinePunct w:val="0"/>
              <w:bidi w:val="0"/>
              <w:snapToGrid/>
              <w:spacing w:line="240" w:lineRule="auto"/>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单位</w:t>
            </w:r>
          </w:p>
        </w:tc>
        <w:tc>
          <w:tcPr>
            <w:tcW w:w="464" w:type="pct"/>
            <w:vAlign w:val="center"/>
          </w:tcPr>
          <w:p w14:paraId="1B0564DA">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val="en-US" w:eastAsia="zh-CN"/>
              </w:rPr>
              <w:t>单价</w:t>
            </w:r>
            <w:r>
              <w:rPr>
                <w:rFonts w:hint="eastAsia" w:ascii="宋体" w:hAnsi="宋体" w:eastAsia="宋体" w:cs="宋体"/>
                <w:b/>
                <w:bCs/>
                <w:color w:val="auto"/>
                <w:kern w:val="0"/>
                <w:sz w:val="21"/>
                <w:szCs w:val="21"/>
              </w:rPr>
              <w:t>限价</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元</w:t>
            </w:r>
            <w:r>
              <w:rPr>
                <w:rFonts w:hint="eastAsia" w:ascii="宋体" w:hAnsi="宋体" w:cs="宋体"/>
                <w:b/>
                <w:bCs/>
                <w:color w:val="auto"/>
                <w:kern w:val="0"/>
                <w:sz w:val="21"/>
                <w:szCs w:val="21"/>
                <w:lang w:eastAsia="zh-CN"/>
              </w:rPr>
              <w:t>）</w:t>
            </w:r>
          </w:p>
        </w:tc>
      </w:tr>
      <w:tr w14:paraId="0219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255" w:type="pct"/>
            <w:vAlign w:val="center"/>
          </w:tcPr>
          <w:p w14:paraId="4E24774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601" w:type="pct"/>
            <w:vAlign w:val="center"/>
          </w:tcPr>
          <w:p w14:paraId="0D679E3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标准化粪菌制备</w:t>
            </w:r>
          </w:p>
        </w:tc>
        <w:tc>
          <w:tcPr>
            <w:tcW w:w="464" w:type="pct"/>
            <w:vAlign w:val="center"/>
          </w:tcPr>
          <w:p w14:paraId="1DB412A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菌液</w:t>
            </w:r>
          </w:p>
        </w:tc>
        <w:tc>
          <w:tcPr>
            <w:tcW w:w="2912" w:type="pct"/>
            <w:vAlign w:val="center"/>
          </w:tcPr>
          <w:p w14:paraId="3EDA4AE6">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主要成分：供体菌液</w:t>
            </w:r>
          </w:p>
          <w:p w14:paraId="2E0444FF">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50mL/支</w:t>
            </w:r>
          </w:p>
          <w:p w14:paraId="5143A882">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菌液的细菌活性应≧80%，</w:t>
            </w:r>
            <w:r>
              <w:rPr>
                <w:rFonts w:hint="eastAsia" w:ascii="宋体" w:hAnsi="宋体" w:eastAsia="宋体" w:cs="宋体"/>
                <w:color w:val="auto"/>
                <w:kern w:val="0"/>
                <w:sz w:val="21"/>
                <w:szCs w:val="21"/>
                <w:highlight w:val="yellow"/>
                <w:lang w:bidi="ar"/>
              </w:rPr>
              <w:t>每1mL菌液中活细胞数应≧1×10</w:t>
            </w:r>
            <w:r>
              <w:rPr>
                <w:rFonts w:hint="eastAsia" w:ascii="宋体" w:hAnsi="宋体" w:eastAsia="宋体" w:cs="宋体"/>
                <w:color w:val="auto"/>
                <w:kern w:val="0"/>
                <w:sz w:val="21"/>
                <w:szCs w:val="21"/>
                <w:highlight w:val="yellow"/>
                <w:vertAlign w:val="superscript"/>
                <w:lang w:bidi="ar"/>
              </w:rPr>
              <w:t>12</w:t>
            </w:r>
            <w:r>
              <w:rPr>
                <w:rFonts w:hint="eastAsia" w:ascii="宋体" w:hAnsi="宋体" w:eastAsia="宋体" w:cs="宋体"/>
                <w:color w:val="auto"/>
                <w:kern w:val="0"/>
                <w:sz w:val="21"/>
                <w:szCs w:val="21"/>
                <w:highlight w:val="yellow"/>
                <w:lang w:bidi="ar"/>
              </w:rPr>
              <w:t>个</w:t>
            </w:r>
          </w:p>
        </w:tc>
        <w:tc>
          <w:tcPr>
            <w:tcW w:w="301" w:type="pct"/>
            <w:vAlign w:val="center"/>
          </w:tcPr>
          <w:p w14:paraId="3FADC25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支</w:t>
            </w:r>
          </w:p>
        </w:tc>
        <w:tc>
          <w:tcPr>
            <w:tcW w:w="464" w:type="pct"/>
            <w:vAlign w:val="center"/>
          </w:tcPr>
          <w:p w14:paraId="02151F9B">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2300元</w:t>
            </w:r>
          </w:p>
        </w:tc>
      </w:tr>
      <w:tr w14:paraId="3869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5" w:type="pct"/>
            <w:vAlign w:val="center"/>
          </w:tcPr>
          <w:p w14:paraId="711655F5">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01" w:type="pct"/>
            <w:vAlign w:val="center"/>
          </w:tcPr>
          <w:p w14:paraId="62BE9075">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标准化粪菌制备</w:t>
            </w:r>
          </w:p>
        </w:tc>
        <w:tc>
          <w:tcPr>
            <w:tcW w:w="464" w:type="pct"/>
            <w:vAlign w:val="center"/>
          </w:tcPr>
          <w:p w14:paraId="432C7902">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胶囊</w:t>
            </w:r>
          </w:p>
        </w:tc>
        <w:tc>
          <w:tcPr>
            <w:tcW w:w="2912" w:type="pct"/>
            <w:vAlign w:val="center"/>
          </w:tcPr>
          <w:p w14:paraId="4EBB767D">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主要成分：供体菌泥</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胶囊/</w:t>
            </w:r>
            <w:r>
              <w:rPr>
                <w:rFonts w:hint="eastAsia" w:ascii="宋体" w:hAnsi="宋体" w:eastAsia="宋体" w:cs="宋体"/>
                <w:color w:val="auto"/>
                <w:kern w:val="0"/>
                <w:sz w:val="21"/>
                <w:szCs w:val="21"/>
                <w:lang w:val="en-US" w:eastAsia="zh-CN" w:bidi="ar"/>
              </w:rPr>
              <w:t>组）</w:t>
            </w:r>
          </w:p>
          <w:p w14:paraId="1074A0C4">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胶囊细菌活性应≧70%，每</w:t>
            </w:r>
            <w:r>
              <w:rPr>
                <w:rFonts w:hint="eastAsia" w:ascii="宋体" w:hAnsi="宋体" w:eastAsia="宋体" w:cs="宋体"/>
                <w:color w:val="auto"/>
                <w:kern w:val="0"/>
                <w:sz w:val="21"/>
                <w:szCs w:val="21"/>
                <w:lang w:val="en-US" w:eastAsia="zh-CN" w:bidi="ar"/>
              </w:rPr>
              <w:t>组</w:t>
            </w:r>
            <w:r>
              <w:rPr>
                <w:rFonts w:hint="eastAsia" w:ascii="宋体" w:hAnsi="宋体" w:eastAsia="宋体" w:cs="宋体"/>
                <w:color w:val="auto"/>
                <w:kern w:val="0"/>
                <w:sz w:val="21"/>
                <w:szCs w:val="21"/>
                <w:lang w:bidi="ar"/>
              </w:rPr>
              <w:t>内容物包含活菌数≧</w:t>
            </w:r>
            <w:r>
              <w:rPr>
                <w:rFonts w:hint="eastAsia" w:ascii="宋体" w:hAnsi="宋体" w:eastAsia="宋体" w:cs="宋体"/>
                <w:color w:val="auto"/>
                <w:kern w:val="0"/>
                <w:sz w:val="21"/>
                <w:szCs w:val="21"/>
                <w:lang w:val="en-US" w:eastAsia="zh-CN" w:bidi="ar"/>
              </w:rPr>
              <w:t>50</w:t>
            </w:r>
            <w:r>
              <w:rPr>
                <w:rFonts w:hint="eastAsia" w:ascii="宋体" w:hAnsi="宋体" w:eastAsia="宋体" w:cs="宋体"/>
                <w:color w:val="auto"/>
                <w:kern w:val="0"/>
                <w:sz w:val="21"/>
                <w:szCs w:val="21"/>
                <w:lang w:bidi="ar"/>
              </w:rPr>
              <w:t>×10</w:t>
            </w:r>
            <w:r>
              <w:rPr>
                <w:rFonts w:hint="eastAsia" w:ascii="宋体" w:hAnsi="宋体" w:eastAsia="宋体" w:cs="宋体"/>
                <w:color w:val="auto"/>
                <w:kern w:val="0"/>
                <w:sz w:val="21"/>
                <w:szCs w:val="21"/>
                <w:vertAlign w:val="superscript"/>
                <w:lang w:bidi="ar"/>
              </w:rPr>
              <w:t>12</w:t>
            </w:r>
            <w:r>
              <w:rPr>
                <w:rFonts w:hint="eastAsia" w:ascii="宋体" w:hAnsi="宋体" w:eastAsia="宋体" w:cs="宋体"/>
                <w:color w:val="auto"/>
                <w:kern w:val="0"/>
                <w:sz w:val="21"/>
                <w:szCs w:val="21"/>
                <w:lang w:bidi="ar"/>
              </w:rPr>
              <w:t>个</w:t>
            </w:r>
          </w:p>
        </w:tc>
        <w:tc>
          <w:tcPr>
            <w:tcW w:w="301" w:type="pct"/>
            <w:vAlign w:val="center"/>
          </w:tcPr>
          <w:p w14:paraId="28DA44D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组</w:t>
            </w:r>
          </w:p>
        </w:tc>
        <w:tc>
          <w:tcPr>
            <w:tcW w:w="464" w:type="pct"/>
            <w:vAlign w:val="center"/>
          </w:tcPr>
          <w:p w14:paraId="52F5322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2300</w:t>
            </w:r>
            <w:r>
              <w:rPr>
                <w:rFonts w:hint="eastAsia" w:ascii="宋体" w:hAnsi="宋体" w:eastAsia="宋体" w:cs="宋体"/>
                <w:color w:val="auto"/>
                <w:kern w:val="0"/>
                <w:sz w:val="21"/>
                <w:szCs w:val="21"/>
                <w:lang w:bidi="ar"/>
              </w:rPr>
              <w:t>元</w:t>
            </w:r>
          </w:p>
        </w:tc>
      </w:tr>
      <w:tr w14:paraId="22AE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5" w:type="pct"/>
            <w:shd w:val="clear" w:color="auto" w:fill="auto"/>
            <w:vAlign w:val="center"/>
          </w:tcPr>
          <w:p w14:paraId="196A9C7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01" w:type="pct"/>
            <w:shd w:val="clear" w:color="auto" w:fill="auto"/>
            <w:vAlign w:val="center"/>
          </w:tcPr>
          <w:p w14:paraId="64971BA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高通量基因测序</w:t>
            </w:r>
          </w:p>
        </w:tc>
        <w:tc>
          <w:tcPr>
            <w:tcW w:w="464" w:type="pct"/>
            <w:shd w:val="clear" w:color="auto" w:fill="auto"/>
            <w:vAlign w:val="center"/>
          </w:tcPr>
          <w:p w14:paraId="6E7BC5E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16S</w:t>
            </w:r>
          </w:p>
        </w:tc>
        <w:tc>
          <w:tcPr>
            <w:tcW w:w="2912" w:type="pct"/>
            <w:vAlign w:val="center"/>
          </w:tcPr>
          <w:p w14:paraId="322198B0">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检测：16s rRNA测序技术</w:t>
            </w:r>
          </w:p>
          <w:p w14:paraId="038E2522">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报告应包含：微生态整体结构、肠道菌群代谢能力、肠道菌群其他功能、疾病相关菌群紊乱度、结果建议等</w:t>
            </w:r>
          </w:p>
        </w:tc>
        <w:tc>
          <w:tcPr>
            <w:tcW w:w="301" w:type="pct"/>
            <w:vAlign w:val="center"/>
          </w:tcPr>
          <w:p w14:paraId="18E6812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次</w:t>
            </w:r>
          </w:p>
        </w:tc>
        <w:tc>
          <w:tcPr>
            <w:tcW w:w="464" w:type="pct"/>
            <w:vAlign w:val="center"/>
          </w:tcPr>
          <w:p w14:paraId="23885AD2">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680元</w:t>
            </w:r>
          </w:p>
        </w:tc>
      </w:tr>
      <w:tr w14:paraId="5C20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55" w:type="pct"/>
            <w:vAlign w:val="center"/>
          </w:tcPr>
          <w:p w14:paraId="0555208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01" w:type="pct"/>
            <w:vAlign w:val="center"/>
          </w:tcPr>
          <w:p w14:paraId="44EEA600">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高通量基因测序</w:t>
            </w:r>
          </w:p>
        </w:tc>
        <w:tc>
          <w:tcPr>
            <w:tcW w:w="464" w:type="pct"/>
            <w:vAlign w:val="center"/>
          </w:tcPr>
          <w:p w14:paraId="479C511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宏基因</w:t>
            </w:r>
          </w:p>
        </w:tc>
        <w:tc>
          <w:tcPr>
            <w:tcW w:w="2912" w:type="pct"/>
            <w:vAlign w:val="center"/>
          </w:tcPr>
          <w:p w14:paraId="3366F9FC">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检测：全基因DNA高通量测序技术</w:t>
            </w:r>
          </w:p>
          <w:p w14:paraId="3BAC4540">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报告应包含：微生态整体结构、肠道菌群代谢能力、肠道菌群其他功能、疾病相关菌群紊乱度、结果建议等</w:t>
            </w:r>
          </w:p>
        </w:tc>
        <w:tc>
          <w:tcPr>
            <w:tcW w:w="301" w:type="pct"/>
            <w:vAlign w:val="center"/>
          </w:tcPr>
          <w:p w14:paraId="234EA8B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次</w:t>
            </w:r>
          </w:p>
        </w:tc>
        <w:tc>
          <w:tcPr>
            <w:tcW w:w="464" w:type="pct"/>
            <w:vAlign w:val="center"/>
          </w:tcPr>
          <w:p w14:paraId="08D028B4">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1980元</w:t>
            </w:r>
          </w:p>
        </w:tc>
      </w:tr>
    </w:tbl>
    <w:p w14:paraId="47E7FA69">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库存服务要求：</w:t>
      </w:r>
      <w:r>
        <w:rPr>
          <w:rFonts w:hint="eastAsia" w:ascii="宋体" w:hAnsi="宋体" w:cs="宋体"/>
          <w:b w:val="0"/>
          <w:bCs w:val="0"/>
          <w:color w:val="auto"/>
          <w:kern w:val="0"/>
          <w:sz w:val="21"/>
          <w:szCs w:val="21"/>
          <w:lang w:val="en-US" w:eastAsia="zh-CN"/>
        </w:rPr>
        <w:t>成交</w:t>
      </w:r>
      <w:r>
        <w:rPr>
          <w:rFonts w:hint="eastAsia" w:ascii="宋体" w:hAnsi="宋体" w:eastAsia="宋体" w:cs="宋体"/>
          <w:b w:val="0"/>
          <w:bCs w:val="0"/>
          <w:color w:val="auto"/>
          <w:kern w:val="0"/>
          <w:sz w:val="21"/>
          <w:szCs w:val="21"/>
        </w:rPr>
        <w:t>供</w:t>
      </w:r>
      <w:r>
        <w:rPr>
          <w:rFonts w:hint="eastAsia" w:ascii="宋体" w:hAnsi="宋体" w:eastAsia="宋体" w:cs="宋体"/>
          <w:color w:val="auto"/>
          <w:kern w:val="0"/>
          <w:sz w:val="21"/>
          <w:szCs w:val="21"/>
        </w:rPr>
        <w:t>应商需提前为采购人提供基础库存（库存产品不消耗不收费）：标准化粪菌制备菌液.50ml</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60支，胶囊300粒。基础库存产品消耗后，由采购人下订单补足基础库存，每月根据实际消耗数量进行结算；</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供应商应无条件更换生产日期超180个日历日的基础库存产品，合同结束后同意无条件将最后批次基础库存产品取回。</w:t>
      </w:r>
    </w:p>
    <w:p w14:paraId="67DBB1EB">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w:t>
      </w:r>
      <w:r>
        <w:rPr>
          <w:rFonts w:hint="eastAsia" w:ascii="宋体" w:hAnsi="宋体" w:cs="宋体"/>
          <w:b/>
          <w:bCs/>
          <w:color w:val="auto"/>
          <w:kern w:val="0"/>
          <w:sz w:val="21"/>
          <w:szCs w:val="21"/>
          <w:lang w:val="en-US" w:eastAsia="zh-CN"/>
        </w:rPr>
        <w:t>三</w:t>
      </w:r>
      <w:r>
        <w:rPr>
          <w:rFonts w:hint="eastAsia" w:ascii="宋体" w:hAnsi="宋体" w:eastAsia="宋体" w:cs="宋体"/>
          <w:b/>
          <w:bCs/>
          <w:color w:val="auto"/>
          <w:kern w:val="0"/>
          <w:sz w:val="21"/>
          <w:szCs w:val="21"/>
        </w:rPr>
        <w:t>）制备服务要求</w:t>
      </w:r>
    </w:p>
    <w:p w14:paraId="4E4E6A4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1.制备满足</w:t>
      </w:r>
      <w:r>
        <w:rPr>
          <w:rFonts w:hint="eastAsia" w:ascii="宋体" w:hAnsi="宋体" w:eastAsia="宋体" w:cs="宋体"/>
          <w:color w:val="auto"/>
          <w:kern w:val="0"/>
          <w:sz w:val="21"/>
          <w:szCs w:val="21"/>
          <w:highlight w:val="yellow"/>
        </w:rPr>
        <w:t>《肠道菌群移植临床应用管理中国专家共识（2022版）》</w:t>
      </w:r>
      <w:r>
        <w:rPr>
          <w:rFonts w:hint="eastAsia" w:ascii="宋体" w:hAnsi="宋体" w:eastAsia="宋体" w:cs="宋体"/>
          <w:b/>
          <w:bCs/>
          <w:color w:val="auto"/>
          <w:kern w:val="0"/>
          <w:sz w:val="21"/>
          <w:szCs w:val="21"/>
        </w:rPr>
        <w:t>（如有最新标准，按最新标准执行）</w:t>
      </w:r>
      <w:r>
        <w:rPr>
          <w:rFonts w:hint="eastAsia" w:ascii="宋体" w:hAnsi="宋体" w:eastAsia="宋体" w:cs="宋体"/>
          <w:color w:val="auto"/>
          <w:kern w:val="0"/>
          <w:sz w:val="21"/>
          <w:szCs w:val="21"/>
        </w:rPr>
        <w:t>制备要求和质控标准的肠道菌群胶囊/菌液。</w:t>
      </w:r>
    </w:p>
    <w:p w14:paraId="2B56AD94">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FMT菌液和胶囊制备的实验室需要有二级生物安全防护实验室（P2实验室）及相关实验设备，能保证菌液的制作、存储与转运；实验室需要具有取得二级实验室管理人员培训合格证明的专业技术人员，自项目结果公告发出之日起五个工作日内提交相关资料给采购人</w:t>
      </w:r>
      <w:r>
        <w:rPr>
          <w:rFonts w:hint="eastAsia" w:ascii="宋体" w:hAnsi="宋体" w:cs="宋体"/>
          <w:color w:val="auto"/>
          <w:kern w:val="0"/>
          <w:sz w:val="21"/>
          <w:szCs w:val="21"/>
          <w:highlight w:val="none"/>
          <w:lang w:val="en-US" w:eastAsia="zh-CN"/>
        </w:rPr>
        <w:t>项目管理部门</w:t>
      </w:r>
      <w:r>
        <w:rPr>
          <w:rFonts w:hint="eastAsia" w:ascii="宋体" w:hAnsi="宋体" w:eastAsia="宋体" w:cs="宋体"/>
          <w:color w:val="auto"/>
          <w:kern w:val="0"/>
          <w:sz w:val="21"/>
          <w:szCs w:val="21"/>
          <w:highlight w:val="none"/>
        </w:rPr>
        <w:t>确认存档</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（提供承诺函，格式自拟，并加盖公章）</w:t>
      </w:r>
    </w:p>
    <w:p w14:paraId="7720B94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3.提供有资质的第三方公司出具的供体肠道菌群胶囊/菌液的宏基因检测结果（包括</w:t>
      </w:r>
      <w:r>
        <w:rPr>
          <w:rFonts w:hint="eastAsia" w:ascii="宋体" w:hAnsi="宋体" w:cs="宋体"/>
          <w:color w:val="auto"/>
          <w:kern w:val="0"/>
          <w:sz w:val="21"/>
          <w:szCs w:val="21"/>
          <w:lang w:val="en-US" w:eastAsia="zh-CN"/>
        </w:rPr>
        <w:t>但不限于</w:t>
      </w:r>
      <w:r>
        <w:rPr>
          <w:rFonts w:hint="eastAsia" w:ascii="宋体" w:hAnsi="宋体" w:eastAsia="宋体" w:cs="宋体"/>
          <w:color w:val="auto"/>
          <w:kern w:val="0"/>
          <w:sz w:val="21"/>
          <w:szCs w:val="21"/>
        </w:rPr>
        <w:t>肠道菌群多样性、有益菌、有害菌、菌群活性浓度等相关数据），纸质报告随产品寄送/运输给采购人，电子版同步发送给需求方。</w:t>
      </w:r>
    </w:p>
    <w:p w14:paraId="6C9E730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具有独立的粪便供体库和稳定的供体来源。</w:t>
      </w:r>
    </w:p>
    <w:p w14:paraId="66EC191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5.在受体治疗过程中的供体个人信息、肠道菌群及代谢物等信息可溯源至少1年。</w:t>
      </w:r>
    </w:p>
    <w:p w14:paraId="4D81F89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6.实验室具体布局、供体筛选与管理、信息化管理及溯源、菌液/胶囊制作的SOP流程与质控要求均符合《肠道菌群移植临床应用管理中国专家共识（2022版）》</w:t>
      </w:r>
      <w:r>
        <w:rPr>
          <w:rFonts w:hint="eastAsia" w:ascii="宋体" w:hAnsi="宋体" w:eastAsia="宋体" w:cs="宋体"/>
          <w:b/>
          <w:bCs/>
          <w:color w:val="auto"/>
          <w:kern w:val="0"/>
          <w:sz w:val="21"/>
          <w:szCs w:val="21"/>
        </w:rPr>
        <w:t>（如有最新标准，按最新标准执行）</w:t>
      </w:r>
      <w:r>
        <w:rPr>
          <w:rFonts w:hint="eastAsia" w:ascii="宋体" w:hAnsi="宋体" w:eastAsia="宋体" w:cs="宋体"/>
          <w:color w:val="auto"/>
          <w:kern w:val="0"/>
          <w:sz w:val="21"/>
          <w:szCs w:val="21"/>
        </w:rPr>
        <w:t>。</w:t>
      </w:r>
    </w:p>
    <w:p w14:paraId="0D0562AA">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7.同供体、同批次样本，应达到菌群组成一致，6个月内同供体、不同批次样本，应达到菌群主要组成差异无统计学意义。制作完成的菌液应有独立包装和标签。</w:t>
      </w:r>
    </w:p>
    <w:p w14:paraId="5278523D">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8.供体库：有足量志愿者参加供体筛查，有稳定的供体库。完备的供体登记明细表（包含</w:t>
      </w:r>
      <w:r>
        <w:rPr>
          <w:rFonts w:hint="eastAsia" w:ascii="宋体" w:hAnsi="宋体" w:eastAsia="宋体" w:cs="宋体"/>
          <w:color w:val="auto"/>
          <w:kern w:val="0"/>
          <w:sz w:val="21"/>
          <w:szCs w:val="21"/>
          <w:lang w:val="en-US" w:eastAsia="zh-CN"/>
        </w:rPr>
        <w:t>但不限于</w:t>
      </w:r>
      <w:r>
        <w:rPr>
          <w:rFonts w:hint="eastAsia" w:ascii="宋体" w:hAnsi="宋体" w:eastAsia="宋体" w:cs="宋体"/>
          <w:color w:val="auto"/>
          <w:kern w:val="0"/>
          <w:sz w:val="21"/>
          <w:szCs w:val="21"/>
        </w:rPr>
        <w:t>姓名、年龄、性别、生日、居住地、编码等）、入库验收合格单（包含</w:t>
      </w:r>
      <w:r>
        <w:rPr>
          <w:rFonts w:hint="eastAsia" w:ascii="宋体" w:hAnsi="宋体" w:eastAsia="宋体" w:cs="宋体"/>
          <w:color w:val="auto"/>
          <w:kern w:val="0"/>
          <w:sz w:val="21"/>
          <w:szCs w:val="21"/>
          <w:lang w:val="en-US" w:eastAsia="zh-CN"/>
        </w:rPr>
        <w:t>但不限于</w:t>
      </w:r>
      <w:r>
        <w:rPr>
          <w:rFonts w:hint="eastAsia" w:ascii="宋体" w:hAnsi="宋体" w:eastAsia="宋体" w:cs="宋体"/>
          <w:color w:val="auto"/>
          <w:kern w:val="0"/>
          <w:sz w:val="21"/>
          <w:szCs w:val="21"/>
        </w:rPr>
        <w:t>姓名、年龄、性别、生日、居住地、编码、体检单位、检测单位、体检结果、检测结果、审核人、核准人、入库时间等）。</w:t>
      </w:r>
    </w:p>
    <w:p w14:paraId="24B50C84">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8.1</w:t>
      </w:r>
      <w:r>
        <w:rPr>
          <w:rFonts w:hint="eastAsia" w:ascii="宋体" w:hAnsi="宋体" w:eastAsia="宋体" w:cs="宋体"/>
          <w:color w:val="auto"/>
          <w:kern w:val="0"/>
          <w:sz w:val="21"/>
          <w:szCs w:val="21"/>
        </w:rPr>
        <w:t>供体筛选标准：</w:t>
      </w:r>
    </w:p>
    <w:p w14:paraId="6E97643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年龄18-30周岁（儿科开展FMT，在符合伦理条件下，可使用≥3岁以上的儿童供体）；体质指数（body mass index，BMI）18.5-23.9 kg/m²。</w:t>
      </w:r>
    </w:p>
    <w:p w14:paraId="2FF01E8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8.2</w:t>
      </w:r>
      <w:r>
        <w:rPr>
          <w:rFonts w:hint="eastAsia" w:ascii="宋体" w:hAnsi="宋体" w:eastAsia="宋体" w:cs="宋体"/>
          <w:color w:val="auto"/>
          <w:kern w:val="0"/>
          <w:sz w:val="21"/>
          <w:szCs w:val="21"/>
        </w:rPr>
        <w:t>供体检测包含但不限于：</w:t>
      </w:r>
    </w:p>
    <w:p w14:paraId="747EB35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①血液学检测：血细胞分析、肝肾功能、电解质和C反应蛋白正常；传染性肝炎、HIV、梅毒、EB病毒、巨细胞病毒等病原检测阴性。</w:t>
      </w:r>
    </w:p>
    <w:p w14:paraId="2A28514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②粪便检测：常规检查正常，隐血实验阴性，艰难梭菌（clostridioides difficile）、弯曲菌（bacterium flexuosus）、沙门菌（Salmonella）、志贺菌（Shigella）、产志贺毒素大肠杆菌（Shiga-toxin-producing escherichia coli）及虫卵、囊泡、寄生虫、孢子、诺如病毒（norwalk viruses， NV）、轮状病毒（rotavirus），真菌如白色念珠菌（canidia albicans）等病原学检测阴性；多重耐药基因（超广谱β内酰胺酶、碳青霉烯酶等）检测阴性。</w:t>
      </w:r>
    </w:p>
    <w:p w14:paraId="405CEC0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③呼气试验：13/14碳呼气试验阴性。</w:t>
      </w:r>
    </w:p>
    <w:p w14:paraId="34E8C103">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9.定期提供致病微生物监测：供应商实验室地面、台面、各种消毒后物品应每季度进行监测，不得检出致病微生物。供应商制备环境需符合《药品生产质量管理规范》（GMP）要求的D级洁净区（每季度检测一次）。</w:t>
      </w:r>
    </w:p>
    <w:p w14:paraId="6E2487B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10.配送人员应严格执行核对制度，及时配送，配送过程中注意药物安全，防止交叉污染。</w:t>
      </w:r>
    </w:p>
    <w:p w14:paraId="7369D45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11.供应商应建立完整的信息化管理，实现全流程和规范化的闭环管理，努力实现电子化存档。提供安全溯源，确保临床诊疗安全性。</w:t>
      </w:r>
    </w:p>
    <w:p w14:paraId="2B9A2E16">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12.供应商工作人员需具备政府部门指定培训部门培训合格的证书，同时需建立工作人员生物安全上岗考核制度和培训档案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自项目结果公告发出之日起五个工作日内提交相关资料给采购人</w:t>
      </w:r>
      <w:r>
        <w:rPr>
          <w:rFonts w:hint="eastAsia" w:ascii="宋体" w:hAnsi="宋体" w:cs="宋体"/>
          <w:color w:val="auto"/>
          <w:kern w:val="0"/>
          <w:sz w:val="21"/>
          <w:szCs w:val="21"/>
          <w:highlight w:val="none"/>
          <w:lang w:val="en-US" w:eastAsia="zh-CN"/>
        </w:rPr>
        <w:t>项目管理部门</w:t>
      </w:r>
      <w:r>
        <w:rPr>
          <w:rFonts w:hint="eastAsia" w:ascii="宋体" w:hAnsi="宋体" w:eastAsia="宋体" w:cs="宋体"/>
          <w:color w:val="auto"/>
          <w:kern w:val="0"/>
          <w:sz w:val="21"/>
          <w:szCs w:val="21"/>
          <w:highlight w:val="none"/>
        </w:rPr>
        <w:t>确认存档</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（提供承诺函，</w:t>
      </w:r>
      <w:r>
        <w:rPr>
          <w:rFonts w:hint="eastAsia" w:ascii="宋体" w:hAnsi="宋体" w:cs="宋体"/>
          <w:b/>
          <w:bCs/>
          <w:color w:val="auto"/>
          <w:kern w:val="0"/>
          <w:sz w:val="21"/>
          <w:szCs w:val="21"/>
          <w:highlight w:val="none"/>
          <w:lang w:val="en-US" w:eastAsia="zh-CN"/>
        </w:rPr>
        <w:t>格式自拟，</w:t>
      </w:r>
      <w:r>
        <w:rPr>
          <w:rFonts w:hint="eastAsia" w:ascii="宋体" w:hAnsi="宋体" w:eastAsia="宋体" w:cs="宋体"/>
          <w:b/>
          <w:bCs/>
          <w:color w:val="auto"/>
          <w:kern w:val="0"/>
          <w:sz w:val="21"/>
          <w:szCs w:val="21"/>
          <w:highlight w:val="none"/>
        </w:rPr>
        <w:t>并</w:t>
      </w:r>
      <w:r>
        <w:rPr>
          <w:rFonts w:hint="eastAsia" w:ascii="宋体" w:hAnsi="宋体" w:cs="宋体"/>
          <w:b/>
          <w:bCs/>
          <w:color w:val="auto"/>
          <w:kern w:val="0"/>
          <w:sz w:val="21"/>
          <w:szCs w:val="21"/>
          <w:highlight w:val="none"/>
          <w:lang w:val="en-US" w:eastAsia="zh-CN"/>
        </w:rPr>
        <w:t>加盖公章</w:t>
      </w:r>
      <w:r>
        <w:rPr>
          <w:rFonts w:hint="eastAsia" w:ascii="宋体" w:hAnsi="宋体" w:eastAsia="宋体" w:cs="宋体"/>
          <w:b/>
          <w:bCs/>
          <w:color w:val="auto"/>
          <w:kern w:val="0"/>
          <w:sz w:val="21"/>
          <w:szCs w:val="21"/>
          <w:highlight w:val="none"/>
        </w:rPr>
        <w:t>）</w:t>
      </w:r>
    </w:p>
    <w:p w14:paraId="5248BD1E">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13.快递运输：必须用冷链运输，温度控制在-18℃到-22℃，并需要提供温度监控数据。且必须干冰运输，在验收时干冰必须完全覆盖产品。</w:t>
      </w:r>
    </w:p>
    <w:p w14:paraId="33F71E75">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P2实验室要求：能够保证菌群的制备、存储与转运。具有第三方仪器设备校准报告、粪菌制备设备和耗材医疗器械备案。洁净度达到万级，实验室温度在18-28℃，相对湿度在45-65%RH，噪声≤65dB，照度≥200lx，定期出具实验室环境检测报告</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自项目结果公告发出之日起五个工作日内提交相关资料给采购人</w:t>
      </w:r>
      <w:r>
        <w:rPr>
          <w:rFonts w:hint="eastAsia" w:ascii="宋体" w:hAnsi="宋体" w:cs="宋体"/>
          <w:color w:val="auto"/>
          <w:kern w:val="0"/>
          <w:sz w:val="21"/>
          <w:szCs w:val="21"/>
          <w:lang w:val="en-US" w:eastAsia="zh-CN"/>
        </w:rPr>
        <w:t>项目管理部门</w:t>
      </w:r>
      <w:r>
        <w:rPr>
          <w:rFonts w:hint="eastAsia" w:ascii="宋体" w:hAnsi="宋体" w:eastAsia="宋体" w:cs="宋体"/>
          <w:color w:val="auto"/>
          <w:kern w:val="0"/>
          <w:sz w:val="21"/>
          <w:szCs w:val="21"/>
        </w:rPr>
        <w:t>确认存档</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highlight w:val="none"/>
        </w:rPr>
        <w:t>（提供承诺函，</w:t>
      </w:r>
      <w:r>
        <w:rPr>
          <w:rFonts w:hint="eastAsia" w:ascii="宋体" w:hAnsi="宋体" w:cs="宋体"/>
          <w:b/>
          <w:bCs/>
          <w:color w:val="auto"/>
          <w:kern w:val="0"/>
          <w:sz w:val="21"/>
          <w:szCs w:val="21"/>
          <w:highlight w:val="none"/>
          <w:lang w:val="en-US" w:eastAsia="zh-CN"/>
        </w:rPr>
        <w:t>格式自拟，</w:t>
      </w:r>
      <w:r>
        <w:rPr>
          <w:rFonts w:hint="eastAsia" w:ascii="宋体" w:hAnsi="宋体" w:eastAsia="宋体" w:cs="宋体"/>
          <w:b/>
          <w:bCs/>
          <w:color w:val="auto"/>
          <w:kern w:val="0"/>
          <w:sz w:val="21"/>
          <w:szCs w:val="21"/>
          <w:highlight w:val="none"/>
        </w:rPr>
        <w:t>并</w:t>
      </w:r>
      <w:r>
        <w:rPr>
          <w:rFonts w:hint="eastAsia" w:ascii="宋体" w:hAnsi="宋体" w:cs="宋体"/>
          <w:b/>
          <w:bCs/>
          <w:color w:val="auto"/>
          <w:kern w:val="0"/>
          <w:sz w:val="21"/>
          <w:szCs w:val="21"/>
          <w:highlight w:val="none"/>
          <w:lang w:val="en-US" w:eastAsia="zh-CN"/>
        </w:rPr>
        <w:t>加盖公章</w:t>
      </w:r>
      <w:r>
        <w:rPr>
          <w:rFonts w:hint="eastAsia" w:ascii="宋体" w:hAnsi="宋体" w:eastAsia="宋体" w:cs="宋体"/>
          <w:b/>
          <w:bCs/>
          <w:color w:val="auto"/>
          <w:kern w:val="0"/>
          <w:sz w:val="21"/>
          <w:szCs w:val="21"/>
          <w:highlight w:val="none"/>
        </w:rPr>
        <w:t>）</w:t>
      </w:r>
    </w:p>
    <w:p w14:paraId="5D4F5C8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移植后如出现《肠道菌群移植临床应用管理中国专家共识（2022版）》（如有最新标准，按最新标准执行）的不良反应事件，中标人的责任要求包括：有完善的不良反应管理流程和产品溯源体系，在确定是因为肠菌产品质量造成的不良反应，应由</w:t>
      </w:r>
      <w:r>
        <w:rPr>
          <w:rFonts w:hint="eastAsia" w:ascii="宋体" w:hAnsi="宋体" w:cs="宋体"/>
          <w:color w:val="auto"/>
          <w:kern w:val="0"/>
          <w:sz w:val="21"/>
          <w:szCs w:val="21"/>
          <w:lang w:val="en-US" w:eastAsia="zh-CN"/>
        </w:rPr>
        <w:t>成交供应商</w:t>
      </w:r>
      <w:r>
        <w:rPr>
          <w:rFonts w:hint="eastAsia" w:ascii="宋体" w:hAnsi="宋体" w:eastAsia="宋体" w:cs="宋体"/>
          <w:color w:val="auto"/>
          <w:kern w:val="0"/>
          <w:sz w:val="21"/>
          <w:szCs w:val="21"/>
        </w:rPr>
        <w:t>承担相应的法律责任并对患者进行经济赔偿。</w:t>
      </w:r>
    </w:p>
    <w:p w14:paraId="2FF6C30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16.菌液及胶囊生产日期要求：提供的产品生产日期距当次采购订单日期不超3个月。</w:t>
      </w:r>
    </w:p>
    <w:p w14:paraId="5C4393A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17.因采购人上级主管部门要求或政府政策原因，导致合同需要提前终止的，采购人不承担违约责任。</w:t>
      </w:r>
    </w:p>
    <w:p w14:paraId="173C8EF2">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w:t>
      </w:r>
      <w:r>
        <w:rPr>
          <w:rFonts w:hint="eastAsia" w:ascii="宋体" w:hAnsi="宋体" w:cs="宋体"/>
          <w:b/>
          <w:bCs/>
          <w:color w:val="auto"/>
          <w:kern w:val="0"/>
          <w:sz w:val="21"/>
          <w:szCs w:val="21"/>
          <w:lang w:val="en-US" w:eastAsia="zh-CN"/>
        </w:rPr>
        <w:t>四</w:t>
      </w:r>
      <w:r>
        <w:rPr>
          <w:rFonts w:hint="eastAsia" w:ascii="宋体" w:hAnsi="宋体" w:eastAsia="宋体" w:cs="宋体"/>
          <w:b/>
          <w:bCs/>
          <w:color w:val="auto"/>
          <w:kern w:val="0"/>
          <w:sz w:val="21"/>
          <w:szCs w:val="21"/>
        </w:rPr>
        <w:t>）技术服务方案要求</w:t>
      </w:r>
    </w:p>
    <w:p w14:paraId="477601BE">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须</w:t>
      </w:r>
      <w:r>
        <w:rPr>
          <w:rFonts w:hint="eastAsia" w:ascii="宋体" w:hAnsi="宋体" w:eastAsia="宋体" w:cs="宋体"/>
          <w:color w:val="auto"/>
          <w:kern w:val="0"/>
          <w:sz w:val="21"/>
          <w:szCs w:val="21"/>
          <w:lang w:val="en-US" w:eastAsia="zh-CN"/>
        </w:rPr>
        <w:t>通过</w:t>
      </w:r>
      <w:r>
        <w:rPr>
          <w:rFonts w:hint="eastAsia" w:ascii="宋体" w:hAnsi="宋体" w:eastAsia="宋体" w:cs="宋体"/>
          <w:color w:val="auto"/>
          <w:kern w:val="0"/>
          <w:sz w:val="21"/>
          <w:szCs w:val="21"/>
        </w:rPr>
        <w:t>二级病原微生物实验室备案。</w:t>
      </w:r>
    </w:p>
    <w:p w14:paraId="164A9D6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提供供体管理方案，内容包括但不限于供体的筛选机制；供体日常随访机制；供体健康监测管理机制。</w:t>
      </w:r>
    </w:p>
    <w:p w14:paraId="0630354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提供产品全流程闭环管理方案，内容包括但不限于产品制备标准操作流程和配套的膳食营养素（符合国家标准）；运输过程中的产品质量保障方案；产品不良反应的处理与预防方案。</w:t>
      </w:r>
    </w:p>
    <w:p w14:paraId="2470B61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提供实验室质控方案，内容包括但不限于实验室环境消杀管理方案；设备配备及维护方案；内外部质控管理方案。</w:t>
      </w:r>
    </w:p>
    <w:p w14:paraId="10D76A84">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提供实施方案，内容包括但不限于服务目标；服务重点；可操作的服务指标量及具体服务内容；实施总体服务计划的具体操作性方案。</w:t>
      </w:r>
    </w:p>
    <w:p w14:paraId="25455E03">
      <w:pPr>
        <w:keepNext w:val="0"/>
        <w:keepLines w:val="0"/>
        <w:pageBreakBefore w:val="0"/>
        <w:kinsoku/>
        <w:wordWrap/>
        <w:overflowPunct/>
        <w:topLinePunct w:val="0"/>
        <w:bidi w:val="0"/>
        <w:snapToGrid/>
        <w:spacing w:line="360" w:lineRule="exact"/>
        <w:ind w:firstLine="420" w:firstLineChars="200"/>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6.供应商有开展粪菌移植经验且能共享治疗案例、样本。</w:t>
      </w:r>
      <w:r>
        <w:rPr>
          <w:rFonts w:hint="eastAsia" w:ascii="宋体" w:hAnsi="宋体" w:eastAsia="宋体" w:cs="宋体"/>
          <w:b/>
          <w:bCs/>
          <w:color w:val="auto"/>
          <w:kern w:val="0"/>
          <w:sz w:val="21"/>
          <w:szCs w:val="21"/>
          <w:highlight w:val="none"/>
        </w:rPr>
        <w:t>（提供承诺函，</w:t>
      </w:r>
      <w:r>
        <w:rPr>
          <w:rFonts w:hint="eastAsia" w:ascii="宋体" w:hAnsi="宋体" w:cs="宋体"/>
          <w:b/>
          <w:bCs/>
          <w:color w:val="auto"/>
          <w:kern w:val="0"/>
          <w:sz w:val="21"/>
          <w:szCs w:val="21"/>
          <w:highlight w:val="none"/>
          <w:lang w:val="en-US" w:eastAsia="zh-CN"/>
        </w:rPr>
        <w:t>格式自拟，</w:t>
      </w:r>
      <w:r>
        <w:rPr>
          <w:rFonts w:hint="eastAsia" w:ascii="宋体" w:hAnsi="宋体" w:eastAsia="宋体" w:cs="宋体"/>
          <w:b/>
          <w:bCs/>
          <w:color w:val="auto"/>
          <w:kern w:val="0"/>
          <w:sz w:val="21"/>
          <w:szCs w:val="21"/>
          <w:highlight w:val="none"/>
        </w:rPr>
        <w:t>并</w:t>
      </w:r>
      <w:r>
        <w:rPr>
          <w:rFonts w:hint="eastAsia" w:ascii="宋体" w:hAnsi="宋体" w:cs="宋体"/>
          <w:b/>
          <w:bCs/>
          <w:color w:val="auto"/>
          <w:kern w:val="0"/>
          <w:sz w:val="21"/>
          <w:szCs w:val="21"/>
          <w:highlight w:val="none"/>
          <w:lang w:val="en-US" w:eastAsia="zh-CN"/>
        </w:rPr>
        <w:t>加盖公章</w:t>
      </w:r>
      <w:r>
        <w:rPr>
          <w:rFonts w:hint="eastAsia" w:ascii="宋体" w:hAnsi="宋体" w:eastAsia="宋体" w:cs="宋体"/>
          <w:b/>
          <w:bCs/>
          <w:color w:val="auto"/>
          <w:kern w:val="0"/>
          <w:sz w:val="21"/>
          <w:szCs w:val="21"/>
          <w:highlight w:val="none"/>
        </w:rPr>
        <w:t>）</w:t>
      </w:r>
    </w:p>
    <w:p w14:paraId="485790A3">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三、</w:t>
      </w:r>
      <w:r>
        <w:rPr>
          <w:rFonts w:hint="eastAsia" w:ascii="宋体" w:hAnsi="宋体" w:eastAsia="宋体" w:cs="宋体"/>
          <w:b/>
          <w:bCs/>
          <w:color w:val="auto"/>
          <w:kern w:val="0"/>
          <w:sz w:val="21"/>
          <w:szCs w:val="21"/>
        </w:rPr>
        <w:t>商务要求</w:t>
      </w:r>
    </w:p>
    <w:p w14:paraId="35A6C23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付款方式：</w:t>
      </w:r>
    </w:p>
    <w:p w14:paraId="59685ED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1.按季度进行结算。</w:t>
      </w:r>
    </w:p>
    <w:p w14:paraId="3A02C37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每季度第一个月10号前采购人及</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供应商双方核对上一季度数据，核对无误后</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供应商7个工作日内开具发票，采购人收到发票并核对无误后</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10个工作日内付清货款。如遇节假日或不可抗拒原因，支付日期顺延。</w:t>
      </w:r>
    </w:p>
    <w:p w14:paraId="488913B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履约保证金</w:t>
      </w:r>
    </w:p>
    <w:p w14:paraId="4F7968A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1.成交供应商与采购人签订合同时，需向采购人提交履约保证金保证金10000元。采购人确认成交供应商全部义务履行完毕且无违约责任后 30 个工作日内以非现金形式无息退回。</w:t>
      </w:r>
    </w:p>
    <w:p w14:paraId="7E6504F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2.履约保证金不予退还的情形：</w:t>
      </w:r>
    </w:p>
    <w:p w14:paraId="18FDAF4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（1）拒绝履行合同义务的；</w:t>
      </w:r>
    </w:p>
    <w:p w14:paraId="730407E6">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（2）履约验收不合格的。</w:t>
      </w:r>
    </w:p>
    <w:p w14:paraId="4461746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3.采购人逾期退还履约保证金的，从逾期之日起每日按履约保证金3‰的数额向成交供应商支付违约金。但因成交供应商自身原因导致无法及时退还的除外。</w:t>
      </w:r>
    </w:p>
    <w:p w14:paraId="70C5D25D">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验收要求：货物抵达指定地点后，采购人查验各项送货单、宏基因检测报告等是否齐全，对产品外观检查，查看是否存在受潮、进水、破损、变形、污染等问题。如发现数量不符、外观破损时，应当及时替换处理。查验合格后由</w:t>
      </w:r>
      <w:r>
        <w:rPr>
          <w:rFonts w:hint="eastAsia" w:ascii="宋体" w:hAnsi="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验收员</w:t>
      </w:r>
      <w:r>
        <w:rPr>
          <w:rFonts w:hint="eastAsia" w:ascii="宋体" w:hAnsi="宋体" w:eastAsia="宋体" w:cs="宋体"/>
          <w:color w:val="auto"/>
          <w:kern w:val="0"/>
          <w:sz w:val="21"/>
          <w:szCs w:val="21"/>
        </w:rPr>
        <w:t>在送货单上签名。</w:t>
      </w:r>
    </w:p>
    <w:p w14:paraId="6A1139AA">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四）</w:t>
      </w:r>
      <w:r>
        <w:rPr>
          <w:rFonts w:hint="eastAsia" w:ascii="宋体" w:hAnsi="宋体" w:eastAsia="宋体" w:cs="宋体"/>
          <w:color w:val="auto"/>
          <w:kern w:val="0"/>
          <w:sz w:val="21"/>
          <w:szCs w:val="21"/>
        </w:rPr>
        <w:t>售后服务：</w:t>
      </w:r>
    </w:p>
    <w:p w14:paraId="6B12DF9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提供服务联系人及联系电话，在服务期间随时为采购人提供技术指导和移植后随访跟进工作。</w:t>
      </w:r>
    </w:p>
    <w:p w14:paraId="4D7569E1">
      <w:pPr>
        <w:keepNext w:val="0"/>
        <w:keepLines w:val="0"/>
        <w:pageBreakBefore w:val="0"/>
        <w:kinsoku/>
        <w:wordWrap/>
        <w:overflowPunct/>
        <w:topLinePunct w:val="0"/>
        <w:bidi w:val="0"/>
        <w:snapToGrid/>
        <w:spacing w:line="360" w:lineRule="exact"/>
        <w:ind w:firstLine="420" w:firstLineChars="200"/>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2.配送时间：工作日收到订单需求后7个日历日内完成交付，节假日可根据实际情况酌情延后交付，但最晚不超过14个日历日。</w:t>
      </w:r>
    </w:p>
    <w:p w14:paraId="6815E0A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（五） 知识产权产权归属</w:t>
      </w:r>
    </w:p>
    <w:p w14:paraId="17B2C7AF">
      <w:pPr>
        <w:keepNext w:val="0"/>
        <w:keepLines w:val="0"/>
        <w:pageBreakBefore w:val="0"/>
        <w:kinsoku/>
        <w:wordWrap/>
        <w:overflowPunct/>
        <w:topLinePunct w:val="0"/>
        <w:bidi w:val="0"/>
        <w:snapToGrid/>
        <w:spacing w:line="360" w:lineRule="exact"/>
        <w:ind w:firstLine="630" w:firstLineChars="3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1.供应商保证合同项下提供的产品不侵犯任何第三方的专利、商标或版权，否则，供应商须承担对第三方的专利或版权的侵权责任并承担因此而发生的所有责任和费用，采购人不承担因此产生的任何责任和费用。</w:t>
      </w:r>
    </w:p>
    <w:p w14:paraId="0F8EF1B7">
      <w:pPr>
        <w:keepNext w:val="0"/>
        <w:keepLines w:val="0"/>
        <w:pageBreakBefore w:val="0"/>
        <w:kinsoku/>
        <w:wordWrap/>
        <w:overflowPunct/>
        <w:topLinePunct w:val="0"/>
        <w:bidi w:val="0"/>
        <w:snapToGrid/>
        <w:spacing w:line="360" w:lineRule="exact"/>
        <w:ind w:firstLine="630" w:firstLineChars="3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供应商在为采购人提供服务过程中所产生的所有知识产权（包括但不限于著作权、专利权、商标权等），除双方另有约定外，均归采购人所有。供应商应确保其提供的服务及相关成果不侵犯任何第三方的知识产权。</w:t>
      </w:r>
    </w:p>
    <w:p w14:paraId="3BBC492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（六）保密</w:t>
      </w:r>
    </w:p>
    <w:p w14:paraId="4132C7F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供应商与所有可能接触到本项目相关工作内容的员工签署保密协议，防止患者信息及体检数据等资料泄密；定期进行保密知识培训，提升保密意识。在服务过程中，严格按照确定的服务内容执行，所有与被服务人员的电话、微信等沟通途径，均需留痕，并保存原始记录以备查。如因供应商原因造成患者信息泄密的情况，供应商应向采购人进行相应赔偿，采购人有权根据事态严重情况停止供应商业务，并保留追究供应商及相关责任人赔偿及刑事责任的权利。</w:t>
      </w:r>
    </w:p>
    <w:p w14:paraId="1B0A31A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2.双方应对在合同履行过程中知悉的对方商业秘密、技术秘密、机密信息等（以下统称 “保密信息”）予以保密。保密信息包括但不限于服务内容、服务方案、技术资料、客户数据、财务信息等。未经对方书面同意，任何一方不得向任何第三方披露、使用或允许第三方使用保密信息。</w:t>
      </w:r>
    </w:p>
    <w:p w14:paraId="5A9D887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3.在保密期限内，双方应采取合理的保密措施保护保密信息，确保保密信息的安全性和保密性。如因一方违反本保密条款，导致对方遭受损失的，违约方应承担全部赔偿责任，赔偿范围包括但不限于因信息泄露给对方造成的直接经济损失、商业机会损失、维权费用（如律师费、诉讼费、调查费等）。</w:t>
      </w:r>
    </w:p>
    <w:p w14:paraId="7422FC6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违约责任</w:t>
      </w:r>
    </w:p>
    <w:p w14:paraId="6D61726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由于供应商的原因，无正当理由拖延提供服务的，按当次提供服务（订制产品）总金额每日千分之三向采购人偿付的违约金，</w:t>
      </w:r>
      <w:r>
        <w:rPr>
          <w:rFonts w:hint="eastAsia" w:ascii="宋体" w:hAnsi="宋体" w:eastAsia="宋体" w:cs="宋体"/>
          <w:color w:val="auto"/>
          <w:kern w:val="0"/>
          <w:sz w:val="21"/>
          <w:szCs w:val="21"/>
          <w:lang w:val="en-US" w:eastAsia="zh-CN"/>
        </w:rPr>
        <w:t>成交供应商</w:t>
      </w:r>
      <w:r>
        <w:rPr>
          <w:rFonts w:hint="eastAsia" w:ascii="宋体" w:hAnsi="宋体" w:eastAsia="宋体" w:cs="宋体"/>
          <w:color w:val="auto"/>
          <w:kern w:val="0"/>
          <w:sz w:val="21"/>
          <w:szCs w:val="21"/>
        </w:rPr>
        <w:t>拖延提供服务超过10个日历日的，</w:t>
      </w:r>
      <w:r>
        <w:rPr>
          <w:rFonts w:hint="eastAsia" w:ascii="宋体" w:hAnsi="宋体" w:eastAsia="宋体" w:cs="宋体"/>
          <w:color w:val="auto"/>
          <w:kern w:val="0"/>
          <w:sz w:val="21"/>
          <w:szCs w:val="21"/>
          <w:lang w:val="en-US" w:eastAsia="zh-CN"/>
        </w:rPr>
        <w:t>需向采购人支付合同总价的20%违约金，采购人有权终止合同，并追究供应商的经济和法律责任。</w:t>
      </w:r>
    </w:p>
    <w:p w14:paraId="5C0A4AF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2.成交供应商</w:t>
      </w:r>
      <w:r>
        <w:rPr>
          <w:rFonts w:hint="eastAsia" w:ascii="宋体" w:hAnsi="宋体" w:eastAsia="宋体" w:cs="宋体"/>
          <w:color w:val="auto"/>
          <w:kern w:val="0"/>
          <w:sz w:val="21"/>
          <w:szCs w:val="21"/>
        </w:rPr>
        <w:t>在合同执行期间有下列行为之一的，采购人有权直接解除合同</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其中造成</w:t>
      </w:r>
      <w:r>
        <w:rPr>
          <w:rFonts w:hint="eastAsia" w:ascii="宋体" w:hAnsi="宋体" w:cs="宋体"/>
          <w:color w:val="auto"/>
          <w:kern w:val="0"/>
          <w:sz w:val="21"/>
          <w:szCs w:val="21"/>
          <w:lang w:val="en-US" w:eastAsia="zh-CN"/>
        </w:rPr>
        <w:t>采购人</w:t>
      </w:r>
      <w:r>
        <w:rPr>
          <w:rFonts w:hint="eastAsia" w:ascii="宋体" w:hAnsi="宋体" w:eastAsia="宋体" w:cs="宋体"/>
          <w:color w:val="auto"/>
          <w:kern w:val="0"/>
          <w:sz w:val="21"/>
          <w:szCs w:val="21"/>
        </w:rPr>
        <w:t>医院损失（直接和间接）的，</w:t>
      </w:r>
      <w:r>
        <w:rPr>
          <w:rFonts w:hint="eastAsia" w:ascii="宋体" w:hAnsi="宋体" w:eastAsia="宋体" w:cs="宋体"/>
          <w:color w:val="auto"/>
          <w:kern w:val="0"/>
          <w:sz w:val="21"/>
          <w:szCs w:val="21"/>
          <w:lang w:val="en-US" w:eastAsia="zh-CN"/>
        </w:rPr>
        <w:t>成交供应商</w:t>
      </w:r>
      <w:r>
        <w:rPr>
          <w:rFonts w:hint="eastAsia" w:ascii="宋体" w:hAnsi="宋体" w:eastAsia="宋体" w:cs="宋体"/>
          <w:color w:val="auto"/>
          <w:kern w:val="0"/>
          <w:sz w:val="21"/>
          <w:szCs w:val="21"/>
        </w:rPr>
        <w:t>应当进行赔偿</w:t>
      </w:r>
      <w:r>
        <w:rPr>
          <w:rFonts w:hint="eastAsia" w:ascii="宋体" w:hAnsi="宋体" w:cs="宋体"/>
          <w:color w:val="auto"/>
          <w:kern w:val="0"/>
          <w:sz w:val="21"/>
          <w:szCs w:val="21"/>
          <w:lang w:eastAsia="zh-CN"/>
        </w:rPr>
        <w:t>：</w:t>
      </w:r>
    </w:p>
    <w:p w14:paraId="377126A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2.1成交</w:t>
      </w:r>
      <w:r>
        <w:rPr>
          <w:rFonts w:hint="eastAsia" w:ascii="宋体" w:hAnsi="宋体" w:eastAsia="宋体" w:cs="宋体"/>
          <w:color w:val="auto"/>
          <w:kern w:val="0"/>
          <w:sz w:val="21"/>
          <w:szCs w:val="21"/>
        </w:rPr>
        <w:t>后无正当理由不与采购单位签订合同；</w:t>
      </w:r>
    </w:p>
    <w:p w14:paraId="784E513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2.2</w:t>
      </w:r>
      <w:r>
        <w:rPr>
          <w:rFonts w:hint="eastAsia" w:ascii="宋体" w:hAnsi="宋体" w:eastAsia="宋体" w:cs="宋体"/>
          <w:color w:val="auto"/>
          <w:kern w:val="0"/>
          <w:sz w:val="21"/>
          <w:szCs w:val="21"/>
        </w:rPr>
        <w:t>擅自变更或者中止采购服务合同的；</w:t>
      </w:r>
    </w:p>
    <w:p w14:paraId="3299306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2.3</w:t>
      </w:r>
      <w:r>
        <w:rPr>
          <w:rFonts w:hint="eastAsia" w:ascii="宋体" w:hAnsi="宋体" w:eastAsia="宋体" w:cs="宋体"/>
          <w:color w:val="auto"/>
          <w:kern w:val="0"/>
          <w:sz w:val="21"/>
          <w:szCs w:val="21"/>
        </w:rPr>
        <w:t>不按</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文件以及服务合同要求全面履约的；</w:t>
      </w:r>
    </w:p>
    <w:p w14:paraId="373AC06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2.4</w:t>
      </w:r>
      <w:r>
        <w:rPr>
          <w:rFonts w:hint="eastAsia" w:ascii="宋体" w:hAnsi="宋体" w:eastAsia="宋体" w:cs="宋体"/>
          <w:color w:val="auto"/>
          <w:kern w:val="0"/>
          <w:sz w:val="21"/>
          <w:szCs w:val="21"/>
        </w:rPr>
        <w:t>非法分包或转包给任何单位和个人；</w:t>
      </w:r>
    </w:p>
    <w:p w14:paraId="10C2753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2.5</w:t>
      </w:r>
      <w:r>
        <w:rPr>
          <w:rFonts w:hint="eastAsia" w:ascii="宋体" w:hAnsi="宋体" w:eastAsia="宋体" w:cs="宋体"/>
          <w:color w:val="auto"/>
          <w:kern w:val="0"/>
          <w:sz w:val="21"/>
          <w:szCs w:val="21"/>
        </w:rPr>
        <w:t>造成严重后果或恶劣影响的；</w:t>
      </w:r>
    </w:p>
    <w:p w14:paraId="0E388B4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.11.出现下述情况之一的，应对供应商工作人员泄密问责，采购</w:t>
      </w:r>
      <w:r>
        <w:rPr>
          <w:rFonts w:hint="eastAsia" w:ascii="宋体" w:hAnsi="宋体" w:cs="宋体"/>
          <w:color w:val="auto"/>
          <w:kern w:val="0"/>
          <w:sz w:val="21"/>
          <w:szCs w:val="21"/>
          <w:lang w:val="en-US" w:eastAsia="zh-CN"/>
        </w:rPr>
        <w:t>人</w:t>
      </w:r>
      <w:r>
        <w:rPr>
          <w:rFonts w:hint="eastAsia" w:ascii="宋体" w:hAnsi="宋体" w:eastAsia="宋体" w:cs="宋体"/>
          <w:color w:val="auto"/>
          <w:kern w:val="0"/>
          <w:sz w:val="21"/>
          <w:szCs w:val="21"/>
        </w:rPr>
        <w:t>有权终止服务合同，其中造成</w:t>
      </w:r>
      <w:r>
        <w:rPr>
          <w:rFonts w:hint="eastAsia" w:ascii="宋体" w:hAnsi="宋体" w:cs="宋体"/>
          <w:color w:val="auto"/>
          <w:kern w:val="0"/>
          <w:sz w:val="21"/>
          <w:szCs w:val="21"/>
          <w:lang w:val="en-US" w:eastAsia="zh-CN"/>
        </w:rPr>
        <w:t>采购人</w:t>
      </w:r>
      <w:r>
        <w:rPr>
          <w:rFonts w:hint="eastAsia" w:ascii="宋体" w:hAnsi="宋体" w:eastAsia="宋体" w:cs="宋体"/>
          <w:color w:val="auto"/>
          <w:kern w:val="0"/>
          <w:sz w:val="21"/>
          <w:szCs w:val="21"/>
        </w:rPr>
        <w:t>医院损失（直接和间接）的，</w:t>
      </w:r>
      <w:r>
        <w:rPr>
          <w:rFonts w:hint="eastAsia" w:ascii="宋体" w:hAnsi="宋体" w:cs="宋体"/>
          <w:color w:val="auto"/>
          <w:kern w:val="0"/>
          <w:sz w:val="21"/>
          <w:szCs w:val="21"/>
          <w:lang w:val="en-US" w:eastAsia="zh-CN"/>
        </w:rPr>
        <w:t>成交供应商</w:t>
      </w:r>
      <w:r>
        <w:rPr>
          <w:rFonts w:hint="eastAsia" w:ascii="宋体" w:hAnsi="宋体" w:eastAsia="宋体" w:cs="宋体"/>
          <w:color w:val="auto"/>
          <w:kern w:val="0"/>
          <w:sz w:val="21"/>
          <w:szCs w:val="21"/>
        </w:rPr>
        <w:t>应当进行赔偿：</w:t>
      </w:r>
    </w:p>
    <w:p w14:paraId="0E118E2E">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成交供应商</w:t>
      </w:r>
      <w:r>
        <w:rPr>
          <w:rFonts w:hint="eastAsia" w:ascii="宋体" w:hAnsi="宋体" w:eastAsia="宋体" w:cs="宋体"/>
          <w:color w:val="auto"/>
          <w:kern w:val="0"/>
          <w:sz w:val="21"/>
          <w:szCs w:val="21"/>
        </w:rPr>
        <w:t>违反法律法规以及相关条例的；</w:t>
      </w:r>
    </w:p>
    <w:p w14:paraId="3ADA2A7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（2）造成重大社会影响和</w:t>
      </w:r>
      <w:r>
        <w:rPr>
          <w:rFonts w:hint="eastAsia" w:ascii="宋体" w:hAnsi="宋体" w:cs="宋体"/>
          <w:color w:val="auto"/>
          <w:kern w:val="0"/>
          <w:sz w:val="21"/>
          <w:szCs w:val="21"/>
          <w:lang w:val="en-US" w:eastAsia="zh-CN"/>
        </w:rPr>
        <w:t>采购人</w:t>
      </w:r>
      <w:r>
        <w:rPr>
          <w:rFonts w:hint="eastAsia" w:ascii="宋体" w:hAnsi="宋体" w:eastAsia="宋体" w:cs="宋体"/>
          <w:color w:val="auto"/>
          <w:kern w:val="0"/>
          <w:sz w:val="21"/>
          <w:szCs w:val="21"/>
        </w:rPr>
        <w:t>医院资产（有形资产和无形资产）损失的</w:t>
      </w:r>
      <w:r>
        <w:rPr>
          <w:rFonts w:hint="eastAsia" w:ascii="宋体" w:hAnsi="宋体" w:cs="宋体"/>
          <w:color w:val="auto"/>
          <w:kern w:val="0"/>
          <w:sz w:val="21"/>
          <w:szCs w:val="21"/>
          <w:lang w:eastAsia="zh-CN"/>
        </w:rPr>
        <w:t>；</w:t>
      </w:r>
    </w:p>
    <w:p w14:paraId="34928D1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（3）出卖数据资料获利或者转卖其它涉密资料。</w:t>
      </w:r>
    </w:p>
    <w:p w14:paraId="45245644">
      <w:pPr>
        <w:keepNext w:val="0"/>
        <w:keepLines w:val="0"/>
        <w:pageBreakBefore w:val="0"/>
        <w:numPr>
          <w:ilvl w:val="0"/>
          <w:numId w:val="4"/>
        </w:numPr>
        <w:kinsoku/>
        <w:wordWrap/>
        <w:overflowPunct/>
        <w:topLinePunct w:val="0"/>
        <w:autoSpaceDE w:val="0"/>
        <w:autoSpaceDN w:val="0"/>
        <w:bidi w:val="0"/>
        <w:adjustRightInd w:val="0"/>
        <w:snapToGrid/>
        <w:spacing w:line="36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考核标准</w:t>
      </w:r>
    </w:p>
    <w:p w14:paraId="344D0101">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jc w:val="both"/>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采购人每季度对供应商服务质量进行考核，考核</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次不合格采购人有权解除合同，供应商需向采购人支付合同总价的20%违约金，并追究供应商的经济和法律责任。</w:t>
      </w:r>
      <w:r>
        <w:rPr>
          <w:rFonts w:hint="eastAsia" w:ascii="宋体" w:hAnsi="宋体" w:cs="宋体"/>
          <w:b w:val="0"/>
          <w:bCs w:val="0"/>
          <w:color w:val="auto"/>
          <w:sz w:val="21"/>
          <w:szCs w:val="21"/>
          <w:lang w:val="en-US" w:eastAsia="zh-CN"/>
        </w:rPr>
        <w:t>内容见下表：</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7198"/>
        <w:gridCol w:w="1132"/>
        <w:gridCol w:w="941"/>
      </w:tblGrid>
      <w:tr w14:paraId="125B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1" w:type="dxa"/>
            <w:vAlign w:val="center"/>
          </w:tcPr>
          <w:p w14:paraId="67FA953D">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7198" w:type="dxa"/>
            <w:vAlign w:val="center"/>
          </w:tcPr>
          <w:p w14:paraId="49E86AF8">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1132" w:type="dxa"/>
            <w:vAlign w:val="center"/>
          </w:tcPr>
          <w:p w14:paraId="4014B9D5">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考核分数</w:t>
            </w:r>
          </w:p>
        </w:tc>
        <w:tc>
          <w:tcPr>
            <w:tcW w:w="941" w:type="dxa"/>
            <w:vAlign w:val="center"/>
          </w:tcPr>
          <w:p w14:paraId="6505EB96">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w:t>
            </w:r>
          </w:p>
        </w:tc>
      </w:tr>
      <w:tr w14:paraId="54B9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31" w:type="dxa"/>
            <w:vAlign w:val="center"/>
          </w:tcPr>
          <w:p w14:paraId="400F8415">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198" w:type="dxa"/>
            <w:vAlign w:val="center"/>
          </w:tcPr>
          <w:p w14:paraId="2240A4D8">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供应商能落实粪菌制备服务，包含FMT菌液、FMT菌泥胶囊，满足临床多场景应用，且提供产品的质检报告。</w:t>
            </w:r>
          </w:p>
        </w:tc>
        <w:tc>
          <w:tcPr>
            <w:tcW w:w="1132" w:type="dxa"/>
            <w:vAlign w:val="center"/>
          </w:tcPr>
          <w:p w14:paraId="0338D33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1636B539">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0F0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31" w:type="dxa"/>
            <w:vAlign w:val="center"/>
          </w:tcPr>
          <w:p w14:paraId="7D7E27DA">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198" w:type="dxa"/>
            <w:vAlign w:val="center"/>
          </w:tcPr>
          <w:p w14:paraId="23F9CD01">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供应商能落实肠道微生态检测服务，含16srRNA 检测和宏基因组检测服务，且提供报告模板。</w:t>
            </w:r>
          </w:p>
        </w:tc>
        <w:tc>
          <w:tcPr>
            <w:tcW w:w="1132" w:type="dxa"/>
            <w:vAlign w:val="center"/>
          </w:tcPr>
          <w:p w14:paraId="24411BC6">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20870849">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4186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31" w:type="dxa"/>
            <w:vAlign w:val="center"/>
          </w:tcPr>
          <w:p w14:paraId="2DF20F5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198" w:type="dxa"/>
            <w:vAlign w:val="center"/>
          </w:tcPr>
          <w:p w14:paraId="4D956B2B">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供应商能落实微生态营养服务（包含营养食品、益生元、健康饮食方案等），须提供产品信息和饮食管理方案示例。</w:t>
            </w:r>
          </w:p>
        </w:tc>
        <w:tc>
          <w:tcPr>
            <w:tcW w:w="1132" w:type="dxa"/>
            <w:vAlign w:val="center"/>
          </w:tcPr>
          <w:p w14:paraId="4ADA8B1A">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61328F4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07C7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188DB4A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198" w:type="dxa"/>
            <w:vAlign w:val="center"/>
          </w:tcPr>
          <w:p w14:paraId="44363A36">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供应商落实微生态诊疗理论和实操培训服务，定期开展菌群移植培训班，并由微生态医学领域的权威专家担任讲师。</w:t>
            </w:r>
          </w:p>
        </w:tc>
        <w:tc>
          <w:tcPr>
            <w:tcW w:w="1132" w:type="dxa"/>
            <w:vAlign w:val="center"/>
          </w:tcPr>
          <w:p w14:paraId="7CEBFB04">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0E28278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2F76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3BA70EDE">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198" w:type="dxa"/>
            <w:vAlign w:val="center"/>
          </w:tcPr>
          <w:p w14:paraId="46DE9802">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供应商能落实从理论到实操所有临床经验无偿分享，专利技术共享以保证被培训人员的实操达标。</w:t>
            </w:r>
          </w:p>
        </w:tc>
        <w:tc>
          <w:tcPr>
            <w:tcW w:w="1132" w:type="dxa"/>
            <w:vAlign w:val="center"/>
          </w:tcPr>
          <w:p w14:paraId="54EF29D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437D874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6D87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5FB93188">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7198" w:type="dxa"/>
            <w:shd w:val="clear" w:color="auto" w:fill="auto"/>
            <w:vAlign w:val="center"/>
          </w:tcPr>
          <w:p w14:paraId="6E1C7674">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供应商能设置专职医生和护士跟进患者教育和患者随访服务，提升患者依从性和治疗效果。</w:t>
            </w:r>
          </w:p>
        </w:tc>
        <w:tc>
          <w:tcPr>
            <w:tcW w:w="1132" w:type="dxa"/>
            <w:vAlign w:val="center"/>
          </w:tcPr>
          <w:p w14:paraId="7450F99A">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4BD42E7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778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265A748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7198" w:type="dxa"/>
            <w:shd w:val="clear" w:color="auto" w:fill="auto"/>
            <w:vAlign w:val="center"/>
          </w:tcPr>
          <w:p w14:paraId="62BF7901">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供应商能设置移植方案配套的专职人员搭配落实菌群移植人员管理方案，如：健康管理师跟进患者状况并制定专属健康管理方案、营养师跟进患者营养搭配情况，制定专属营养方案、专职心理咨询师全程指导。</w:t>
            </w:r>
          </w:p>
        </w:tc>
        <w:tc>
          <w:tcPr>
            <w:tcW w:w="1132" w:type="dxa"/>
            <w:vAlign w:val="center"/>
          </w:tcPr>
          <w:p w14:paraId="7FFE83C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1DC7F179">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3FD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79217EC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7198" w:type="dxa"/>
            <w:shd w:val="clear" w:color="auto" w:fill="auto"/>
            <w:vAlign w:val="center"/>
          </w:tcPr>
          <w:p w14:paraId="5A77A8B2">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供应商能设置专人协助微生态科研项目开展。</w:t>
            </w:r>
          </w:p>
        </w:tc>
        <w:tc>
          <w:tcPr>
            <w:tcW w:w="1132" w:type="dxa"/>
            <w:shd w:val="clear" w:color="auto" w:fill="auto"/>
            <w:vAlign w:val="center"/>
          </w:tcPr>
          <w:p w14:paraId="75FCC856">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6EB9764B">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75C4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0E014E5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7198" w:type="dxa"/>
            <w:shd w:val="clear" w:color="auto" w:fill="auto"/>
            <w:vAlign w:val="center"/>
          </w:tcPr>
          <w:p w14:paraId="4D179716">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供应商定期组织微生态相关学术交流会议，如临床诊疗技术交流会议、病例研讨会等。</w:t>
            </w:r>
          </w:p>
        </w:tc>
        <w:tc>
          <w:tcPr>
            <w:tcW w:w="1132" w:type="dxa"/>
            <w:shd w:val="clear" w:color="auto" w:fill="auto"/>
            <w:vAlign w:val="center"/>
          </w:tcPr>
          <w:p w14:paraId="6C2569FD">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2727890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2B9F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38B482F4">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7198" w:type="dxa"/>
            <w:shd w:val="clear" w:color="auto" w:fill="auto"/>
            <w:vAlign w:val="center"/>
          </w:tcPr>
          <w:p w14:paraId="411473D1">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供应商能为国际微生态学术交流平台提供学术交流支持。</w:t>
            </w:r>
          </w:p>
        </w:tc>
        <w:tc>
          <w:tcPr>
            <w:tcW w:w="1132" w:type="dxa"/>
            <w:shd w:val="clear" w:color="auto" w:fill="auto"/>
            <w:vAlign w:val="center"/>
          </w:tcPr>
          <w:p w14:paraId="5481E983">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53A67214">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1372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1AC124F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7198" w:type="dxa"/>
            <w:shd w:val="clear" w:color="auto" w:fill="auto"/>
            <w:vAlign w:val="center"/>
          </w:tcPr>
          <w:p w14:paraId="05028A6A">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供应商提供每年支持科普资料≥5份、科普教育视频制作≥1个。</w:t>
            </w:r>
          </w:p>
        </w:tc>
        <w:tc>
          <w:tcPr>
            <w:tcW w:w="1132" w:type="dxa"/>
            <w:shd w:val="clear" w:color="auto" w:fill="auto"/>
            <w:vAlign w:val="center"/>
          </w:tcPr>
          <w:p w14:paraId="1A92BA1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5F2AC60D">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4D2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25E5644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7198" w:type="dxa"/>
            <w:shd w:val="clear" w:color="auto" w:fill="auto"/>
            <w:vAlign w:val="center"/>
          </w:tcPr>
          <w:p w14:paraId="7EBB3DCE">
            <w:pPr>
              <w:keepNext w:val="0"/>
              <w:keepLines w:val="0"/>
              <w:pageBreakBefore w:val="0"/>
              <w:widowControl/>
              <w:kinsoku/>
              <w:wordWrap/>
              <w:overflowPunct/>
              <w:topLinePunct w:val="0"/>
              <w:bidi w:val="0"/>
              <w:snapToGrid/>
              <w:spacing w:line="360" w:lineRule="exact"/>
              <w:ind w:left="440" w:hanging="44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供应商提供服务响应时效：</w:t>
            </w:r>
            <w:r>
              <w:rPr>
                <w:rFonts w:hint="eastAsia" w:ascii="宋体" w:hAnsi="宋体" w:eastAsia="宋体" w:cs="宋体"/>
                <w:color w:val="auto"/>
                <w:kern w:val="0"/>
                <w:sz w:val="21"/>
                <w:szCs w:val="21"/>
              </w:rPr>
              <w:t>24小时线上服务</w:t>
            </w:r>
          </w:p>
          <w:p w14:paraId="72DA727E">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和线下服务4小时内到场。</w:t>
            </w:r>
          </w:p>
        </w:tc>
        <w:tc>
          <w:tcPr>
            <w:tcW w:w="1132" w:type="dxa"/>
            <w:shd w:val="clear" w:color="auto" w:fill="auto"/>
            <w:vAlign w:val="center"/>
          </w:tcPr>
          <w:p w14:paraId="4C28F71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31DEFED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5E7F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dxa"/>
            <w:vAlign w:val="center"/>
          </w:tcPr>
          <w:p w14:paraId="21D0EEE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7198" w:type="dxa"/>
            <w:shd w:val="clear" w:color="auto" w:fill="auto"/>
            <w:vAlign w:val="center"/>
          </w:tcPr>
          <w:p w14:paraId="3D2C0C8D">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其他服务：因上级政策或决策临时指派的相关任务及检查，需按要求配合完成。</w:t>
            </w:r>
          </w:p>
        </w:tc>
        <w:tc>
          <w:tcPr>
            <w:tcW w:w="1132" w:type="dxa"/>
            <w:shd w:val="clear" w:color="auto" w:fill="auto"/>
            <w:vAlign w:val="center"/>
          </w:tcPr>
          <w:p w14:paraId="28416FAE">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5F9FCEFE">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5D0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4CE7FDF3">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7198" w:type="dxa"/>
            <w:shd w:val="clear" w:color="auto" w:fill="auto"/>
            <w:vAlign w:val="center"/>
          </w:tcPr>
          <w:p w14:paraId="0C2DCC00">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发生投诉纠纷处理：服务期间无发生患者投诉事件，有无发生舆情事件。如有，处理是否满意、是否解决问题，是否撤诉，最终是否处理成功。</w:t>
            </w:r>
          </w:p>
        </w:tc>
        <w:tc>
          <w:tcPr>
            <w:tcW w:w="1132" w:type="dxa"/>
            <w:shd w:val="clear" w:color="auto" w:fill="auto"/>
            <w:vAlign w:val="center"/>
          </w:tcPr>
          <w:p w14:paraId="0C7943D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0182858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3188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12AD1E5B">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7198" w:type="dxa"/>
            <w:shd w:val="clear" w:color="auto" w:fill="auto"/>
            <w:vAlign w:val="center"/>
          </w:tcPr>
          <w:p w14:paraId="1DDE7BDB">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产品质量监督：提供产品质量达标与否，是否存在质量问题。</w:t>
            </w:r>
          </w:p>
        </w:tc>
        <w:tc>
          <w:tcPr>
            <w:tcW w:w="1132" w:type="dxa"/>
            <w:shd w:val="clear" w:color="auto" w:fill="auto"/>
            <w:vAlign w:val="center"/>
          </w:tcPr>
          <w:p w14:paraId="772A837A">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093BD928">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bl>
    <w:p w14:paraId="5B33C6BB">
      <w:pPr>
        <w:keepNext w:val="0"/>
        <w:keepLines w:val="0"/>
        <w:pageBreakBefore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说明：考核结果得分值≥90分，评为优秀；得分值≥80分，评为合格；低于80分则为不合格，需限期进行整改。服务期内，甲方有权调整考评内容。</w:t>
      </w:r>
    </w:p>
    <w:p w14:paraId="123A205D">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28"/>
      <w:bookmarkEnd w:id="29"/>
      <w:bookmarkEnd w:id="30"/>
      <w:bookmarkEnd w:id="31"/>
      <w:bookmarkEnd w:id="32"/>
      <w:bookmarkEnd w:id="33"/>
      <w:bookmarkEnd w:id="34"/>
      <w:bookmarkStart w:id="35" w:name="_Toc4075"/>
      <w:bookmarkStart w:id="36" w:name="_Toc3222"/>
    </w:p>
    <w:p w14:paraId="782A41F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bookmarkStart w:id="37"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772ECDFD">
      <w:pPr>
        <w:numPr>
          <w:ilvl w:val="0"/>
          <w:numId w:val="0"/>
        </w:numPr>
        <w:jc w:val="both"/>
        <w:outlineLvl w:val="0"/>
        <w:rPr>
          <w:rFonts w:hint="eastAsia"/>
          <w:b/>
          <w:bCs/>
          <w:color w:val="auto"/>
          <w:kern w:val="0"/>
          <w:sz w:val="28"/>
          <w:szCs w:val="28"/>
          <w:highlight w:val="none"/>
          <w:lang w:val="en-US" w:eastAsia="zh-CN"/>
        </w:rPr>
      </w:pPr>
      <w:bookmarkStart w:id="38" w:name="_Toc18355"/>
      <w:bookmarkStart w:id="39" w:name="_Toc11319"/>
    </w:p>
    <w:p w14:paraId="4A74983A">
      <w:pPr>
        <w:numPr>
          <w:ilvl w:val="0"/>
          <w:numId w:val="0"/>
        </w:numPr>
        <w:jc w:val="both"/>
        <w:outlineLvl w:val="0"/>
        <w:rPr>
          <w:rFonts w:hint="eastAsia"/>
          <w:b/>
          <w:bCs/>
          <w:color w:val="auto"/>
          <w:kern w:val="0"/>
          <w:sz w:val="28"/>
          <w:szCs w:val="28"/>
          <w:highlight w:val="none"/>
          <w:lang w:val="en-US" w:eastAsia="zh-CN"/>
        </w:rPr>
      </w:pPr>
    </w:p>
    <w:p w14:paraId="71794CE3">
      <w:pPr>
        <w:numPr>
          <w:ilvl w:val="0"/>
          <w:numId w:val="0"/>
        </w:numPr>
        <w:jc w:val="both"/>
        <w:outlineLvl w:val="0"/>
        <w:rPr>
          <w:rFonts w:hint="eastAsia"/>
          <w:b/>
          <w:bCs/>
          <w:color w:val="auto"/>
          <w:kern w:val="0"/>
          <w:sz w:val="28"/>
          <w:szCs w:val="28"/>
          <w:highlight w:val="none"/>
          <w:lang w:val="en-US" w:eastAsia="zh-CN"/>
        </w:rPr>
      </w:pPr>
    </w:p>
    <w:p w14:paraId="1DEFA3AA">
      <w:pPr>
        <w:numPr>
          <w:ilvl w:val="0"/>
          <w:numId w:val="0"/>
        </w:numPr>
        <w:jc w:val="both"/>
        <w:outlineLvl w:val="0"/>
        <w:rPr>
          <w:rFonts w:hint="eastAsia"/>
          <w:b/>
          <w:bCs/>
          <w:color w:val="auto"/>
          <w:kern w:val="0"/>
          <w:sz w:val="28"/>
          <w:szCs w:val="28"/>
          <w:highlight w:val="none"/>
          <w:lang w:val="en-US" w:eastAsia="zh-CN"/>
        </w:rPr>
      </w:pPr>
    </w:p>
    <w:p w14:paraId="61B9C3E0">
      <w:pPr>
        <w:numPr>
          <w:ilvl w:val="0"/>
          <w:numId w:val="0"/>
        </w:numPr>
        <w:jc w:val="both"/>
        <w:outlineLvl w:val="0"/>
        <w:rPr>
          <w:rFonts w:hint="eastAsia"/>
          <w:b/>
          <w:bCs/>
          <w:color w:val="auto"/>
          <w:kern w:val="0"/>
          <w:sz w:val="28"/>
          <w:szCs w:val="28"/>
          <w:highlight w:val="none"/>
          <w:lang w:val="en-US" w:eastAsia="zh-CN"/>
        </w:rPr>
      </w:pPr>
    </w:p>
    <w:p w14:paraId="03B27FE3">
      <w:pPr>
        <w:numPr>
          <w:ilvl w:val="0"/>
          <w:numId w:val="0"/>
        </w:numPr>
        <w:jc w:val="both"/>
        <w:outlineLvl w:val="0"/>
        <w:rPr>
          <w:rFonts w:hint="eastAsia"/>
          <w:b/>
          <w:bCs/>
          <w:color w:val="auto"/>
          <w:kern w:val="0"/>
          <w:sz w:val="28"/>
          <w:szCs w:val="28"/>
          <w:highlight w:val="none"/>
          <w:lang w:val="en-US" w:eastAsia="zh-CN"/>
        </w:rPr>
      </w:pPr>
    </w:p>
    <w:p w14:paraId="31C18718">
      <w:pPr>
        <w:numPr>
          <w:ilvl w:val="0"/>
          <w:numId w:val="0"/>
        </w:numPr>
        <w:jc w:val="both"/>
        <w:outlineLvl w:val="0"/>
        <w:rPr>
          <w:rFonts w:hint="eastAsia"/>
          <w:b/>
          <w:bCs/>
          <w:color w:val="auto"/>
          <w:kern w:val="0"/>
          <w:sz w:val="28"/>
          <w:szCs w:val="28"/>
          <w:highlight w:val="none"/>
          <w:lang w:val="en-US" w:eastAsia="zh-CN"/>
        </w:rPr>
      </w:pPr>
    </w:p>
    <w:p w14:paraId="1DC39528">
      <w:pPr>
        <w:numPr>
          <w:ilvl w:val="0"/>
          <w:numId w:val="0"/>
        </w:numPr>
        <w:jc w:val="both"/>
        <w:outlineLvl w:val="0"/>
        <w:rPr>
          <w:rFonts w:hint="eastAsia"/>
          <w:b/>
          <w:bCs/>
          <w:color w:val="auto"/>
          <w:kern w:val="0"/>
          <w:sz w:val="28"/>
          <w:szCs w:val="28"/>
          <w:highlight w:val="none"/>
          <w:lang w:val="en-US" w:eastAsia="zh-CN"/>
        </w:rPr>
      </w:pPr>
    </w:p>
    <w:p w14:paraId="68EDE7D6">
      <w:pPr>
        <w:numPr>
          <w:ilvl w:val="0"/>
          <w:numId w:val="0"/>
        </w:numPr>
        <w:jc w:val="both"/>
        <w:outlineLvl w:val="0"/>
        <w:rPr>
          <w:rFonts w:hint="eastAsia"/>
          <w:b/>
          <w:bCs/>
          <w:color w:val="auto"/>
          <w:kern w:val="0"/>
          <w:sz w:val="28"/>
          <w:szCs w:val="28"/>
          <w:highlight w:val="none"/>
          <w:lang w:val="en-US" w:eastAsia="zh-CN"/>
        </w:rPr>
      </w:pPr>
    </w:p>
    <w:p w14:paraId="7BA2D003">
      <w:pPr>
        <w:numPr>
          <w:ilvl w:val="0"/>
          <w:numId w:val="0"/>
        </w:numPr>
        <w:jc w:val="both"/>
        <w:outlineLvl w:val="0"/>
        <w:rPr>
          <w:rFonts w:hint="eastAsia"/>
          <w:b/>
          <w:bCs/>
          <w:color w:val="auto"/>
          <w:kern w:val="0"/>
          <w:sz w:val="28"/>
          <w:szCs w:val="28"/>
          <w:highlight w:val="none"/>
          <w:lang w:val="en-US" w:eastAsia="zh-CN"/>
        </w:rPr>
      </w:pPr>
    </w:p>
    <w:p w14:paraId="1B3153FA">
      <w:pPr>
        <w:numPr>
          <w:ilvl w:val="0"/>
          <w:numId w:val="0"/>
        </w:numPr>
        <w:jc w:val="both"/>
        <w:outlineLvl w:val="0"/>
        <w:rPr>
          <w:rFonts w:hint="eastAsia"/>
          <w:b/>
          <w:bCs/>
          <w:color w:val="auto"/>
          <w:kern w:val="0"/>
          <w:sz w:val="28"/>
          <w:szCs w:val="28"/>
          <w:highlight w:val="none"/>
          <w:lang w:val="en-US" w:eastAsia="zh-CN"/>
        </w:rPr>
      </w:pPr>
    </w:p>
    <w:p w14:paraId="39BE8030">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bookmarkStart w:id="40" w:name="_Toc10847"/>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41" w:name="_Toc270"/>
      <w:r>
        <w:rPr>
          <w:rFonts w:hint="eastAsia"/>
          <w:b/>
          <w:bCs/>
          <w:color w:val="auto"/>
          <w:kern w:val="0"/>
          <w:sz w:val="28"/>
          <w:szCs w:val="28"/>
          <w:highlight w:val="none"/>
        </w:rPr>
        <w:t>评分标准</w:t>
      </w:r>
      <w:bookmarkEnd w:id="38"/>
      <w:bookmarkEnd w:id="39"/>
      <w:bookmarkEnd w:id="40"/>
    </w:p>
    <w:p w14:paraId="02DB7532">
      <w:pPr>
        <w:jc w:val="center"/>
        <w:rPr>
          <w:rFonts w:hint="eastAsia"/>
          <w:b/>
          <w:bCs/>
          <w:color w:val="auto"/>
          <w:sz w:val="28"/>
          <w:szCs w:val="28"/>
          <w:highlight w:val="none"/>
        </w:rPr>
      </w:pPr>
      <w:r>
        <w:rPr>
          <w:rFonts w:hint="eastAsia" w:ascii="宋体" w:hAnsi="宋体"/>
          <w:b/>
          <w:bCs/>
          <w:color w:val="auto"/>
          <w:sz w:val="24"/>
          <w:szCs w:val="24"/>
          <w:highlight w:val="none"/>
        </w:rPr>
        <w:t>南方医科大学第五附属医院</w:t>
      </w:r>
      <w:r>
        <w:rPr>
          <w:rFonts w:hint="eastAsia" w:ascii="宋体" w:hAnsi="宋体"/>
          <w:b/>
          <w:bCs/>
          <w:color w:val="auto"/>
          <w:sz w:val="24"/>
          <w:szCs w:val="24"/>
          <w:highlight w:val="none"/>
          <w:lang w:val="en-US" w:eastAsia="zh-CN"/>
        </w:rPr>
        <w:t>菌群移植服务项目综合</w:t>
      </w:r>
      <w:r>
        <w:rPr>
          <w:rFonts w:hint="eastAsia" w:ascii="宋体" w:hAnsi="宋体"/>
          <w:b/>
          <w:bCs/>
          <w:color w:val="auto"/>
          <w:sz w:val="24"/>
          <w:szCs w:val="24"/>
          <w:highlight w:val="none"/>
        </w:rPr>
        <w:t>评分表</w:t>
      </w:r>
    </w:p>
    <w:tbl>
      <w:tblPr>
        <w:tblStyle w:val="17"/>
        <w:tblW w:w="10042" w:type="dxa"/>
        <w:jc w:val="right"/>
        <w:tblLayout w:type="autofit"/>
        <w:tblCellMar>
          <w:top w:w="0" w:type="dxa"/>
          <w:left w:w="0" w:type="dxa"/>
          <w:bottom w:w="0" w:type="dxa"/>
          <w:right w:w="0" w:type="dxa"/>
        </w:tblCellMar>
      </w:tblPr>
      <w:tblGrid>
        <w:gridCol w:w="841"/>
        <w:gridCol w:w="1315"/>
        <w:gridCol w:w="7129"/>
        <w:gridCol w:w="757"/>
      </w:tblGrid>
      <w:tr w14:paraId="091FF396">
        <w:tblPrEx>
          <w:tblCellMar>
            <w:top w:w="0" w:type="dxa"/>
            <w:left w:w="0" w:type="dxa"/>
            <w:bottom w:w="0" w:type="dxa"/>
            <w:right w:w="0" w:type="dxa"/>
          </w:tblCellMar>
        </w:tblPrEx>
        <w:trPr>
          <w:trHeight w:val="310" w:hRule="atLeast"/>
          <w:jc w:val="right"/>
        </w:trPr>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C79F2">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C88C2">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45838">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74C66">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14:paraId="5B67F691">
        <w:tblPrEx>
          <w:tblCellMar>
            <w:top w:w="0" w:type="dxa"/>
            <w:left w:w="0" w:type="dxa"/>
            <w:bottom w:w="0" w:type="dxa"/>
            <w:right w:w="0" w:type="dxa"/>
          </w:tblCellMar>
        </w:tblPrEx>
        <w:trPr>
          <w:trHeight w:val="2854" w:hRule="atLeast"/>
          <w:jc w:val="right"/>
        </w:trPr>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B498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A1FC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需求响应情况</w:t>
            </w:r>
          </w:p>
          <w:p w14:paraId="5C4DC8A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1042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根据供应商“用户需求偏离表”中对本项目需求响应情况进行评价：</w:t>
            </w:r>
          </w:p>
          <w:p w14:paraId="3B5B038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优：对采购文件中各条款的响应非常全面，优于采购文件要求的，得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p w14:paraId="0B5A7B9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良：对采购文件中各条款的响应全面，符合采购文件要求的，得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p w14:paraId="7DA98820">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中：对采购文件中各条款的响应较全面，基本满足采购文件要求的，得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68C7D82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差：对采购文件中各条款的响应较差，只有部分满足采购文件要求的，得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0BA98CE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注：不填写用户需求偏离表的或填写不完整的视为不响应采购文件要求，不得分。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FA85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14:paraId="2BA44D7E">
        <w:tblPrEx>
          <w:tblCellMar>
            <w:top w:w="0" w:type="dxa"/>
            <w:left w:w="0" w:type="dxa"/>
            <w:bottom w:w="0" w:type="dxa"/>
            <w:right w:w="0" w:type="dxa"/>
          </w:tblCellMar>
        </w:tblPrEx>
        <w:trPr>
          <w:trHeight w:val="1690"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DEC2AF">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2</w:t>
            </w:r>
          </w:p>
        </w:tc>
        <w:tc>
          <w:tcPr>
            <w:tcW w:w="13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9C159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同类业绩</w:t>
            </w:r>
          </w:p>
          <w:p w14:paraId="41403A1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6DB8E">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年1月1日至今（以合同签订时间为准）完成过或正在实施的</w:t>
            </w:r>
            <w:r>
              <w:rPr>
                <w:rFonts w:hint="eastAsia" w:ascii="宋体" w:hAnsi="宋体" w:eastAsia="宋体" w:cs="宋体"/>
                <w:color w:val="auto"/>
                <w:sz w:val="21"/>
                <w:szCs w:val="21"/>
                <w:lang w:val="en-US" w:eastAsia="zh-CN"/>
              </w:rPr>
              <w:t>菌群移植</w:t>
            </w:r>
            <w:r>
              <w:rPr>
                <w:rFonts w:hint="eastAsia" w:ascii="宋体" w:hAnsi="宋体" w:eastAsia="宋体" w:cs="宋体"/>
                <w:color w:val="auto"/>
                <w:sz w:val="21"/>
                <w:szCs w:val="21"/>
              </w:rPr>
              <w:t>服务项目，每提供一个同类项目得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分，最高得12分。未提供不得分。</w:t>
            </w:r>
          </w:p>
          <w:p w14:paraId="3117BF74">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注：提供合同关键页复印件复印件，并加盖公章。</w:t>
            </w:r>
            <w:r>
              <w:rPr>
                <w:rFonts w:hint="eastAsia" w:ascii="宋体" w:hAnsi="宋体" w:eastAsia="宋体" w:cs="宋体"/>
                <w:b/>
                <w:bCs/>
                <w:color w:val="auto"/>
                <w:sz w:val="21"/>
                <w:szCs w:val="21"/>
                <w:lang w:val="en-US" w:eastAsia="zh-CN"/>
              </w:rPr>
              <w:t>同一业主按一个同类项目计分，</w:t>
            </w:r>
            <w:r>
              <w:rPr>
                <w:rFonts w:hint="eastAsia" w:ascii="宋体" w:hAnsi="宋体" w:eastAsia="宋体" w:cs="宋体"/>
                <w:b/>
                <w:bCs/>
                <w:color w:val="auto"/>
                <w:sz w:val="21"/>
                <w:szCs w:val="21"/>
              </w:rPr>
              <w:t>未提供或所提供文件不清晰造成评委无法判定则不得分。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EDEF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14:paraId="59DDCDA6">
        <w:tblPrEx>
          <w:tblCellMar>
            <w:top w:w="0" w:type="dxa"/>
            <w:left w:w="0" w:type="dxa"/>
            <w:bottom w:w="0" w:type="dxa"/>
            <w:right w:w="0" w:type="dxa"/>
          </w:tblCellMar>
        </w:tblPrEx>
        <w:trPr>
          <w:trHeight w:val="740" w:hRule="atLeast"/>
          <w:jc w:val="right"/>
        </w:trPr>
        <w:tc>
          <w:tcPr>
            <w:tcW w:w="841"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3E680E6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355C8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业主评价</w:t>
            </w:r>
          </w:p>
          <w:p w14:paraId="066AC4D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26FD0">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根据各供应商提供与上述同类项目业绩对应的用户评价，用户评价须为良好或以上（含同等意义的评价，如85分或以上、满意或以上等），每提供一项得1分，最高得6分。</w:t>
            </w:r>
          </w:p>
          <w:p w14:paraId="5037FAA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注：提供加盖客户公章的评价证明材料复印件，不满足要求或所提供材料无法体现用户评价的不得分。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3FF0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分</w:t>
            </w:r>
          </w:p>
        </w:tc>
      </w:tr>
      <w:tr w14:paraId="0906D602">
        <w:tblPrEx>
          <w:tblCellMar>
            <w:top w:w="0" w:type="dxa"/>
            <w:left w:w="0" w:type="dxa"/>
            <w:bottom w:w="0" w:type="dxa"/>
            <w:right w:w="0" w:type="dxa"/>
          </w:tblCellMar>
        </w:tblPrEx>
        <w:trPr>
          <w:trHeight w:val="665"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521BB8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92D8F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供体管理方案</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15</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64CB8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供体管理方案，内容包括但不限于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供体</w:t>
            </w:r>
            <w:r>
              <w:rPr>
                <w:rFonts w:hint="eastAsia" w:ascii="宋体" w:hAnsi="宋体" w:eastAsia="宋体" w:cs="宋体"/>
                <w:color w:val="auto"/>
                <w:sz w:val="21"/>
                <w:szCs w:val="21"/>
              </w:rPr>
              <w:t>的筛选机制；</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供体日常随访机制；</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供体健康监测管理机制</w:t>
            </w:r>
            <w:r>
              <w:rPr>
                <w:rFonts w:hint="eastAsia" w:ascii="宋体" w:hAnsi="宋体" w:eastAsia="宋体" w:cs="宋体"/>
                <w:color w:val="auto"/>
                <w:sz w:val="21"/>
                <w:szCs w:val="21"/>
                <w:lang w:val="en-US" w:eastAsia="zh-CN"/>
              </w:rPr>
              <w:t>等。</w:t>
            </w:r>
          </w:p>
          <w:p w14:paraId="323CB92B">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提供以上3项内容得5分，提供以上2项内容得3分，提供以上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4802107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19CEA1D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val="en-US"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543C527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2D786A7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5075CD7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A699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分</w:t>
            </w:r>
          </w:p>
        </w:tc>
      </w:tr>
      <w:tr w14:paraId="41A794BB">
        <w:tblPrEx>
          <w:tblCellMar>
            <w:top w:w="0" w:type="dxa"/>
            <w:left w:w="0" w:type="dxa"/>
            <w:bottom w:w="0" w:type="dxa"/>
            <w:right w:w="0" w:type="dxa"/>
          </w:tblCellMar>
        </w:tblPrEx>
        <w:trPr>
          <w:trHeight w:val="493"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95ACB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564B2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产品全流程闭环管理方案（15分）</w:t>
            </w:r>
          </w:p>
        </w:tc>
        <w:tc>
          <w:tcPr>
            <w:tcW w:w="712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B9918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rPr>
              <w:t>需提供产品全流程闭环管理方案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rPr>
              <w:t>：</w:t>
            </w:r>
          </w:p>
          <w:p w14:paraId="5E240AA2">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产品制备标准操作流程</w:t>
            </w:r>
            <w:r>
              <w:rPr>
                <w:rFonts w:hint="eastAsia" w:ascii="宋体" w:hAnsi="宋体" w:eastAsia="宋体" w:cs="宋体"/>
                <w:color w:val="auto"/>
                <w:sz w:val="21"/>
                <w:szCs w:val="21"/>
              </w:rPr>
              <w:t>和配套的膳食营养素（符合国家标准）</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运输过程中的产品质量保障方案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产品不良反应的处理与预防方案等。</w:t>
            </w:r>
          </w:p>
          <w:p w14:paraId="0A9B307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提供以上3项内容得5分，提供以上2项内容得3分，提供以上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7BC7C829">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0EE732D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52DFABC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3A0CE8F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4D3DB00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13C9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r>
      <w:tr w14:paraId="7C32C446">
        <w:tblPrEx>
          <w:tblCellMar>
            <w:top w:w="0" w:type="dxa"/>
            <w:left w:w="0" w:type="dxa"/>
            <w:bottom w:w="0" w:type="dxa"/>
            <w:right w:w="0" w:type="dxa"/>
          </w:tblCellMar>
        </w:tblPrEx>
        <w:trPr>
          <w:trHeight w:val="665" w:hRule="atLeast"/>
          <w:jc w:val="right"/>
        </w:trPr>
        <w:tc>
          <w:tcPr>
            <w:tcW w:w="8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48315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6</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9268FC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实验室质控方案（15分）</w:t>
            </w:r>
          </w:p>
        </w:tc>
        <w:tc>
          <w:tcPr>
            <w:tcW w:w="712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E76F34">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eastAsia="zh-CN"/>
              </w:rPr>
              <w:t>所</w:t>
            </w:r>
            <w:r>
              <w:rPr>
                <w:rFonts w:hint="eastAsia" w:ascii="宋体" w:hAnsi="宋体" w:eastAsia="宋体" w:cs="宋体"/>
                <w:color w:val="auto"/>
                <w:sz w:val="21"/>
                <w:szCs w:val="21"/>
                <w:lang w:val="en-US"/>
              </w:rPr>
              <w:t>提供实验室质控方案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实验室环境消杀管理方案；</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设备配备及维护方案；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内外部质控管理方案等。</w:t>
            </w:r>
          </w:p>
          <w:p w14:paraId="74A55849">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提供以上3项内容得5分，提供以上2项内容得3分，提供以上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67AC5C6">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4EF1EFA4">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0E151DE2">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38D8974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68BE033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5682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r>
      <w:tr w14:paraId="60AA9338">
        <w:tblPrEx>
          <w:tblCellMar>
            <w:top w:w="0" w:type="dxa"/>
            <w:left w:w="0" w:type="dxa"/>
            <w:bottom w:w="0" w:type="dxa"/>
            <w:right w:w="0" w:type="dxa"/>
          </w:tblCellMar>
        </w:tblPrEx>
        <w:trPr>
          <w:trHeight w:val="665" w:hRule="atLeast"/>
          <w:jc w:val="right"/>
        </w:trPr>
        <w:tc>
          <w:tcPr>
            <w:tcW w:w="8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5CB8B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7</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FC9C6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项目实施方案（15分）</w:t>
            </w:r>
          </w:p>
        </w:tc>
        <w:tc>
          <w:tcPr>
            <w:tcW w:w="712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A2601DE">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制定的项目实施方案，</w:t>
            </w:r>
            <w:r>
              <w:rPr>
                <w:rFonts w:hint="eastAsia" w:ascii="宋体" w:hAnsi="宋体" w:eastAsia="宋体" w:cs="宋体"/>
                <w:color w:val="auto"/>
                <w:sz w:val="21"/>
                <w:szCs w:val="21"/>
                <w:lang w:val="en-US" w:eastAsia="zh-CN"/>
              </w:rPr>
              <w:t>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rPr>
              <w:t>服务目标</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服务重点</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可操作的服务指标量及具体服务内容</w:t>
            </w:r>
            <w:r>
              <w:rPr>
                <w:rFonts w:hint="eastAsia" w:ascii="宋体" w:hAnsi="宋体" w:eastAsia="宋体" w:cs="宋体"/>
                <w:color w:val="auto"/>
                <w:sz w:val="21"/>
                <w:szCs w:val="21"/>
                <w:lang w:eastAsia="zh-CN"/>
              </w:rPr>
              <w:t>④</w:t>
            </w:r>
            <w:r>
              <w:rPr>
                <w:rFonts w:hint="eastAsia" w:ascii="宋体" w:hAnsi="宋体" w:eastAsia="宋体" w:cs="宋体"/>
                <w:color w:val="auto"/>
                <w:sz w:val="21"/>
                <w:szCs w:val="21"/>
              </w:rPr>
              <w:t>实施总体服务计划的具体操作性方案。</w:t>
            </w:r>
          </w:p>
          <w:p w14:paraId="0E5DF297">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提供以上4项内容得5分，提供以上3项内容得3.5分，提供以上2项内容得2分，提供以上1项内容得0.5分，未提供相关内容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3ED08B6">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24B58F0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7D143A2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2E10230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34E5E42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2912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5分</w:t>
            </w:r>
          </w:p>
        </w:tc>
      </w:tr>
      <w:tr w14:paraId="0449D624">
        <w:tblPrEx>
          <w:tblCellMar>
            <w:top w:w="0" w:type="dxa"/>
            <w:left w:w="0" w:type="dxa"/>
            <w:bottom w:w="0" w:type="dxa"/>
            <w:right w:w="0" w:type="dxa"/>
          </w:tblCellMar>
        </w:tblPrEx>
        <w:trPr>
          <w:trHeight w:val="840" w:hRule="atLeast"/>
          <w:jc w:val="right"/>
        </w:trPr>
        <w:tc>
          <w:tcPr>
            <w:tcW w:w="8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1CAD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8</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F95B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p w14:paraId="15650165">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10</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51101">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本项目的价格分：通过本项目审查且报价最低的报价为评审基准价，其价格分为满分。报价得分 = （评审基准价/最终报价）×价格分值</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D239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28987B36">
        <w:tblPrEx>
          <w:tblCellMar>
            <w:top w:w="0" w:type="dxa"/>
            <w:left w:w="0" w:type="dxa"/>
            <w:bottom w:w="0" w:type="dxa"/>
            <w:right w:w="0" w:type="dxa"/>
          </w:tblCellMar>
        </w:tblPrEx>
        <w:trPr>
          <w:trHeight w:val="600" w:hRule="atLeast"/>
          <w:jc w:val="right"/>
        </w:trPr>
        <w:tc>
          <w:tcPr>
            <w:tcW w:w="92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75E3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FD26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100分</w:t>
            </w:r>
          </w:p>
        </w:tc>
      </w:tr>
    </w:tbl>
    <w:p w14:paraId="0BEDA525">
      <w:pPr>
        <w:outlineLvl w:val="0"/>
        <w:rPr>
          <w:rFonts w:hint="eastAsia" w:ascii="宋体" w:hAnsi="宋体" w:eastAsia="宋体" w:cs="Times New Roman"/>
          <w:b/>
          <w:bCs/>
          <w:color w:val="auto"/>
          <w:kern w:val="2"/>
          <w:sz w:val="28"/>
          <w:szCs w:val="28"/>
          <w:highlight w:val="none"/>
          <w:lang w:val="en-US" w:eastAsia="zh-CN" w:bidi="ar-SA"/>
        </w:rPr>
      </w:pPr>
      <w:bookmarkStart w:id="42" w:name="_Toc18949"/>
      <w:bookmarkStart w:id="43" w:name="_Toc23471"/>
    </w:p>
    <w:p w14:paraId="08990659">
      <w:pPr>
        <w:outlineLvl w:val="0"/>
        <w:rPr>
          <w:rFonts w:hint="eastAsia" w:ascii="宋体" w:hAnsi="宋体" w:eastAsia="宋体" w:cs="Times New Roman"/>
          <w:b/>
          <w:bCs/>
          <w:color w:val="auto"/>
          <w:kern w:val="2"/>
          <w:sz w:val="28"/>
          <w:szCs w:val="28"/>
          <w:highlight w:val="none"/>
          <w:lang w:val="en-US" w:eastAsia="zh-CN" w:bidi="ar-SA"/>
        </w:rPr>
      </w:pPr>
    </w:p>
    <w:p w14:paraId="2D8D0227">
      <w:pPr>
        <w:outlineLvl w:val="0"/>
        <w:rPr>
          <w:rFonts w:hint="eastAsia" w:ascii="宋体" w:hAnsi="宋体" w:eastAsia="宋体" w:cs="Times New Roman"/>
          <w:b/>
          <w:bCs/>
          <w:color w:val="auto"/>
          <w:kern w:val="2"/>
          <w:sz w:val="28"/>
          <w:szCs w:val="28"/>
          <w:highlight w:val="none"/>
          <w:lang w:val="en-US" w:eastAsia="zh-CN" w:bidi="ar-SA"/>
        </w:rPr>
      </w:pPr>
    </w:p>
    <w:p w14:paraId="27057A37">
      <w:pPr>
        <w:outlineLvl w:val="0"/>
        <w:rPr>
          <w:rFonts w:hint="eastAsia" w:ascii="宋体" w:hAnsi="宋体" w:eastAsia="宋体" w:cs="Times New Roman"/>
          <w:b/>
          <w:bCs/>
          <w:color w:val="auto"/>
          <w:kern w:val="2"/>
          <w:sz w:val="28"/>
          <w:szCs w:val="28"/>
          <w:highlight w:val="none"/>
          <w:lang w:val="en-US" w:eastAsia="zh-CN" w:bidi="ar-SA"/>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44" w:name="_Toc7483"/>
      <w:r>
        <w:rPr>
          <w:rFonts w:hint="eastAsia" w:ascii="宋体" w:hAnsi="宋体" w:eastAsia="宋体" w:cs="Times New Roman"/>
          <w:b/>
          <w:bCs/>
          <w:color w:val="auto"/>
          <w:kern w:val="2"/>
          <w:sz w:val="28"/>
          <w:szCs w:val="28"/>
          <w:highlight w:val="none"/>
          <w:lang w:val="en-US" w:eastAsia="zh-CN" w:bidi="ar-SA"/>
        </w:rPr>
        <w:t>第四部分 合同模板</w:t>
      </w:r>
      <w:bookmarkEnd w:id="42"/>
      <w:bookmarkEnd w:id="43"/>
      <w:bookmarkEnd w:id="44"/>
      <w:r>
        <w:rPr>
          <w:rFonts w:hint="eastAsia" w:ascii="宋体" w:hAnsi="宋体" w:eastAsia="宋体" w:cs="Times New Roman"/>
          <w:b/>
          <w:bCs/>
          <w:color w:val="auto"/>
          <w:kern w:val="2"/>
          <w:sz w:val="28"/>
          <w:szCs w:val="28"/>
          <w:highlight w:val="none"/>
          <w:lang w:val="en-US" w:eastAsia="zh-CN" w:bidi="ar-SA"/>
        </w:rPr>
        <w:t xml:space="preserve"> </w:t>
      </w:r>
    </w:p>
    <w:p w14:paraId="1479AAA2">
      <w:pPr>
        <w:rPr>
          <w:rFonts w:hint="eastAsia" w:ascii="宋体" w:hAnsi="宋体" w:eastAsia="宋体" w:cs="Times New Roman"/>
          <w:color w:val="auto"/>
          <w:kern w:val="2"/>
          <w:sz w:val="24"/>
          <w:szCs w:val="24"/>
          <w:highlight w:val="none"/>
          <w:lang w:val="en-US" w:eastAsia="zh-CN" w:bidi="ar-SA"/>
        </w:rPr>
      </w:pPr>
    </w:p>
    <w:p w14:paraId="5827D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highlight w:val="none"/>
          <w:lang w:val="en-US" w:eastAsia="zh-CN"/>
        </w:rPr>
      </w:pPr>
    </w:p>
    <w:p w14:paraId="0A9CE585">
      <w:pPr>
        <w:pStyle w:val="2"/>
        <w:outlineLvl w:val="9"/>
        <w:rPr>
          <w:rFonts w:hint="eastAsia" w:ascii="宋体" w:hAnsi="宋体" w:eastAsia="宋体" w:cs="Times New Roman"/>
          <w:b/>
          <w:color w:val="auto"/>
          <w:sz w:val="30"/>
          <w:szCs w:val="30"/>
          <w:highlight w:val="none"/>
          <w:lang w:val="en-US" w:eastAsia="zh-CN"/>
        </w:rPr>
      </w:pPr>
    </w:p>
    <w:p w14:paraId="647B55E7">
      <w:pPr>
        <w:jc w:val="both"/>
        <w:rPr>
          <w:rFonts w:hint="eastAsia" w:ascii="宋体" w:hAnsi="宋体" w:eastAsia="宋体" w:cs="Times New Roman"/>
          <w:b/>
          <w:color w:val="auto"/>
          <w:sz w:val="30"/>
          <w:szCs w:val="30"/>
          <w:highlight w:val="none"/>
          <w:lang w:val="en-US" w:eastAsia="zh-CN"/>
        </w:rPr>
      </w:pPr>
    </w:p>
    <w:p w14:paraId="114923CB">
      <w:pPr>
        <w:spacing w:line="720" w:lineRule="auto"/>
        <w:jc w:val="center"/>
        <w:rPr>
          <w:rFonts w:hint="eastAsia" w:ascii="宋体" w:hAnsi="宋体" w:eastAsia="宋体" w:cs="Times New Roman"/>
          <w:b/>
          <w:bCs w:val="0"/>
          <w:color w:val="auto"/>
          <w:sz w:val="52"/>
          <w:szCs w:val="52"/>
          <w:highlight w:val="none"/>
        </w:rPr>
      </w:pPr>
      <w:r>
        <w:rPr>
          <w:rFonts w:hint="eastAsia" w:hAnsi="宋体"/>
          <w:b/>
          <w:bCs w:val="0"/>
          <w:color w:val="auto"/>
          <w:sz w:val="52"/>
          <w:szCs w:val="52"/>
          <w:highlight w:val="none"/>
        </w:rPr>
        <w:t>南方医科大学第五附属医院</w:t>
      </w:r>
    </w:p>
    <w:p w14:paraId="7ED9B0F8">
      <w:pPr>
        <w:spacing w:line="720" w:lineRule="auto"/>
        <w:jc w:val="center"/>
        <w:rPr>
          <w:rFonts w:hint="eastAsia" w:ascii="宋体" w:hAnsi="宋体" w:eastAsia="宋体" w:cs="Times New Roman"/>
          <w:b/>
          <w:bCs w:val="0"/>
          <w:color w:val="auto"/>
          <w:sz w:val="52"/>
          <w:szCs w:val="52"/>
          <w:highlight w:val="none"/>
        </w:rPr>
      </w:pPr>
      <w:r>
        <w:rPr>
          <w:rFonts w:hint="eastAsia" w:ascii="宋体" w:hAnsi="宋体" w:eastAsia="宋体" w:cs="Times New Roman"/>
          <w:b/>
          <w:bCs w:val="0"/>
          <w:color w:val="auto"/>
          <w:sz w:val="52"/>
          <w:szCs w:val="52"/>
          <w:highlight w:val="none"/>
          <w:lang w:val="en-US" w:eastAsia="zh-CN"/>
        </w:rPr>
        <w:t>****</w:t>
      </w:r>
      <w:r>
        <w:rPr>
          <w:rFonts w:hint="eastAsia" w:ascii="宋体" w:hAnsi="宋体" w:eastAsia="宋体" w:cs="Times New Roman"/>
          <w:b/>
          <w:bCs w:val="0"/>
          <w:color w:val="auto"/>
          <w:sz w:val="52"/>
          <w:szCs w:val="52"/>
          <w:highlight w:val="none"/>
        </w:rPr>
        <w:t>采购合同</w:t>
      </w:r>
    </w:p>
    <w:p w14:paraId="5567AE18">
      <w:pPr>
        <w:spacing w:line="360" w:lineRule="auto"/>
        <w:jc w:val="center"/>
        <w:rPr>
          <w:rFonts w:hAnsi="宋体"/>
          <w:b/>
          <w:color w:val="auto"/>
          <w:sz w:val="44"/>
          <w:highlight w:val="none"/>
        </w:rPr>
      </w:pPr>
    </w:p>
    <w:p w14:paraId="71214464">
      <w:pPr>
        <w:spacing w:line="520" w:lineRule="atLeast"/>
        <w:ind w:left="615" w:firstLine="200"/>
        <w:jc w:val="center"/>
        <w:rPr>
          <w:rFonts w:hAnsi="宋体"/>
          <w:b/>
          <w:color w:val="auto"/>
          <w:sz w:val="72"/>
          <w:highlight w:val="none"/>
        </w:rPr>
      </w:pPr>
    </w:p>
    <w:p w14:paraId="5EFB9312">
      <w:pPr>
        <w:pStyle w:val="10"/>
        <w:spacing w:line="520" w:lineRule="atLeast"/>
        <w:rPr>
          <w:rFonts w:hAnsi="宋体"/>
          <w:b/>
          <w:color w:val="auto"/>
          <w:sz w:val="36"/>
          <w:highlight w:val="none"/>
        </w:rPr>
      </w:pPr>
    </w:p>
    <w:p w14:paraId="6D13B077">
      <w:pPr>
        <w:spacing w:line="360" w:lineRule="auto"/>
        <w:ind w:right="1848"/>
        <w:rPr>
          <w:rFonts w:ascii="Times New Roman"/>
          <w:b/>
          <w:color w:val="auto"/>
          <w:sz w:val="30"/>
          <w:highlight w:val="none"/>
        </w:rPr>
      </w:pPr>
      <w:r>
        <w:rPr>
          <w:rFonts w:ascii="Times New Roman"/>
          <w:b/>
          <w:color w:val="auto"/>
          <w:sz w:val="30"/>
          <w:highlight w:val="none"/>
        </w:rPr>
        <w:t>合同编号：</w:t>
      </w:r>
    </w:p>
    <w:p w14:paraId="2C6DF4E0">
      <w:pPr>
        <w:spacing w:line="360" w:lineRule="auto"/>
        <w:ind w:right="1848"/>
        <w:rPr>
          <w:rFonts w:ascii="Times New Roman"/>
          <w:b/>
          <w:color w:val="auto"/>
          <w:sz w:val="30"/>
          <w:highlight w:val="none"/>
        </w:rPr>
      </w:pPr>
      <w:r>
        <w:rPr>
          <w:rFonts w:ascii="Times New Roman"/>
          <w:b/>
          <w:color w:val="auto"/>
          <w:sz w:val="30"/>
          <w:highlight w:val="none"/>
        </w:rPr>
        <w:t>甲方：</w:t>
      </w:r>
    </w:p>
    <w:p w14:paraId="6D691FA2">
      <w:pPr>
        <w:spacing w:line="360" w:lineRule="auto"/>
        <w:ind w:right="1848"/>
        <w:rPr>
          <w:rFonts w:ascii="Times New Roman"/>
          <w:b/>
          <w:color w:val="auto"/>
          <w:sz w:val="30"/>
          <w:highlight w:val="none"/>
        </w:rPr>
      </w:pPr>
      <w:r>
        <w:rPr>
          <w:rFonts w:ascii="Times New Roman"/>
          <w:b/>
          <w:color w:val="auto"/>
          <w:sz w:val="30"/>
          <w:highlight w:val="none"/>
        </w:rPr>
        <w:t>乙方</w:t>
      </w:r>
      <w:r>
        <w:rPr>
          <w:rFonts w:hint="eastAsia" w:ascii="Times New Roman"/>
          <w:b/>
          <w:color w:val="auto"/>
          <w:sz w:val="30"/>
          <w:highlight w:val="none"/>
        </w:rPr>
        <w:t>：</w:t>
      </w:r>
    </w:p>
    <w:p w14:paraId="7013CB78">
      <w:pPr>
        <w:widowControl/>
        <w:spacing w:line="360" w:lineRule="auto"/>
        <w:rPr>
          <w:rFonts w:ascii="Times New Roman"/>
          <w:b/>
          <w:color w:val="auto"/>
          <w:sz w:val="30"/>
          <w:highlight w:val="none"/>
        </w:rPr>
      </w:pPr>
      <w:r>
        <w:rPr>
          <w:rFonts w:ascii="Times New Roman"/>
          <w:b/>
          <w:color w:val="auto"/>
          <w:sz w:val="30"/>
          <w:highlight w:val="none"/>
        </w:rPr>
        <w:t>签署地点：</w:t>
      </w:r>
    </w:p>
    <w:p w14:paraId="780B2FA4">
      <w:pPr>
        <w:bidi w:val="0"/>
        <w:rPr>
          <w:color w:val="auto"/>
          <w:highlight w:val="none"/>
        </w:rPr>
      </w:pPr>
    </w:p>
    <w:p w14:paraId="0D395B2B">
      <w:pPr>
        <w:spacing w:line="600" w:lineRule="auto"/>
        <w:jc w:val="center"/>
        <w:rPr>
          <w:rFonts w:hint="eastAsia" w:ascii="黑体" w:hAnsi="黑体" w:eastAsia="黑体" w:cs="黑体"/>
          <w:b/>
          <w:bCs/>
          <w:color w:val="auto"/>
          <w:sz w:val="32"/>
          <w:szCs w:val="32"/>
          <w:highlight w:val="none"/>
        </w:rPr>
      </w:pPr>
    </w:p>
    <w:p w14:paraId="69A3E6EB">
      <w:pPr>
        <w:spacing w:line="600" w:lineRule="auto"/>
        <w:jc w:val="center"/>
        <w:rPr>
          <w:rFonts w:hint="eastAsia" w:ascii="黑体" w:hAnsi="黑体" w:eastAsia="黑体" w:cs="黑体"/>
          <w:b/>
          <w:bCs/>
          <w:color w:val="auto"/>
          <w:sz w:val="32"/>
          <w:szCs w:val="32"/>
          <w:highlight w:val="none"/>
        </w:rPr>
      </w:pPr>
    </w:p>
    <w:p w14:paraId="773DF480">
      <w:pPr>
        <w:pStyle w:val="27"/>
        <w:spacing w:line="360" w:lineRule="auto"/>
        <w:jc w:val="center"/>
        <w:rPr>
          <w:rFonts w:hint="eastAsia" w:ascii="黑体" w:hAnsi="黑体" w:eastAsia="黑体" w:cs="黑体"/>
          <w:b/>
          <w:bCs/>
          <w:color w:val="auto"/>
          <w:sz w:val="30"/>
          <w:szCs w:val="30"/>
          <w:highlight w:val="none"/>
        </w:rPr>
      </w:pPr>
    </w:p>
    <w:p w14:paraId="04D43D7E">
      <w:pPr>
        <w:spacing w:line="360" w:lineRule="auto"/>
        <w:jc w:val="center"/>
        <w:rPr>
          <w:rFonts w:hint="eastAsia"/>
          <w:b/>
          <w:color w:val="auto"/>
          <w:sz w:val="32"/>
          <w:szCs w:val="32"/>
        </w:rPr>
      </w:pPr>
    </w:p>
    <w:p w14:paraId="19E93A18">
      <w:pPr>
        <w:spacing w:line="360" w:lineRule="auto"/>
        <w:jc w:val="center"/>
        <w:rPr>
          <w:rFonts w:hint="eastAsia"/>
          <w:b/>
          <w:color w:val="auto"/>
          <w:sz w:val="32"/>
          <w:szCs w:val="32"/>
        </w:rPr>
      </w:pPr>
    </w:p>
    <w:p w14:paraId="7AEDFC88">
      <w:pPr>
        <w:spacing w:line="360" w:lineRule="auto"/>
        <w:jc w:val="center"/>
        <w:rPr>
          <w:rFonts w:hint="eastAsia" w:hAnsi="宋体" w:cs="宋体"/>
          <w:b/>
          <w:color w:val="auto"/>
          <w:sz w:val="21"/>
          <w:szCs w:val="21"/>
        </w:rPr>
      </w:pPr>
      <w:r>
        <w:rPr>
          <w:rFonts w:hint="eastAsia"/>
          <w:b/>
          <w:color w:val="auto"/>
          <w:sz w:val="32"/>
          <w:szCs w:val="32"/>
        </w:rPr>
        <w:t>南方医科大学第五附属医院</w:t>
      </w:r>
      <w:r>
        <w:rPr>
          <w:rFonts w:hint="eastAsia"/>
          <w:b/>
          <w:color w:val="auto"/>
          <w:sz w:val="32"/>
          <w:szCs w:val="32"/>
          <w:lang w:val="en-US" w:eastAsia="zh-CN"/>
        </w:rPr>
        <w:t>**</w:t>
      </w:r>
      <w:r>
        <w:rPr>
          <w:rFonts w:hint="eastAsia"/>
          <w:b/>
          <w:color w:val="auto"/>
          <w:sz w:val="32"/>
          <w:szCs w:val="32"/>
        </w:rPr>
        <w:t>服务合同</w:t>
      </w:r>
    </w:p>
    <w:p w14:paraId="4970A21F">
      <w:pPr>
        <w:autoSpaceDE/>
        <w:autoSpaceDN/>
        <w:adjustRightInd/>
        <w:spacing w:line="400" w:lineRule="exact"/>
        <w:rPr>
          <w:rFonts w:hint="eastAsia" w:hAnsi="宋体" w:cs="宋体"/>
          <w:b/>
          <w:color w:val="auto"/>
          <w:sz w:val="21"/>
          <w:szCs w:val="21"/>
        </w:rPr>
      </w:pPr>
      <w:r>
        <w:rPr>
          <w:rFonts w:hint="eastAsia" w:hAnsi="宋体" w:cs="宋体"/>
          <w:b/>
          <w:color w:val="auto"/>
          <w:sz w:val="21"/>
          <w:szCs w:val="21"/>
        </w:rPr>
        <w:t>甲方：</w:t>
      </w:r>
    </w:p>
    <w:p w14:paraId="001BB943">
      <w:pPr>
        <w:autoSpaceDE/>
        <w:autoSpaceDN/>
        <w:adjustRightInd/>
        <w:spacing w:line="400" w:lineRule="exact"/>
        <w:rPr>
          <w:rFonts w:hint="eastAsia" w:hAnsi="宋体" w:cs="宋体"/>
          <w:b/>
          <w:color w:val="auto"/>
          <w:sz w:val="21"/>
          <w:szCs w:val="21"/>
        </w:rPr>
      </w:pPr>
      <w:r>
        <w:rPr>
          <w:rFonts w:hint="eastAsia" w:hAnsi="宋体" w:cs="宋体"/>
          <w:b/>
          <w:color w:val="auto"/>
          <w:sz w:val="21"/>
          <w:szCs w:val="21"/>
        </w:rPr>
        <w:t>乙方：</w:t>
      </w:r>
    </w:p>
    <w:p w14:paraId="429EFE34">
      <w:pPr>
        <w:autoSpaceDE/>
        <w:autoSpaceDN/>
        <w:adjustRightInd/>
        <w:spacing w:line="400" w:lineRule="exact"/>
        <w:ind w:firstLine="550" w:firstLineChars="262"/>
        <w:rPr>
          <w:rFonts w:hint="eastAsia" w:hAnsi="宋体" w:cs="宋体"/>
          <w:color w:val="auto"/>
          <w:sz w:val="21"/>
          <w:szCs w:val="21"/>
        </w:rPr>
      </w:pPr>
      <w:r>
        <w:rPr>
          <w:rFonts w:hint="eastAsia" w:hAnsi="宋体" w:cs="宋体"/>
          <w:color w:val="auto"/>
          <w:sz w:val="21"/>
          <w:szCs w:val="21"/>
        </w:rPr>
        <w:t>依照《中华人民共和国民法典》中合同编相关规定及“</w:t>
      </w:r>
      <w:r>
        <w:rPr>
          <w:rFonts w:hint="eastAsia" w:hAnsi="宋体" w:cs="宋体"/>
          <w:color w:val="auto"/>
          <w:sz w:val="21"/>
          <w:szCs w:val="21"/>
          <w:lang w:val="en-US" w:eastAsia="zh-CN"/>
        </w:rPr>
        <w:t>****</w:t>
      </w:r>
      <w:r>
        <w:rPr>
          <w:rFonts w:hint="eastAsia" w:hAnsi="宋体" w:cs="宋体"/>
          <w:color w:val="auto"/>
          <w:sz w:val="21"/>
          <w:szCs w:val="21"/>
        </w:rPr>
        <w:t>项目”（项目编号：</w:t>
      </w:r>
      <w:r>
        <w:rPr>
          <w:rFonts w:hint="eastAsia" w:hAnsi="宋体" w:cs="宋体"/>
          <w:color w:val="auto"/>
          <w:sz w:val="21"/>
          <w:szCs w:val="21"/>
          <w:lang w:val="en-US" w:eastAsia="zh-CN"/>
        </w:rPr>
        <w:t>***</w:t>
      </w:r>
      <w:r>
        <w:rPr>
          <w:rFonts w:hint="eastAsia" w:hAnsi="宋体" w:cs="宋体"/>
          <w:color w:val="auto"/>
          <w:sz w:val="21"/>
          <w:szCs w:val="21"/>
        </w:rPr>
        <w:t>）的采购结果和乙方</w:t>
      </w:r>
      <w:r>
        <w:rPr>
          <w:rFonts w:hint="eastAsia" w:hAnsi="宋体" w:cs="宋体"/>
          <w:color w:val="auto"/>
          <w:sz w:val="21"/>
          <w:szCs w:val="21"/>
          <w:lang w:val="en-US" w:eastAsia="zh-CN"/>
        </w:rPr>
        <w:t>响应</w:t>
      </w:r>
      <w:r>
        <w:rPr>
          <w:rFonts w:hint="eastAsia" w:hAnsi="宋体" w:cs="宋体"/>
          <w:color w:val="auto"/>
          <w:sz w:val="21"/>
          <w:szCs w:val="21"/>
        </w:rPr>
        <w:t>文件中响应内容及承诺事项，为明确双方权利和义务，保障双方权益，甲、乙双方在自愿、平等、协商、互利的基础上,订立本合同，合同签订后，需共同遵守。一致同意签订本合同如下。</w:t>
      </w:r>
    </w:p>
    <w:p w14:paraId="688AF9F0">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第一条 项目内容</w:t>
      </w:r>
    </w:p>
    <w:p w14:paraId="61B29239">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rPr>
        <w:t>乙方作为南方医科大学第五附属医院</w:t>
      </w:r>
      <w:r>
        <w:rPr>
          <w:rFonts w:hint="eastAsia" w:ascii="宋体" w:hAnsi="宋体" w:eastAsia="宋体" w:cs="宋体"/>
          <w:color w:val="auto"/>
          <w:kern w:val="0"/>
          <w:sz w:val="21"/>
          <w:szCs w:val="21"/>
        </w:rPr>
        <w:t>菌群移植服务项目</w:t>
      </w:r>
      <w:r>
        <w:rPr>
          <w:rFonts w:hint="eastAsia" w:hAnsi="宋体" w:cs="宋体"/>
          <w:color w:val="auto"/>
          <w:sz w:val="21"/>
          <w:szCs w:val="21"/>
        </w:rPr>
        <w:t>服务单位，服务期内具体服务内容按照甲方</w:t>
      </w:r>
      <w:r>
        <w:rPr>
          <w:rFonts w:hint="eastAsia" w:hAnsi="宋体" w:cs="宋体"/>
          <w:color w:val="auto"/>
          <w:sz w:val="21"/>
          <w:szCs w:val="21"/>
          <w:lang w:val="en-US" w:eastAsia="zh-CN"/>
        </w:rPr>
        <w:t>采购</w:t>
      </w:r>
      <w:r>
        <w:rPr>
          <w:rFonts w:hint="eastAsia" w:hAnsi="宋体" w:cs="宋体"/>
          <w:color w:val="auto"/>
          <w:sz w:val="21"/>
          <w:szCs w:val="21"/>
        </w:rPr>
        <w:t>文件和乙方</w:t>
      </w:r>
      <w:r>
        <w:rPr>
          <w:rFonts w:hint="eastAsia" w:hAnsi="宋体" w:cs="宋体"/>
          <w:color w:val="auto"/>
          <w:sz w:val="21"/>
          <w:szCs w:val="21"/>
          <w:lang w:val="en-US" w:eastAsia="zh-CN"/>
        </w:rPr>
        <w:t>响应</w:t>
      </w:r>
      <w:r>
        <w:rPr>
          <w:rFonts w:hint="eastAsia" w:hAnsi="宋体" w:cs="宋体"/>
          <w:color w:val="auto"/>
          <w:sz w:val="21"/>
          <w:szCs w:val="21"/>
        </w:rPr>
        <w:t>文件执行。</w:t>
      </w:r>
      <w:r>
        <w:rPr>
          <w:rFonts w:hint="eastAsia" w:hAnsi="宋体" w:cs="宋体"/>
          <w:color w:val="auto"/>
          <w:sz w:val="21"/>
          <w:szCs w:val="21"/>
          <w:lang w:val="en-US" w:eastAsia="zh-CN"/>
        </w:rPr>
        <w:t>产品清单</w:t>
      </w:r>
      <w:r>
        <w:rPr>
          <w:rFonts w:hint="eastAsia" w:hAnsi="宋体" w:cs="宋体"/>
          <w:color w:val="auto"/>
          <w:sz w:val="21"/>
          <w:szCs w:val="21"/>
        </w:rPr>
        <w:t>内容如下：</w:t>
      </w:r>
    </w:p>
    <w:tbl>
      <w:tblPr>
        <w:tblStyle w:val="17"/>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50"/>
        <w:gridCol w:w="968"/>
        <w:gridCol w:w="996"/>
        <w:gridCol w:w="1895"/>
        <w:gridCol w:w="1459"/>
        <w:gridCol w:w="1844"/>
      </w:tblGrid>
      <w:tr w14:paraId="2C32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88" w:type="pct"/>
            <w:vAlign w:val="center"/>
          </w:tcPr>
          <w:p w14:paraId="474BAAAE">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序号</w:t>
            </w:r>
          </w:p>
        </w:tc>
        <w:tc>
          <w:tcPr>
            <w:tcW w:w="986" w:type="pct"/>
            <w:vAlign w:val="center"/>
          </w:tcPr>
          <w:p w14:paraId="1A6209A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菌群移植配套产品</w:t>
            </w:r>
          </w:p>
        </w:tc>
        <w:tc>
          <w:tcPr>
            <w:tcW w:w="489" w:type="pct"/>
            <w:vAlign w:val="center"/>
          </w:tcPr>
          <w:p w14:paraId="5A08D9BB">
            <w:pPr>
              <w:keepNext w:val="0"/>
              <w:keepLines w:val="0"/>
              <w:pageBreakBefore w:val="0"/>
              <w:kinsoku/>
              <w:wordWrap/>
              <w:overflowPunct/>
              <w:topLinePunct w:val="0"/>
              <w:bidi w:val="0"/>
              <w:snapToGrid/>
              <w:spacing w:line="240" w:lineRule="auto"/>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品牌</w:t>
            </w:r>
          </w:p>
        </w:tc>
        <w:tc>
          <w:tcPr>
            <w:tcW w:w="504" w:type="pct"/>
            <w:vAlign w:val="center"/>
          </w:tcPr>
          <w:p w14:paraId="1963D40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剂型</w:t>
            </w:r>
          </w:p>
        </w:tc>
        <w:tc>
          <w:tcPr>
            <w:tcW w:w="959" w:type="pct"/>
            <w:vAlign w:val="center"/>
          </w:tcPr>
          <w:p w14:paraId="088FB07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技术</w:t>
            </w:r>
            <w:r>
              <w:rPr>
                <w:rFonts w:hint="eastAsia" w:ascii="宋体" w:hAnsi="宋体" w:eastAsia="宋体" w:cs="宋体"/>
                <w:b/>
                <w:bCs/>
                <w:color w:val="auto"/>
                <w:kern w:val="0"/>
                <w:sz w:val="21"/>
                <w:szCs w:val="21"/>
              </w:rPr>
              <w:t>参数</w:t>
            </w:r>
          </w:p>
        </w:tc>
        <w:tc>
          <w:tcPr>
            <w:tcW w:w="738" w:type="pct"/>
            <w:vAlign w:val="center"/>
          </w:tcPr>
          <w:p w14:paraId="5219872C">
            <w:pPr>
              <w:keepNext w:val="0"/>
              <w:keepLines w:val="0"/>
              <w:pageBreakBefore w:val="0"/>
              <w:kinsoku/>
              <w:wordWrap/>
              <w:overflowPunct/>
              <w:topLinePunct w:val="0"/>
              <w:bidi w:val="0"/>
              <w:snapToGrid/>
              <w:spacing w:line="240" w:lineRule="auto"/>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单位</w:t>
            </w:r>
          </w:p>
        </w:tc>
        <w:tc>
          <w:tcPr>
            <w:tcW w:w="933" w:type="pct"/>
            <w:vAlign w:val="center"/>
          </w:tcPr>
          <w:p w14:paraId="59396D2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单价</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元</w:t>
            </w:r>
            <w:r>
              <w:rPr>
                <w:rFonts w:hint="eastAsia" w:ascii="宋体" w:hAnsi="宋体" w:eastAsia="宋体" w:cs="宋体"/>
                <w:b/>
                <w:bCs/>
                <w:color w:val="auto"/>
                <w:kern w:val="0"/>
                <w:sz w:val="21"/>
                <w:szCs w:val="21"/>
                <w:lang w:eastAsia="zh-CN"/>
              </w:rPr>
              <w:t>）</w:t>
            </w:r>
          </w:p>
        </w:tc>
      </w:tr>
      <w:tr w14:paraId="361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388" w:type="pct"/>
            <w:vAlign w:val="center"/>
          </w:tcPr>
          <w:p w14:paraId="7148A60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986" w:type="pct"/>
            <w:vAlign w:val="center"/>
          </w:tcPr>
          <w:p w14:paraId="0364E314">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489" w:type="pct"/>
            <w:vAlign w:val="center"/>
          </w:tcPr>
          <w:p w14:paraId="35D89F0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504" w:type="pct"/>
            <w:vAlign w:val="center"/>
          </w:tcPr>
          <w:p w14:paraId="051B7E9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959" w:type="pct"/>
            <w:vAlign w:val="center"/>
          </w:tcPr>
          <w:p w14:paraId="2D8D48C3">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p>
        </w:tc>
        <w:tc>
          <w:tcPr>
            <w:tcW w:w="738" w:type="pct"/>
            <w:vAlign w:val="center"/>
          </w:tcPr>
          <w:p w14:paraId="56DF3DD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c>
          <w:tcPr>
            <w:tcW w:w="933" w:type="pct"/>
            <w:vAlign w:val="center"/>
          </w:tcPr>
          <w:p w14:paraId="1CB38A7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r>
      <w:tr w14:paraId="516E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88" w:type="pct"/>
            <w:vAlign w:val="center"/>
          </w:tcPr>
          <w:p w14:paraId="0D3D316B">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986" w:type="pct"/>
            <w:vAlign w:val="center"/>
          </w:tcPr>
          <w:p w14:paraId="18BC6F45">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489" w:type="pct"/>
            <w:vAlign w:val="center"/>
          </w:tcPr>
          <w:p w14:paraId="7232AD0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504" w:type="pct"/>
            <w:vAlign w:val="center"/>
          </w:tcPr>
          <w:p w14:paraId="17CCF00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959" w:type="pct"/>
            <w:vAlign w:val="center"/>
          </w:tcPr>
          <w:p w14:paraId="5053BAED">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p>
        </w:tc>
        <w:tc>
          <w:tcPr>
            <w:tcW w:w="738" w:type="pct"/>
            <w:vAlign w:val="center"/>
          </w:tcPr>
          <w:p w14:paraId="24D1635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c>
          <w:tcPr>
            <w:tcW w:w="933" w:type="pct"/>
            <w:vAlign w:val="center"/>
          </w:tcPr>
          <w:p w14:paraId="195E12C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r>
      <w:tr w14:paraId="1851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88" w:type="pct"/>
            <w:shd w:val="clear" w:color="auto" w:fill="auto"/>
            <w:vAlign w:val="center"/>
          </w:tcPr>
          <w:p w14:paraId="5D15F248">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986" w:type="pct"/>
            <w:shd w:val="clear" w:color="auto" w:fill="auto"/>
            <w:vAlign w:val="center"/>
          </w:tcPr>
          <w:p w14:paraId="6E2E574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489" w:type="pct"/>
            <w:shd w:val="clear" w:color="auto" w:fill="auto"/>
            <w:vAlign w:val="center"/>
          </w:tcPr>
          <w:p w14:paraId="1B6D99F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504" w:type="pct"/>
            <w:shd w:val="clear" w:color="auto" w:fill="auto"/>
            <w:vAlign w:val="center"/>
          </w:tcPr>
          <w:p w14:paraId="3854FEC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959" w:type="pct"/>
            <w:vAlign w:val="center"/>
          </w:tcPr>
          <w:p w14:paraId="32C6C31C">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p>
        </w:tc>
        <w:tc>
          <w:tcPr>
            <w:tcW w:w="738" w:type="pct"/>
            <w:vAlign w:val="center"/>
          </w:tcPr>
          <w:p w14:paraId="0753073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c>
          <w:tcPr>
            <w:tcW w:w="933" w:type="pct"/>
            <w:vAlign w:val="center"/>
          </w:tcPr>
          <w:p w14:paraId="6FE3ED3D">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r>
      <w:tr w14:paraId="45B1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88" w:type="pct"/>
            <w:vAlign w:val="center"/>
          </w:tcPr>
          <w:p w14:paraId="23EF635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986" w:type="pct"/>
            <w:vAlign w:val="center"/>
          </w:tcPr>
          <w:p w14:paraId="4216049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489" w:type="pct"/>
            <w:vAlign w:val="center"/>
          </w:tcPr>
          <w:p w14:paraId="10ECC2F2">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504" w:type="pct"/>
            <w:vAlign w:val="center"/>
          </w:tcPr>
          <w:p w14:paraId="1F4FD800">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959" w:type="pct"/>
            <w:vAlign w:val="center"/>
          </w:tcPr>
          <w:p w14:paraId="214B36A7">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rPr>
            </w:pPr>
          </w:p>
        </w:tc>
        <w:tc>
          <w:tcPr>
            <w:tcW w:w="738" w:type="pct"/>
            <w:vAlign w:val="center"/>
          </w:tcPr>
          <w:p w14:paraId="1B4CE08E">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c>
          <w:tcPr>
            <w:tcW w:w="933" w:type="pct"/>
            <w:vAlign w:val="center"/>
          </w:tcPr>
          <w:p w14:paraId="7CCAD31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r>
    </w:tbl>
    <w:p w14:paraId="36B5C7AC">
      <w:pPr>
        <w:autoSpaceDE/>
        <w:autoSpaceDN/>
        <w:adjustRightInd/>
        <w:spacing w:line="400" w:lineRule="exact"/>
        <w:ind w:firstLine="422" w:firstLineChars="200"/>
        <w:rPr>
          <w:rFonts w:hint="eastAsia" w:hAnsi="宋体" w:cs="宋体"/>
          <w:b/>
          <w:color w:val="auto"/>
          <w:sz w:val="21"/>
          <w:szCs w:val="21"/>
          <w:lang w:val="en-GB"/>
        </w:rPr>
      </w:pPr>
      <w:r>
        <w:rPr>
          <w:rFonts w:hint="eastAsia" w:hAnsi="宋体" w:cs="宋体"/>
          <w:b/>
          <w:color w:val="auto"/>
          <w:sz w:val="21"/>
          <w:szCs w:val="21"/>
          <w:lang w:val="en-GB"/>
        </w:rPr>
        <w:t>第二条</w:t>
      </w:r>
      <w:r>
        <w:rPr>
          <w:rFonts w:hint="eastAsia" w:hAnsi="宋体" w:cs="宋体"/>
          <w:b/>
          <w:color w:val="auto"/>
          <w:sz w:val="21"/>
          <w:szCs w:val="21"/>
        </w:rPr>
        <w:t xml:space="preserve"> </w:t>
      </w:r>
      <w:r>
        <w:rPr>
          <w:rFonts w:hint="eastAsia" w:hAnsi="宋体" w:cs="宋体"/>
          <w:b/>
          <w:color w:val="auto"/>
          <w:sz w:val="21"/>
          <w:szCs w:val="21"/>
          <w:lang w:val="en-GB"/>
        </w:rPr>
        <w:t>合同金额</w:t>
      </w:r>
    </w:p>
    <w:p w14:paraId="693F7C46">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合同总价以人民币核算，严格按照成交价执行，合同金额根据双方实际确定的采购单据进行结算，结算价=</w:t>
      </w:r>
      <w:r>
        <w:rPr>
          <w:rFonts w:hint="eastAsia" w:hAnsi="宋体" w:eastAsia="宋体" w:cs="宋体"/>
          <w:color w:val="auto"/>
          <w:sz w:val="21"/>
          <w:szCs w:val="21"/>
        </w:rPr>
        <w:t>菌群移植配套产品×</w:t>
      </w:r>
      <w:r>
        <w:rPr>
          <w:rFonts w:hint="eastAsia" w:hAnsi="宋体" w:cs="宋体"/>
          <w:color w:val="auto"/>
          <w:sz w:val="21"/>
          <w:szCs w:val="21"/>
        </w:rPr>
        <w:t>对应的单价×实际数量，但本项目的合同总价不得超过大写人民币</w:t>
      </w:r>
      <w:r>
        <w:rPr>
          <w:rFonts w:hint="eastAsia" w:hAnsi="宋体" w:cs="宋体"/>
          <w:color w:val="auto"/>
          <w:sz w:val="21"/>
          <w:szCs w:val="21"/>
          <w:u w:val="single"/>
          <w:lang w:val="en-US" w:eastAsia="zh-CN"/>
        </w:rPr>
        <w:t xml:space="preserve">     </w:t>
      </w:r>
      <w:r>
        <w:rPr>
          <w:rFonts w:hint="eastAsia" w:hAnsi="宋体" w:cs="宋体"/>
          <w:color w:val="auto"/>
          <w:sz w:val="21"/>
          <w:szCs w:val="21"/>
        </w:rPr>
        <w:t>元整（￥</w:t>
      </w:r>
      <w:r>
        <w:rPr>
          <w:rFonts w:hint="eastAsia" w:hAnsi="宋体" w:cs="宋体"/>
          <w:color w:val="auto"/>
          <w:sz w:val="21"/>
          <w:szCs w:val="21"/>
          <w:u w:val="single"/>
          <w:lang w:val="en-US" w:eastAsia="zh-CN"/>
        </w:rPr>
        <w:t xml:space="preserve">    </w:t>
      </w:r>
      <w:r>
        <w:rPr>
          <w:rFonts w:hint="eastAsia" w:hAnsi="宋体" w:cs="宋体"/>
          <w:color w:val="auto"/>
          <w:sz w:val="21"/>
          <w:szCs w:val="21"/>
        </w:rPr>
        <w:t>）。</w:t>
      </w:r>
    </w:p>
    <w:p w14:paraId="5FA38E01">
      <w:pPr>
        <w:autoSpaceDE/>
        <w:autoSpaceDN/>
        <w:adjustRightInd/>
        <w:spacing w:line="400" w:lineRule="exact"/>
        <w:ind w:firstLine="420" w:firstLineChars="200"/>
        <w:rPr>
          <w:rFonts w:hint="eastAsia" w:hAnsi="宋体" w:cs="宋体"/>
          <w:color w:val="auto"/>
          <w:sz w:val="21"/>
          <w:szCs w:val="21"/>
          <w:lang w:val="en-GB"/>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合同总价包含但不限于各种货款、运费、各种税费、人工费、资料费、售后及可预见和不可预见等完成本服务内容所需的全部费用。乙方在成交或合同履行过程中，出现任何遗漏内容需产生额外费用，均由</w:t>
      </w:r>
      <w:r>
        <w:rPr>
          <w:rFonts w:hint="eastAsia" w:hAnsi="宋体" w:cs="宋体"/>
          <w:color w:val="auto"/>
          <w:sz w:val="21"/>
          <w:szCs w:val="21"/>
          <w:lang w:val="en-US" w:eastAsia="zh-CN"/>
        </w:rPr>
        <w:t>乙方</w:t>
      </w:r>
      <w:r>
        <w:rPr>
          <w:rFonts w:hint="eastAsia" w:hAnsi="宋体" w:cs="宋体"/>
          <w:color w:val="auto"/>
          <w:sz w:val="21"/>
          <w:szCs w:val="21"/>
        </w:rPr>
        <w:t>承担，</w:t>
      </w:r>
      <w:r>
        <w:rPr>
          <w:rFonts w:hint="eastAsia" w:hAnsi="宋体" w:cs="宋体"/>
          <w:color w:val="auto"/>
          <w:sz w:val="21"/>
          <w:szCs w:val="21"/>
          <w:lang w:val="en-US" w:eastAsia="zh-CN"/>
        </w:rPr>
        <w:t>甲方</w:t>
      </w:r>
      <w:r>
        <w:rPr>
          <w:rFonts w:hint="eastAsia" w:hAnsi="宋体" w:cs="宋体"/>
          <w:color w:val="auto"/>
          <w:sz w:val="21"/>
          <w:szCs w:val="21"/>
        </w:rPr>
        <w:t>将不再支付任何费用，在合同期内</w:t>
      </w:r>
      <w:r>
        <w:rPr>
          <w:rFonts w:hint="eastAsia" w:hAnsi="宋体" w:cs="宋体"/>
          <w:color w:val="auto"/>
          <w:sz w:val="21"/>
          <w:szCs w:val="21"/>
          <w:lang w:val="en-US" w:eastAsia="zh-CN"/>
        </w:rPr>
        <w:t>合同</w:t>
      </w:r>
      <w:r>
        <w:rPr>
          <w:rFonts w:hint="eastAsia" w:hAnsi="宋体" w:cs="宋体"/>
          <w:color w:val="auto"/>
          <w:sz w:val="21"/>
          <w:szCs w:val="21"/>
        </w:rPr>
        <w:t>价不得因任何因素上调。</w:t>
      </w:r>
    </w:p>
    <w:p w14:paraId="5C1EA0D9">
      <w:pPr>
        <w:widowControl/>
        <w:autoSpaceDE/>
        <w:autoSpaceDN/>
        <w:adjustRightInd/>
        <w:spacing w:line="400" w:lineRule="exact"/>
        <w:ind w:firstLine="422" w:firstLineChars="200"/>
        <w:contextualSpacing/>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GB"/>
        </w:rPr>
        <w:t>第</w:t>
      </w:r>
      <w:r>
        <w:rPr>
          <w:rFonts w:hint="eastAsia" w:hAnsi="宋体" w:cs="宋体"/>
          <w:b/>
          <w:bCs/>
          <w:color w:val="auto"/>
          <w:sz w:val="21"/>
          <w:szCs w:val="21"/>
          <w:highlight w:val="none"/>
        </w:rPr>
        <w:t>三</w:t>
      </w:r>
      <w:r>
        <w:rPr>
          <w:rFonts w:hint="eastAsia" w:hAnsi="宋体" w:cs="宋体"/>
          <w:b/>
          <w:bCs/>
          <w:color w:val="auto"/>
          <w:sz w:val="21"/>
          <w:szCs w:val="21"/>
          <w:highlight w:val="none"/>
          <w:lang w:val="en-GB"/>
        </w:rPr>
        <w:t>条</w:t>
      </w:r>
      <w:r>
        <w:rPr>
          <w:rFonts w:hint="eastAsia" w:hAnsi="宋体" w:cs="宋体"/>
          <w:b/>
          <w:bCs/>
          <w:color w:val="auto"/>
          <w:sz w:val="21"/>
          <w:szCs w:val="21"/>
          <w:highlight w:val="none"/>
          <w:lang w:val="en-US" w:eastAsia="zh-CN"/>
        </w:rPr>
        <w:t xml:space="preserve">  付款方式</w:t>
      </w:r>
    </w:p>
    <w:p w14:paraId="3445C56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1.按季度进行结算。</w:t>
      </w:r>
    </w:p>
    <w:p w14:paraId="6D3E8C3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每季度第一个月10号前</w:t>
      </w:r>
      <w:r>
        <w:rPr>
          <w:rFonts w:hint="eastAsia" w:ascii="宋体" w:hAnsi="宋体" w:cs="宋体"/>
          <w:color w:val="auto"/>
          <w:kern w:val="0"/>
          <w:sz w:val="21"/>
          <w:szCs w:val="21"/>
          <w:highlight w:val="none"/>
          <w:lang w:val="en-US" w:eastAsia="zh-CN"/>
        </w:rPr>
        <w:t>甲乙</w:t>
      </w:r>
      <w:r>
        <w:rPr>
          <w:rFonts w:hint="eastAsia" w:ascii="宋体" w:hAnsi="宋体" w:eastAsia="宋体" w:cs="宋体"/>
          <w:color w:val="auto"/>
          <w:kern w:val="0"/>
          <w:sz w:val="21"/>
          <w:szCs w:val="21"/>
          <w:highlight w:val="none"/>
        </w:rPr>
        <w:t>双方核对上一季度数据，核对无误后</w:t>
      </w:r>
      <w:r>
        <w:rPr>
          <w:rFonts w:hint="eastAsia" w:ascii="宋体" w:hAnsi="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7个工作日内开具发票，</w:t>
      </w:r>
      <w:r>
        <w:rPr>
          <w:rFonts w:hint="eastAsia" w:ascii="宋体" w:hAnsi="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收到发票并核对无误后，10个工作日内付清货款。如遇节假日或不可抗拒原因，支付日期顺延。</w:t>
      </w:r>
    </w:p>
    <w:p w14:paraId="081F98DB">
      <w:pPr>
        <w:widowControl/>
        <w:autoSpaceDE/>
        <w:autoSpaceDN/>
        <w:adjustRightInd/>
        <w:spacing w:line="400" w:lineRule="exact"/>
        <w:ind w:firstLine="422" w:firstLineChars="200"/>
        <w:contextualSpacing/>
        <w:rPr>
          <w:rFonts w:hint="eastAsia" w:hAnsi="宋体" w:cs="宋体"/>
          <w:b/>
          <w:bCs/>
          <w:color w:val="auto"/>
          <w:sz w:val="21"/>
          <w:szCs w:val="21"/>
        </w:rPr>
      </w:pPr>
      <w:r>
        <w:rPr>
          <w:rFonts w:hint="eastAsia" w:hAnsi="宋体" w:cs="宋体"/>
          <w:b/>
          <w:bCs/>
          <w:color w:val="auto"/>
          <w:sz w:val="21"/>
          <w:szCs w:val="21"/>
          <w:lang w:val="en-US" w:eastAsia="zh-CN"/>
        </w:rPr>
        <w:t xml:space="preserve">第四条 </w:t>
      </w:r>
      <w:r>
        <w:rPr>
          <w:rFonts w:hint="eastAsia" w:hAnsi="宋体" w:cs="宋体"/>
          <w:b/>
          <w:bCs/>
          <w:color w:val="auto"/>
          <w:sz w:val="21"/>
          <w:szCs w:val="21"/>
        </w:rPr>
        <w:t>履约保证金</w:t>
      </w:r>
    </w:p>
    <w:p w14:paraId="2D48CDA6">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（一）</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与</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签订合同时，需向</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提交履约保证金保证金10000元。</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确认</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全部义务履行完毕且无违约责任后 30 个工作日内以非现金形式无息退回。</w:t>
      </w:r>
    </w:p>
    <w:p w14:paraId="0C15BB3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二</w:t>
      </w:r>
      <w:r>
        <w:rPr>
          <w:rFonts w:hint="eastAsia" w:hAnsi="宋体" w:cs="宋体"/>
          <w:b w:val="0"/>
          <w:bCs w:val="0"/>
          <w:color w:val="auto"/>
          <w:sz w:val="21"/>
          <w:szCs w:val="21"/>
          <w:lang w:eastAsia="zh-CN"/>
        </w:rPr>
        <w:t>）</w:t>
      </w:r>
      <w:r>
        <w:rPr>
          <w:rFonts w:hint="eastAsia" w:hAnsi="宋体" w:cs="宋体"/>
          <w:b w:val="0"/>
          <w:bCs w:val="0"/>
          <w:color w:val="auto"/>
          <w:sz w:val="21"/>
          <w:szCs w:val="21"/>
        </w:rPr>
        <w:t>履约保证金不予退还的情形：</w:t>
      </w:r>
    </w:p>
    <w:p w14:paraId="1667272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val="en-US" w:eastAsia="zh-CN"/>
        </w:rPr>
        <w:t>1.</w:t>
      </w:r>
      <w:r>
        <w:rPr>
          <w:rFonts w:hint="eastAsia" w:hAnsi="宋体" w:cs="宋体"/>
          <w:b w:val="0"/>
          <w:bCs w:val="0"/>
          <w:color w:val="auto"/>
          <w:sz w:val="21"/>
          <w:szCs w:val="21"/>
        </w:rPr>
        <w:t>拒绝履行合同义务的；</w:t>
      </w:r>
    </w:p>
    <w:p w14:paraId="435A761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val="en-US" w:eastAsia="zh-CN"/>
        </w:rPr>
        <w:t>2.</w:t>
      </w:r>
      <w:r>
        <w:rPr>
          <w:rFonts w:hint="eastAsia" w:hAnsi="宋体" w:cs="宋体"/>
          <w:b w:val="0"/>
          <w:bCs w:val="0"/>
          <w:color w:val="auto"/>
          <w:sz w:val="21"/>
          <w:szCs w:val="21"/>
        </w:rPr>
        <w:t>履约验收不合格的。</w:t>
      </w:r>
    </w:p>
    <w:p w14:paraId="2D1FDF3E">
      <w:pPr>
        <w:widowControl/>
        <w:autoSpaceDE/>
        <w:autoSpaceDN/>
        <w:adjustRightInd/>
        <w:spacing w:line="400" w:lineRule="exact"/>
        <w:ind w:firstLine="420" w:firstLineChars="200"/>
        <w:contextualSpacing/>
        <w:rPr>
          <w:rFonts w:hint="eastAsia" w:hAnsi="宋体" w:cs="宋体"/>
          <w:b/>
          <w:bCs/>
          <w:color w:val="auto"/>
          <w:sz w:val="21"/>
          <w:szCs w:val="21"/>
        </w:rPr>
      </w:pPr>
      <w:r>
        <w:rPr>
          <w:rFonts w:hint="eastAsia" w:hAnsi="宋体" w:cs="宋体"/>
          <w:b w:val="0"/>
          <w:bCs w:val="0"/>
          <w:color w:val="auto"/>
          <w:sz w:val="21"/>
          <w:szCs w:val="21"/>
          <w:lang w:val="en-US" w:eastAsia="zh-CN"/>
        </w:rPr>
        <w:t>（三）甲方</w:t>
      </w:r>
      <w:r>
        <w:rPr>
          <w:rFonts w:hint="eastAsia" w:hAnsi="宋体" w:cs="宋体"/>
          <w:b w:val="0"/>
          <w:bCs w:val="0"/>
          <w:color w:val="auto"/>
          <w:sz w:val="21"/>
          <w:szCs w:val="21"/>
        </w:rPr>
        <w:t>逾期退还履约保证金的，从逾期之日起每日按履约保证金3‰的数额向</w:t>
      </w:r>
      <w:r>
        <w:rPr>
          <w:rFonts w:hint="eastAsia" w:hAnsi="宋体" w:cs="宋体"/>
          <w:b w:val="0"/>
          <w:bCs w:val="0"/>
          <w:color w:val="auto"/>
          <w:sz w:val="21"/>
          <w:szCs w:val="21"/>
          <w:lang w:val="en-US" w:eastAsia="zh-CN"/>
        </w:rPr>
        <w:t>乙方</w:t>
      </w:r>
      <w:r>
        <w:rPr>
          <w:rFonts w:hint="eastAsia" w:hAnsi="宋体" w:cs="宋体"/>
          <w:b w:val="0"/>
          <w:bCs w:val="0"/>
          <w:color w:val="auto"/>
          <w:sz w:val="21"/>
          <w:szCs w:val="21"/>
        </w:rPr>
        <w:t>支付违约金。但因</w:t>
      </w:r>
      <w:r>
        <w:rPr>
          <w:rFonts w:hint="eastAsia" w:hAnsi="宋体" w:cs="宋体"/>
          <w:b w:val="0"/>
          <w:bCs w:val="0"/>
          <w:color w:val="auto"/>
          <w:sz w:val="21"/>
          <w:szCs w:val="21"/>
          <w:lang w:val="en-US" w:eastAsia="zh-CN"/>
        </w:rPr>
        <w:t>乙方</w:t>
      </w:r>
      <w:r>
        <w:rPr>
          <w:rFonts w:hint="eastAsia" w:hAnsi="宋体" w:cs="宋体"/>
          <w:b w:val="0"/>
          <w:bCs w:val="0"/>
          <w:color w:val="auto"/>
          <w:sz w:val="21"/>
          <w:szCs w:val="21"/>
        </w:rPr>
        <w:t>自身原因导致无法及时退还的除外。</w:t>
      </w:r>
    </w:p>
    <w:p w14:paraId="1D6F31A4">
      <w:pPr>
        <w:widowControl/>
        <w:autoSpaceDE/>
        <w:autoSpaceDN/>
        <w:adjustRightInd/>
        <w:spacing w:line="400" w:lineRule="exact"/>
        <w:ind w:firstLine="422" w:firstLineChars="200"/>
        <w:contextualSpacing/>
        <w:rPr>
          <w:rFonts w:hint="eastAsia" w:hAnsi="宋体" w:cs="宋体"/>
          <w:b/>
          <w:bCs/>
          <w:color w:val="auto"/>
          <w:sz w:val="21"/>
          <w:szCs w:val="21"/>
        </w:rPr>
      </w:pPr>
      <w:r>
        <w:rPr>
          <w:rFonts w:hint="eastAsia" w:hAnsi="宋体" w:cs="宋体"/>
          <w:b/>
          <w:bCs/>
          <w:color w:val="auto"/>
          <w:sz w:val="21"/>
          <w:szCs w:val="21"/>
          <w:lang w:val="en-US" w:eastAsia="zh-CN"/>
        </w:rPr>
        <w:t xml:space="preserve">第五条 </w:t>
      </w:r>
      <w:r>
        <w:rPr>
          <w:rFonts w:hint="eastAsia" w:hAnsi="宋体" w:cs="宋体"/>
          <w:b/>
          <w:bCs/>
          <w:color w:val="auto"/>
          <w:sz w:val="21"/>
          <w:szCs w:val="21"/>
          <w:lang w:val="en-GB"/>
        </w:rPr>
        <w:t>服务期限</w:t>
      </w:r>
      <w:r>
        <w:rPr>
          <w:rFonts w:hint="eastAsia" w:hAnsi="宋体" w:cs="宋体"/>
          <w:b/>
          <w:bCs/>
          <w:color w:val="auto"/>
          <w:sz w:val="21"/>
          <w:szCs w:val="21"/>
        </w:rPr>
        <w:t>和服务地点</w:t>
      </w:r>
    </w:p>
    <w:p w14:paraId="702EDB26">
      <w:pPr>
        <w:autoSpaceDE/>
        <w:autoSpaceDN/>
        <w:adjustRightInd/>
        <w:spacing w:line="400" w:lineRule="exact"/>
        <w:ind w:firstLine="420" w:firstLineChars="200"/>
        <w:jc w:val="both"/>
        <w:rPr>
          <w:rFonts w:hint="eastAsia" w:hAnsi="宋体" w:eastAsia="宋体" w:cs="宋体"/>
          <w:color w:val="auto"/>
          <w:sz w:val="21"/>
          <w:szCs w:val="21"/>
        </w:rPr>
      </w:pPr>
      <w:r>
        <w:rPr>
          <w:rFonts w:hint="eastAsia" w:hAnsi="宋体" w:cs="宋体"/>
          <w:color w:val="auto"/>
          <w:sz w:val="21"/>
          <w:szCs w:val="21"/>
        </w:rPr>
        <w:t>（一）服务期：</w:t>
      </w:r>
      <w:r>
        <w:rPr>
          <w:rFonts w:hint="eastAsia" w:hAnsi="宋体" w:eastAsia="宋体" w:cs="宋体"/>
          <w:color w:val="auto"/>
          <w:sz w:val="21"/>
          <w:szCs w:val="21"/>
        </w:rPr>
        <w:t>1年</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自</w:t>
      </w:r>
      <w:r>
        <w:rPr>
          <w:rFonts w:hint="eastAsia" w:hAnsi="宋体" w:eastAsia="宋体" w:cs="宋体"/>
          <w:color w:val="auto"/>
          <w:sz w:val="21"/>
          <w:szCs w:val="21"/>
          <w:u w:val="single"/>
          <w:lang w:val="en-US" w:eastAsia="zh-CN"/>
        </w:rPr>
        <w:t xml:space="preserve">   年   月   日至   年   月    日止，</w:t>
      </w:r>
      <w:r>
        <w:rPr>
          <w:rFonts w:hint="eastAsia" w:hAnsi="宋体" w:eastAsia="宋体" w:cs="宋体"/>
          <w:color w:val="auto"/>
          <w:sz w:val="21"/>
          <w:szCs w:val="21"/>
        </w:rPr>
        <w:t>合同期（最长）为</w:t>
      </w:r>
      <w:r>
        <w:rPr>
          <w:rFonts w:hint="eastAsia" w:hAnsi="宋体" w:eastAsia="宋体" w:cs="宋体"/>
          <w:color w:val="auto"/>
          <w:sz w:val="21"/>
          <w:szCs w:val="21"/>
          <w:lang w:val="en-US" w:eastAsia="zh-CN"/>
        </w:rPr>
        <w:t>1</w:t>
      </w:r>
      <w:r>
        <w:rPr>
          <w:rFonts w:hint="eastAsia" w:hAnsi="宋体" w:eastAsia="宋体" w:cs="宋体"/>
          <w:color w:val="auto"/>
          <w:sz w:val="21"/>
          <w:szCs w:val="21"/>
        </w:rPr>
        <w:t>年或在服务期内，</w:t>
      </w:r>
      <w:r>
        <w:rPr>
          <w:rFonts w:hint="eastAsia" w:hAnsi="宋体" w:eastAsia="宋体" w:cs="宋体"/>
          <w:color w:val="auto"/>
          <w:sz w:val="21"/>
          <w:szCs w:val="21"/>
          <w:lang w:val="en-US" w:eastAsia="zh-CN"/>
        </w:rPr>
        <w:t>甲方</w:t>
      </w:r>
      <w:r>
        <w:rPr>
          <w:rFonts w:hint="eastAsia" w:hAnsi="宋体" w:eastAsia="宋体" w:cs="宋体"/>
          <w:color w:val="auto"/>
          <w:sz w:val="21"/>
          <w:szCs w:val="21"/>
        </w:rPr>
        <w:t>支付的服务费用</w:t>
      </w:r>
      <w:r>
        <w:rPr>
          <w:rFonts w:hint="eastAsia" w:hAnsi="宋体" w:eastAsia="宋体" w:cs="宋体"/>
          <w:color w:val="auto"/>
          <w:sz w:val="21"/>
          <w:szCs w:val="21"/>
          <w:lang w:val="en-US" w:eastAsia="zh-CN"/>
        </w:rPr>
        <w:t>累积</w:t>
      </w:r>
      <w:r>
        <w:rPr>
          <w:rFonts w:hint="eastAsia" w:hAnsi="宋体" w:eastAsia="宋体" w:cs="宋体"/>
          <w:color w:val="auto"/>
          <w:sz w:val="21"/>
          <w:szCs w:val="21"/>
        </w:rPr>
        <w:t>达到</w:t>
      </w:r>
      <w:r>
        <w:rPr>
          <w:rFonts w:hint="eastAsia" w:hAnsi="宋体" w:eastAsia="宋体" w:cs="宋体"/>
          <w:color w:val="auto"/>
          <w:sz w:val="21"/>
          <w:szCs w:val="21"/>
          <w:lang w:val="en-US" w:eastAsia="zh-CN"/>
        </w:rPr>
        <w:t>45</w:t>
      </w:r>
      <w:r>
        <w:rPr>
          <w:rFonts w:hint="eastAsia" w:hAnsi="宋体" w:eastAsia="宋体" w:cs="宋体"/>
          <w:color w:val="auto"/>
          <w:sz w:val="21"/>
          <w:szCs w:val="21"/>
        </w:rPr>
        <w:t>0000元，前述两者中，其中一项达到上述约定的条件，则合同结束。</w:t>
      </w:r>
    </w:p>
    <w:p w14:paraId="3CD4266A">
      <w:pPr>
        <w:autoSpaceDE/>
        <w:autoSpaceDN/>
        <w:adjustRightInd/>
        <w:spacing w:line="400" w:lineRule="exact"/>
        <w:ind w:firstLine="420" w:firstLineChars="200"/>
        <w:jc w:val="both"/>
        <w:rPr>
          <w:rFonts w:hint="eastAsia" w:hAnsi="宋体" w:cs="宋体"/>
          <w:color w:val="auto"/>
          <w:sz w:val="21"/>
          <w:szCs w:val="21"/>
          <w:lang w:val="zh-CN"/>
        </w:rPr>
      </w:pPr>
      <w:r>
        <w:rPr>
          <w:rFonts w:hint="eastAsia" w:hAnsi="宋体" w:cs="宋体"/>
          <w:color w:val="auto"/>
          <w:sz w:val="21"/>
          <w:szCs w:val="21"/>
        </w:rPr>
        <w:t>（二）</w:t>
      </w:r>
      <w:r>
        <w:rPr>
          <w:rFonts w:hint="eastAsia" w:hAnsi="宋体" w:cs="宋体"/>
          <w:color w:val="auto"/>
          <w:sz w:val="21"/>
          <w:szCs w:val="21"/>
          <w:lang w:val="zh-CN"/>
        </w:rPr>
        <w:t>服务地点：</w:t>
      </w:r>
      <w:r>
        <w:rPr>
          <w:rFonts w:hint="eastAsia" w:hAnsi="宋体" w:cs="宋体"/>
          <w:color w:val="auto"/>
          <w:sz w:val="21"/>
          <w:szCs w:val="21"/>
        </w:rPr>
        <w:t>产品配送至</w:t>
      </w:r>
      <w:r>
        <w:rPr>
          <w:rFonts w:hint="eastAsia" w:hAnsi="宋体" w:cs="宋体"/>
          <w:color w:val="auto"/>
          <w:sz w:val="21"/>
          <w:szCs w:val="21"/>
          <w:lang w:val="en-US" w:eastAsia="zh-CN"/>
        </w:rPr>
        <w:t>甲方</w:t>
      </w:r>
      <w:r>
        <w:rPr>
          <w:rFonts w:hint="eastAsia" w:hAnsi="宋体" w:cs="宋体"/>
          <w:color w:val="auto"/>
          <w:sz w:val="21"/>
          <w:szCs w:val="21"/>
        </w:rPr>
        <w:t>指定地点。</w:t>
      </w:r>
    </w:p>
    <w:p w14:paraId="765651CD">
      <w:pPr>
        <w:autoSpaceDE/>
        <w:autoSpaceDN/>
        <w:adjustRightInd/>
        <w:spacing w:line="400" w:lineRule="exact"/>
        <w:ind w:firstLine="422" w:firstLineChars="200"/>
        <w:jc w:val="both"/>
        <w:rPr>
          <w:rFonts w:hint="eastAsia" w:hAnsi="宋体" w:eastAsia="宋体" w:cs="宋体"/>
          <w:color w:val="auto"/>
          <w:sz w:val="21"/>
          <w:szCs w:val="21"/>
          <w:lang w:val="en-US" w:eastAsia="zh-CN"/>
        </w:rPr>
      </w:pPr>
      <w:r>
        <w:rPr>
          <w:rFonts w:hint="eastAsia" w:hAnsi="宋体" w:cs="宋体"/>
          <w:b/>
          <w:color w:val="auto"/>
          <w:sz w:val="21"/>
          <w:szCs w:val="21"/>
        </w:rPr>
        <w:t>第六条 合同组成</w:t>
      </w:r>
    </w:p>
    <w:p w14:paraId="19FA15A3">
      <w:pPr>
        <w:autoSpaceDE/>
        <w:autoSpaceDN/>
        <w:adjustRightInd/>
        <w:spacing w:line="400" w:lineRule="exact"/>
        <w:ind w:firstLine="420" w:firstLineChars="200"/>
        <w:jc w:val="both"/>
        <w:rPr>
          <w:rFonts w:hint="eastAsia" w:hAnsi="宋体" w:eastAsia="宋体" w:cs="宋体"/>
          <w:color w:val="auto"/>
          <w:sz w:val="21"/>
          <w:szCs w:val="21"/>
          <w:lang w:val="en-US" w:eastAsia="zh-CN"/>
        </w:rPr>
      </w:pPr>
      <w:r>
        <w:rPr>
          <w:rFonts w:hint="eastAsia" w:hAnsi="宋体" w:eastAsia="宋体" w:cs="宋体"/>
          <w:color w:val="auto"/>
          <w:sz w:val="21"/>
          <w:szCs w:val="21"/>
          <w:lang w:val="en-US" w:eastAsia="zh-CN"/>
        </w:rPr>
        <w:t>（一）本合同所有附件、采购文件、响应文件、会议纪要等均为合同的有效组成部分，与本合同具有同等法律效力。</w:t>
      </w:r>
    </w:p>
    <w:p w14:paraId="02724A3C">
      <w:pPr>
        <w:autoSpaceDE/>
        <w:autoSpaceDN/>
        <w:adjustRightInd/>
        <w:spacing w:line="400" w:lineRule="exact"/>
        <w:ind w:firstLine="420" w:firstLineChars="200"/>
        <w:jc w:val="both"/>
        <w:rPr>
          <w:rFonts w:hint="eastAsia" w:hAnsi="宋体" w:eastAsia="宋体" w:cs="宋体"/>
          <w:color w:val="auto"/>
          <w:sz w:val="21"/>
          <w:szCs w:val="21"/>
          <w:lang w:val="en-US" w:eastAsia="zh-CN"/>
        </w:rPr>
      </w:pPr>
      <w:r>
        <w:rPr>
          <w:rFonts w:hint="eastAsia" w:hAnsi="宋体" w:eastAsia="宋体" w:cs="宋体"/>
          <w:color w:val="auto"/>
          <w:sz w:val="21"/>
          <w:szCs w:val="21"/>
          <w:lang w:val="en-US" w:eastAsia="zh-CN"/>
        </w:rPr>
        <w:t>（二）在协商和执行本合同的过程中，所有经双方签署确认的文件（包括会议纪要、补充协议、往来信函）也可成为本合同的有效组成部分。</w:t>
      </w:r>
    </w:p>
    <w:p w14:paraId="518C252D">
      <w:pPr>
        <w:autoSpaceDE/>
        <w:autoSpaceDN/>
        <w:adjustRightInd/>
        <w:spacing w:line="400" w:lineRule="exact"/>
        <w:ind w:firstLine="420" w:firstLineChars="200"/>
        <w:jc w:val="both"/>
        <w:rPr>
          <w:rFonts w:hint="eastAsia" w:hAnsi="宋体" w:cs="宋体"/>
          <w:b/>
          <w:bCs/>
          <w:color w:val="auto"/>
          <w:sz w:val="21"/>
          <w:szCs w:val="21"/>
          <w:lang w:val="en-GB"/>
        </w:rPr>
      </w:pPr>
      <w:r>
        <w:rPr>
          <w:rFonts w:hint="eastAsia" w:hAnsi="宋体" w:eastAsia="宋体" w:cs="宋体"/>
          <w:color w:val="auto"/>
          <w:sz w:val="21"/>
          <w:szCs w:val="21"/>
          <w:lang w:val="en-US" w:eastAsia="zh-CN"/>
        </w:rPr>
        <w:t>（三）以上若不同文件之间有冲突的，适用有利于甲方的条款。</w:t>
      </w:r>
    </w:p>
    <w:p w14:paraId="31D287E0">
      <w:pPr>
        <w:widowControl/>
        <w:autoSpaceDE/>
        <w:autoSpaceDN/>
        <w:adjustRightInd/>
        <w:spacing w:line="400" w:lineRule="exact"/>
        <w:ind w:firstLine="422" w:firstLineChars="200"/>
        <w:contextualSpacing/>
        <w:rPr>
          <w:rFonts w:hint="eastAsia" w:hAnsi="宋体" w:eastAsia="宋体" w:cs="宋体"/>
          <w:b/>
          <w:bCs/>
          <w:color w:val="auto"/>
          <w:sz w:val="21"/>
          <w:szCs w:val="21"/>
          <w:highlight w:val="yellow"/>
          <w:lang w:val="en-GB" w:eastAsia="zh-CN"/>
        </w:rPr>
      </w:pPr>
      <w:r>
        <w:rPr>
          <w:rFonts w:hint="eastAsia" w:hAnsi="宋体" w:cs="宋体"/>
          <w:b/>
          <w:bCs/>
          <w:color w:val="auto"/>
          <w:sz w:val="21"/>
          <w:szCs w:val="21"/>
          <w:lang w:val="en-GB"/>
        </w:rPr>
        <w:t>第</w:t>
      </w:r>
      <w:r>
        <w:rPr>
          <w:rFonts w:hint="eastAsia" w:hAnsi="宋体" w:cs="宋体"/>
          <w:b/>
          <w:bCs/>
          <w:color w:val="auto"/>
          <w:sz w:val="21"/>
          <w:szCs w:val="21"/>
          <w:lang w:val="en-US" w:eastAsia="zh-CN"/>
        </w:rPr>
        <w:t>七</w:t>
      </w:r>
      <w:r>
        <w:rPr>
          <w:rFonts w:hint="eastAsia" w:hAnsi="宋体" w:cs="宋体"/>
          <w:b/>
          <w:bCs/>
          <w:color w:val="auto"/>
          <w:sz w:val="21"/>
          <w:szCs w:val="21"/>
          <w:lang w:val="en-GB"/>
        </w:rPr>
        <w:t>条</w:t>
      </w:r>
      <w:r>
        <w:rPr>
          <w:rFonts w:hint="eastAsia" w:hAnsi="宋体" w:cs="宋体"/>
          <w:b/>
          <w:bCs/>
          <w:color w:val="auto"/>
          <w:sz w:val="21"/>
          <w:szCs w:val="21"/>
        </w:rPr>
        <w:t xml:space="preserve"> </w:t>
      </w:r>
      <w:r>
        <w:rPr>
          <w:rFonts w:hint="eastAsia" w:hAnsi="宋体" w:cs="宋体"/>
          <w:b/>
          <w:bCs/>
          <w:color w:val="auto"/>
          <w:sz w:val="21"/>
          <w:szCs w:val="21"/>
          <w:lang w:val="en-GB"/>
        </w:rPr>
        <w:t>服务内容</w:t>
      </w:r>
      <w:r>
        <w:rPr>
          <w:rFonts w:hint="eastAsia" w:hAnsi="宋体" w:cs="宋体"/>
          <w:b/>
          <w:bCs/>
          <w:color w:val="auto"/>
          <w:sz w:val="21"/>
          <w:szCs w:val="21"/>
          <w:lang w:val="en-GB" w:eastAsia="zh-CN"/>
        </w:rPr>
        <w:t>（参照用户需求</w:t>
      </w:r>
      <w:r>
        <w:rPr>
          <w:rFonts w:hint="eastAsia" w:hAnsi="宋体" w:cs="宋体"/>
          <w:b/>
          <w:bCs/>
          <w:color w:val="auto"/>
          <w:sz w:val="21"/>
          <w:szCs w:val="21"/>
          <w:lang w:val="en-US" w:eastAsia="zh-CN"/>
        </w:rPr>
        <w:t>中技术要求</w:t>
      </w:r>
      <w:r>
        <w:rPr>
          <w:rFonts w:hint="eastAsia" w:hAnsi="宋体" w:cs="宋体"/>
          <w:b/>
          <w:bCs/>
          <w:color w:val="auto"/>
          <w:sz w:val="21"/>
          <w:szCs w:val="21"/>
          <w:lang w:val="en-GB" w:eastAsia="zh-CN"/>
        </w:rPr>
        <w:t>对应内容，具体根据供应商响应情况调整）</w:t>
      </w:r>
    </w:p>
    <w:p w14:paraId="64254ABF">
      <w:pPr>
        <w:widowControl/>
        <w:autoSpaceDE/>
        <w:autoSpaceDN/>
        <w:adjustRightInd/>
        <w:spacing w:line="400" w:lineRule="exact"/>
        <w:ind w:firstLine="422" w:firstLineChars="200"/>
        <w:contextualSpacing/>
        <w:rPr>
          <w:rFonts w:hint="eastAsia" w:hAnsi="宋体" w:cs="宋体"/>
          <w:b/>
          <w:bCs/>
          <w:color w:val="auto"/>
          <w:sz w:val="21"/>
          <w:szCs w:val="21"/>
          <w:lang w:val="en-US" w:eastAsia="zh-CN"/>
        </w:rPr>
      </w:pPr>
      <w:r>
        <w:rPr>
          <w:rFonts w:hint="eastAsia" w:hAnsi="宋体" w:cs="宋体"/>
          <w:b/>
          <w:bCs/>
          <w:color w:val="auto"/>
          <w:sz w:val="21"/>
          <w:szCs w:val="21"/>
          <w:lang w:val="en-US" w:eastAsia="zh-CN"/>
        </w:rPr>
        <w:t>第八条 验收要求</w:t>
      </w:r>
      <w:r>
        <w:rPr>
          <w:rFonts w:hint="eastAsia" w:hAnsi="宋体" w:cs="宋体"/>
          <w:b/>
          <w:bCs/>
          <w:color w:val="auto"/>
          <w:sz w:val="21"/>
          <w:szCs w:val="21"/>
          <w:lang w:val="en-GB" w:eastAsia="zh-CN"/>
        </w:rPr>
        <w:t>（参照用户需求</w:t>
      </w:r>
      <w:r>
        <w:rPr>
          <w:rFonts w:hint="eastAsia" w:hAnsi="宋体" w:cs="宋体"/>
          <w:b/>
          <w:bCs/>
          <w:color w:val="auto"/>
          <w:sz w:val="21"/>
          <w:szCs w:val="21"/>
          <w:lang w:val="en-US" w:eastAsia="zh-CN"/>
        </w:rPr>
        <w:t>中</w:t>
      </w:r>
      <w:r>
        <w:rPr>
          <w:rFonts w:hint="eastAsia" w:hAnsi="宋体" w:cs="宋体"/>
          <w:b/>
          <w:bCs/>
          <w:color w:val="auto"/>
          <w:sz w:val="21"/>
          <w:szCs w:val="21"/>
          <w:lang w:val="en-GB" w:eastAsia="zh-CN"/>
        </w:rPr>
        <w:t>对应内容，具体根据供应商响应情况调整）</w:t>
      </w:r>
    </w:p>
    <w:p w14:paraId="212DA13E">
      <w:pPr>
        <w:widowControl/>
        <w:autoSpaceDE/>
        <w:autoSpaceDN/>
        <w:adjustRightInd/>
        <w:spacing w:line="400" w:lineRule="exact"/>
        <w:ind w:firstLine="422" w:firstLineChars="200"/>
        <w:contextualSpacing/>
        <w:rPr>
          <w:rFonts w:hint="eastAsia" w:hAnsi="宋体" w:cs="宋体"/>
          <w:b/>
          <w:bCs/>
          <w:color w:val="auto"/>
          <w:sz w:val="21"/>
          <w:szCs w:val="21"/>
          <w:lang w:val="en-GB" w:eastAsia="zh-CN"/>
        </w:rPr>
      </w:pPr>
      <w:r>
        <w:rPr>
          <w:rFonts w:hint="eastAsia" w:hAnsi="宋体" w:cs="宋体"/>
          <w:b/>
          <w:bCs/>
          <w:color w:val="auto"/>
          <w:sz w:val="21"/>
          <w:szCs w:val="21"/>
          <w:lang w:val="en-US" w:eastAsia="zh-CN"/>
        </w:rPr>
        <w:t xml:space="preserve">第九条 </w:t>
      </w:r>
      <w:r>
        <w:rPr>
          <w:rFonts w:hint="eastAsia" w:hAnsi="宋体" w:cs="宋体"/>
          <w:b/>
          <w:bCs/>
          <w:color w:val="auto"/>
          <w:sz w:val="21"/>
          <w:szCs w:val="21"/>
        </w:rPr>
        <w:t>售后服务</w:t>
      </w:r>
      <w:r>
        <w:rPr>
          <w:rFonts w:hint="eastAsia" w:hAnsi="宋体" w:cs="宋体"/>
          <w:b/>
          <w:bCs/>
          <w:color w:val="auto"/>
          <w:sz w:val="21"/>
          <w:szCs w:val="21"/>
          <w:lang w:val="en-GB" w:eastAsia="zh-CN"/>
        </w:rPr>
        <w:t>（参照用户需求</w:t>
      </w:r>
      <w:r>
        <w:rPr>
          <w:rFonts w:hint="eastAsia" w:hAnsi="宋体" w:cs="宋体"/>
          <w:b/>
          <w:bCs/>
          <w:color w:val="auto"/>
          <w:sz w:val="21"/>
          <w:szCs w:val="21"/>
          <w:lang w:val="en-US" w:eastAsia="zh-CN"/>
        </w:rPr>
        <w:t>中</w:t>
      </w:r>
      <w:r>
        <w:rPr>
          <w:rFonts w:hint="eastAsia" w:hAnsi="宋体" w:cs="宋体"/>
          <w:b/>
          <w:bCs/>
          <w:color w:val="auto"/>
          <w:sz w:val="21"/>
          <w:szCs w:val="21"/>
          <w:lang w:val="en-GB" w:eastAsia="zh-CN"/>
        </w:rPr>
        <w:t>对应内容，具体根据供应商响应情况调整）</w:t>
      </w:r>
    </w:p>
    <w:p w14:paraId="709622EE">
      <w:pPr>
        <w:widowControl/>
        <w:autoSpaceDE/>
        <w:autoSpaceDN/>
        <w:adjustRightInd/>
        <w:spacing w:line="400" w:lineRule="exact"/>
        <w:ind w:firstLine="422" w:firstLineChars="200"/>
        <w:contextualSpacing/>
        <w:rPr>
          <w:rFonts w:hint="eastAsia" w:ascii="宋体" w:hAnsi="宋体" w:eastAsia="宋体" w:cs="宋体"/>
          <w:b/>
          <w:bCs/>
          <w:color w:val="auto"/>
          <w:sz w:val="21"/>
          <w:szCs w:val="21"/>
        </w:rPr>
      </w:pPr>
      <w:r>
        <w:rPr>
          <w:rFonts w:hint="eastAsia" w:hAnsi="宋体" w:cs="宋体"/>
          <w:b/>
          <w:bCs/>
          <w:color w:val="auto"/>
          <w:sz w:val="21"/>
          <w:szCs w:val="21"/>
          <w:lang w:val="en-GB" w:eastAsia="zh-CN"/>
        </w:rPr>
        <w:t>第十条</w:t>
      </w:r>
      <w:r>
        <w:rPr>
          <w:rFonts w:hint="eastAsia" w:hAnsi="宋体" w:cs="宋体"/>
          <w:b/>
          <w:bCs/>
          <w:color w:val="auto"/>
          <w:sz w:val="21"/>
          <w:szCs w:val="21"/>
          <w:lang w:val="en-US" w:eastAsia="zh-CN"/>
        </w:rPr>
        <w:t xml:space="preserve"> 考核标准</w:t>
      </w:r>
    </w:p>
    <w:p w14:paraId="44E0E19C">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20" w:firstLineChars="200"/>
        <w:jc w:val="both"/>
        <w:textAlignment w:val="auto"/>
        <w:rPr>
          <w:rFonts w:hint="default" w:hAnsi="宋体" w:cs="宋体"/>
          <w:b/>
          <w:bCs/>
          <w:color w:val="auto"/>
          <w:sz w:val="21"/>
          <w:szCs w:val="21"/>
          <w:lang w:val="en-US" w:eastAsia="zh-CN"/>
        </w:rPr>
      </w:pPr>
      <w:r>
        <w:rPr>
          <w:rFonts w:hint="eastAsia" w:ascii="宋体" w:hAnsi="宋体" w:cs="宋体"/>
          <w:b w:val="0"/>
          <w:bCs w:val="0"/>
          <w:color w:val="auto"/>
          <w:sz w:val="21"/>
          <w:szCs w:val="21"/>
          <w:lang w:eastAsia="zh-CN"/>
        </w:rPr>
        <w:t>甲方</w:t>
      </w:r>
      <w:r>
        <w:rPr>
          <w:rFonts w:hint="eastAsia" w:ascii="宋体" w:hAnsi="宋体" w:eastAsia="宋体" w:cs="宋体"/>
          <w:b w:val="0"/>
          <w:bCs w:val="0"/>
          <w:color w:val="auto"/>
          <w:sz w:val="21"/>
          <w:szCs w:val="21"/>
        </w:rPr>
        <w:t>每季度对</w:t>
      </w:r>
      <w:r>
        <w:rPr>
          <w:rFonts w:hint="eastAsia" w:ascii="宋体" w:hAnsi="宋体" w:cs="宋体"/>
          <w:b w:val="0"/>
          <w:bCs w:val="0"/>
          <w:color w:val="auto"/>
          <w:sz w:val="21"/>
          <w:szCs w:val="21"/>
          <w:lang w:eastAsia="zh-CN"/>
        </w:rPr>
        <w:t>乙方</w:t>
      </w:r>
      <w:r>
        <w:rPr>
          <w:rFonts w:hint="eastAsia" w:ascii="宋体" w:hAnsi="宋体" w:eastAsia="宋体" w:cs="宋体"/>
          <w:b w:val="0"/>
          <w:bCs w:val="0"/>
          <w:color w:val="auto"/>
          <w:sz w:val="21"/>
          <w:szCs w:val="21"/>
        </w:rPr>
        <w:t>服务质量进行考核</w:t>
      </w:r>
      <w:r>
        <w:rPr>
          <w:rFonts w:hint="eastAsia" w:ascii="宋体" w:hAnsi="宋体" w:cs="宋体"/>
          <w:b w:val="0"/>
          <w:bCs w:val="0"/>
          <w:color w:val="auto"/>
          <w:sz w:val="21"/>
          <w:szCs w:val="21"/>
          <w:lang w:eastAsia="zh-CN"/>
        </w:rPr>
        <w:t>。服务期内出现</w:t>
      </w:r>
      <w:r>
        <w:rPr>
          <w:rFonts w:hint="eastAsia" w:ascii="宋体" w:hAnsi="宋体" w:eastAsia="宋体" w:cs="宋体"/>
          <w:b w:val="0"/>
          <w:bCs w:val="0"/>
          <w:color w:val="auto"/>
          <w:sz w:val="21"/>
          <w:szCs w:val="21"/>
        </w:rPr>
        <w:t>考核</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次不合格</w:t>
      </w:r>
      <w:r>
        <w:rPr>
          <w:rFonts w:hint="eastAsia" w:ascii="宋体" w:hAnsi="宋体" w:cs="宋体"/>
          <w:b w:val="0"/>
          <w:bCs w:val="0"/>
          <w:color w:val="auto"/>
          <w:sz w:val="21"/>
          <w:szCs w:val="21"/>
          <w:lang w:eastAsia="zh-CN"/>
        </w:rPr>
        <w:t>，甲方</w:t>
      </w:r>
      <w:r>
        <w:rPr>
          <w:rFonts w:hint="eastAsia" w:ascii="宋体" w:hAnsi="宋体" w:eastAsia="宋体" w:cs="宋体"/>
          <w:b w:val="0"/>
          <w:bCs w:val="0"/>
          <w:color w:val="auto"/>
          <w:sz w:val="21"/>
          <w:szCs w:val="21"/>
        </w:rPr>
        <w:t>有权解除合同，</w:t>
      </w:r>
      <w:r>
        <w:rPr>
          <w:rFonts w:hint="eastAsia" w:ascii="宋体" w:hAnsi="宋体" w:cs="宋体"/>
          <w:b w:val="0"/>
          <w:bCs w:val="0"/>
          <w:color w:val="auto"/>
          <w:sz w:val="21"/>
          <w:szCs w:val="21"/>
          <w:lang w:eastAsia="zh-CN"/>
        </w:rPr>
        <w:t>乙方</w:t>
      </w:r>
      <w:r>
        <w:rPr>
          <w:rFonts w:hint="eastAsia" w:ascii="宋体" w:hAnsi="宋体" w:eastAsia="宋体" w:cs="宋体"/>
          <w:b w:val="0"/>
          <w:bCs w:val="0"/>
          <w:color w:val="auto"/>
          <w:sz w:val="21"/>
          <w:szCs w:val="21"/>
        </w:rPr>
        <w:t>需向</w:t>
      </w:r>
      <w:r>
        <w:rPr>
          <w:rFonts w:hint="eastAsia" w:ascii="宋体" w:hAnsi="宋体" w:cs="宋体"/>
          <w:b w:val="0"/>
          <w:bCs w:val="0"/>
          <w:color w:val="auto"/>
          <w:sz w:val="21"/>
          <w:szCs w:val="21"/>
          <w:lang w:eastAsia="zh-CN"/>
        </w:rPr>
        <w:t>甲方</w:t>
      </w:r>
      <w:r>
        <w:rPr>
          <w:rFonts w:hint="eastAsia" w:ascii="宋体" w:hAnsi="宋体" w:eastAsia="宋体" w:cs="宋体"/>
          <w:b w:val="0"/>
          <w:bCs w:val="0"/>
          <w:color w:val="auto"/>
          <w:sz w:val="21"/>
          <w:szCs w:val="21"/>
        </w:rPr>
        <w:t>支付合同总价的20%违约金</w:t>
      </w:r>
      <w:r>
        <w:rPr>
          <w:rFonts w:hint="eastAsia" w:ascii="宋体" w:hAnsi="宋体" w:cs="宋体"/>
          <w:b w:val="0"/>
          <w:bCs w:val="0"/>
          <w:color w:val="auto"/>
          <w:sz w:val="21"/>
          <w:szCs w:val="21"/>
          <w:lang w:eastAsia="zh-CN"/>
        </w:rPr>
        <w:t>。并</w:t>
      </w:r>
      <w:r>
        <w:rPr>
          <w:rFonts w:hint="eastAsia" w:ascii="宋体" w:hAnsi="宋体" w:eastAsia="宋体" w:cs="宋体"/>
          <w:b w:val="0"/>
          <w:bCs w:val="0"/>
          <w:color w:val="auto"/>
          <w:sz w:val="21"/>
          <w:szCs w:val="21"/>
        </w:rPr>
        <w:t>追究</w:t>
      </w:r>
      <w:r>
        <w:rPr>
          <w:rFonts w:hint="eastAsia" w:ascii="宋体" w:hAnsi="宋体" w:cs="宋体"/>
          <w:b w:val="0"/>
          <w:bCs w:val="0"/>
          <w:color w:val="auto"/>
          <w:sz w:val="21"/>
          <w:szCs w:val="21"/>
          <w:lang w:eastAsia="zh-CN"/>
        </w:rPr>
        <w:t>乙方</w:t>
      </w:r>
      <w:r>
        <w:rPr>
          <w:rFonts w:hint="eastAsia" w:ascii="宋体" w:hAnsi="宋体" w:eastAsia="宋体" w:cs="宋体"/>
          <w:b w:val="0"/>
          <w:bCs w:val="0"/>
          <w:color w:val="auto"/>
          <w:sz w:val="21"/>
          <w:szCs w:val="21"/>
        </w:rPr>
        <w:t>的经济和法律责任</w:t>
      </w:r>
      <w:r>
        <w:rPr>
          <w:rFonts w:hint="eastAsia" w:ascii="宋体" w:hAnsi="宋体" w:eastAsia="宋体" w:cs="宋体"/>
          <w:b w:val="0"/>
          <w:bCs w:val="0"/>
          <w:color w:val="auto"/>
          <w:sz w:val="21"/>
          <w:szCs w:val="21"/>
          <w:lang w:eastAsia="zh-CN"/>
        </w:rPr>
        <w:t>，同时</w:t>
      </w:r>
      <w:r>
        <w:rPr>
          <w:rFonts w:hint="eastAsia" w:ascii="宋体" w:hAnsi="宋体" w:cs="宋体"/>
          <w:b/>
          <w:bCs/>
          <w:color w:val="auto"/>
          <w:sz w:val="21"/>
          <w:szCs w:val="21"/>
          <w:lang w:eastAsia="zh-CN"/>
        </w:rPr>
        <w:t>考核标准参照用户需求书对应内容。</w:t>
      </w:r>
    </w:p>
    <w:p w14:paraId="2A63EADD">
      <w:pPr>
        <w:widowControl/>
        <w:autoSpaceDE/>
        <w:autoSpaceDN/>
        <w:adjustRightInd/>
        <w:spacing w:line="400" w:lineRule="exact"/>
        <w:ind w:firstLine="422" w:firstLineChars="200"/>
        <w:contextualSpacing/>
        <w:rPr>
          <w:rFonts w:hint="eastAsia" w:hAnsi="宋体" w:cs="宋体"/>
          <w:b/>
          <w:bCs/>
          <w:color w:val="auto"/>
          <w:sz w:val="21"/>
          <w:szCs w:val="21"/>
          <w:lang w:val="en-US" w:eastAsia="zh-CN"/>
        </w:rPr>
      </w:pPr>
      <w:r>
        <w:rPr>
          <w:rFonts w:hint="eastAsia" w:hAnsi="宋体" w:cs="宋体"/>
          <w:b/>
          <w:bCs/>
          <w:color w:val="auto"/>
          <w:sz w:val="21"/>
          <w:szCs w:val="21"/>
          <w:lang w:val="en-US" w:eastAsia="zh-CN"/>
        </w:rPr>
        <w:t>第十一条 知识产权产权归属</w:t>
      </w:r>
    </w:p>
    <w:p w14:paraId="72190689">
      <w:pPr>
        <w:widowControl/>
        <w:autoSpaceDE/>
        <w:autoSpaceDN/>
        <w:adjustRightInd/>
        <w:spacing w:line="400" w:lineRule="exact"/>
        <w:ind w:firstLine="420" w:firstLineChars="200"/>
        <w:contextualSpacing/>
        <w:rPr>
          <w:rFonts w:hint="eastAsia" w:hAnsi="宋体" w:cs="宋体"/>
          <w:b/>
          <w:bCs/>
          <w:color w:val="auto"/>
          <w:sz w:val="21"/>
          <w:szCs w:val="21"/>
        </w:rPr>
      </w:pPr>
      <w:r>
        <w:rPr>
          <w:rFonts w:hint="eastAsia" w:ascii="宋体" w:hAnsi="宋体" w:cs="宋体"/>
          <w:color w:val="auto"/>
          <w:kern w:val="0"/>
          <w:sz w:val="21"/>
          <w:szCs w:val="21"/>
          <w:lang w:val="en-US" w:eastAsia="zh-CN"/>
        </w:rPr>
        <w:t>（一）乙方</w:t>
      </w:r>
      <w:r>
        <w:rPr>
          <w:rFonts w:hint="eastAsia" w:ascii="宋体" w:hAnsi="宋体" w:eastAsia="宋体" w:cs="宋体"/>
          <w:color w:val="auto"/>
          <w:kern w:val="0"/>
          <w:sz w:val="21"/>
          <w:szCs w:val="21"/>
        </w:rPr>
        <w:t>保证合同项下提供的产品不侵犯任何第三方的专利、商标或版权，否则，</w:t>
      </w:r>
      <w:r>
        <w:rPr>
          <w:rFonts w:hint="eastAsia" w:ascii="宋体" w:hAnsi="宋体" w:cs="宋体"/>
          <w:color w:val="auto"/>
          <w:kern w:val="0"/>
          <w:sz w:val="21"/>
          <w:szCs w:val="21"/>
          <w:lang w:val="en-US" w:eastAsia="zh-CN"/>
        </w:rPr>
        <w:t>乙方</w:t>
      </w:r>
      <w:r>
        <w:rPr>
          <w:rFonts w:hint="eastAsia" w:ascii="宋体" w:hAnsi="宋体" w:eastAsia="宋体" w:cs="宋体"/>
          <w:color w:val="auto"/>
          <w:kern w:val="0"/>
          <w:sz w:val="21"/>
          <w:szCs w:val="21"/>
        </w:rPr>
        <w:t>须承担对第三方的专利或版权的侵权责任并承担因此而发生的所有责任和费用，</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不承担因此产生的任何责任和费用。</w:t>
      </w:r>
    </w:p>
    <w:p w14:paraId="1328208C">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hAnsi="宋体" w:cs="宋体"/>
          <w:b/>
          <w:bCs/>
          <w:color w:val="auto"/>
          <w:sz w:val="21"/>
          <w:szCs w:val="21"/>
        </w:rPr>
      </w:pPr>
      <w:r>
        <w:rPr>
          <w:rFonts w:hint="eastAsia" w:ascii="宋体" w:hAnsi="宋体" w:cs="宋体"/>
          <w:bCs w:val="0"/>
          <w:color w:val="auto"/>
          <w:spacing w:val="0"/>
          <w:kern w:val="0"/>
          <w:sz w:val="21"/>
          <w:szCs w:val="21"/>
          <w:lang w:val="en-US" w:eastAsia="zh-CN" w:bidi="ar-SA"/>
        </w:rPr>
        <w:t>（二）</w:t>
      </w:r>
      <w:r>
        <w:rPr>
          <w:rFonts w:hint="eastAsia" w:ascii="宋体" w:hAnsi="宋体" w:eastAsia="宋体" w:cs="宋体"/>
          <w:bCs w:val="0"/>
          <w:color w:val="auto"/>
          <w:spacing w:val="0"/>
          <w:kern w:val="0"/>
          <w:sz w:val="21"/>
          <w:szCs w:val="21"/>
          <w:lang w:val="en-US" w:eastAsia="zh-CN" w:bidi="ar-SA"/>
        </w:rPr>
        <w:t>乙方在为甲方提供服务过程中所产生的所有知识产权（包括但不限于著作权、专利权、商标权等），除双方另有约定外，均归甲方所有。乙方应确保其提供的服务及相关成果不侵犯任何第三方的知识产权。</w:t>
      </w:r>
    </w:p>
    <w:p w14:paraId="36D2FA41">
      <w:pPr>
        <w:widowControl/>
        <w:autoSpaceDE/>
        <w:autoSpaceDN/>
        <w:adjustRightInd/>
        <w:spacing w:line="400" w:lineRule="exact"/>
        <w:ind w:firstLine="422" w:firstLineChars="200"/>
        <w:contextualSpacing/>
        <w:rPr>
          <w:rFonts w:hint="default" w:hAnsi="宋体" w:eastAsia="宋体" w:cs="宋体"/>
          <w:b/>
          <w:bCs/>
          <w:color w:val="auto"/>
          <w:sz w:val="21"/>
          <w:szCs w:val="21"/>
          <w:lang w:val="en-US" w:eastAsia="zh-CN"/>
        </w:rPr>
      </w:pPr>
      <w:r>
        <w:rPr>
          <w:rFonts w:hint="eastAsia" w:hAnsi="宋体" w:cs="宋体"/>
          <w:b/>
          <w:bCs/>
          <w:color w:val="auto"/>
          <w:sz w:val="21"/>
          <w:szCs w:val="21"/>
          <w:lang w:val="en-US" w:eastAsia="zh-CN"/>
        </w:rPr>
        <w:t>第十二条 保密</w:t>
      </w:r>
    </w:p>
    <w:p w14:paraId="5146BF12">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ascii="宋体" w:hAnsi="宋体" w:eastAsia="宋体" w:cs="宋体"/>
          <w:bCs w:val="0"/>
          <w:color w:val="auto"/>
          <w:spacing w:val="0"/>
          <w:kern w:val="0"/>
          <w:sz w:val="21"/>
          <w:szCs w:val="21"/>
          <w:lang w:val="en-US" w:eastAsia="zh-CN" w:bidi="ar-SA"/>
        </w:rPr>
      </w:pPr>
      <w:r>
        <w:rPr>
          <w:rFonts w:hint="eastAsia" w:ascii="宋体" w:hAnsi="宋体" w:cs="宋体"/>
          <w:bCs w:val="0"/>
          <w:color w:val="auto"/>
          <w:spacing w:val="0"/>
          <w:kern w:val="0"/>
          <w:sz w:val="21"/>
          <w:szCs w:val="21"/>
          <w:lang w:val="en-US" w:eastAsia="zh-CN" w:bidi="ar-SA"/>
        </w:rPr>
        <w:t>（一）乙方</w:t>
      </w:r>
      <w:r>
        <w:rPr>
          <w:rFonts w:hint="eastAsia" w:ascii="宋体" w:hAnsi="宋体" w:eastAsia="宋体" w:cs="宋体"/>
          <w:bCs w:val="0"/>
          <w:color w:val="auto"/>
          <w:spacing w:val="0"/>
          <w:kern w:val="0"/>
          <w:sz w:val="21"/>
          <w:szCs w:val="21"/>
          <w:lang w:val="en-US" w:eastAsia="zh-CN" w:bidi="ar-SA"/>
        </w:rPr>
        <w:t>与所有可能接触到本项目相关工作内容的员工签署保密协议，防止患者信息及体检数据等资料泄密；定期进行保密知识培训，提升保密意识。在服务过程中，严格按照确定的服务内容执行，所有与被服务人员的电话、微信等沟通途径，均需留痕，并保存原始记录以备查。如因</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原因造成患者信息泄密的情况，</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应向</w:t>
      </w:r>
      <w:r>
        <w:rPr>
          <w:rFonts w:hint="eastAsia" w:ascii="宋体" w:hAnsi="宋体" w:cs="宋体"/>
          <w:bCs w:val="0"/>
          <w:color w:val="auto"/>
          <w:spacing w:val="0"/>
          <w:kern w:val="0"/>
          <w:sz w:val="21"/>
          <w:szCs w:val="21"/>
          <w:lang w:val="en-US" w:eastAsia="zh-CN" w:bidi="ar-SA"/>
        </w:rPr>
        <w:t>甲方</w:t>
      </w:r>
      <w:r>
        <w:rPr>
          <w:rFonts w:hint="eastAsia" w:ascii="宋体" w:hAnsi="宋体" w:eastAsia="宋体" w:cs="宋体"/>
          <w:bCs w:val="0"/>
          <w:color w:val="auto"/>
          <w:spacing w:val="0"/>
          <w:kern w:val="0"/>
          <w:sz w:val="21"/>
          <w:szCs w:val="21"/>
          <w:lang w:val="en-US" w:eastAsia="zh-CN" w:bidi="ar-SA"/>
        </w:rPr>
        <w:t>进行相应赔偿，</w:t>
      </w:r>
      <w:r>
        <w:rPr>
          <w:rFonts w:hint="eastAsia" w:ascii="宋体" w:hAnsi="宋体" w:cs="宋体"/>
          <w:bCs w:val="0"/>
          <w:color w:val="auto"/>
          <w:spacing w:val="0"/>
          <w:kern w:val="0"/>
          <w:sz w:val="21"/>
          <w:szCs w:val="21"/>
          <w:lang w:val="en-US" w:eastAsia="zh-CN" w:bidi="ar-SA"/>
        </w:rPr>
        <w:t>甲方</w:t>
      </w:r>
      <w:r>
        <w:rPr>
          <w:rFonts w:hint="eastAsia" w:ascii="宋体" w:hAnsi="宋体" w:eastAsia="宋体" w:cs="宋体"/>
          <w:bCs w:val="0"/>
          <w:color w:val="auto"/>
          <w:spacing w:val="0"/>
          <w:kern w:val="0"/>
          <w:sz w:val="21"/>
          <w:szCs w:val="21"/>
          <w:lang w:val="en-US" w:eastAsia="zh-CN" w:bidi="ar-SA"/>
        </w:rPr>
        <w:t>有权根据事态严重情况停止</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业务，并保留追究</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及相关责任人赔偿及刑事责任的权利。</w:t>
      </w:r>
    </w:p>
    <w:p w14:paraId="4C99A731">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ascii="宋体" w:hAnsi="宋体" w:eastAsia="宋体" w:cs="宋体"/>
          <w:bCs w:val="0"/>
          <w:color w:val="auto"/>
          <w:spacing w:val="0"/>
          <w:kern w:val="0"/>
          <w:sz w:val="21"/>
          <w:szCs w:val="21"/>
          <w:lang w:val="en-US" w:eastAsia="zh-CN" w:bidi="ar-SA"/>
        </w:rPr>
      </w:pPr>
      <w:r>
        <w:rPr>
          <w:rFonts w:hint="eastAsia" w:ascii="宋体" w:hAnsi="宋体" w:cs="宋体"/>
          <w:bCs w:val="0"/>
          <w:color w:val="auto"/>
          <w:spacing w:val="0"/>
          <w:kern w:val="0"/>
          <w:sz w:val="21"/>
          <w:szCs w:val="21"/>
          <w:lang w:val="en-US" w:eastAsia="zh-CN" w:bidi="ar-SA"/>
        </w:rPr>
        <w:t>（二）</w:t>
      </w:r>
      <w:r>
        <w:rPr>
          <w:rFonts w:hint="eastAsia" w:ascii="宋体" w:hAnsi="宋体" w:eastAsia="宋体" w:cs="宋体"/>
          <w:bCs w:val="0"/>
          <w:color w:val="auto"/>
          <w:spacing w:val="0"/>
          <w:kern w:val="0"/>
          <w:sz w:val="21"/>
          <w:szCs w:val="21"/>
          <w:lang w:val="en-US" w:eastAsia="zh-CN" w:bidi="ar-SA"/>
        </w:rPr>
        <w:t>双方应对在合同履行过程中知悉的对方商业秘密、技术秘密、机密信息等（以下统称 “保密信息”）予以保密。保密信息包括但不限于服务内容、服务方案、技术资料、客户数据、财务信息等。未经对方书面同意，任何一方不得向任何第三方披露、使用或允许第三方使用保密信息。</w:t>
      </w:r>
    </w:p>
    <w:p w14:paraId="6B8329B2">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hAnsi="宋体" w:cs="宋体"/>
          <w:b/>
          <w:color w:val="auto"/>
          <w:sz w:val="21"/>
          <w:szCs w:val="21"/>
        </w:rPr>
      </w:pPr>
      <w:r>
        <w:rPr>
          <w:rFonts w:hint="eastAsia" w:ascii="宋体" w:hAnsi="宋体" w:cs="宋体"/>
          <w:bCs w:val="0"/>
          <w:color w:val="auto"/>
          <w:spacing w:val="0"/>
          <w:kern w:val="0"/>
          <w:sz w:val="21"/>
          <w:szCs w:val="21"/>
          <w:lang w:val="en-US" w:eastAsia="zh-CN" w:bidi="ar-SA"/>
        </w:rPr>
        <w:t>（三）</w:t>
      </w:r>
      <w:r>
        <w:rPr>
          <w:rFonts w:hint="eastAsia" w:ascii="宋体" w:hAnsi="宋体" w:eastAsia="宋体" w:cs="宋体"/>
          <w:bCs w:val="0"/>
          <w:color w:val="auto"/>
          <w:spacing w:val="0"/>
          <w:kern w:val="0"/>
          <w:sz w:val="21"/>
          <w:szCs w:val="21"/>
          <w:lang w:val="en-US" w:eastAsia="zh-CN" w:bidi="ar-SA"/>
        </w:rPr>
        <w:t>在保密期限内，双方应采取合理的保密措施保护保密信息，确保保密信息的安全性和保密性。如因一方违反本保密条款，导致对方遭受损失的，违约方应承担全部赔偿责任，赔偿范围包括但不限于因信息泄露给对方造成的直接经济损失、商业机会损失、维权费用（如律师费、诉讼费、调查费等）。</w:t>
      </w:r>
    </w:p>
    <w:p w14:paraId="361801F8">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十三</w:t>
      </w:r>
      <w:r>
        <w:rPr>
          <w:rFonts w:hint="eastAsia" w:hAnsi="宋体" w:cs="宋体"/>
          <w:b/>
          <w:color w:val="auto"/>
          <w:sz w:val="21"/>
          <w:szCs w:val="21"/>
        </w:rPr>
        <w:t>条 双方的权利和义务</w:t>
      </w:r>
    </w:p>
    <w:p w14:paraId="521060B5">
      <w:pPr>
        <w:pStyle w:val="47"/>
        <w:widowControl/>
        <w:autoSpaceDE/>
        <w:autoSpaceDN/>
        <w:adjustRightInd/>
        <w:spacing w:line="400" w:lineRule="exact"/>
        <w:rPr>
          <w:rFonts w:hint="eastAsia" w:hAnsi="宋体" w:cs="宋体"/>
          <w:color w:val="auto"/>
          <w:sz w:val="21"/>
        </w:rPr>
      </w:pPr>
      <w:r>
        <w:rPr>
          <w:rFonts w:hint="eastAsia" w:hAnsi="宋体" w:cs="宋体"/>
          <w:color w:val="auto"/>
          <w:sz w:val="21"/>
        </w:rPr>
        <w:t>（一）甲方的权利和义务</w:t>
      </w:r>
    </w:p>
    <w:p w14:paraId="595AE2E2">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1.甲方有权对乙方服务质量工作进行监督、检查（包括：收费情况、服务情况等），对检查中发现的问题以书面形式及时反馈给乙方，监督乙方限期整改。</w:t>
      </w:r>
    </w:p>
    <w:p w14:paraId="0EBEDDDC">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2.服务期间，甲方不向乙方支付任何费用。</w:t>
      </w:r>
    </w:p>
    <w:p w14:paraId="4B51E7A9">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3.对违法、违纪、违规等的乙方员工，甲方有权提出处罚要求，包括但不限于经济处罚、终止其在甲方医院的工作资格</w:t>
      </w:r>
      <w:r>
        <w:rPr>
          <w:rFonts w:hint="eastAsia" w:hAnsi="宋体" w:cs="宋体"/>
          <w:bCs/>
          <w:color w:val="auto"/>
          <w:sz w:val="21"/>
          <w:szCs w:val="21"/>
          <w:lang w:eastAsia="zh-CN"/>
        </w:rPr>
        <w:t>等</w:t>
      </w:r>
      <w:r>
        <w:rPr>
          <w:rFonts w:hint="eastAsia" w:hAnsi="宋体" w:cs="宋体"/>
          <w:bCs/>
          <w:color w:val="auto"/>
          <w:sz w:val="21"/>
          <w:szCs w:val="21"/>
        </w:rPr>
        <w:t>；</w:t>
      </w:r>
    </w:p>
    <w:p w14:paraId="203114B7">
      <w:pPr>
        <w:autoSpaceDE/>
        <w:autoSpaceDN/>
        <w:adjustRightInd/>
        <w:spacing w:line="400" w:lineRule="exact"/>
        <w:ind w:firstLine="420" w:firstLineChars="200"/>
        <w:rPr>
          <w:rFonts w:hint="eastAsia" w:hAnsi="宋体" w:eastAsia="宋体" w:cs="宋体"/>
          <w:bCs/>
          <w:color w:val="auto"/>
          <w:sz w:val="21"/>
          <w:szCs w:val="21"/>
          <w:lang w:eastAsia="zh-CN"/>
        </w:rPr>
      </w:pPr>
      <w:r>
        <w:rPr>
          <w:rFonts w:hint="eastAsia" w:hAnsi="宋体" w:cs="宋体"/>
          <w:bCs/>
          <w:color w:val="auto"/>
          <w:sz w:val="21"/>
          <w:szCs w:val="21"/>
        </w:rPr>
        <w:t>4.甲方发生突发、紧急、特殊的应急事件时或有特殊任务需紧急临时增加人员投入时，乙方及其员工应服从甲方管理部门的调遣和指挥，参与应急工作</w:t>
      </w:r>
      <w:r>
        <w:rPr>
          <w:rFonts w:hint="eastAsia" w:hAnsi="宋体" w:cs="宋体"/>
          <w:bCs/>
          <w:color w:val="auto"/>
          <w:sz w:val="21"/>
          <w:szCs w:val="21"/>
          <w:lang w:eastAsia="zh-CN"/>
        </w:rPr>
        <w:t>。</w:t>
      </w:r>
    </w:p>
    <w:p w14:paraId="15F46D8D">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（二）乙方的权利和义务</w:t>
      </w:r>
    </w:p>
    <w:p w14:paraId="5D1B6F1F">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1.乙方应按照采购文件、乙方响应文件要求完成本项目服务工作。</w:t>
      </w:r>
    </w:p>
    <w:p w14:paraId="0082DB3F">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2.乙方需具有完善的管理制度和服务质量考评机制。</w:t>
      </w:r>
    </w:p>
    <w:p w14:paraId="3721B157">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3.乙方管理人员及员工必须遵守国家的法律、法规和甲方制订的各种规章制度，服从甲方的管理。严格按照制定的工作内容及要求，提供服务及配合工作。</w:t>
      </w:r>
    </w:p>
    <w:p w14:paraId="229D2BF4">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4.乙方所提供的服务人员需身体健康、符合国家、省市级和行业等相关规定。</w:t>
      </w:r>
    </w:p>
    <w:p w14:paraId="1848BB28">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5.</w:t>
      </w:r>
      <w:r>
        <w:rPr>
          <w:rFonts w:hint="eastAsia" w:hAnsi="宋体" w:cs="宋体"/>
          <w:bCs/>
          <w:color w:val="auto"/>
          <w:sz w:val="21"/>
          <w:szCs w:val="21"/>
        </w:rPr>
        <w:t>乙方不得以任何方式将本项目转包、分包，否则甲方有权解除本合同，同时乙方需支付违约金10000元给甲方。</w:t>
      </w:r>
    </w:p>
    <w:p w14:paraId="3940BAEF">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6.</w:t>
      </w:r>
      <w:r>
        <w:rPr>
          <w:rFonts w:hint="eastAsia" w:hAnsi="宋体" w:cs="宋体"/>
          <w:bCs/>
          <w:color w:val="auto"/>
          <w:sz w:val="21"/>
          <w:szCs w:val="21"/>
        </w:rPr>
        <w:t>乙方此项目一切办公支出、运营费用（含电话费、交通费等）支出均由乙方自行承担。</w:t>
      </w:r>
    </w:p>
    <w:p w14:paraId="035045A9">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7.</w:t>
      </w:r>
      <w:r>
        <w:rPr>
          <w:rFonts w:hint="eastAsia" w:hAnsi="宋体" w:cs="宋体"/>
          <w:bCs/>
          <w:color w:val="auto"/>
          <w:sz w:val="21"/>
          <w:szCs w:val="21"/>
        </w:rPr>
        <w:t>乙方所有提交给甲方的咨询服务文件及相关的资料的最后文本，包括为履行技术服务范围所编制的计划和证明资料等，都属于甲方的财产，乙方在提交给甲方之前应将上述资料进行整理归类和编制索引。</w:t>
      </w:r>
    </w:p>
    <w:p w14:paraId="398D07E9">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8.</w:t>
      </w:r>
      <w:r>
        <w:rPr>
          <w:rFonts w:hint="eastAsia" w:hAnsi="宋体" w:cs="宋体"/>
          <w:bCs/>
          <w:color w:val="auto"/>
          <w:sz w:val="21"/>
          <w:szCs w:val="21"/>
        </w:rPr>
        <w:t>乙方未经甲方的书面同意，不得将与甲方相关的内部资料和服务人员信息用于与本服务项目之外的任何项目；</w:t>
      </w:r>
    </w:p>
    <w:p w14:paraId="7275533B">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9.</w:t>
      </w:r>
      <w:r>
        <w:rPr>
          <w:rFonts w:hint="eastAsia" w:hAnsi="宋体" w:cs="宋体"/>
          <w:bCs/>
          <w:color w:val="auto"/>
          <w:sz w:val="21"/>
          <w:szCs w:val="21"/>
        </w:rPr>
        <w:t>合同履行完毕，未经甲方的书面同意，乙方不得保存在履行合同过程中所获得或接触到的任何内部数据资料。</w:t>
      </w:r>
    </w:p>
    <w:p w14:paraId="16C542B0">
      <w:pPr>
        <w:pStyle w:val="47"/>
        <w:widowControl/>
        <w:autoSpaceDE/>
        <w:autoSpaceDN/>
        <w:adjustRightInd/>
        <w:spacing w:line="400" w:lineRule="exact"/>
        <w:rPr>
          <w:rFonts w:hint="eastAsia" w:hAnsi="宋体" w:cs="宋体"/>
          <w:color w:val="auto"/>
          <w:sz w:val="21"/>
        </w:rPr>
      </w:pPr>
      <w:r>
        <w:rPr>
          <w:rFonts w:hint="eastAsia" w:hAnsi="宋体" w:cs="宋体"/>
          <w:color w:val="auto"/>
          <w:sz w:val="21"/>
          <w:highlight w:val="none"/>
          <w:lang w:val="en-US" w:eastAsia="zh-CN"/>
        </w:rPr>
        <w:t>10</w:t>
      </w:r>
      <w:r>
        <w:rPr>
          <w:rFonts w:hint="eastAsia" w:hAnsi="宋体" w:cs="宋体"/>
          <w:color w:val="auto"/>
          <w:sz w:val="21"/>
          <w:highlight w:val="none"/>
        </w:rPr>
        <w:t>.乙方履行本合同的指定联系人及授权代表</w:t>
      </w:r>
      <w:r>
        <w:rPr>
          <w:rFonts w:hint="eastAsia" w:hAnsi="宋体" w:cs="宋体"/>
          <w:color w:val="auto"/>
          <w:sz w:val="21"/>
          <w:highlight w:val="none"/>
          <w:u w:val="single"/>
        </w:rPr>
        <w:t>为</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，职务：</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r>
        <w:rPr>
          <w:rFonts w:hint="eastAsia" w:hAnsi="宋体" w:cs="宋体"/>
          <w:color w:val="auto"/>
          <w:sz w:val="21"/>
          <w:highlight w:val="none"/>
          <w:u w:val="none"/>
        </w:rPr>
        <w:t>身份证件号码</w:t>
      </w:r>
      <w:r>
        <w:rPr>
          <w:rFonts w:hint="eastAsia" w:hAnsi="宋体" w:cs="宋体"/>
          <w:color w:val="auto"/>
          <w:sz w:val="21"/>
          <w:highlight w:val="none"/>
          <w:u w:val="none"/>
          <w:lang w:eastAsia="zh-CN"/>
        </w:rPr>
        <w:t>：</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r>
        <w:rPr>
          <w:rFonts w:hint="eastAsia" w:hAnsi="宋体" w:cs="宋体"/>
          <w:color w:val="auto"/>
          <w:sz w:val="21"/>
          <w:highlight w:val="none"/>
          <w:u w:val="none"/>
        </w:rPr>
        <w:t>联系电话</w:t>
      </w:r>
      <w:r>
        <w:rPr>
          <w:rFonts w:hint="eastAsia" w:hAnsi="宋体" w:cs="宋体"/>
          <w:color w:val="auto"/>
          <w:sz w:val="21"/>
          <w:highlight w:val="none"/>
          <w:u w:val="none"/>
          <w:lang w:eastAsia="zh-CN"/>
        </w:rPr>
        <w:t>：</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none"/>
        </w:rPr>
        <w:t>。在</w:t>
      </w:r>
      <w:r>
        <w:rPr>
          <w:rFonts w:hint="eastAsia" w:hAnsi="宋体" w:cs="宋体"/>
          <w:color w:val="auto"/>
          <w:sz w:val="21"/>
          <w:highlight w:val="none"/>
        </w:rPr>
        <w:t>履</w:t>
      </w:r>
      <w:r>
        <w:rPr>
          <w:rFonts w:hint="eastAsia" w:hAnsi="宋体" w:cs="宋体"/>
          <w:color w:val="auto"/>
          <w:sz w:val="21"/>
        </w:rPr>
        <w:t>行合同过程中，该指定联系人及授权代表的行为、意思表示及对甲方所作的任何承诺、通知等，都对乙方直接具有约束力；甲方通知送达该联系人及授权代表时，即视为通知送达乙方。</w:t>
      </w:r>
    </w:p>
    <w:p w14:paraId="289C0699">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val="en-US" w:eastAsia="zh-CN"/>
        </w:rPr>
        <w:t>11.</w:t>
      </w:r>
      <w:r>
        <w:rPr>
          <w:rFonts w:hint="eastAsia" w:hAnsi="宋体" w:cs="宋体"/>
          <w:color w:val="auto"/>
          <w:sz w:val="21"/>
        </w:rPr>
        <w:t>乙方须接受甲方履约诚信评价。</w:t>
      </w:r>
    </w:p>
    <w:p w14:paraId="04B5D8F4">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val="en-US" w:eastAsia="zh-CN"/>
        </w:rPr>
        <w:t>十四</w:t>
      </w:r>
      <w:r>
        <w:rPr>
          <w:rFonts w:hint="eastAsia" w:hAnsi="宋体" w:cs="宋体"/>
          <w:b/>
          <w:color w:val="auto"/>
          <w:sz w:val="21"/>
          <w:szCs w:val="21"/>
        </w:rPr>
        <w:t>条 违约责任</w:t>
      </w:r>
    </w:p>
    <w:p w14:paraId="4F50B30D">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一</w:t>
      </w:r>
      <w:r>
        <w:rPr>
          <w:rFonts w:hint="eastAsia" w:hAnsi="宋体" w:cs="宋体"/>
          <w:color w:val="auto"/>
          <w:sz w:val="21"/>
          <w:lang w:eastAsia="zh-CN"/>
        </w:rPr>
        <w:t>）</w:t>
      </w:r>
      <w:r>
        <w:rPr>
          <w:rFonts w:hint="eastAsia" w:hAnsi="宋体" w:cs="宋体"/>
          <w:color w:val="auto"/>
          <w:sz w:val="21"/>
        </w:rPr>
        <w:t>除依本合同约定外，乙方单方面解除合同，应向</w:t>
      </w:r>
      <w:r>
        <w:rPr>
          <w:rFonts w:hint="eastAsia" w:ascii="宋体" w:hAnsi="宋体" w:eastAsia="宋体" w:cs="宋体"/>
          <w:color w:val="auto"/>
          <w:kern w:val="0"/>
          <w:sz w:val="21"/>
          <w:szCs w:val="21"/>
          <w:lang w:val="en-US" w:eastAsia="zh-CN"/>
        </w:rPr>
        <w:t>甲方支付合同总价的20%违约金</w:t>
      </w:r>
      <w:r>
        <w:rPr>
          <w:rFonts w:hint="eastAsia" w:hAnsi="宋体" w:cs="宋体"/>
          <w:color w:val="auto"/>
          <w:sz w:val="21"/>
        </w:rPr>
        <w:t>。</w:t>
      </w:r>
    </w:p>
    <w:p w14:paraId="4044B29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由于</w:t>
      </w:r>
      <w:r>
        <w:rPr>
          <w:rFonts w:hint="eastAsia" w:ascii="宋体" w:hAnsi="宋体" w:cs="宋体"/>
          <w:color w:val="auto"/>
          <w:kern w:val="0"/>
          <w:sz w:val="21"/>
          <w:szCs w:val="21"/>
          <w:lang w:eastAsia="zh-CN"/>
        </w:rPr>
        <w:t>乙方</w:t>
      </w:r>
      <w:r>
        <w:rPr>
          <w:rFonts w:hint="eastAsia" w:ascii="宋体" w:hAnsi="宋体" w:eastAsia="宋体" w:cs="宋体"/>
          <w:color w:val="auto"/>
          <w:kern w:val="0"/>
          <w:sz w:val="21"/>
          <w:szCs w:val="21"/>
        </w:rPr>
        <w:t>的原因，无正当理由拖延提供服务的，按当次提供服务（订制产品）总金额每日千分之三向</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偿付的违约金，</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拖延提供服务超过10个日历日的，</w:t>
      </w:r>
      <w:r>
        <w:rPr>
          <w:rFonts w:hint="eastAsia" w:ascii="宋体" w:hAnsi="宋体" w:eastAsia="宋体" w:cs="宋体"/>
          <w:color w:val="auto"/>
          <w:kern w:val="0"/>
          <w:sz w:val="21"/>
          <w:szCs w:val="21"/>
          <w:lang w:val="en-US" w:eastAsia="zh-CN"/>
        </w:rPr>
        <w:t>需向甲方支付合同总价的20%违约金，甲方有权终止合同，并追究乙方的经济和法律责任。</w:t>
      </w:r>
    </w:p>
    <w:p w14:paraId="201DAAE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（三）</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在合同执行期间有下列行为之一的，</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有权直接解除合同</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其中造成</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损失（直接和间接）的，</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应当进行赔偿</w:t>
      </w:r>
      <w:r>
        <w:rPr>
          <w:rFonts w:hint="eastAsia" w:ascii="宋体" w:hAnsi="宋体" w:cs="宋体"/>
          <w:color w:val="auto"/>
          <w:kern w:val="0"/>
          <w:sz w:val="21"/>
          <w:szCs w:val="21"/>
          <w:lang w:eastAsia="zh-CN"/>
        </w:rPr>
        <w:t>：</w:t>
      </w:r>
    </w:p>
    <w:p w14:paraId="00055D8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1.乙方</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后无正当理由不与</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签订合同；</w:t>
      </w:r>
    </w:p>
    <w:p w14:paraId="32EED8BE">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擅自变更或者中止采购服务合同的；</w:t>
      </w:r>
    </w:p>
    <w:p w14:paraId="7A04BDB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不按</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文件以及服务合同要求全面履约的；</w:t>
      </w:r>
    </w:p>
    <w:p w14:paraId="4CA12AF4">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非法分包或转包给任何单位和个人；</w:t>
      </w:r>
    </w:p>
    <w:p w14:paraId="1C2098B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造成严重后果或恶劣影响的</w:t>
      </w:r>
      <w:r>
        <w:rPr>
          <w:rFonts w:hint="eastAsia" w:ascii="宋体" w:hAnsi="宋体" w:cs="宋体"/>
          <w:color w:val="auto"/>
          <w:kern w:val="0"/>
          <w:sz w:val="21"/>
          <w:szCs w:val="21"/>
          <w:lang w:eastAsia="zh-CN"/>
        </w:rPr>
        <w:t>。</w:t>
      </w:r>
    </w:p>
    <w:p w14:paraId="7C352FF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四</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出现下述情况之一的，应对</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工作人员泄密问责，</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有权终止服务合同，其中造成</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损失（直接和间接）的，</w:t>
      </w:r>
      <w:r>
        <w:rPr>
          <w:rFonts w:hint="eastAsia" w:ascii="宋体" w:hAnsi="宋体" w:cs="宋体"/>
          <w:color w:val="auto"/>
          <w:kern w:val="0"/>
          <w:sz w:val="21"/>
          <w:szCs w:val="21"/>
          <w:lang w:val="en-US" w:eastAsia="zh-CN"/>
        </w:rPr>
        <w:t>乙方</w:t>
      </w:r>
      <w:r>
        <w:rPr>
          <w:rFonts w:hint="eastAsia" w:ascii="宋体" w:hAnsi="宋体" w:eastAsia="宋体" w:cs="宋体"/>
          <w:color w:val="auto"/>
          <w:kern w:val="0"/>
          <w:sz w:val="21"/>
          <w:szCs w:val="21"/>
        </w:rPr>
        <w:t>应当进行赔偿：</w:t>
      </w:r>
    </w:p>
    <w:p w14:paraId="290AB1F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违反法律法规以及相关条例的；</w:t>
      </w:r>
    </w:p>
    <w:p w14:paraId="7D6DEB75">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造成重大社会影响和</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资产（有形资产和无形资产）损失的</w:t>
      </w:r>
      <w:r>
        <w:rPr>
          <w:rFonts w:hint="eastAsia" w:ascii="宋体" w:hAnsi="宋体" w:cs="宋体"/>
          <w:color w:val="auto"/>
          <w:kern w:val="0"/>
          <w:sz w:val="21"/>
          <w:szCs w:val="21"/>
          <w:lang w:eastAsia="zh-CN"/>
        </w:rPr>
        <w:t>；</w:t>
      </w:r>
    </w:p>
    <w:p w14:paraId="2013CC8A">
      <w:pPr>
        <w:keepNext w:val="0"/>
        <w:keepLines w:val="0"/>
        <w:pageBreakBefore w:val="0"/>
        <w:kinsoku/>
        <w:wordWrap/>
        <w:overflowPunct/>
        <w:topLinePunct w:val="0"/>
        <w:bidi w:val="0"/>
        <w:snapToGrid/>
        <w:spacing w:line="360" w:lineRule="exact"/>
        <w:ind w:firstLine="420" w:firstLineChars="200"/>
        <w:textAlignment w:val="auto"/>
        <w:rPr>
          <w:rFonts w:hint="eastAsia" w:hAnsi="宋体" w:cs="宋体"/>
          <w:color w:val="auto"/>
          <w:sz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出卖数据资料获利或者转卖其它涉密资料。</w:t>
      </w:r>
    </w:p>
    <w:p w14:paraId="083459A9">
      <w:pPr>
        <w:pStyle w:val="47"/>
        <w:widowControl/>
        <w:autoSpaceDE/>
        <w:autoSpaceDN/>
        <w:adjustRightInd/>
        <w:spacing w:line="400" w:lineRule="exact"/>
        <w:ind w:left="0" w:leftChars="0" w:firstLine="420" w:firstLineChars="200"/>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五</w:t>
      </w:r>
      <w:r>
        <w:rPr>
          <w:rFonts w:hint="eastAsia" w:hAnsi="宋体" w:cs="宋体"/>
          <w:color w:val="auto"/>
          <w:sz w:val="21"/>
          <w:lang w:eastAsia="zh-CN"/>
        </w:rPr>
        <w:t>）</w:t>
      </w:r>
      <w:r>
        <w:rPr>
          <w:rFonts w:hint="eastAsia" w:hAnsi="宋体" w:cs="宋体"/>
          <w:color w:val="auto"/>
          <w:sz w:val="21"/>
        </w:rPr>
        <w:t>甲方每</w:t>
      </w:r>
      <w:r>
        <w:rPr>
          <w:rFonts w:hint="eastAsia" w:hAnsi="宋体" w:cs="宋体"/>
          <w:color w:val="auto"/>
          <w:sz w:val="21"/>
          <w:lang w:eastAsia="zh-CN"/>
        </w:rPr>
        <w:t>季度</w:t>
      </w:r>
      <w:r>
        <w:rPr>
          <w:rFonts w:hint="eastAsia" w:hAnsi="宋体" w:cs="宋体"/>
          <w:color w:val="auto"/>
          <w:sz w:val="21"/>
        </w:rPr>
        <w:t>进行考核，如乙方考核</w:t>
      </w:r>
      <w:r>
        <w:rPr>
          <w:rFonts w:hint="eastAsia" w:hAnsi="宋体" w:cs="宋体"/>
          <w:color w:val="auto"/>
          <w:sz w:val="21"/>
          <w:lang w:val="en-US" w:eastAsia="zh-CN"/>
        </w:rPr>
        <w:t>2次</w:t>
      </w:r>
      <w:r>
        <w:rPr>
          <w:rFonts w:hint="eastAsia" w:hAnsi="宋体" w:cs="宋体"/>
          <w:color w:val="auto"/>
          <w:sz w:val="21"/>
        </w:rPr>
        <w:t>不合格，甲方有权终止合同,并且甲方不承担任何责任。如终止合同，乙方必须在三天内无条件退场，且甲方无须对乙方作任何赔偿。</w:t>
      </w:r>
    </w:p>
    <w:p w14:paraId="5B606FA6">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六</w:t>
      </w:r>
      <w:r>
        <w:rPr>
          <w:rFonts w:hint="eastAsia" w:hAnsi="宋体" w:cs="宋体"/>
          <w:color w:val="auto"/>
          <w:sz w:val="21"/>
          <w:lang w:eastAsia="zh-CN"/>
        </w:rPr>
        <w:t>）</w:t>
      </w:r>
      <w:r>
        <w:rPr>
          <w:rFonts w:hint="eastAsia" w:hAnsi="宋体" w:cs="宋体"/>
          <w:color w:val="auto"/>
          <w:sz w:val="21"/>
        </w:rPr>
        <w:t>乙方负责办理员工的劳动用工手续、及工伤意外伤害事故等事宜及安排住宿。如发生劳动纠纷给甲方造成损失，乙方应予以赔偿。</w:t>
      </w:r>
    </w:p>
    <w:p w14:paraId="1DA8298B">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七</w:t>
      </w:r>
      <w:r>
        <w:rPr>
          <w:rFonts w:hint="eastAsia" w:hAnsi="宋体" w:cs="宋体"/>
          <w:color w:val="auto"/>
          <w:sz w:val="21"/>
          <w:lang w:eastAsia="zh-CN"/>
        </w:rPr>
        <w:t>）</w:t>
      </w:r>
      <w:r>
        <w:rPr>
          <w:rFonts w:hint="eastAsia" w:hAnsi="宋体" w:cs="宋体"/>
          <w:color w:val="auto"/>
          <w:sz w:val="21"/>
        </w:rPr>
        <w:t>如发生乙方员工造成甲方人员或第三方财产损失和人身损害等的，乙方应承担连带赔偿赔偿责任，非因甲方原因造成乙方及其员工财产损失和人身损害等的，甲方不承担任何责任。</w:t>
      </w:r>
    </w:p>
    <w:p w14:paraId="7A54F47C">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八</w:t>
      </w:r>
      <w:r>
        <w:rPr>
          <w:rFonts w:hint="eastAsia" w:hAnsi="宋体" w:cs="宋体"/>
          <w:color w:val="auto"/>
          <w:sz w:val="21"/>
          <w:lang w:eastAsia="zh-CN"/>
        </w:rPr>
        <w:t>）</w:t>
      </w:r>
      <w:r>
        <w:rPr>
          <w:rFonts w:hint="eastAsia" w:hAnsi="宋体" w:cs="宋体"/>
          <w:color w:val="auto"/>
          <w:sz w:val="21"/>
        </w:rPr>
        <w:t>乙方应与员工签订劳动合同，按时支付工资，如出现劳动争议、劳资纠纷、或因其它任何由乙方过失出现罢工或给甲方造成任何损失的，由乙方全权负责，甲方有权单方解除合同并给予相应处罚。</w:t>
      </w:r>
    </w:p>
    <w:p w14:paraId="2834222C">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九</w:t>
      </w:r>
      <w:r>
        <w:rPr>
          <w:rFonts w:hint="eastAsia" w:hAnsi="宋体" w:cs="宋体"/>
          <w:color w:val="auto"/>
          <w:sz w:val="21"/>
          <w:lang w:eastAsia="zh-CN"/>
        </w:rPr>
        <w:t>）</w:t>
      </w:r>
      <w:r>
        <w:rPr>
          <w:rFonts w:hint="eastAsia" w:hAnsi="宋体" w:cs="宋体"/>
          <w:color w:val="auto"/>
          <w:sz w:val="21"/>
        </w:rPr>
        <w:t>服务期内，乙方必须做好工作人员所需要的安全教育、安全措施及劳动保护措施，保证工作人员的安全，乙方工作人员在甲方处发生事故的一切责任均由乙方负责。</w:t>
      </w:r>
    </w:p>
    <w:p w14:paraId="730FC5D4">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w:t>
      </w:r>
      <w:r>
        <w:rPr>
          <w:rFonts w:hint="eastAsia" w:hAnsi="宋体" w:cs="宋体"/>
          <w:color w:val="auto"/>
          <w:sz w:val="21"/>
          <w:lang w:eastAsia="zh-CN"/>
        </w:rPr>
        <w:t>）</w:t>
      </w:r>
      <w:r>
        <w:rPr>
          <w:rFonts w:hint="eastAsia" w:hAnsi="宋体" w:cs="宋体"/>
          <w:color w:val="auto"/>
          <w:sz w:val="21"/>
        </w:rPr>
        <w:t>负责承担乙方服务人员的工资福利、保险、健康检查及办理各种必须的证件，乙方工作人员必须严格执行有关安全操作规范、规程，因乙方工作人员造成损害的责任全部由乙方承担。</w:t>
      </w:r>
    </w:p>
    <w:p w14:paraId="3F2539AC">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十一</w:t>
      </w:r>
      <w:r>
        <w:rPr>
          <w:rFonts w:hint="eastAsia" w:hAnsi="宋体" w:cs="宋体"/>
          <w:color w:val="auto"/>
          <w:sz w:val="21"/>
          <w:lang w:eastAsia="zh-CN"/>
        </w:rPr>
        <w:t>）</w:t>
      </w:r>
      <w:r>
        <w:rPr>
          <w:rFonts w:hint="eastAsia" w:hAnsi="宋体" w:cs="宋体"/>
          <w:color w:val="auto"/>
          <w:sz w:val="21"/>
        </w:rPr>
        <w:t>在履行合同过程中，乙方违反本合同的规定，所提供的服务未达到合同要求的，每发生一次，乙方应向甲方支付违约金1000元，甲方提出书面限期整改通知，乙方应当按照书面意见进行整改。乙方未按要求整改的，甲方有权终止合同，乙方应向甲方支付违约金10000元，因乙方违法规定，由此造成甲方的经济损失，乙方应另外承担损失赔偿责任。</w:t>
      </w:r>
    </w:p>
    <w:p w14:paraId="12224571">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十二</w:t>
      </w:r>
      <w:r>
        <w:rPr>
          <w:rFonts w:hint="eastAsia" w:hAnsi="宋体" w:cs="宋体"/>
          <w:color w:val="auto"/>
          <w:sz w:val="21"/>
          <w:lang w:eastAsia="zh-CN"/>
        </w:rPr>
        <w:t>）</w:t>
      </w:r>
      <w:r>
        <w:rPr>
          <w:rFonts w:hint="eastAsia" w:hAnsi="宋体" w:cs="宋体"/>
          <w:color w:val="auto"/>
          <w:sz w:val="21"/>
        </w:rPr>
        <w:t>在履行合同过程中，乙方被有效投诉的，每发生一次，乙方应向甲方支付违约金1000</w:t>
      </w:r>
      <w:r>
        <w:rPr>
          <w:rFonts w:hint="eastAsia" w:hAnsi="宋体" w:cs="宋体"/>
          <w:color w:val="auto"/>
          <w:sz w:val="21"/>
          <w:lang w:val="en-US" w:eastAsia="zh-CN"/>
        </w:rPr>
        <w:t>0</w:t>
      </w:r>
      <w:r>
        <w:rPr>
          <w:rFonts w:hint="eastAsia" w:hAnsi="宋体" w:cs="宋体"/>
          <w:color w:val="auto"/>
          <w:sz w:val="21"/>
        </w:rPr>
        <w:t>元，甲方提出书面限期整改通知，乙方应当按照书面意见进行整改。乙方未及时按甲方要求及时整改或累计被有效投诉达3次，甲方有权即时终止合同，乙方应向甲方支付违约金</w:t>
      </w:r>
      <w:r>
        <w:rPr>
          <w:rFonts w:hint="eastAsia" w:hAnsi="宋体" w:cs="宋体"/>
          <w:color w:val="auto"/>
          <w:sz w:val="21"/>
          <w:lang w:val="en-US" w:eastAsia="zh-CN"/>
        </w:rPr>
        <w:t>2</w:t>
      </w:r>
      <w:r>
        <w:rPr>
          <w:rFonts w:hint="eastAsia" w:hAnsi="宋体" w:cs="宋体"/>
          <w:color w:val="auto"/>
          <w:sz w:val="21"/>
        </w:rPr>
        <w:t>0000元，由此造成甲方的经济损失，乙方应予以赔偿。</w:t>
      </w:r>
    </w:p>
    <w:p w14:paraId="47CEBE3E">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十三</w:t>
      </w:r>
      <w:r>
        <w:rPr>
          <w:rFonts w:hint="eastAsia" w:hAnsi="宋体" w:cs="宋体"/>
          <w:color w:val="auto"/>
          <w:sz w:val="21"/>
          <w:lang w:eastAsia="zh-CN"/>
        </w:rPr>
        <w:t>）</w:t>
      </w:r>
      <w:r>
        <w:rPr>
          <w:rFonts w:hint="eastAsia" w:hAnsi="宋体" w:cs="宋体"/>
          <w:color w:val="auto"/>
          <w:sz w:val="21"/>
        </w:rPr>
        <w:t>其他违反本合同约定的行为，守约方有权要求违约方限期改正并赔偿损失，赔偿金额按依法裁定的最终结果确定。</w:t>
      </w:r>
    </w:p>
    <w:p w14:paraId="61652138">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十四</w:t>
      </w:r>
      <w:r>
        <w:rPr>
          <w:rFonts w:hint="eastAsia" w:hAnsi="宋体" w:cs="宋体"/>
          <w:color w:val="auto"/>
          <w:sz w:val="21"/>
          <w:lang w:eastAsia="zh-CN"/>
        </w:rPr>
        <w:t>）</w:t>
      </w:r>
      <w:r>
        <w:rPr>
          <w:rFonts w:hint="eastAsia" w:hAnsi="宋体" w:cs="宋体"/>
          <w:color w:val="auto"/>
          <w:sz w:val="21"/>
        </w:rPr>
        <w:t>甲方发现乙方是通过提供虚假材料方式谋取</w:t>
      </w:r>
      <w:r>
        <w:rPr>
          <w:rFonts w:hint="eastAsia" w:hAnsi="宋体" w:cs="宋体"/>
          <w:color w:val="auto"/>
          <w:sz w:val="21"/>
          <w:lang w:eastAsia="zh-CN"/>
        </w:rPr>
        <w:t>成交</w:t>
      </w:r>
      <w:r>
        <w:rPr>
          <w:rFonts w:hint="eastAsia" w:hAnsi="宋体" w:cs="宋体"/>
          <w:color w:val="auto"/>
          <w:sz w:val="21"/>
        </w:rPr>
        <w:t>的，甲方有权解除本合同，并追究乙方的违约责任，双方出现的相关损失均由乙方承担。</w:t>
      </w:r>
    </w:p>
    <w:p w14:paraId="71B5F066">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十五</w:t>
      </w:r>
      <w:r>
        <w:rPr>
          <w:rFonts w:hint="eastAsia" w:hAnsi="宋体" w:cs="宋体"/>
          <w:color w:val="auto"/>
          <w:sz w:val="21"/>
          <w:lang w:eastAsia="zh-CN"/>
        </w:rPr>
        <w:t>）</w:t>
      </w:r>
      <w:r>
        <w:rPr>
          <w:rFonts w:hint="eastAsia" w:hAnsi="宋体" w:cs="宋体"/>
          <w:color w:val="auto"/>
          <w:sz w:val="21"/>
        </w:rPr>
        <w:t>乙方应保护用户信息安全，不得利用用户信息从事违法犯罪活动，如出现用户信息泄露导致的纠纷，乙方承担一切法律责任，甲方有权终止合同并追究乙方的法律责任。</w:t>
      </w:r>
    </w:p>
    <w:p w14:paraId="5D5E023B">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val="en-US" w:eastAsia="zh-CN"/>
        </w:rPr>
        <w:t>（十六）</w:t>
      </w:r>
      <w:r>
        <w:rPr>
          <w:rFonts w:hint="eastAsia" w:hAnsi="宋体" w:cs="宋体"/>
          <w:color w:val="auto"/>
          <w:sz w:val="21"/>
        </w:rPr>
        <w:t>因甲方上级主管部门要求或政府政策原因，导致合同需要提前终止的，乙方应无条件接受并终止本合同，造成的损失与甲方无关，甲方不承担违约责任。</w:t>
      </w:r>
    </w:p>
    <w:p w14:paraId="7A887EC0">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十七</w:t>
      </w:r>
      <w:r>
        <w:rPr>
          <w:rFonts w:hint="eastAsia" w:hAnsi="宋体" w:cs="宋体"/>
          <w:color w:val="auto"/>
          <w:sz w:val="21"/>
          <w:lang w:eastAsia="zh-CN"/>
        </w:rPr>
        <w:t>）</w:t>
      </w:r>
      <w:r>
        <w:rPr>
          <w:rFonts w:hint="eastAsia" w:hAnsi="宋体" w:cs="宋体"/>
          <w:color w:val="auto"/>
          <w:sz w:val="21"/>
        </w:rPr>
        <w:t>其它违约责任按《中华人民共和国民法典》中合同编相关规定处理。</w:t>
      </w:r>
    </w:p>
    <w:p w14:paraId="61738C7A">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十八</w:t>
      </w:r>
      <w:r>
        <w:rPr>
          <w:rFonts w:hint="eastAsia" w:hAnsi="宋体" w:cs="宋体"/>
          <w:color w:val="auto"/>
          <w:sz w:val="21"/>
          <w:lang w:eastAsia="zh-CN"/>
        </w:rPr>
        <w:t>）</w:t>
      </w:r>
      <w:r>
        <w:rPr>
          <w:rFonts w:hint="eastAsia" w:hAnsi="宋体" w:cs="宋体"/>
          <w:color w:val="auto"/>
          <w:sz w:val="21"/>
        </w:rPr>
        <w:t>本合同生效后，如任何一方违约，守约方为维护权益，向违约方追偿的一切费用，包括但不限于律师费、诉讼费、保全费、鉴定费、差旅费等由违约方承担。甲方有权根据本合同的相关约定向乙方提出不足部分的赔偿。</w:t>
      </w:r>
    </w:p>
    <w:p w14:paraId="28E1008F">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val="en-US" w:eastAsia="zh-CN"/>
        </w:rPr>
        <w:t>十五</w:t>
      </w:r>
      <w:r>
        <w:rPr>
          <w:rFonts w:hint="eastAsia" w:hAnsi="宋体" w:cs="宋体"/>
          <w:b/>
          <w:color w:val="auto"/>
          <w:sz w:val="21"/>
          <w:szCs w:val="21"/>
        </w:rPr>
        <w:t>条 不可抗力</w:t>
      </w:r>
    </w:p>
    <w:p w14:paraId="5ADF386D">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不可抗力指战争、严重火灾、洪水、台风、地震</w:t>
      </w:r>
      <w:r>
        <w:rPr>
          <w:rFonts w:hint="eastAsia" w:hAnsi="宋体" w:cs="宋体"/>
          <w:color w:val="auto"/>
          <w:sz w:val="21"/>
          <w:szCs w:val="21"/>
          <w:lang w:eastAsia="zh-CN"/>
        </w:rPr>
        <w:t>、</w:t>
      </w:r>
      <w:r>
        <w:rPr>
          <w:rFonts w:hint="eastAsia" w:hAnsi="宋体" w:cs="宋体"/>
          <w:color w:val="auto"/>
          <w:sz w:val="21"/>
          <w:szCs w:val="21"/>
          <w:lang w:val="en-US" w:eastAsia="zh-CN"/>
        </w:rPr>
        <w:t>政策要求</w:t>
      </w:r>
      <w:r>
        <w:rPr>
          <w:rFonts w:hint="eastAsia" w:hAnsi="宋体" w:cs="宋体"/>
          <w:color w:val="auto"/>
          <w:sz w:val="21"/>
          <w:szCs w:val="21"/>
        </w:rPr>
        <w:t>等或其它双方认定的不可抗力事件。</w:t>
      </w:r>
    </w:p>
    <w:p w14:paraId="40849C91">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签约双方中任何一方由于不可抗力影响合同履行时，发生不可抗力一方应尽快将事故通知另一方。在此情况下，乙方仍然有责任采取必要的措施提供服务，双方应通过友好协商尽快解决本合同的履行问题。</w:t>
      </w:r>
    </w:p>
    <w:p w14:paraId="3A7740E4">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六</w:t>
      </w:r>
      <w:r>
        <w:rPr>
          <w:rFonts w:hint="eastAsia" w:hAnsi="宋体" w:cs="宋体"/>
          <w:b/>
          <w:color w:val="auto"/>
          <w:sz w:val="21"/>
          <w:szCs w:val="21"/>
        </w:rPr>
        <w:t>条 纠纷的解决方式</w:t>
      </w:r>
    </w:p>
    <w:p w14:paraId="0C0138FB">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rPr>
        <w:t>签约双方在履约中发生争执和分歧，双方应通过友好协商解决，若经协商不能达成协议时，则由甲方所在地人民法院管辖。受理期间，双方应继续执行合同其余部分。</w:t>
      </w:r>
    </w:p>
    <w:p w14:paraId="25F3B9F8">
      <w:pPr>
        <w:autoSpaceDE/>
        <w:autoSpaceDN/>
        <w:adjustRightInd/>
        <w:spacing w:line="400" w:lineRule="exact"/>
        <w:ind w:firstLine="422" w:firstLineChars="200"/>
        <w:rPr>
          <w:rFonts w:hint="eastAsia" w:hAnsi="宋体" w:cs="宋体"/>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七</w:t>
      </w:r>
      <w:r>
        <w:rPr>
          <w:rFonts w:hint="eastAsia" w:hAnsi="宋体" w:cs="宋体"/>
          <w:b/>
          <w:color w:val="auto"/>
          <w:sz w:val="21"/>
          <w:szCs w:val="21"/>
        </w:rPr>
        <w:t>条 其他</w:t>
      </w:r>
    </w:p>
    <w:p w14:paraId="12322F32">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如一方地址、电话有变更，应在变更当日内书面通知对方，否则，应承担相应责任。</w:t>
      </w:r>
    </w:p>
    <w:p w14:paraId="2A494B4F">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本合同未尽事宜，由双方协商处理,另行签订《补充协议》。</w:t>
      </w:r>
    </w:p>
    <w:p w14:paraId="58DAEDBD">
      <w:pPr>
        <w:autoSpaceDE/>
        <w:autoSpaceDN/>
        <w:adjustRightInd/>
        <w:spacing w:line="400" w:lineRule="exact"/>
        <w:ind w:firstLine="422" w:firstLineChars="200"/>
        <w:rPr>
          <w:rFonts w:hint="eastAsia" w:hAnsi="宋体" w:cs="宋体"/>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八</w:t>
      </w:r>
      <w:r>
        <w:rPr>
          <w:rFonts w:hint="eastAsia" w:hAnsi="宋体" w:cs="宋体"/>
          <w:b/>
          <w:color w:val="auto"/>
          <w:sz w:val="21"/>
          <w:szCs w:val="21"/>
        </w:rPr>
        <w:t>条 合同生效</w:t>
      </w:r>
    </w:p>
    <w:p w14:paraId="61DF55E8">
      <w:pPr>
        <w:autoSpaceDE/>
        <w:autoSpaceDN/>
        <w:adjustRightInd/>
        <w:spacing w:line="400" w:lineRule="exact"/>
        <w:ind w:firstLine="42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本合同在甲乙双方法定代表人或其授权代表签字并加盖公章后生效。</w:t>
      </w:r>
    </w:p>
    <w:p w14:paraId="4FEF94D9">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本合同</w:t>
      </w:r>
      <w:r>
        <w:rPr>
          <w:rFonts w:hint="eastAsia" w:hAnsi="宋体" w:cs="宋体"/>
          <w:color w:val="auto"/>
          <w:sz w:val="21"/>
          <w:szCs w:val="21"/>
          <w:highlight w:val="none"/>
          <w:u w:val="none"/>
        </w:rPr>
        <w:t>一</w:t>
      </w:r>
      <w:r>
        <w:rPr>
          <w:rFonts w:hint="eastAsia" w:hAnsi="宋体" w:cs="宋体"/>
          <w:color w:val="auto"/>
          <w:sz w:val="21"/>
          <w:szCs w:val="21"/>
          <w:highlight w:val="none"/>
          <w:u w:val="single"/>
        </w:rPr>
        <w:t>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份，甲方执</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份，乙方执</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w:t>
      </w:r>
      <w:r>
        <w:rPr>
          <w:rFonts w:hint="eastAsia" w:hAnsi="宋体" w:cs="宋体"/>
          <w:color w:val="auto"/>
          <w:sz w:val="21"/>
          <w:szCs w:val="21"/>
          <w:highlight w:val="none"/>
          <w:u w:val="none"/>
        </w:rPr>
        <w:t>。各</w:t>
      </w:r>
      <w:r>
        <w:rPr>
          <w:rFonts w:hint="eastAsia" w:hAnsi="宋体" w:cs="宋体"/>
          <w:color w:val="auto"/>
          <w:sz w:val="21"/>
          <w:szCs w:val="21"/>
        </w:rPr>
        <w:t>份合同具有同等法律效力。</w:t>
      </w:r>
    </w:p>
    <w:p w14:paraId="352E346E">
      <w:pPr>
        <w:tabs>
          <w:tab w:val="left" w:pos="6360"/>
        </w:tabs>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 xml:space="preserve">                             （以下无正文）</w:t>
      </w:r>
    </w:p>
    <w:p w14:paraId="1C948905">
      <w:pPr>
        <w:tabs>
          <w:tab w:val="left" w:pos="6360"/>
        </w:tabs>
        <w:autoSpaceDE/>
        <w:autoSpaceDN/>
        <w:adjustRightInd/>
        <w:spacing w:line="400" w:lineRule="exact"/>
        <w:jc w:val="center"/>
        <w:rPr>
          <w:rFonts w:hint="eastAsia" w:hAnsi="宋体" w:cs="宋体"/>
          <w:b/>
          <w:bCs/>
          <w:color w:val="auto"/>
          <w:sz w:val="21"/>
          <w:szCs w:val="21"/>
        </w:rPr>
      </w:pPr>
    </w:p>
    <w:p w14:paraId="095933A6">
      <w:pPr>
        <w:tabs>
          <w:tab w:val="left" w:pos="6360"/>
        </w:tabs>
        <w:autoSpaceDE/>
        <w:autoSpaceDN/>
        <w:adjustRightInd/>
        <w:spacing w:line="400" w:lineRule="exact"/>
        <w:jc w:val="center"/>
        <w:rPr>
          <w:rFonts w:hint="eastAsia" w:hAnsi="宋体" w:cs="宋体"/>
          <w:b/>
          <w:bCs/>
          <w:color w:val="auto"/>
          <w:sz w:val="21"/>
          <w:szCs w:val="21"/>
        </w:rPr>
      </w:pPr>
    </w:p>
    <w:p w14:paraId="679AE778">
      <w:pPr>
        <w:tabs>
          <w:tab w:val="left" w:pos="6360"/>
        </w:tabs>
        <w:autoSpaceDE/>
        <w:autoSpaceDN/>
        <w:adjustRightInd/>
        <w:spacing w:line="400" w:lineRule="exact"/>
        <w:jc w:val="center"/>
        <w:rPr>
          <w:rFonts w:hint="eastAsia" w:hAnsi="宋体" w:cs="宋体"/>
          <w:b/>
          <w:bCs/>
          <w:color w:val="auto"/>
          <w:sz w:val="21"/>
          <w:szCs w:val="21"/>
        </w:rPr>
      </w:pPr>
    </w:p>
    <w:p w14:paraId="3CAEE227">
      <w:pPr>
        <w:tabs>
          <w:tab w:val="left" w:pos="6360"/>
        </w:tabs>
        <w:autoSpaceDE/>
        <w:autoSpaceDN/>
        <w:adjustRightInd/>
        <w:spacing w:line="400" w:lineRule="exact"/>
        <w:jc w:val="center"/>
        <w:rPr>
          <w:rFonts w:hint="eastAsia" w:hAnsi="宋体" w:cs="宋体"/>
          <w:b/>
          <w:bCs/>
          <w:color w:val="auto"/>
          <w:sz w:val="21"/>
          <w:szCs w:val="21"/>
        </w:rPr>
      </w:pPr>
      <w:r>
        <w:rPr>
          <w:rFonts w:hint="eastAsia" w:hAnsi="宋体" w:cs="宋体"/>
          <w:b/>
          <w:bCs/>
          <w:color w:val="auto"/>
          <w:sz w:val="21"/>
          <w:szCs w:val="21"/>
        </w:rPr>
        <w:t>（签署页）</w:t>
      </w:r>
    </w:p>
    <w:p w14:paraId="1C26B9CD">
      <w:pPr>
        <w:tabs>
          <w:tab w:val="left" w:pos="6360"/>
        </w:tabs>
        <w:autoSpaceDE/>
        <w:autoSpaceDN/>
        <w:adjustRightInd/>
        <w:spacing w:line="400" w:lineRule="exact"/>
        <w:rPr>
          <w:rFonts w:hint="eastAsia" w:hAnsi="宋体" w:cs="宋体"/>
          <w:b/>
          <w:bCs/>
          <w:color w:val="auto"/>
          <w:sz w:val="21"/>
          <w:szCs w:val="21"/>
        </w:rPr>
      </w:pPr>
    </w:p>
    <w:p w14:paraId="3F48EE83">
      <w:pPr>
        <w:tabs>
          <w:tab w:val="left" w:pos="6360"/>
        </w:tabs>
        <w:autoSpaceDE/>
        <w:autoSpaceDN/>
        <w:adjustRightInd/>
        <w:spacing w:line="400" w:lineRule="exact"/>
        <w:rPr>
          <w:rFonts w:hint="eastAsia" w:hAnsi="宋体" w:cs="宋体"/>
          <w:b/>
          <w:bCs/>
          <w:color w:val="auto"/>
          <w:sz w:val="21"/>
          <w:szCs w:val="21"/>
        </w:rPr>
      </w:pPr>
    </w:p>
    <w:p w14:paraId="14B2B9D4">
      <w:pPr>
        <w:tabs>
          <w:tab w:val="left" w:pos="6360"/>
        </w:tabs>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甲方：</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w:t>
      </w:r>
      <w:r>
        <w:rPr>
          <w:rFonts w:hint="eastAsia" w:hAnsi="宋体" w:cs="宋体"/>
          <w:b/>
          <w:bCs/>
          <w:color w:val="auto"/>
          <w:sz w:val="21"/>
          <w:szCs w:val="21"/>
          <w:highlight w:val="none"/>
        </w:rPr>
        <w:t xml:space="preserve">乙方：     </w:t>
      </w:r>
      <w:r>
        <w:rPr>
          <w:rFonts w:hint="eastAsia" w:hAnsi="宋体" w:cs="宋体"/>
          <w:b/>
          <w:bCs/>
          <w:color w:val="auto"/>
          <w:sz w:val="21"/>
          <w:szCs w:val="21"/>
        </w:rPr>
        <w:t xml:space="preserve">                   </w:t>
      </w:r>
    </w:p>
    <w:p w14:paraId="278FB104">
      <w:pPr>
        <w:autoSpaceDE/>
        <w:autoSpaceDN/>
        <w:adjustRightInd/>
        <w:spacing w:line="400" w:lineRule="exact"/>
        <w:rPr>
          <w:rFonts w:hint="eastAsia" w:hAnsi="宋体" w:cs="宋体"/>
          <w:b/>
          <w:bCs/>
          <w:color w:val="auto"/>
          <w:sz w:val="21"/>
          <w:szCs w:val="21"/>
        </w:rPr>
      </w:pPr>
    </w:p>
    <w:p w14:paraId="4E86A65E">
      <w:pPr>
        <w:autoSpaceDE/>
        <w:autoSpaceDN/>
        <w:adjustRightInd/>
        <w:spacing w:line="400" w:lineRule="exact"/>
        <w:rPr>
          <w:rFonts w:hint="eastAsia" w:hAnsi="宋体" w:cs="宋体"/>
          <w:b/>
          <w:bCs/>
          <w:color w:val="auto"/>
          <w:sz w:val="21"/>
          <w:szCs w:val="21"/>
        </w:rPr>
      </w:pPr>
    </w:p>
    <w:p w14:paraId="1EA93BAB">
      <w:pPr>
        <w:autoSpaceDE/>
        <w:autoSpaceDN/>
        <w:adjustRightInd/>
        <w:spacing w:line="400" w:lineRule="exact"/>
        <w:rPr>
          <w:rFonts w:hint="eastAsia" w:hAnsi="宋体" w:cs="宋体"/>
          <w:b/>
          <w:bCs/>
          <w:color w:val="auto"/>
          <w:sz w:val="21"/>
          <w:szCs w:val="21"/>
        </w:rPr>
      </w:pPr>
    </w:p>
    <w:p w14:paraId="5D62C897">
      <w:pPr>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 xml:space="preserve">法定代表人或授权代表（签字）：     </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w:t>
      </w:r>
      <w:r>
        <w:rPr>
          <w:rFonts w:hint="eastAsia" w:hAnsi="宋体" w:cs="宋体"/>
          <w:b/>
          <w:bCs/>
          <w:color w:val="auto"/>
          <w:sz w:val="21"/>
          <w:szCs w:val="21"/>
          <w:lang w:val="en-US" w:eastAsia="zh-CN"/>
        </w:rPr>
        <w:t xml:space="preserve">           </w:t>
      </w:r>
      <w:r>
        <w:rPr>
          <w:rFonts w:hint="eastAsia" w:hAnsi="宋体" w:cs="宋体"/>
          <w:b/>
          <w:bCs/>
          <w:color w:val="auto"/>
          <w:sz w:val="21"/>
          <w:szCs w:val="21"/>
        </w:rPr>
        <w:t>法定代表人或授权代表（签字）：</w:t>
      </w:r>
    </w:p>
    <w:p w14:paraId="31B62EE9">
      <w:pPr>
        <w:autoSpaceDE/>
        <w:autoSpaceDN/>
        <w:adjustRightInd/>
        <w:spacing w:line="400" w:lineRule="exact"/>
        <w:rPr>
          <w:rFonts w:hint="eastAsia" w:hAnsi="宋体" w:cs="宋体"/>
          <w:color w:val="auto"/>
          <w:sz w:val="21"/>
          <w:szCs w:val="21"/>
        </w:rPr>
      </w:pPr>
    </w:p>
    <w:p w14:paraId="35326342">
      <w:pPr>
        <w:autoSpaceDE/>
        <w:autoSpaceDN/>
        <w:adjustRightInd/>
        <w:spacing w:line="400" w:lineRule="exact"/>
        <w:rPr>
          <w:rFonts w:hint="eastAsia" w:hAnsi="宋体" w:cs="宋体"/>
          <w:b/>
          <w:bCs/>
          <w:color w:val="auto"/>
          <w:sz w:val="21"/>
          <w:szCs w:val="21"/>
        </w:rPr>
      </w:pPr>
    </w:p>
    <w:p w14:paraId="6916A0CF">
      <w:pPr>
        <w:autoSpaceDE/>
        <w:autoSpaceDN/>
        <w:adjustRightInd/>
        <w:spacing w:line="400" w:lineRule="exact"/>
        <w:rPr>
          <w:rFonts w:hint="eastAsia" w:hAnsi="宋体" w:cs="宋体"/>
          <w:b/>
          <w:bCs/>
          <w:color w:val="auto"/>
          <w:sz w:val="21"/>
          <w:szCs w:val="21"/>
        </w:rPr>
      </w:pPr>
    </w:p>
    <w:p w14:paraId="24240A21">
      <w:pPr>
        <w:autoSpaceDE/>
        <w:autoSpaceDN/>
        <w:adjustRightInd/>
        <w:spacing w:line="400" w:lineRule="exact"/>
        <w:rPr>
          <w:rFonts w:hint="eastAsia" w:hAnsi="宋体" w:cs="宋体"/>
          <w:b/>
          <w:bCs/>
          <w:color w:val="auto"/>
          <w:sz w:val="21"/>
          <w:szCs w:val="21"/>
        </w:rPr>
      </w:pPr>
    </w:p>
    <w:p w14:paraId="15A5612B">
      <w:pPr>
        <w:autoSpaceDE/>
        <w:autoSpaceDN/>
        <w:adjustRightInd/>
        <w:spacing w:line="400" w:lineRule="exact"/>
        <w:rPr>
          <w:rFonts w:hint="eastAsia" w:hAnsi="宋体" w:cs="宋体"/>
          <w:b/>
          <w:bCs/>
          <w:color w:val="auto"/>
          <w:sz w:val="21"/>
          <w:szCs w:val="21"/>
        </w:rPr>
      </w:pPr>
    </w:p>
    <w:p w14:paraId="048D658C">
      <w:pPr>
        <w:autoSpaceDE/>
        <w:autoSpaceDN/>
        <w:adjustRightInd/>
        <w:spacing w:line="400" w:lineRule="exact"/>
        <w:rPr>
          <w:rFonts w:hint="eastAsia" w:hAnsi="宋体" w:cs="宋体"/>
          <w:color w:val="auto"/>
          <w:sz w:val="21"/>
          <w:szCs w:val="21"/>
        </w:rPr>
      </w:pPr>
      <w:r>
        <w:rPr>
          <w:rFonts w:hint="eastAsia" w:hAnsi="宋体" w:cs="宋体"/>
          <w:b/>
          <w:bCs/>
          <w:color w:val="auto"/>
          <w:sz w:val="21"/>
          <w:szCs w:val="21"/>
        </w:rPr>
        <w:t xml:space="preserve">日期：   年    月    日                   </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日期：   年    月    日</w:t>
      </w:r>
      <w:r>
        <w:rPr>
          <w:rFonts w:hint="eastAsia" w:hAnsi="宋体" w:cs="宋体"/>
          <w:color w:val="auto"/>
          <w:sz w:val="21"/>
          <w:szCs w:val="21"/>
        </w:rPr>
        <w:t xml:space="preserve"> </w:t>
      </w:r>
    </w:p>
    <w:p w14:paraId="3F7D64CE">
      <w:pPr>
        <w:widowControl/>
        <w:autoSpaceDE/>
        <w:autoSpaceDN/>
        <w:adjustRightInd/>
        <w:spacing w:line="400" w:lineRule="exact"/>
        <w:ind w:firstLine="420" w:firstLineChars="200"/>
        <w:contextualSpacing/>
        <w:rPr>
          <w:rFonts w:hint="eastAsia" w:hAnsi="宋体" w:cs="宋体"/>
          <w:color w:val="auto"/>
          <w:sz w:val="21"/>
          <w:szCs w:val="21"/>
        </w:rPr>
      </w:pPr>
    </w:p>
    <w:p w14:paraId="48910E79">
      <w:pPr>
        <w:widowControl/>
        <w:autoSpaceDE/>
        <w:autoSpaceDN/>
        <w:adjustRightInd/>
        <w:spacing w:line="460" w:lineRule="exact"/>
        <w:ind w:firstLine="420" w:firstLineChars="200"/>
        <w:contextualSpacing/>
        <w:rPr>
          <w:rFonts w:hint="eastAsia" w:hAnsi="宋体"/>
          <w:color w:val="auto"/>
        </w:rPr>
      </w:pPr>
    </w:p>
    <w:p w14:paraId="0F26B1CA">
      <w:pPr>
        <w:rPr>
          <w:color w:val="auto"/>
          <w:highlight w:val="none"/>
        </w:rPr>
      </w:pPr>
    </w:p>
    <w:p w14:paraId="6DEB6E21">
      <w:pPr>
        <w:tabs>
          <w:tab w:val="left" w:pos="840"/>
        </w:tabs>
        <w:spacing w:line="360" w:lineRule="auto"/>
        <w:jc w:val="both"/>
        <w:rPr>
          <w:rFonts w:ascii="黑体" w:hAnsi="黑体" w:eastAsia="黑体" w:cs="黑体"/>
          <w:b/>
          <w:bCs/>
          <w:color w:val="auto"/>
          <w:sz w:val="32"/>
          <w:szCs w:val="32"/>
          <w:highlight w:val="none"/>
        </w:rPr>
        <w:sectPr>
          <w:footerReference r:id="rId9" w:type="default"/>
          <w:pgSz w:w="11906" w:h="16838"/>
          <w:pgMar w:top="1134" w:right="850" w:bottom="1134" w:left="850" w:header="851" w:footer="992" w:gutter="0"/>
          <w:pgNumType w:fmt="decimal" w:start="1"/>
          <w:cols w:space="425" w:num="1"/>
          <w:docGrid w:type="lines" w:linePitch="312" w:charSpace="0"/>
        </w:sectPr>
      </w:pPr>
    </w:p>
    <w:p w14:paraId="6C7E0BA4">
      <w:pPr>
        <w:tabs>
          <w:tab w:val="left" w:pos="840"/>
        </w:tabs>
        <w:spacing w:line="360" w:lineRule="auto"/>
        <w:jc w:val="center"/>
        <w:outlineLvl w:val="0"/>
        <w:rPr>
          <w:rFonts w:hint="eastAsia" w:ascii="黑体" w:hAnsi="黑体" w:eastAsia="黑体" w:cs="黑体"/>
          <w:b/>
          <w:bCs/>
          <w:color w:val="auto"/>
          <w:sz w:val="30"/>
          <w:szCs w:val="30"/>
          <w:highlight w:val="none"/>
        </w:rPr>
      </w:pPr>
      <w:bookmarkStart w:id="45" w:name="_Toc32180"/>
      <w:bookmarkStart w:id="46" w:name="_Toc4952"/>
      <w:r>
        <w:rPr>
          <w:rFonts w:hint="eastAsia" w:ascii="黑体" w:hAnsi="黑体" w:eastAsia="黑体" w:cs="黑体"/>
          <w:b/>
          <w:bCs/>
          <w:color w:val="auto"/>
          <w:sz w:val="30"/>
          <w:szCs w:val="30"/>
          <w:highlight w:val="none"/>
        </w:rPr>
        <w:t>南方医科大学第五附属医院</w:t>
      </w:r>
      <w:r>
        <w:rPr>
          <w:rFonts w:hint="eastAsia" w:ascii="黑体" w:hAnsi="黑体" w:eastAsia="黑体" w:cs="黑体"/>
          <w:b/>
          <w:bCs/>
          <w:color w:val="auto"/>
          <w:sz w:val="30"/>
          <w:szCs w:val="30"/>
          <w:highlight w:val="none"/>
          <w:lang w:val="en-US" w:eastAsia="zh-CN"/>
        </w:rPr>
        <w:t>***</w:t>
      </w:r>
      <w:r>
        <w:rPr>
          <w:rFonts w:hint="eastAsia" w:ascii="黑体" w:hAnsi="黑体" w:eastAsia="黑体" w:cs="黑体"/>
          <w:b/>
          <w:bCs/>
          <w:color w:val="auto"/>
          <w:sz w:val="30"/>
          <w:szCs w:val="30"/>
          <w:highlight w:val="none"/>
        </w:rPr>
        <w:t>项目廉洁合同</w:t>
      </w:r>
      <w:bookmarkEnd w:id="45"/>
      <w:bookmarkEnd w:id="46"/>
    </w:p>
    <w:p w14:paraId="4D3CE54A">
      <w:pPr>
        <w:pStyle w:val="8"/>
        <w:spacing w:line="360" w:lineRule="auto"/>
        <w:ind w:firstLine="0" w:firstLineChars="0"/>
        <w:jc w:val="left"/>
        <w:rPr>
          <w:rFonts w:asciiTheme="majorEastAsia" w:hAnsiTheme="majorEastAsia" w:eastAsiaTheme="majorEastAsia"/>
          <w:b/>
          <w:bCs/>
          <w:color w:val="auto"/>
          <w:sz w:val="21"/>
          <w:szCs w:val="21"/>
          <w:highlight w:val="none"/>
        </w:rPr>
      </w:pPr>
      <w:r>
        <w:rPr>
          <w:rFonts w:asciiTheme="majorEastAsia" w:hAnsiTheme="majorEastAsia" w:eastAsiaTheme="majorEastAsia"/>
          <w:b/>
          <w:bCs/>
          <w:color w:val="auto"/>
          <w:sz w:val="21"/>
          <w:szCs w:val="21"/>
          <w:highlight w:val="none"/>
        </w:rPr>
        <w:t>甲方：</w:t>
      </w:r>
    </w:p>
    <w:p w14:paraId="2E8FDEBF">
      <w:pPr>
        <w:pStyle w:val="8"/>
        <w:spacing w:line="360" w:lineRule="auto"/>
        <w:ind w:firstLine="0" w:firstLineChars="0"/>
        <w:jc w:val="left"/>
        <w:rPr>
          <w:rFonts w:asciiTheme="majorEastAsia" w:hAnsiTheme="majorEastAsia" w:eastAsiaTheme="majorEastAsia"/>
          <w:b/>
          <w:bCs/>
          <w:color w:val="auto"/>
          <w:sz w:val="21"/>
          <w:szCs w:val="21"/>
          <w:highlight w:val="none"/>
        </w:rPr>
      </w:pPr>
      <w:r>
        <w:rPr>
          <w:rFonts w:asciiTheme="majorEastAsia" w:hAnsiTheme="majorEastAsia" w:eastAsiaTheme="majorEastAsia"/>
          <w:b/>
          <w:bCs/>
          <w:color w:val="auto"/>
          <w:sz w:val="21"/>
          <w:szCs w:val="21"/>
          <w:highlight w:val="none"/>
        </w:rPr>
        <w:t>乙方：</w:t>
      </w:r>
    </w:p>
    <w:p w14:paraId="7A22BEA6">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为进一步加强医疗卫生行风建设，规范医疗卫生机构服务项目购销行为，有效防范商业贿赂行为，营造公平交易、诚实守信的购销环境，经甲、乙双方协商，同意签订本合同，并共同遵守：</w:t>
      </w:r>
    </w:p>
    <w:p w14:paraId="7883839C">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rPr>
        <w:t>一、甲乙双方按照《中华人民共和国民法典》</w:t>
      </w:r>
      <w:r>
        <w:rPr>
          <w:rFonts w:hint="eastAsia" w:ascii="宋体" w:hAnsi="宋体" w:eastAsia="宋体" w:cs="宋体"/>
          <w:color w:val="auto"/>
          <w:kern w:val="2"/>
          <w:sz w:val="21"/>
          <w:szCs w:val="21"/>
          <w:highlight w:val="none"/>
          <w:lang w:val="en-US" w:eastAsia="zh-CN" w:bidi="ar-SA"/>
        </w:rPr>
        <w:t>中</w:t>
      </w:r>
      <w:r>
        <w:rPr>
          <w:rFonts w:hint="eastAsia" w:ascii="宋体" w:hAnsi="宋体" w:eastAsia="宋体" w:cs="宋体"/>
          <w:color w:val="auto"/>
          <w:sz w:val="21"/>
          <w:szCs w:val="21"/>
          <w:highlight w:val="none"/>
        </w:rPr>
        <w:t>合同编相关规定</w:t>
      </w:r>
      <w:r>
        <w:rPr>
          <w:rStyle w:val="30"/>
          <w:rFonts w:hint="eastAsia" w:ascii="宋体" w:hAnsi="宋体" w:cs="宋体"/>
          <w:color w:val="auto"/>
          <w:sz w:val="21"/>
          <w:szCs w:val="21"/>
          <w:highlight w:val="none"/>
        </w:rPr>
        <w:t xml:space="preserve">及双方确定的合同约定履行。 </w:t>
      </w:r>
    </w:p>
    <w:p w14:paraId="7D763915">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rPr>
        <w:t xml:space="preserve">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5E3653C7">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三</w:t>
      </w:r>
      <w:r>
        <w:rPr>
          <w:rFonts w:hint="eastAsia"/>
          <w:color w:val="auto"/>
          <w:sz w:val="21"/>
          <w:szCs w:val="21"/>
          <w:highlight w:val="none"/>
        </w:rPr>
        <w:t>、乙方不得以任何方式（如：回扣、宴请、送礼等）向甲方工作人员提供馈赠，不得在服务活动中提供旅游、超标准支付食宿费用等，以影响甲方工作人员采购或使用服务的选择权。</w:t>
      </w:r>
    </w:p>
    <w:p w14:paraId="328415CE">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四</w:t>
      </w:r>
      <w:r>
        <w:rPr>
          <w:rStyle w:val="30"/>
          <w:rFonts w:hint="eastAsia" w:ascii="宋体" w:hAnsi="宋体" w:cs="宋体"/>
          <w:color w:val="auto"/>
          <w:sz w:val="21"/>
          <w:szCs w:val="21"/>
          <w:highlight w:val="none"/>
        </w:rPr>
        <w:t>、乙方员工必须在工作时间到甲方指定地点联系商谈，不得借故到甲方相关领导、部门负责人及相关工作人员家中访谈并提供任何好处费。</w:t>
      </w:r>
    </w:p>
    <w:p w14:paraId="48078DEF">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五</w:t>
      </w:r>
      <w:r>
        <w:rPr>
          <w:rStyle w:val="30"/>
          <w:rFonts w:hint="eastAsia" w:ascii="宋体" w:hAnsi="宋体" w:cs="宋体"/>
          <w:color w:val="auto"/>
          <w:sz w:val="21"/>
          <w:szCs w:val="21"/>
          <w:highlight w:val="none"/>
        </w:rPr>
        <w:t>、乙方如违反本合同，一经发现，甲方有权终止采购合同，并向有关卫生计生行政部门报告。如乙方被列入商业贿赂不良记录，则严格按照相关规定处理。</w:t>
      </w:r>
    </w:p>
    <w:p w14:paraId="742CD585">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六</w:t>
      </w:r>
      <w:r>
        <w:rPr>
          <w:rStyle w:val="30"/>
          <w:rFonts w:hint="eastAsia" w:ascii="宋体" w:hAnsi="宋体" w:cs="宋体"/>
          <w:color w:val="auto"/>
          <w:sz w:val="21"/>
          <w:szCs w:val="21"/>
          <w:highlight w:val="none"/>
        </w:rPr>
        <w:t>、本合同作为采购合同的重要组成部分，与采购合同一并执行，具有同等的法律效力。</w:t>
      </w:r>
    </w:p>
    <w:p w14:paraId="509B5CAE">
      <w:pPr>
        <w:spacing w:line="360" w:lineRule="auto"/>
        <w:ind w:firstLine="420" w:firstLineChars="200"/>
        <w:rPr>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七</w:t>
      </w:r>
      <w:r>
        <w:rPr>
          <w:rStyle w:val="30"/>
          <w:rFonts w:hint="eastAsia" w:ascii="宋体" w:hAnsi="宋体" w:cs="宋体"/>
          <w:color w:val="auto"/>
          <w:sz w:val="21"/>
          <w:szCs w:val="21"/>
          <w:highlight w:val="none"/>
        </w:rPr>
        <w:t>、</w:t>
      </w:r>
      <w:r>
        <w:rPr>
          <w:rStyle w:val="30"/>
          <w:rFonts w:hint="eastAsia" w:ascii="宋体" w:hAnsi="宋体" w:cs="宋体" w:eastAsiaTheme="minorEastAsia"/>
          <w:color w:val="auto"/>
          <w:sz w:val="21"/>
          <w:szCs w:val="21"/>
          <w:highlight w:val="none"/>
        </w:rPr>
        <w:t>本合同一</w:t>
      </w:r>
      <w:r>
        <w:rPr>
          <w:rStyle w:val="30"/>
          <w:rFonts w:hint="eastAsia" w:ascii="宋体" w:hAnsi="宋体" w:cs="宋体" w:eastAsiaTheme="minorEastAsia"/>
          <w:color w:val="auto"/>
          <w:sz w:val="21"/>
          <w:szCs w:val="21"/>
          <w:highlight w:val="none"/>
          <w:u w:val="single"/>
        </w:rPr>
        <w:t>式</w:t>
      </w:r>
      <w:r>
        <w:rPr>
          <w:rStyle w:val="30"/>
          <w:rFonts w:hint="eastAsia" w:ascii="宋体" w:hAnsi="宋体" w:cs="宋体" w:eastAsiaTheme="minorEastAsia"/>
          <w:color w:val="auto"/>
          <w:sz w:val="21"/>
          <w:szCs w:val="21"/>
          <w:highlight w:val="none"/>
          <w:u w:val="single"/>
          <w:lang w:val="en-US" w:eastAsia="zh-CN"/>
        </w:rPr>
        <w:t xml:space="preserve">   </w:t>
      </w:r>
      <w:r>
        <w:rPr>
          <w:rStyle w:val="30"/>
          <w:rFonts w:hint="eastAsia" w:ascii="宋体" w:hAnsi="宋体" w:cs="宋体" w:eastAsiaTheme="minorEastAsia"/>
          <w:color w:val="auto"/>
          <w:sz w:val="21"/>
          <w:szCs w:val="21"/>
          <w:highlight w:val="none"/>
          <w:u w:val="single"/>
        </w:rPr>
        <w:t>份，甲方执</w:t>
      </w:r>
      <w:r>
        <w:rPr>
          <w:rStyle w:val="30"/>
          <w:rFonts w:hint="eastAsia" w:ascii="宋体" w:hAnsi="宋体" w:cs="宋体" w:eastAsiaTheme="minorEastAsia"/>
          <w:color w:val="auto"/>
          <w:sz w:val="21"/>
          <w:szCs w:val="21"/>
          <w:highlight w:val="none"/>
          <w:u w:val="single"/>
          <w:lang w:val="en-US" w:eastAsia="zh-CN"/>
        </w:rPr>
        <w:t xml:space="preserve"> </w:t>
      </w:r>
      <w:r>
        <w:rPr>
          <w:rStyle w:val="30"/>
          <w:rFonts w:hint="eastAsia" w:ascii="宋体" w:hAnsi="宋体" w:cs="宋体" w:eastAsiaTheme="minorEastAsia"/>
          <w:color w:val="auto"/>
          <w:sz w:val="21"/>
          <w:szCs w:val="21"/>
          <w:highlight w:val="none"/>
          <w:u w:val="single"/>
        </w:rPr>
        <w:t>份，乙方执</w:t>
      </w:r>
      <w:r>
        <w:rPr>
          <w:rStyle w:val="30"/>
          <w:rFonts w:hint="eastAsia" w:ascii="宋体" w:hAnsi="宋体" w:cs="宋体" w:eastAsiaTheme="minorEastAsia"/>
          <w:color w:val="auto"/>
          <w:sz w:val="21"/>
          <w:szCs w:val="21"/>
          <w:highlight w:val="none"/>
          <w:u w:val="single"/>
          <w:lang w:val="en-US" w:eastAsia="zh-CN"/>
        </w:rPr>
        <w:t xml:space="preserve">  </w:t>
      </w:r>
      <w:r>
        <w:rPr>
          <w:rStyle w:val="30"/>
          <w:rFonts w:hint="eastAsia" w:ascii="宋体" w:hAnsi="宋体" w:cs="宋体" w:eastAsiaTheme="minorEastAsia"/>
          <w:color w:val="auto"/>
          <w:sz w:val="21"/>
          <w:szCs w:val="21"/>
          <w:highlight w:val="none"/>
          <w:u w:val="single"/>
        </w:rPr>
        <w:t>份</w:t>
      </w:r>
      <w:r>
        <w:rPr>
          <w:rStyle w:val="30"/>
          <w:rFonts w:hint="eastAsia" w:ascii="宋体" w:hAnsi="宋体" w:cs="宋体" w:eastAsiaTheme="minorEastAsia"/>
          <w:color w:val="auto"/>
          <w:sz w:val="21"/>
          <w:szCs w:val="21"/>
          <w:highlight w:val="none"/>
        </w:rPr>
        <w:t>，并从签订之日起生效。</w:t>
      </w:r>
    </w:p>
    <w:p w14:paraId="198D66BD">
      <w:pPr>
        <w:spacing w:line="360" w:lineRule="auto"/>
        <w:ind w:firstLine="420" w:firstLineChars="200"/>
        <w:jc w:val="center"/>
        <w:rPr>
          <w:rFonts w:ascii="宋体" w:hAnsi="宋体" w:cs="Arial"/>
          <w:color w:val="auto"/>
          <w:sz w:val="21"/>
          <w:szCs w:val="21"/>
          <w:highlight w:val="none"/>
        </w:rPr>
      </w:pPr>
      <w:r>
        <w:rPr>
          <w:rFonts w:ascii="宋体" w:hAnsi="宋体" w:cs="Arial"/>
          <w:color w:val="auto"/>
          <w:sz w:val="21"/>
          <w:szCs w:val="21"/>
          <w:highlight w:val="none"/>
        </w:rPr>
        <w:t>（以下无正文）</w:t>
      </w:r>
    </w:p>
    <w:p w14:paraId="5E92700D">
      <w:pPr>
        <w:spacing w:line="360" w:lineRule="auto"/>
        <w:jc w:val="left"/>
        <w:rPr>
          <w:rFonts w:ascii="宋体" w:hAnsi="宋体" w:cs="Arial"/>
          <w:b/>
          <w:color w:val="auto"/>
          <w:sz w:val="21"/>
          <w:szCs w:val="21"/>
          <w:highlight w:val="none"/>
        </w:rPr>
      </w:pPr>
    </w:p>
    <w:p w14:paraId="69D6F738">
      <w:pPr>
        <w:spacing w:line="360" w:lineRule="auto"/>
        <w:jc w:val="left"/>
        <w:rPr>
          <w:rFonts w:ascii="宋体" w:hAnsi="宋体" w:cs="Arial"/>
          <w:b/>
          <w:color w:val="auto"/>
          <w:sz w:val="21"/>
          <w:szCs w:val="21"/>
          <w:highlight w:val="none"/>
        </w:rPr>
      </w:pPr>
    </w:p>
    <w:p w14:paraId="5E72217F">
      <w:pPr>
        <w:spacing w:line="360" w:lineRule="auto"/>
        <w:jc w:val="left"/>
        <w:rPr>
          <w:rFonts w:hint="eastAsia" w:ascii="宋体" w:hAnsi="宋体" w:cs="宋体"/>
          <w:b/>
          <w:color w:val="auto"/>
          <w:sz w:val="21"/>
          <w:szCs w:val="21"/>
          <w:highlight w:val="none"/>
        </w:rPr>
      </w:pPr>
      <w:r>
        <w:rPr>
          <w:rFonts w:ascii="宋体" w:hAnsi="宋体" w:cs="Arial"/>
          <w:b/>
          <w:color w:val="auto"/>
          <w:sz w:val="21"/>
          <w:szCs w:val="21"/>
          <w:highlight w:val="none"/>
        </w:rPr>
        <w:t>甲方：</w:t>
      </w:r>
      <w:r>
        <w:rPr>
          <w:rFonts w:hint="eastAsia" w:hAnsi="宋体"/>
          <w:b/>
          <w:color w:val="auto"/>
          <w:sz w:val="21"/>
          <w:szCs w:val="21"/>
          <w:highlight w:val="none"/>
          <w:lang w:val="en-US" w:eastAsia="zh-CN"/>
        </w:rPr>
        <w:t xml:space="preserve">                             </w:t>
      </w:r>
      <w:r>
        <w:rPr>
          <w:rFonts w:hint="eastAsia" w:ascii="宋体" w:hAnsi="宋体" w:cs="Arial"/>
          <w:b/>
          <w:color w:val="auto"/>
          <w:sz w:val="21"/>
          <w:szCs w:val="21"/>
          <w:highlight w:val="none"/>
          <w:lang w:val="en-US" w:eastAsia="zh-CN"/>
        </w:rPr>
        <w:t xml:space="preserve">           </w:t>
      </w:r>
      <w:r>
        <w:rPr>
          <w:rFonts w:ascii="宋体" w:hAnsi="宋体" w:cs="Arial"/>
          <w:b/>
          <w:color w:val="auto"/>
          <w:sz w:val="21"/>
          <w:szCs w:val="21"/>
          <w:highlight w:val="none"/>
        </w:rPr>
        <w:t>乙方：</w:t>
      </w:r>
    </w:p>
    <w:p w14:paraId="74753C8A">
      <w:pPr>
        <w:spacing w:line="360" w:lineRule="auto"/>
        <w:jc w:val="left"/>
        <w:rPr>
          <w:rFonts w:hint="eastAsia" w:ascii="宋体" w:hAnsi="宋体" w:cs="宋体"/>
          <w:b/>
          <w:color w:val="auto"/>
          <w:sz w:val="21"/>
          <w:szCs w:val="21"/>
          <w:highlight w:val="none"/>
        </w:rPr>
      </w:pPr>
    </w:p>
    <w:p w14:paraId="00516CC6">
      <w:pPr>
        <w:spacing w:line="360" w:lineRule="auto"/>
        <w:jc w:val="left"/>
        <w:rPr>
          <w:rFonts w:ascii="宋体" w:hAnsi="宋体" w:cs="Arial"/>
          <w:b/>
          <w:color w:val="auto"/>
          <w:sz w:val="21"/>
          <w:szCs w:val="21"/>
          <w:highlight w:val="none"/>
        </w:rPr>
      </w:pPr>
      <w:r>
        <w:rPr>
          <w:rFonts w:hint="eastAsia" w:ascii="宋体" w:hAnsi="宋体" w:cs="宋体"/>
          <w:b/>
          <w:color w:val="auto"/>
          <w:sz w:val="21"/>
          <w:szCs w:val="21"/>
          <w:highlight w:val="none"/>
        </w:rPr>
        <w:t>甲方代表</w:t>
      </w:r>
      <w:r>
        <w:rPr>
          <w:rFonts w:ascii="宋体" w:hAnsi="宋体" w:cs="宋体"/>
          <w:b/>
          <w:color w:val="auto"/>
          <w:sz w:val="21"/>
          <w:szCs w:val="21"/>
          <w:highlight w:val="none"/>
        </w:rPr>
        <w:t>：</w:t>
      </w:r>
      <w:r>
        <w:rPr>
          <w:rFonts w:ascii="宋体" w:hAnsi="宋体" w:cs="宋体"/>
          <w:b/>
          <w:color w:val="auto"/>
          <w:sz w:val="21"/>
          <w:szCs w:val="21"/>
          <w:highlight w:val="none"/>
        </w:rPr>
        <w:tab/>
      </w:r>
      <w:r>
        <w:rPr>
          <w:rFonts w:ascii="宋体" w:hAnsi="宋体" w:cs="宋体"/>
          <w:b/>
          <w:color w:val="auto"/>
          <w:sz w:val="21"/>
          <w:szCs w:val="21"/>
          <w:highlight w:val="none"/>
        </w:rPr>
        <w:tab/>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 xml:space="preserve">              </w:t>
      </w:r>
      <w:r>
        <w:rPr>
          <w:rFonts w:ascii="宋体" w:hAnsi="宋体" w:cs="宋体"/>
          <w:b/>
          <w:color w:val="auto"/>
          <w:sz w:val="21"/>
          <w:szCs w:val="21"/>
          <w:highlight w:val="none"/>
        </w:rPr>
        <w:t>法定代表人或授权代表：</w:t>
      </w:r>
      <w:r>
        <w:rPr>
          <w:rFonts w:ascii="宋体" w:hAnsi="宋体" w:cs="宋体"/>
          <w:b/>
          <w:color w:val="auto"/>
          <w:sz w:val="21"/>
          <w:szCs w:val="21"/>
          <w:highlight w:val="none"/>
        </w:rPr>
        <w:tab/>
      </w:r>
      <w:r>
        <w:rPr>
          <w:rFonts w:ascii="宋体" w:hAnsi="宋体" w:cs="宋体"/>
          <w:b/>
          <w:color w:val="auto"/>
          <w:sz w:val="21"/>
          <w:szCs w:val="21"/>
          <w:highlight w:val="none"/>
        </w:rPr>
        <w:tab/>
      </w:r>
    </w:p>
    <w:p w14:paraId="218E0E46">
      <w:pPr>
        <w:spacing w:line="360" w:lineRule="auto"/>
        <w:jc w:val="left"/>
        <w:rPr>
          <w:rFonts w:ascii="宋体" w:hAnsi="宋体" w:cs="Arial"/>
          <w:b/>
          <w:color w:val="auto"/>
          <w:sz w:val="21"/>
          <w:szCs w:val="21"/>
          <w:highlight w:val="none"/>
        </w:rPr>
      </w:pPr>
    </w:p>
    <w:p w14:paraId="22AE6A8A">
      <w:pPr>
        <w:spacing w:line="360" w:lineRule="auto"/>
        <w:jc w:val="left"/>
        <w:rPr>
          <w:rFonts w:ascii="宋体" w:hAnsi="宋体" w:cs="Arial"/>
          <w:b/>
          <w:color w:val="auto"/>
          <w:sz w:val="21"/>
          <w:szCs w:val="21"/>
          <w:highlight w:val="none"/>
        </w:rPr>
      </w:pPr>
    </w:p>
    <w:p w14:paraId="7524D093">
      <w:pPr>
        <w:spacing w:line="360" w:lineRule="auto"/>
        <w:jc w:val="left"/>
        <w:rPr>
          <w:rFonts w:ascii="宋体" w:hAnsi="宋体" w:cs="Arial"/>
          <w:b/>
          <w:color w:val="auto"/>
          <w:sz w:val="21"/>
          <w:szCs w:val="21"/>
          <w:highlight w:val="none"/>
        </w:rPr>
      </w:pPr>
    </w:p>
    <w:p w14:paraId="302108D0">
      <w:pPr>
        <w:spacing w:line="360" w:lineRule="auto"/>
        <w:jc w:val="left"/>
        <w:rPr>
          <w:rFonts w:ascii="宋体" w:hAnsi="宋体" w:cs="Arial"/>
          <w:b/>
          <w:color w:val="auto"/>
          <w:sz w:val="21"/>
          <w:szCs w:val="21"/>
          <w:highlight w:val="none"/>
        </w:rPr>
      </w:pPr>
      <w:r>
        <w:rPr>
          <w:rFonts w:ascii="宋体" w:hAnsi="宋体" w:cs="Arial"/>
          <w:b/>
          <w:color w:val="auto"/>
          <w:sz w:val="21"/>
          <w:szCs w:val="21"/>
          <w:highlight w:val="none"/>
        </w:rPr>
        <w:t xml:space="preserve">日期：     年    月    日                  日期：     年    月    日  </w:t>
      </w:r>
    </w:p>
    <w:p w14:paraId="31C3F2BC">
      <w:pPr>
        <w:spacing w:line="360" w:lineRule="auto"/>
        <w:rPr>
          <w:color w:val="auto"/>
          <w:highlight w:val="none"/>
        </w:rPr>
      </w:pPr>
    </w:p>
    <w:p w14:paraId="4BBD7C0D">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p>
    <w:p w14:paraId="036B9F44">
      <w:pPr>
        <w:jc w:val="center"/>
        <w:outlineLvl w:val="9"/>
        <w:rPr>
          <w:rFonts w:hint="eastAsia" w:ascii="宋体" w:hAnsi="宋体" w:eastAsia="宋体" w:cs="Times New Roman"/>
          <w:b/>
          <w:bCs/>
          <w:color w:val="auto"/>
          <w:kern w:val="2"/>
          <w:sz w:val="28"/>
          <w:szCs w:val="28"/>
          <w:highlight w:val="none"/>
          <w:lang w:val="en-US" w:eastAsia="zh-CN" w:bidi="ar-SA"/>
        </w:rPr>
      </w:pPr>
      <w:bookmarkStart w:id="47" w:name="_Toc26597"/>
      <w:bookmarkStart w:id="48" w:name="_Toc28173"/>
    </w:p>
    <w:p w14:paraId="61BE5F41">
      <w:pPr>
        <w:jc w:val="center"/>
        <w:outlineLvl w:val="9"/>
        <w:rPr>
          <w:rFonts w:hint="eastAsia" w:ascii="宋体" w:hAnsi="宋体" w:eastAsia="宋体" w:cs="Times New Roman"/>
          <w:b/>
          <w:bCs/>
          <w:color w:val="auto"/>
          <w:kern w:val="2"/>
          <w:sz w:val="28"/>
          <w:szCs w:val="28"/>
          <w:highlight w:val="none"/>
          <w:lang w:val="en-US" w:eastAsia="zh-CN" w:bidi="ar-SA"/>
        </w:rPr>
      </w:pPr>
    </w:p>
    <w:p w14:paraId="60AFB91F">
      <w:pPr>
        <w:jc w:val="center"/>
        <w:outlineLvl w:val="9"/>
        <w:rPr>
          <w:rFonts w:hint="eastAsia" w:ascii="宋体" w:hAnsi="宋体" w:eastAsia="宋体" w:cs="Times New Roman"/>
          <w:b/>
          <w:bCs/>
          <w:color w:val="auto"/>
          <w:kern w:val="2"/>
          <w:sz w:val="28"/>
          <w:szCs w:val="28"/>
          <w:highlight w:val="none"/>
          <w:lang w:val="en-US" w:eastAsia="zh-CN" w:bidi="ar-SA"/>
        </w:rPr>
      </w:pPr>
    </w:p>
    <w:p w14:paraId="6C44A342">
      <w:pPr>
        <w:jc w:val="center"/>
        <w:outlineLvl w:val="9"/>
        <w:rPr>
          <w:rFonts w:hint="eastAsia" w:ascii="宋体" w:hAnsi="宋体" w:eastAsia="宋体" w:cs="Times New Roman"/>
          <w:b/>
          <w:bCs/>
          <w:color w:val="auto"/>
          <w:kern w:val="2"/>
          <w:sz w:val="28"/>
          <w:szCs w:val="28"/>
          <w:highlight w:val="none"/>
          <w:lang w:val="en-US" w:eastAsia="zh-CN" w:bidi="ar-SA"/>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bookmarkStart w:id="49" w:name="_Toc27361"/>
      <w:r>
        <w:rPr>
          <w:rFonts w:hint="eastAsia" w:ascii="宋体" w:hAnsi="宋体" w:eastAsia="宋体" w:cs="Times New Roman"/>
          <w:b/>
          <w:bCs/>
          <w:color w:val="auto"/>
          <w:kern w:val="2"/>
          <w:sz w:val="28"/>
          <w:szCs w:val="28"/>
          <w:highlight w:val="none"/>
          <w:lang w:val="en-US" w:eastAsia="zh-CN" w:bidi="ar-SA"/>
        </w:rPr>
        <w:t>第五部分 响应文件资料整理</w:t>
      </w:r>
      <w:bookmarkEnd w:id="47"/>
      <w:bookmarkEnd w:id="48"/>
      <w:bookmarkEnd w:id="49"/>
    </w:p>
    <w:bookmarkEnd w:id="35"/>
    <w:bookmarkEnd w:id="36"/>
    <w:bookmarkEnd w:id="37"/>
    <w:bookmarkEnd w:id="41"/>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0" w:name="_Toc10962"/>
      <w:bookmarkStart w:id="51" w:name="_Toc2094450"/>
      <w:bookmarkStart w:id="52" w:name="_Toc2093311"/>
      <w:r>
        <w:rPr>
          <w:rFonts w:hint="eastAsia" w:ascii="宋体" w:hAnsi="宋体" w:eastAsia="宋体" w:cs="Times New Roman"/>
          <w:color w:val="auto"/>
          <w:sz w:val="21"/>
          <w:szCs w:val="21"/>
          <w:highlight w:val="none"/>
        </w:rPr>
        <w:t>1.</w:t>
      </w:r>
      <w:bookmarkStart w:id="53" w:name="_Toc3184"/>
      <w:bookmarkStart w:id="54" w:name="_Toc2094422"/>
      <w:bookmarkStart w:id="55" w:name="_Toc2093283"/>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53"/>
      <w:bookmarkEnd w:id="54"/>
      <w:bookmarkEnd w:id="55"/>
    </w:p>
    <w:p w14:paraId="67D7949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6" w:name="_Toc2094438"/>
      <w:bookmarkStart w:id="57" w:name="_Toc2093299"/>
      <w:bookmarkStart w:id="58" w:name="_Toc19652"/>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56"/>
      <w:bookmarkEnd w:id="57"/>
      <w:bookmarkEnd w:id="58"/>
    </w:p>
    <w:p w14:paraId="78CB890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59" w:name="_Toc2094419"/>
      <w:bookmarkStart w:id="60" w:name="_Toc2093280"/>
      <w:bookmarkStart w:id="61" w:name="_Toc1139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59"/>
      <w:bookmarkEnd w:id="60"/>
      <w:bookmarkEnd w:id="61"/>
    </w:p>
    <w:p w14:paraId="07FEB1C7">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2" w:name="_Toc9126"/>
      <w:bookmarkStart w:id="63" w:name="_Toc2094420"/>
      <w:bookmarkStart w:id="64"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62"/>
      <w:bookmarkEnd w:id="63"/>
      <w:bookmarkEnd w:id="64"/>
    </w:p>
    <w:p w14:paraId="369AF07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6"/>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文件需要一正六副共7份，封面应注明“正本”、“副本”字样并须由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6"/>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numPr>
          <w:ilvl w:val="0"/>
          <w:numId w:val="0"/>
        </w:numPr>
        <w:ind w:left="420" w:leftChars="0"/>
        <w:rPr>
          <w:color w:val="auto"/>
          <w:highlight w:val="none"/>
        </w:rPr>
      </w:pPr>
    </w:p>
    <w:p w14:paraId="01DF4C4B">
      <w:pPr>
        <w:spacing w:line="360" w:lineRule="auto"/>
        <w:ind w:left="535" w:leftChars="99" w:hanging="327" w:hangingChars="156"/>
        <w:rPr>
          <w:rFonts w:hint="eastAsia"/>
          <w:color w:val="auto"/>
          <w:highlight w:val="none"/>
        </w:rPr>
      </w:pPr>
    </w:p>
    <w:bookmarkEnd w:id="50"/>
    <w:bookmarkEnd w:id="51"/>
    <w:bookmarkEnd w:id="52"/>
    <w:p w14:paraId="3BC86EFE">
      <w:pPr>
        <w:spacing w:line="480" w:lineRule="auto"/>
        <w:rPr>
          <w:rFonts w:ascii="宋体" w:hAnsi="宋体"/>
          <w:color w:val="auto"/>
          <w:sz w:val="24"/>
          <w:highlight w:val="none"/>
        </w:rPr>
      </w:pPr>
    </w:p>
    <w:p w14:paraId="42C1BFEE">
      <w:pPr>
        <w:rPr>
          <w:color w:val="auto"/>
          <w:highlight w:val="none"/>
        </w:rPr>
      </w:pPr>
      <w:bookmarkStart w:id="65" w:name="_Toc40346212"/>
      <w:bookmarkStart w:id="66" w:name="_Toc40776107"/>
    </w:p>
    <w:bookmarkEnd w:id="65"/>
    <w:bookmarkEnd w:id="66"/>
    <w:p w14:paraId="03B817FC">
      <w:pPr>
        <w:rPr>
          <w:rFonts w:hint="eastAsia" w:ascii="宋体" w:hAnsi="宋体" w:eastAsia="宋体"/>
          <w:color w:val="auto"/>
          <w:sz w:val="40"/>
          <w:highlight w:val="none"/>
        </w:rPr>
      </w:pPr>
      <w:bookmarkStart w:id="67" w:name="_Toc19354"/>
      <w:bookmarkStart w:id="68" w:name="_Toc7581"/>
      <w:bookmarkStart w:id="69" w:name="_Toc30230"/>
      <w:bookmarkStart w:id="70" w:name="_Toc13814"/>
      <w:bookmarkStart w:id="71" w:name="_Toc30326"/>
      <w:bookmarkStart w:id="72" w:name="_Toc40346213"/>
      <w:bookmarkStart w:id="73" w:name="_Toc2347"/>
      <w:bookmarkStart w:id="74" w:name="_Toc32228"/>
      <w:bookmarkStart w:id="75" w:name="_Toc32164"/>
      <w:bookmarkStart w:id="76" w:name="_Toc5829"/>
      <w:bookmarkStart w:id="77" w:name="_Toc40776108"/>
      <w:bookmarkStart w:id="78" w:name="_Toc2647"/>
      <w:bookmarkStart w:id="79" w:name="_Toc9461"/>
    </w:p>
    <w:p w14:paraId="78690854">
      <w:pPr>
        <w:pStyle w:val="23"/>
        <w:rPr>
          <w:rFonts w:hint="eastAsia"/>
          <w:color w:val="auto"/>
          <w:highlight w:val="none"/>
        </w:rPr>
      </w:pPr>
    </w:p>
    <w:p w14:paraId="771D72EF">
      <w:pPr>
        <w:pStyle w:val="23"/>
        <w:rPr>
          <w:rFonts w:hint="eastAsia"/>
          <w:color w:val="auto"/>
          <w:highlight w:val="none"/>
        </w:rPr>
      </w:pPr>
    </w:p>
    <w:p w14:paraId="38E53A3A">
      <w:pPr>
        <w:pStyle w:val="23"/>
        <w:rPr>
          <w:rFonts w:hint="eastAsia"/>
          <w:color w:val="auto"/>
          <w:highlight w:val="none"/>
        </w:rPr>
      </w:pPr>
    </w:p>
    <w:p w14:paraId="20D5CEB6">
      <w:pPr>
        <w:pStyle w:val="23"/>
        <w:rPr>
          <w:rFonts w:hint="eastAsia"/>
          <w:color w:val="auto"/>
          <w:highlight w:val="none"/>
        </w:rPr>
      </w:pPr>
    </w:p>
    <w:p w14:paraId="08386367">
      <w:pPr>
        <w:pStyle w:val="23"/>
        <w:rPr>
          <w:rFonts w:hint="eastAsia"/>
          <w:color w:val="auto"/>
          <w:highlight w:val="none"/>
        </w:rPr>
      </w:pPr>
    </w:p>
    <w:p w14:paraId="1971FF1F">
      <w:pPr>
        <w:pStyle w:val="23"/>
        <w:rPr>
          <w:rFonts w:hint="eastAsia"/>
          <w:color w:val="auto"/>
          <w:highlight w:val="none"/>
        </w:rPr>
      </w:pPr>
    </w:p>
    <w:p w14:paraId="7CF4117C">
      <w:pPr>
        <w:pStyle w:val="23"/>
        <w:rPr>
          <w:rFonts w:hint="eastAsia"/>
          <w:color w:val="auto"/>
          <w:highlight w:val="none"/>
        </w:rPr>
      </w:pPr>
    </w:p>
    <w:p w14:paraId="4E4C6BB4">
      <w:pPr>
        <w:pStyle w:val="23"/>
        <w:rPr>
          <w:rFonts w:hint="eastAsia"/>
          <w:color w:val="auto"/>
          <w:highlight w:val="none"/>
        </w:rPr>
      </w:pPr>
    </w:p>
    <w:p w14:paraId="7B0004A2">
      <w:pPr>
        <w:pStyle w:val="23"/>
        <w:rPr>
          <w:rFonts w:hint="eastAsia"/>
          <w:color w:val="auto"/>
          <w:highlight w:val="none"/>
        </w:rPr>
      </w:pPr>
    </w:p>
    <w:p w14:paraId="3E01E08D">
      <w:pPr>
        <w:pStyle w:val="23"/>
        <w:rPr>
          <w:rFonts w:hint="eastAsia"/>
          <w:color w:val="auto"/>
          <w:highlight w:val="none"/>
        </w:rPr>
      </w:pPr>
    </w:p>
    <w:p w14:paraId="25A4405B">
      <w:pPr>
        <w:pStyle w:val="23"/>
        <w:rPr>
          <w:rFonts w:hint="eastAsia"/>
          <w:color w:val="auto"/>
          <w:highlight w:val="none"/>
        </w:rPr>
      </w:pPr>
    </w:p>
    <w:p w14:paraId="00E93BA1">
      <w:pPr>
        <w:pStyle w:val="23"/>
        <w:rPr>
          <w:rFonts w:hint="eastAsia"/>
          <w:color w:val="auto"/>
          <w:highlight w:val="none"/>
        </w:rPr>
      </w:pPr>
    </w:p>
    <w:p w14:paraId="0DEA7F1C">
      <w:pPr>
        <w:pStyle w:val="23"/>
        <w:rPr>
          <w:rFonts w:hint="eastAsia"/>
          <w:color w:val="auto"/>
          <w:highlight w:val="none"/>
        </w:rPr>
      </w:pPr>
    </w:p>
    <w:p w14:paraId="68A0CC84">
      <w:pPr>
        <w:pStyle w:val="23"/>
        <w:rPr>
          <w:rFonts w:hint="eastAsia"/>
          <w:color w:val="auto"/>
          <w:highlight w:val="none"/>
        </w:rPr>
      </w:pPr>
    </w:p>
    <w:p w14:paraId="390CC6B8">
      <w:pPr>
        <w:pStyle w:val="23"/>
        <w:rPr>
          <w:rFonts w:hint="eastAsia"/>
          <w:color w:val="auto"/>
          <w:highlight w:val="none"/>
        </w:rPr>
      </w:pPr>
    </w:p>
    <w:p w14:paraId="7431F061">
      <w:pPr>
        <w:pStyle w:val="23"/>
        <w:rPr>
          <w:rFonts w:hint="eastAsia"/>
          <w:color w:val="auto"/>
          <w:highlight w:val="none"/>
        </w:rPr>
      </w:pPr>
    </w:p>
    <w:p w14:paraId="793CC43B">
      <w:pPr>
        <w:pStyle w:val="23"/>
        <w:rPr>
          <w:rFonts w:hint="eastAsia"/>
          <w:color w:val="auto"/>
          <w:highlight w:val="none"/>
        </w:rPr>
      </w:pPr>
    </w:p>
    <w:p w14:paraId="2D2B0E36">
      <w:pPr>
        <w:pStyle w:val="23"/>
        <w:rPr>
          <w:rFonts w:hint="eastAsia"/>
          <w:color w:val="auto"/>
          <w:highlight w:val="none"/>
        </w:rPr>
      </w:pPr>
    </w:p>
    <w:p w14:paraId="136D3E6C">
      <w:pPr>
        <w:pStyle w:val="23"/>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80" w:name="_Toc3228"/>
      <w:bookmarkStart w:id="81" w:name="_Toc1245"/>
      <w:bookmarkStart w:id="82" w:name="_Toc10184"/>
      <w:r>
        <w:rPr>
          <w:rFonts w:hint="eastAsia" w:ascii="宋体" w:hAnsi="宋体" w:eastAsia="宋体" w:cs="Times New Roman"/>
          <w:b/>
          <w:bCs/>
          <w:color w:val="auto"/>
          <w:kern w:val="2"/>
          <w:sz w:val="28"/>
          <w:szCs w:val="28"/>
          <w:highlight w:val="none"/>
          <w:lang w:val="en-US" w:eastAsia="zh-CN" w:bidi="ar-SA"/>
        </w:rPr>
        <w:t>第六部分  相关格式文件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0"/>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83" w:name="_Toc25470"/>
      <w:bookmarkStart w:id="84" w:name="_Toc28217"/>
      <w:bookmarkStart w:id="85" w:name="_Toc23156"/>
      <w:bookmarkStart w:id="86" w:name="_Toc22864"/>
      <w:bookmarkStart w:id="87" w:name="_Toc22145"/>
      <w:bookmarkStart w:id="88" w:name="_Toc10213"/>
      <w:bookmarkStart w:id="89" w:name="_Toc9134"/>
      <w:bookmarkStart w:id="90" w:name="_Toc40346222"/>
      <w:bookmarkStart w:id="91" w:name="_Toc4407"/>
      <w:bookmarkStart w:id="92" w:name="_Toc40776117"/>
      <w:bookmarkStart w:id="93" w:name="_Toc3784"/>
      <w:bookmarkStart w:id="94" w:name="_Toc12431"/>
      <w:bookmarkStart w:id="95" w:name="_Toc18837"/>
      <w:bookmarkStart w:id="96" w:name="_Toc40346381"/>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97" w:name="_Toc12520"/>
      <w:bookmarkStart w:id="98" w:name="_Toc3471"/>
      <w:bookmarkStart w:id="99" w:name="_Toc1994"/>
      <w:bookmarkStart w:id="100" w:name="_Toc26267"/>
      <w:bookmarkStart w:id="101" w:name="_Toc6547"/>
      <w:bookmarkStart w:id="102" w:name="_Toc15870"/>
      <w:bookmarkStart w:id="103" w:name="_Toc28703"/>
      <w:bookmarkStart w:id="104" w:name="_Toc40776111"/>
      <w:bookmarkStart w:id="105" w:name="_Toc11075"/>
      <w:bookmarkStart w:id="106" w:name="_Toc7291"/>
      <w:bookmarkStart w:id="107" w:name="_Toc11305"/>
      <w:bookmarkStart w:id="108" w:name="_Toc435"/>
      <w:bookmarkStart w:id="109" w:name="_Toc21249"/>
      <w:bookmarkStart w:id="110" w:name="_Toc40346216"/>
      <w:bookmarkStart w:id="111" w:name="_Toc29113"/>
      <w:bookmarkStart w:id="112" w:name="_Toc40346375"/>
      <w:bookmarkStart w:id="113" w:name="_Toc8364"/>
    </w:p>
    <w:p w14:paraId="1DA7BA5E">
      <w:pPr>
        <w:widowControl/>
        <w:spacing w:line="360" w:lineRule="auto"/>
        <w:ind w:firstLine="600"/>
        <w:outlineLvl w:val="0"/>
        <w:rPr>
          <w:color w:val="auto"/>
          <w:highlight w:val="none"/>
        </w:rPr>
      </w:pPr>
      <w:bookmarkStart w:id="114" w:name="_Toc10899"/>
      <w:bookmarkStart w:id="115" w:name="_Toc4116"/>
      <w:bookmarkStart w:id="116" w:name="_Toc13141"/>
      <w:bookmarkStart w:id="117" w:name="_Toc27329"/>
      <w:bookmarkStart w:id="118" w:name="_Toc11245"/>
      <w:r>
        <w:rPr>
          <w:rFonts w:ascii="宋体" w:hAnsi="宋体" w:cs="宋体"/>
          <w:color w:val="auto"/>
          <w:kern w:val="0"/>
          <w:sz w:val="30"/>
          <w:szCs w:val="30"/>
          <w:highlight w:val="none"/>
        </w:rPr>
        <w:t>项目编号：</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Start w:id="119" w:name="_Toc17709"/>
      <w:bookmarkStart w:id="120" w:name="_Toc1743"/>
      <w:bookmarkStart w:id="121" w:name="_Toc40346217"/>
      <w:bookmarkStart w:id="122" w:name="_Toc40776112"/>
      <w:bookmarkStart w:id="123" w:name="_Toc40346376"/>
      <w:bookmarkStart w:id="124" w:name="_Toc20884"/>
      <w:bookmarkStart w:id="125" w:name="_Toc2916"/>
      <w:bookmarkStart w:id="126" w:name="_Toc27997"/>
    </w:p>
    <w:p w14:paraId="1B57B144">
      <w:pPr>
        <w:widowControl/>
        <w:spacing w:line="360" w:lineRule="auto"/>
        <w:ind w:firstLine="600"/>
        <w:outlineLvl w:val="0"/>
        <w:rPr>
          <w:rFonts w:cs="宋体"/>
          <w:color w:val="auto"/>
          <w:kern w:val="0"/>
          <w:sz w:val="30"/>
          <w:szCs w:val="30"/>
          <w:highlight w:val="none"/>
        </w:rPr>
      </w:pPr>
      <w:bookmarkStart w:id="127" w:name="_Toc11485"/>
      <w:bookmarkStart w:id="128" w:name="_Toc5238"/>
      <w:bookmarkStart w:id="129" w:name="_Toc3075"/>
      <w:bookmarkStart w:id="130" w:name="_Toc30220"/>
      <w:bookmarkStart w:id="131" w:name="_Toc30979"/>
      <w:bookmarkStart w:id="132" w:name="_Toc23155"/>
      <w:bookmarkStart w:id="133" w:name="_Toc29102"/>
      <w:bookmarkStart w:id="134" w:name="_Toc2029"/>
      <w:bookmarkStart w:id="135" w:name="_Toc31538"/>
      <w:bookmarkStart w:id="136" w:name="_Toc23097"/>
      <w:bookmarkStart w:id="137" w:name="_Toc19699"/>
      <w:bookmarkStart w:id="138" w:name="_Toc2786"/>
      <w:bookmarkStart w:id="139" w:name="_Toc7709"/>
      <w:bookmarkStart w:id="140" w:name="_Toc2012"/>
      <w:r>
        <w:rPr>
          <w:rFonts w:ascii="宋体" w:hAnsi="宋体" w:cs="宋体"/>
          <w:color w:val="auto"/>
          <w:kern w:val="0"/>
          <w:sz w:val="30"/>
          <w:szCs w:val="30"/>
          <w:highlight w:val="none"/>
        </w:rPr>
        <w:t>公司名称：</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993256C">
      <w:pPr>
        <w:widowControl/>
        <w:spacing w:line="360" w:lineRule="auto"/>
        <w:ind w:firstLine="600"/>
        <w:outlineLvl w:val="0"/>
        <w:rPr>
          <w:rFonts w:cs="宋体"/>
          <w:color w:val="auto"/>
          <w:kern w:val="0"/>
          <w:sz w:val="30"/>
          <w:szCs w:val="30"/>
          <w:highlight w:val="none"/>
        </w:rPr>
      </w:pPr>
      <w:bookmarkStart w:id="141" w:name="_Toc40346218"/>
      <w:bookmarkStart w:id="142" w:name="_Toc11141"/>
      <w:bookmarkStart w:id="143" w:name="_Toc16794"/>
      <w:bookmarkStart w:id="144" w:name="_Toc15278"/>
      <w:bookmarkStart w:id="145" w:name="_Toc12645"/>
      <w:bookmarkStart w:id="146" w:name="_Toc11558"/>
      <w:bookmarkStart w:id="147" w:name="_Toc31993"/>
      <w:bookmarkStart w:id="148" w:name="_Toc28064"/>
      <w:bookmarkStart w:id="149" w:name="_Toc11288"/>
      <w:bookmarkStart w:id="150" w:name="_Toc29767"/>
      <w:bookmarkStart w:id="151" w:name="_Toc40346377"/>
      <w:bookmarkStart w:id="152" w:name="_Toc40776113"/>
      <w:bookmarkStart w:id="153" w:name="_Toc4013"/>
      <w:bookmarkStart w:id="154" w:name="_Toc24763"/>
      <w:bookmarkStart w:id="155" w:name="_Toc13212"/>
      <w:bookmarkStart w:id="156" w:name="_Toc27867"/>
      <w:bookmarkStart w:id="157" w:name="_Toc14824"/>
      <w:bookmarkStart w:id="158" w:name="_Toc21483"/>
      <w:bookmarkStart w:id="159" w:name="_Toc7052"/>
      <w:bookmarkStart w:id="160" w:name="_Toc5741"/>
      <w:bookmarkStart w:id="161" w:name="_Toc26700"/>
      <w:bookmarkStart w:id="162" w:name="_Toc17930"/>
      <w:r>
        <w:rPr>
          <w:rFonts w:ascii="宋体" w:hAnsi="宋体" w:cs="宋体"/>
          <w:color w:val="auto"/>
          <w:kern w:val="0"/>
          <w:sz w:val="30"/>
          <w:szCs w:val="30"/>
          <w:highlight w:val="none"/>
        </w:rPr>
        <w:t>业务代表：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DB8D631">
      <w:pPr>
        <w:widowControl/>
        <w:spacing w:line="360" w:lineRule="auto"/>
        <w:ind w:firstLine="600"/>
        <w:outlineLvl w:val="0"/>
        <w:rPr>
          <w:rFonts w:cs="宋体"/>
          <w:color w:val="auto"/>
          <w:kern w:val="0"/>
          <w:sz w:val="30"/>
          <w:szCs w:val="30"/>
          <w:highlight w:val="none"/>
        </w:rPr>
      </w:pPr>
      <w:bookmarkStart w:id="163" w:name="_Toc14287"/>
      <w:bookmarkStart w:id="164" w:name="_Toc27594"/>
      <w:bookmarkStart w:id="165" w:name="_Toc16813"/>
      <w:bookmarkStart w:id="166" w:name="_Toc40346378"/>
      <w:bookmarkStart w:id="167" w:name="_Toc1324"/>
      <w:bookmarkStart w:id="168" w:name="_Toc27771"/>
      <w:bookmarkStart w:id="169" w:name="_Toc8017"/>
      <w:bookmarkStart w:id="170" w:name="_Toc17537"/>
      <w:bookmarkStart w:id="171" w:name="_Toc40346219"/>
      <w:bookmarkStart w:id="172" w:name="_Toc31197"/>
      <w:bookmarkStart w:id="173" w:name="_Toc1070"/>
      <w:bookmarkStart w:id="174" w:name="_Toc11334"/>
      <w:bookmarkStart w:id="175" w:name="_Toc182"/>
      <w:bookmarkStart w:id="176" w:name="_Toc6438"/>
      <w:bookmarkStart w:id="177" w:name="_Toc40776114"/>
      <w:bookmarkStart w:id="178" w:name="_Toc29157"/>
      <w:bookmarkStart w:id="179" w:name="_Toc19831"/>
      <w:bookmarkStart w:id="180" w:name="_Toc9883"/>
      <w:bookmarkStart w:id="181" w:name="_Toc26029"/>
      <w:bookmarkStart w:id="182" w:name="_Toc4563"/>
      <w:bookmarkStart w:id="183" w:name="_Toc32709"/>
      <w:bookmarkStart w:id="184" w:name="_Toc24651"/>
      <w:r>
        <w:rPr>
          <w:rFonts w:ascii="宋体" w:hAnsi="宋体" w:cs="宋体"/>
          <w:color w:val="auto"/>
          <w:kern w:val="0"/>
          <w:sz w:val="30"/>
          <w:szCs w:val="30"/>
          <w:highlight w:val="none"/>
        </w:rPr>
        <w:t>联系电话：</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0F1606A">
      <w:pPr>
        <w:widowControl/>
        <w:spacing w:line="360" w:lineRule="auto"/>
        <w:ind w:firstLine="600"/>
        <w:outlineLvl w:val="0"/>
        <w:rPr>
          <w:rFonts w:cs="宋体"/>
          <w:color w:val="auto"/>
          <w:kern w:val="0"/>
          <w:sz w:val="30"/>
          <w:szCs w:val="30"/>
          <w:highlight w:val="none"/>
        </w:rPr>
      </w:pPr>
      <w:bookmarkStart w:id="185" w:name="_Toc19045"/>
      <w:bookmarkStart w:id="186" w:name="_Toc30336"/>
      <w:bookmarkStart w:id="187" w:name="_Toc5189"/>
      <w:bookmarkStart w:id="188" w:name="_Toc12650"/>
      <w:bookmarkStart w:id="189" w:name="_Toc40346220"/>
      <w:bookmarkStart w:id="190" w:name="_Toc20994"/>
      <w:bookmarkStart w:id="191" w:name="_Toc40776115"/>
      <w:bookmarkStart w:id="192" w:name="_Toc27206"/>
      <w:bookmarkStart w:id="193" w:name="_Toc17483"/>
      <w:bookmarkStart w:id="194" w:name="_Toc30285"/>
      <w:bookmarkStart w:id="195" w:name="_Toc18353"/>
      <w:bookmarkStart w:id="196" w:name="_Toc40346379"/>
      <w:bookmarkStart w:id="197" w:name="_Toc3895"/>
      <w:bookmarkStart w:id="198" w:name="_Toc14586"/>
      <w:bookmarkStart w:id="199" w:name="_Toc21940"/>
      <w:bookmarkStart w:id="200" w:name="_Toc27868"/>
      <w:bookmarkStart w:id="201" w:name="_Toc22178"/>
      <w:bookmarkStart w:id="202" w:name="_Toc13222"/>
      <w:bookmarkStart w:id="203" w:name="_Toc6839"/>
      <w:bookmarkStart w:id="204" w:name="_Toc9963"/>
      <w:bookmarkStart w:id="205" w:name="_Toc5634"/>
      <w:bookmarkStart w:id="206" w:name="_Toc21686"/>
      <w:r>
        <w:rPr>
          <w:rFonts w:ascii="宋体" w:hAnsi="宋体" w:cs="宋体"/>
          <w:color w:val="auto"/>
          <w:kern w:val="0"/>
          <w:sz w:val="30"/>
          <w:szCs w:val="30"/>
          <w:highlight w:val="none"/>
        </w:rPr>
        <w:t>联系邮箱：</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7CCD323">
      <w:pPr>
        <w:widowControl/>
        <w:spacing w:line="360" w:lineRule="auto"/>
        <w:ind w:firstLine="600"/>
        <w:outlineLvl w:val="0"/>
        <w:rPr>
          <w:rFonts w:cs="宋体"/>
          <w:color w:val="auto"/>
          <w:kern w:val="0"/>
          <w:sz w:val="30"/>
          <w:szCs w:val="30"/>
          <w:highlight w:val="none"/>
        </w:rPr>
      </w:pPr>
      <w:bookmarkStart w:id="207" w:name="_Toc40346380"/>
      <w:bookmarkStart w:id="208" w:name="_Toc21449"/>
      <w:bookmarkStart w:id="209" w:name="_Toc14462"/>
      <w:bookmarkStart w:id="210" w:name="_Toc10454"/>
      <w:bookmarkStart w:id="211" w:name="_Toc12127"/>
      <w:bookmarkStart w:id="212" w:name="_Toc30904"/>
      <w:bookmarkStart w:id="213" w:name="_Toc8526"/>
      <w:bookmarkStart w:id="214" w:name="_Toc32371"/>
      <w:bookmarkStart w:id="215" w:name="_Toc11547"/>
      <w:bookmarkStart w:id="216" w:name="_Toc9282"/>
      <w:bookmarkStart w:id="217" w:name="_Toc5220"/>
      <w:bookmarkStart w:id="218" w:name="_Toc27646"/>
      <w:bookmarkStart w:id="219" w:name="_Toc40776116"/>
      <w:bookmarkStart w:id="220" w:name="_Toc3498"/>
      <w:bookmarkStart w:id="221" w:name="_Toc5442"/>
      <w:bookmarkStart w:id="222" w:name="_Toc8003"/>
      <w:bookmarkStart w:id="223" w:name="_Toc12453"/>
      <w:bookmarkStart w:id="224" w:name="_Toc27186"/>
      <w:bookmarkStart w:id="225" w:name="_Toc30856"/>
      <w:bookmarkStart w:id="226" w:name="_Toc7054"/>
      <w:bookmarkStart w:id="227" w:name="_Toc40346221"/>
      <w:bookmarkStart w:id="228" w:name="_Toc27009"/>
      <w:r>
        <w:rPr>
          <w:rFonts w:ascii="宋体" w:hAnsi="宋体" w:cs="宋体"/>
          <w:color w:val="auto"/>
          <w:kern w:val="0"/>
          <w:sz w:val="30"/>
          <w:szCs w:val="30"/>
          <w:highlight w:val="none"/>
        </w:rPr>
        <w:t>日    期：</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bookmarkEnd w:id="83"/>
    <w:bookmarkEnd w:id="84"/>
    <w:bookmarkEnd w:id="85"/>
    <w:bookmarkEnd w:id="86"/>
    <w:bookmarkEnd w:id="87"/>
    <w:bookmarkEnd w:id="88"/>
    <w:bookmarkEnd w:id="89"/>
    <w:bookmarkEnd w:id="90"/>
    <w:bookmarkEnd w:id="91"/>
    <w:bookmarkEnd w:id="92"/>
    <w:bookmarkEnd w:id="93"/>
    <w:bookmarkEnd w:id="94"/>
    <w:bookmarkEnd w:id="95"/>
    <w:bookmarkEnd w:id="96"/>
    <w:p w14:paraId="4C69E874">
      <w:pPr>
        <w:rPr>
          <w:rFonts w:hint="eastAsia" w:ascii="宋体" w:hAnsi="宋体" w:eastAsia="宋体" w:cs="Times New Roman"/>
          <w:b/>
          <w:bCs/>
          <w:color w:val="auto"/>
          <w:kern w:val="2"/>
          <w:sz w:val="28"/>
          <w:szCs w:val="28"/>
          <w:highlight w:val="none"/>
          <w:lang w:val="en-US" w:eastAsia="zh-CN" w:bidi="ar-SA"/>
        </w:rPr>
      </w:pPr>
      <w:bookmarkStart w:id="229" w:name="_Toc26575"/>
      <w:bookmarkStart w:id="230" w:name="_Toc14353"/>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29"/>
    <w:bookmarkEnd w:id="230"/>
    <w:p w14:paraId="6D3CDEA9">
      <w:pPr>
        <w:pStyle w:val="9"/>
        <w:numPr>
          <w:ilvl w:val="0"/>
          <w:numId w:val="0"/>
        </w:numPr>
        <w:rPr>
          <w:color w:val="auto"/>
          <w:highlight w:val="none"/>
        </w:rPr>
      </w:pPr>
    </w:p>
    <w:tbl>
      <w:tblPr>
        <w:tblStyle w:val="17"/>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6"/>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6"/>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6"/>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6"/>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6"/>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6"/>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6"/>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6"/>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年至今同类项目的业绩用户名单</w:t>
            </w:r>
            <w:r>
              <w:rPr>
                <w:rFonts w:hint="eastAsia" w:ascii="宋体" w:hAnsi="宋体" w:cs="宋体"/>
                <w:b/>
                <w:bCs/>
                <w:color w:val="auto"/>
                <w:szCs w:val="21"/>
                <w:highlight w:val="none"/>
              </w:rPr>
              <w:t>（需提供合同关键页复印件，并加盖公章）</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70C4FB15">
            <w:pPr>
              <w:pStyle w:val="26"/>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31" w:name="_Toc4747"/>
      <w:bookmarkStart w:id="232" w:name="_Toc15777"/>
      <w:bookmarkStart w:id="233" w:name="_Toc32435"/>
      <w:bookmarkStart w:id="234" w:name="_Toc29844"/>
      <w:bookmarkStart w:id="235" w:name="_Toc9431"/>
      <w:bookmarkStart w:id="23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31"/>
      <w:bookmarkEnd w:id="232"/>
      <w:bookmarkEnd w:id="233"/>
      <w:bookmarkEnd w:id="234"/>
      <w:bookmarkEnd w:id="23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37" w:name="_Toc7824"/>
      <w:bookmarkStart w:id="238" w:name="_Toc12435"/>
      <w:bookmarkStart w:id="239" w:name="_Toc18164"/>
      <w:bookmarkStart w:id="240" w:name="_Toc26151"/>
      <w:bookmarkStart w:id="241" w:name="_Toc1232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37"/>
      <w:bookmarkEnd w:id="238"/>
      <w:bookmarkEnd w:id="239"/>
      <w:bookmarkEnd w:id="240"/>
      <w:bookmarkEnd w:id="241"/>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42" w:name="_Toc32471"/>
      <w:bookmarkStart w:id="243" w:name="_Toc20489"/>
      <w:bookmarkStart w:id="244" w:name="_Toc2350"/>
      <w:bookmarkStart w:id="245" w:name="_Toc20261"/>
      <w:bookmarkStart w:id="246" w:name="_Toc17006"/>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42"/>
      <w:bookmarkEnd w:id="243"/>
      <w:bookmarkEnd w:id="244"/>
      <w:bookmarkEnd w:id="245"/>
      <w:bookmarkEnd w:id="246"/>
    </w:p>
    <w:tbl>
      <w:tblPr>
        <w:tblStyle w:val="17"/>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noWrap w:val="0"/>
            <w:vAlign w:val="center"/>
          </w:tcPr>
          <w:p w14:paraId="77C29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highlight w:val="none"/>
              </w:rPr>
            </w:pPr>
            <w:r>
              <w:rPr>
                <w:rFonts w:hint="eastAsia" w:ascii="宋体" w:hAnsi="宋体" w:cs="宋体"/>
                <w:b w:val="0"/>
                <w:bCs/>
                <w:color w:val="auto"/>
                <w:kern w:val="0"/>
                <w:sz w:val="21"/>
                <w:szCs w:val="21"/>
                <w:lang w:val="en-US" w:eastAsia="zh-CN"/>
              </w:rPr>
              <w:t>具备独立承担民事责任能力，为中华人民共和国境内合法注册的独立法人企业</w:t>
            </w:r>
            <w:r>
              <w:rPr>
                <w:rFonts w:hint="eastAsia" w:ascii="宋体" w:hAnsi="宋体" w:cs="宋体"/>
                <w:b/>
                <w:bCs w:val="0"/>
                <w:color w:val="auto"/>
                <w:kern w:val="0"/>
                <w:sz w:val="21"/>
                <w:szCs w:val="21"/>
                <w:lang w:val="en-US" w:eastAsia="zh-CN"/>
              </w:rPr>
              <w:t>（提供有效的营业执照副本复印件，并加盖公章）</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38" w:type="dxa"/>
            <w:noWrap w:val="0"/>
            <w:vAlign w:val="center"/>
          </w:tcPr>
          <w:p w14:paraId="70D2C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38" w:type="dxa"/>
            <w:noWrap w:val="0"/>
            <w:vAlign w:val="center"/>
          </w:tcPr>
          <w:p w14:paraId="28F98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noWrap w:val="0"/>
            <w:vAlign w:val="center"/>
          </w:tcPr>
          <w:p w14:paraId="3CC78E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（提供书面声明函或承诺函，格式自拟，并加盖公章）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5</w:t>
            </w:r>
          </w:p>
        </w:tc>
        <w:tc>
          <w:tcPr>
            <w:tcW w:w="6438" w:type="dxa"/>
            <w:noWrap w:val="0"/>
            <w:vAlign w:val="center"/>
          </w:tcPr>
          <w:p w14:paraId="2F3B4C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74AF5FF5">
            <w:pPr>
              <w:jc w:val="center"/>
              <w:rPr>
                <w:rFonts w:ascii="Times New Roman" w:hAnsi="Times New Roman" w:cs="Times New Roman"/>
                <w:color w:val="auto"/>
                <w:highlight w:val="none"/>
              </w:rPr>
            </w:pPr>
          </w:p>
        </w:tc>
        <w:tc>
          <w:tcPr>
            <w:tcW w:w="1230" w:type="dxa"/>
            <w:noWrap w:val="0"/>
            <w:vAlign w:val="center"/>
          </w:tcPr>
          <w:p w14:paraId="51E3AA04">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3C9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07974A16">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0D84A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符合法律、行政法规规定的其他条件。</w:t>
            </w:r>
            <w:r>
              <w:rPr>
                <w:rFonts w:hint="eastAsia" w:ascii="宋体" w:hAnsi="宋体" w:cs="宋体"/>
                <w:b/>
                <w:bCs w:val="0"/>
                <w:color w:val="auto"/>
                <w:kern w:val="0"/>
                <w:sz w:val="21"/>
                <w:szCs w:val="21"/>
                <w:lang w:val="en-US" w:eastAsia="zh-CN"/>
              </w:rPr>
              <w:t>（提供书面声明函或承诺函，格式自拟，并加盖公章）</w:t>
            </w:r>
          </w:p>
        </w:tc>
        <w:tc>
          <w:tcPr>
            <w:tcW w:w="1716" w:type="dxa"/>
            <w:noWrap w:val="0"/>
            <w:vAlign w:val="center"/>
          </w:tcPr>
          <w:p w14:paraId="36145645">
            <w:pPr>
              <w:jc w:val="center"/>
              <w:rPr>
                <w:rFonts w:ascii="Times New Roman" w:hAnsi="Times New Roman" w:cs="Times New Roman"/>
                <w:color w:val="auto"/>
                <w:highlight w:val="none"/>
              </w:rPr>
            </w:pPr>
          </w:p>
        </w:tc>
        <w:tc>
          <w:tcPr>
            <w:tcW w:w="1230" w:type="dxa"/>
            <w:noWrap w:val="0"/>
            <w:vAlign w:val="center"/>
          </w:tcPr>
          <w:p w14:paraId="06C8D3B1">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b w:val="0"/>
                <w:bCs/>
                <w:color w:val="auto"/>
                <w:kern w:val="0"/>
                <w:sz w:val="21"/>
                <w:szCs w:val="21"/>
                <w:lang w:val="en-US" w:eastAsia="zh-CN"/>
              </w:rPr>
              <w:t>本项目不接受联合体参与，不接受转包和分包。</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default" w:ascii="宋体" w:hAnsi="宋体" w:eastAsia="宋体" w:cs="宋体"/>
                <w:b w:val="0"/>
                <w:bCs/>
                <w:color w:val="auto"/>
                <w:kern w:val="0"/>
                <w:sz w:val="21"/>
                <w:szCs w:val="21"/>
                <w:lang w:val="en-US" w:eastAsia="zh-CN" w:bidi="ar-SA"/>
              </w:rPr>
              <w:t>单位负责人为同一人或者存在直接控股、管理关系的不同</w:t>
            </w:r>
            <w:r>
              <w:rPr>
                <w:rFonts w:hint="eastAsia" w:ascii="宋体" w:hAnsi="宋体" w:cs="宋体"/>
                <w:b w:val="0"/>
                <w:bCs/>
                <w:color w:val="auto"/>
                <w:kern w:val="0"/>
                <w:sz w:val="21"/>
                <w:szCs w:val="21"/>
                <w:lang w:val="en-US" w:eastAsia="zh-CN" w:bidi="ar-SA"/>
              </w:rPr>
              <w:t>供应商</w:t>
            </w:r>
            <w:r>
              <w:rPr>
                <w:rFonts w:hint="default" w:ascii="宋体" w:hAnsi="宋体" w:eastAsia="宋体" w:cs="宋体"/>
                <w:b w:val="0"/>
                <w:bCs/>
                <w:color w:val="auto"/>
                <w:kern w:val="0"/>
                <w:sz w:val="21"/>
                <w:szCs w:val="21"/>
                <w:lang w:val="en-US" w:eastAsia="zh-CN" w:bidi="ar-SA"/>
              </w:rPr>
              <w:t>，不得同时参加本采购项目。</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6A3F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A30D206">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9</w:t>
            </w:r>
          </w:p>
        </w:tc>
        <w:tc>
          <w:tcPr>
            <w:tcW w:w="6438" w:type="dxa"/>
            <w:noWrap w:val="0"/>
            <w:vAlign w:val="center"/>
          </w:tcPr>
          <w:p w14:paraId="65563E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211C02F0">
            <w:pPr>
              <w:jc w:val="center"/>
              <w:rPr>
                <w:rFonts w:ascii="Times New Roman" w:hAnsi="Times New Roman" w:cs="Times New Roman"/>
                <w:color w:val="auto"/>
                <w:highlight w:val="none"/>
              </w:rPr>
            </w:pPr>
          </w:p>
        </w:tc>
        <w:tc>
          <w:tcPr>
            <w:tcW w:w="1230" w:type="dxa"/>
            <w:shd w:val="clear" w:color="auto" w:fill="auto"/>
            <w:noWrap w:val="0"/>
            <w:vAlign w:val="center"/>
          </w:tcPr>
          <w:p w14:paraId="2F888C6A">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12</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13</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14</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303E02C4">
      <w:pPr>
        <w:tabs>
          <w:tab w:val="left" w:pos="3656"/>
        </w:tabs>
        <w:jc w:val="both"/>
        <w:outlineLvl w:val="9"/>
        <w:rPr>
          <w:rFonts w:hint="eastAsia" w:cs="Times New Roman"/>
          <w:b/>
          <w:color w:val="auto"/>
          <w:sz w:val="24"/>
          <w:highlight w:val="none"/>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47" w:name="_Toc3741"/>
      <w:bookmarkStart w:id="248" w:name="_Toc16921"/>
      <w:bookmarkStart w:id="249" w:name="_Toc29754"/>
      <w:bookmarkStart w:id="250" w:name="_Toc19923"/>
      <w:bookmarkStart w:id="251" w:name="_Toc2052"/>
      <w:r>
        <w:rPr>
          <w:rFonts w:hint="eastAsia" w:ascii="Times New Roman" w:hAnsi="Times New Roman" w:eastAsia="宋体" w:cs="Times New Roman"/>
          <w:b/>
          <w:bCs/>
          <w:color w:val="auto"/>
          <w:highlight w:val="none"/>
          <w:lang w:eastAsia="zh-CN"/>
        </w:rPr>
        <w:t>评分部分自查</w:t>
      </w:r>
      <w:bookmarkEnd w:id="236"/>
      <w:bookmarkEnd w:id="247"/>
      <w:bookmarkEnd w:id="248"/>
      <w:bookmarkEnd w:id="249"/>
      <w:bookmarkEnd w:id="250"/>
      <w:bookmarkEnd w:id="251"/>
    </w:p>
    <w:tbl>
      <w:tblPr>
        <w:tblStyle w:val="17"/>
        <w:tblW w:w="9899" w:type="dxa"/>
        <w:jc w:val="right"/>
        <w:tblLayout w:type="fixed"/>
        <w:tblCellMar>
          <w:top w:w="0" w:type="dxa"/>
          <w:left w:w="0" w:type="dxa"/>
          <w:bottom w:w="0" w:type="dxa"/>
          <w:right w:w="0" w:type="dxa"/>
        </w:tblCellMar>
      </w:tblPr>
      <w:tblGrid>
        <w:gridCol w:w="647"/>
        <w:gridCol w:w="1446"/>
        <w:gridCol w:w="5608"/>
        <w:gridCol w:w="736"/>
        <w:gridCol w:w="627"/>
        <w:gridCol w:w="835"/>
      </w:tblGrid>
      <w:tr w14:paraId="73199AB5">
        <w:tblPrEx>
          <w:tblCellMar>
            <w:top w:w="0" w:type="dxa"/>
            <w:left w:w="0" w:type="dxa"/>
            <w:bottom w:w="0" w:type="dxa"/>
            <w:right w:w="0" w:type="dxa"/>
          </w:tblCellMar>
        </w:tblPrEx>
        <w:trPr>
          <w:trHeight w:val="310" w:hRule="atLeast"/>
          <w:jc w:val="righ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2AA10">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序号</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EC13D">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评审内容</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D0188">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评审细则</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0F1DE">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分值</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820D5D">
            <w:pPr>
              <w:spacing w:line="24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自评</w:t>
            </w:r>
          </w:p>
          <w:p w14:paraId="5C740B2C">
            <w:pPr>
              <w:spacing w:line="24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2F5B23">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证明文</w:t>
            </w:r>
          </w:p>
          <w:p w14:paraId="7983329B">
            <w:pPr>
              <w:spacing w:line="24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件指引</w:t>
            </w:r>
          </w:p>
        </w:tc>
      </w:tr>
      <w:tr w14:paraId="64BA1F2C">
        <w:tblPrEx>
          <w:tblCellMar>
            <w:top w:w="0" w:type="dxa"/>
            <w:left w:w="0" w:type="dxa"/>
            <w:bottom w:w="0" w:type="dxa"/>
            <w:right w:w="0" w:type="dxa"/>
          </w:tblCellMar>
        </w:tblPrEx>
        <w:trPr>
          <w:trHeight w:val="545" w:hRule="atLeast"/>
          <w:jc w:val="righ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D3913">
            <w:pPr>
              <w:jc w:val="center"/>
              <w:textAlignment w:val="center"/>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1</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503A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需求响应情况</w:t>
            </w:r>
          </w:p>
          <w:p w14:paraId="43CAA19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1DC10">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根据供应商“用户需求偏离表”中对本项目需求响应情况进行评价：</w:t>
            </w:r>
          </w:p>
          <w:p w14:paraId="720545F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优：对采购文件中各条款的响应非常全面，优于采购文件要求的，得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p w14:paraId="6B1E46D1">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良：对采购文件中各条款的响应全面，符合采购文件要求的，得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p w14:paraId="0E72785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中：对采购文件中各条款的响应较全面，基本满足采购文件要求的，得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6909012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差：对采购文件中各条款的响应较差，只有部分满足采购文件要求的，得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582CB26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注：不填写用户需求偏离表的或填写不完整的视为不响应采购文件要求，不得分。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2661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kern w:val="0"/>
                <w:sz w:val="21"/>
                <w:szCs w:val="21"/>
                <w:highlight w:val="none"/>
                <w:lang w:val="en-US" w:eastAsia="zh-CN"/>
              </w:rPr>
            </w:pPr>
            <w:r>
              <w:rPr>
                <w:rFonts w:hint="eastAsia" w:ascii="宋体" w:hAnsi="宋体" w:eastAsia="宋体" w:cs="宋体"/>
                <w:color w:val="auto"/>
                <w:sz w:val="21"/>
                <w:szCs w:val="21"/>
                <w:lang w:val="en-US" w:eastAsia="zh-CN"/>
              </w:rPr>
              <w:t>12分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BA746">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93B84E">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AD62A62">
        <w:tblPrEx>
          <w:tblCellMar>
            <w:top w:w="0" w:type="dxa"/>
            <w:left w:w="0" w:type="dxa"/>
            <w:bottom w:w="0" w:type="dxa"/>
            <w:right w:w="0" w:type="dxa"/>
          </w:tblCellMar>
        </w:tblPrEx>
        <w:trPr>
          <w:trHeight w:val="898" w:hRule="atLeast"/>
          <w:jc w:val="right"/>
        </w:trPr>
        <w:tc>
          <w:tcPr>
            <w:tcW w:w="6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D92472">
            <w:pPr>
              <w:jc w:val="center"/>
              <w:textAlignment w:val="center"/>
              <w:rPr>
                <w:rFonts w:hint="eastAsia" w:ascii="宋体" w:hAnsi="宋体" w:eastAsia="宋体"/>
                <w:b/>
                <w:bCs/>
                <w:color w:val="auto"/>
                <w:kern w:val="0"/>
                <w:sz w:val="21"/>
                <w:szCs w:val="21"/>
                <w:highlight w:val="none"/>
                <w:lang w:eastAsia="zh-CN"/>
              </w:rPr>
            </w:pPr>
            <w:r>
              <w:rPr>
                <w:rFonts w:hint="eastAsia" w:ascii="宋体" w:hAnsi="宋体"/>
                <w:b/>
                <w:bCs/>
                <w:color w:val="auto"/>
                <w:kern w:val="0"/>
                <w:sz w:val="21"/>
                <w:szCs w:val="21"/>
                <w:highlight w:val="none"/>
                <w:lang w:val="en-US" w:eastAsia="zh-CN"/>
              </w:rPr>
              <w:t>2</w:t>
            </w:r>
          </w:p>
        </w:tc>
        <w:tc>
          <w:tcPr>
            <w:tcW w:w="14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42C2B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同类业绩</w:t>
            </w:r>
          </w:p>
          <w:p w14:paraId="75287E7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9E2AF">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年1月1日至今（以合同签订时间为准）完成过或正在实施的</w:t>
            </w:r>
            <w:r>
              <w:rPr>
                <w:rFonts w:hint="eastAsia" w:ascii="宋体" w:hAnsi="宋体" w:eastAsia="宋体" w:cs="宋体"/>
                <w:color w:val="auto"/>
                <w:sz w:val="21"/>
                <w:szCs w:val="21"/>
                <w:lang w:val="en-US" w:eastAsia="zh-CN"/>
              </w:rPr>
              <w:t>菌群移植</w:t>
            </w:r>
            <w:r>
              <w:rPr>
                <w:rFonts w:hint="eastAsia" w:ascii="宋体" w:hAnsi="宋体" w:eastAsia="宋体" w:cs="宋体"/>
                <w:color w:val="auto"/>
                <w:sz w:val="21"/>
                <w:szCs w:val="21"/>
              </w:rPr>
              <w:t>服务项目，每提供一个同类项目得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分，最高得12分。未提供不得分。</w:t>
            </w:r>
          </w:p>
          <w:p w14:paraId="1D58275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注：提供合同关键页复印件复印件，并加盖公章。</w:t>
            </w:r>
            <w:r>
              <w:rPr>
                <w:rFonts w:hint="eastAsia" w:ascii="宋体" w:hAnsi="宋体" w:eastAsia="宋体" w:cs="宋体"/>
                <w:b/>
                <w:bCs/>
                <w:color w:val="auto"/>
                <w:sz w:val="21"/>
                <w:szCs w:val="21"/>
                <w:lang w:val="en-US" w:eastAsia="zh-CN"/>
              </w:rPr>
              <w:t>同一业主按一个同类项目计分，</w:t>
            </w:r>
            <w:r>
              <w:rPr>
                <w:rFonts w:hint="eastAsia" w:ascii="宋体" w:hAnsi="宋体" w:eastAsia="宋体" w:cs="宋体"/>
                <w:b/>
                <w:bCs/>
                <w:color w:val="auto"/>
                <w:sz w:val="21"/>
                <w:szCs w:val="21"/>
              </w:rPr>
              <w:t>未提供或所提供文件不清晰造成评委无法判定则不得分。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A500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kern w:val="0"/>
                <w:sz w:val="21"/>
                <w:szCs w:val="21"/>
                <w:highlight w:val="none"/>
                <w:lang w:val="en-US" w:eastAsia="zh-CN"/>
              </w:rPr>
            </w:pPr>
            <w:r>
              <w:rPr>
                <w:rFonts w:hint="eastAsia" w:ascii="宋体" w:hAnsi="宋体" w:eastAsia="宋体" w:cs="宋体"/>
                <w:color w:val="auto"/>
                <w:sz w:val="21"/>
                <w:szCs w:val="21"/>
                <w:lang w:val="en-US" w:eastAsia="zh-CN"/>
              </w:rPr>
              <w:t>12分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E883F">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C4DC8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3324D089">
        <w:tblPrEx>
          <w:tblCellMar>
            <w:top w:w="0" w:type="dxa"/>
            <w:left w:w="0" w:type="dxa"/>
            <w:bottom w:w="0" w:type="dxa"/>
            <w:right w:w="0" w:type="dxa"/>
          </w:tblCellMar>
        </w:tblPrEx>
        <w:trPr>
          <w:trHeight w:val="740" w:hRule="atLeast"/>
          <w:jc w:val="right"/>
        </w:trPr>
        <w:tc>
          <w:tcPr>
            <w:tcW w:w="647"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1DF3366E">
            <w:pPr>
              <w:jc w:val="center"/>
              <w:textAlignment w:val="center"/>
              <w:rPr>
                <w:rFonts w:hint="eastAsia" w:ascii="宋体" w:hAnsi="宋体" w:eastAsia="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3</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A3D4E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业主评价</w:t>
            </w:r>
          </w:p>
          <w:p w14:paraId="395E3A6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（6分）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D6E5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根据各供应商提供与上述同类项目业绩对应的用户评价，用户评价须为良好或以上（含同等意义的评价，如85分或以上、满意或以上等），每提供一项得1分，最高得6分。</w:t>
            </w:r>
          </w:p>
          <w:p w14:paraId="05DB185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注：提供加盖客户公章的评价证明材料复印件，不满足要求或所提供材料无法体现用户评价的不得分。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ADCE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27C29">
            <w:pPr>
              <w:jc w:val="center"/>
              <w:textAlignment w:val="center"/>
              <w:rPr>
                <w:rFonts w:hint="eastAsia" w:ascii="宋体" w:hAnsi="宋体"/>
                <w:color w:val="auto"/>
                <w:kern w:val="0"/>
                <w:sz w:val="21"/>
                <w:szCs w:val="21"/>
                <w:highlight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A9F85A">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61A5D9A9">
        <w:tblPrEx>
          <w:tblCellMar>
            <w:top w:w="0" w:type="dxa"/>
            <w:left w:w="0" w:type="dxa"/>
            <w:bottom w:w="0" w:type="dxa"/>
            <w:right w:w="0" w:type="dxa"/>
          </w:tblCellMar>
        </w:tblPrEx>
        <w:trPr>
          <w:trHeight w:val="665" w:hRule="atLeast"/>
          <w:jc w:val="right"/>
        </w:trPr>
        <w:tc>
          <w:tcPr>
            <w:tcW w:w="6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46E84DB">
            <w:pPr>
              <w:jc w:val="center"/>
              <w:textAlignment w:val="center"/>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4</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8D8FC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供体管理方案</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15</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ACEEF89">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供体管理方案，内容包括但不限于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供体</w:t>
            </w:r>
            <w:r>
              <w:rPr>
                <w:rFonts w:hint="eastAsia" w:ascii="宋体" w:hAnsi="宋体" w:eastAsia="宋体" w:cs="宋体"/>
                <w:color w:val="auto"/>
                <w:sz w:val="21"/>
                <w:szCs w:val="21"/>
              </w:rPr>
              <w:t>的筛选机制；</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供体日常随访机制；</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供体健康监测管理机制</w:t>
            </w:r>
            <w:r>
              <w:rPr>
                <w:rFonts w:hint="eastAsia" w:ascii="宋体" w:hAnsi="宋体" w:eastAsia="宋体" w:cs="宋体"/>
                <w:color w:val="auto"/>
                <w:sz w:val="21"/>
                <w:szCs w:val="21"/>
                <w:lang w:val="en-US" w:eastAsia="zh-CN"/>
              </w:rPr>
              <w:t>等。</w:t>
            </w:r>
          </w:p>
          <w:p w14:paraId="0E1B8793">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提供以上3项内容得5分，提供以上2项内容得3分，提供以上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E4ACA63">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11DCFB4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val="en-US"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474AF1C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1169E32F">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707FFEC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kern w:val="0"/>
                <w:sz w:val="21"/>
                <w:szCs w:val="21"/>
                <w:highlight w:val="none"/>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ADB9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85A7D">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D9A3C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67EA352F">
        <w:tblPrEx>
          <w:tblCellMar>
            <w:top w:w="0" w:type="dxa"/>
            <w:left w:w="0" w:type="dxa"/>
            <w:bottom w:w="0" w:type="dxa"/>
            <w:right w:w="0" w:type="dxa"/>
          </w:tblCellMar>
        </w:tblPrEx>
        <w:trPr>
          <w:trHeight w:val="665" w:hRule="atLeast"/>
          <w:jc w:val="right"/>
        </w:trPr>
        <w:tc>
          <w:tcPr>
            <w:tcW w:w="6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33B348">
            <w:pPr>
              <w:jc w:val="center"/>
              <w:textAlignment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5</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B83DF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21"/>
                <w:szCs w:val="21"/>
                <w:highlight w:val="none"/>
              </w:rPr>
            </w:pPr>
            <w:r>
              <w:rPr>
                <w:rFonts w:hint="eastAsia" w:ascii="宋体" w:hAnsi="宋体" w:eastAsia="宋体" w:cs="宋体"/>
                <w:b/>
                <w:bCs/>
                <w:color w:val="auto"/>
                <w:sz w:val="21"/>
                <w:szCs w:val="21"/>
                <w:lang w:val="en-US" w:eastAsia="zh-CN"/>
              </w:rPr>
              <w:t>产品全流程闭环管理方案（15分）</w:t>
            </w:r>
          </w:p>
        </w:tc>
        <w:tc>
          <w:tcPr>
            <w:tcW w:w="56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D98A65C">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rPr>
              <w:t>需提供产品全流程闭环管理方案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rPr>
              <w:t>：</w:t>
            </w:r>
          </w:p>
          <w:p w14:paraId="657A0AC2">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产品制备标准操作流程</w:t>
            </w:r>
            <w:r>
              <w:rPr>
                <w:rFonts w:hint="eastAsia" w:ascii="宋体" w:hAnsi="宋体" w:eastAsia="宋体" w:cs="宋体"/>
                <w:color w:val="auto"/>
                <w:sz w:val="21"/>
                <w:szCs w:val="21"/>
              </w:rPr>
              <w:t>和配套的膳食营养素（符合国家标准）</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运输过程中的产品质量保障方案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产品不良反应的处理与预防方案等。</w:t>
            </w:r>
          </w:p>
          <w:p w14:paraId="3C6DDDA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提供以上3项内容得5分，提供以上2项内容得3分，提供以上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13582C3E">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1527394F">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3AB034CF">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14225AC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0A8E35D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21"/>
                <w:szCs w:val="21"/>
                <w:highlight w:val="none"/>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600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lang w:val="en-US" w:eastAsia="zh-CN"/>
              </w:rPr>
              <w:t>15分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52087">
            <w:pPr>
              <w:jc w:val="center"/>
              <w:textAlignment w:val="center"/>
              <w:rPr>
                <w:rFonts w:hint="eastAsia" w:ascii="宋体" w:hAnsi="宋体" w:eastAsia="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713D6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E788BAF">
        <w:tblPrEx>
          <w:tblCellMar>
            <w:top w:w="0" w:type="dxa"/>
            <w:left w:w="0" w:type="dxa"/>
            <w:bottom w:w="0" w:type="dxa"/>
            <w:right w:w="0" w:type="dxa"/>
          </w:tblCellMar>
        </w:tblPrEx>
        <w:trPr>
          <w:trHeight w:val="665" w:hRule="atLeast"/>
          <w:jc w:val="right"/>
        </w:trPr>
        <w:tc>
          <w:tcPr>
            <w:tcW w:w="6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E830E55">
            <w:pPr>
              <w:jc w:val="center"/>
              <w:textAlignment w:val="center"/>
              <w:rPr>
                <w:rFonts w:hint="eastAsia"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6</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28E9A7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宋体"/>
                <w:b/>
                <w:bCs/>
                <w:color w:val="auto"/>
                <w:sz w:val="21"/>
                <w:szCs w:val="21"/>
                <w:lang w:val="en-US" w:eastAsia="zh-CN"/>
              </w:rPr>
              <w:t>实验室质控方案（15分）</w:t>
            </w:r>
          </w:p>
        </w:tc>
        <w:tc>
          <w:tcPr>
            <w:tcW w:w="56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9AD50C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eastAsia="zh-CN"/>
              </w:rPr>
              <w:t>所</w:t>
            </w:r>
            <w:r>
              <w:rPr>
                <w:rFonts w:hint="eastAsia" w:ascii="宋体" w:hAnsi="宋体" w:eastAsia="宋体" w:cs="宋体"/>
                <w:color w:val="auto"/>
                <w:sz w:val="21"/>
                <w:szCs w:val="21"/>
                <w:lang w:val="en-US"/>
              </w:rPr>
              <w:t>提供实验室质控方案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实验室环境消杀管理方案；</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设备配备及维护方案；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内外部质控管理方案等。</w:t>
            </w:r>
          </w:p>
          <w:p w14:paraId="75D7557F">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提供以上3项内容得5分，提供以上2项内容得3分，提供以上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4971499">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2697101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60AA180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0E611E2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660519E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594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lang w:val="en-US" w:eastAsia="zh-CN"/>
              </w:rPr>
              <w:t>15分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BA0AA">
            <w:pPr>
              <w:jc w:val="center"/>
              <w:textAlignment w:val="center"/>
              <w:rPr>
                <w:rFonts w:hint="eastAsia" w:ascii="宋体" w:hAnsi="宋体" w:eastAsia="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D5973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094D2EE">
        <w:tblPrEx>
          <w:tblCellMar>
            <w:top w:w="0" w:type="dxa"/>
            <w:left w:w="0" w:type="dxa"/>
            <w:bottom w:w="0" w:type="dxa"/>
            <w:right w:w="0" w:type="dxa"/>
          </w:tblCellMar>
        </w:tblPrEx>
        <w:trPr>
          <w:trHeight w:val="840" w:hRule="atLeast"/>
          <w:jc w:val="right"/>
        </w:trPr>
        <w:tc>
          <w:tcPr>
            <w:tcW w:w="6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131C1">
            <w:pPr>
              <w:jc w:val="center"/>
              <w:textAlignment w:val="center"/>
              <w:rPr>
                <w:rFonts w:hint="eastAsia" w:ascii="宋体" w:hAnsi="宋体" w:eastAsia="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7</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A7E9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项目实施方案（15分）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B7966">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制定的项目实施方案，</w:t>
            </w:r>
            <w:r>
              <w:rPr>
                <w:rFonts w:hint="eastAsia" w:ascii="宋体" w:hAnsi="宋体" w:eastAsia="宋体" w:cs="宋体"/>
                <w:color w:val="auto"/>
                <w:sz w:val="21"/>
                <w:szCs w:val="21"/>
                <w:lang w:val="en-US" w:eastAsia="zh-CN"/>
              </w:rPr>
              <w:t>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rPr>
              <w:t>服务目标</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服务重点</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可操作的服务指标量及具体服务内容</w:t>
            </w:r>
            <w:r>
              <w:rPr>
                <w:rFonts w:hint="eastAsia" w:ascii="宋体" w:hAnsi="宋体" w:eastAsia="宋体" w:cs="宋体"/>
                <w:color w:val="auto"/>
                <w:sz w:val="21"/>
                <w:szCs w:val="21"/>
                <w:lang w:eastAsia="zh-CN"/>
              </w:rPr>
              <w:t>④</w:t>
            </w:r>
            <w:r>
              <w:rPr>
                <w:rFonts w:hint="eastAsia" w:ascii="宋体" w:hAnsi="宋体" w:eastAsia="宋体" w:cs="宋体"/>
                <w:color w:val="auto"/>
                <w:sz w:val="21"/>
                <w:szCs w:val="21"/>
              </w:rPr>
              <w:t>实施总体服务计划的具体操作性方案。</w:t>
            </w:r>
          </w:p>
          <w:p w14:paraId="37E0CA63">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提供以上4项内容得5分，提供以上3项内容得3.5分，提供以上2项内容得2分，提供以上1项内容得0.5分，未提供相关内容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1E5399A3">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37B01B91">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rPr>
              <w:t>；</w:t>
            </w:r>
          </w:p>
          <w:p w14:paraId="111AB35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658A4EE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72F79FE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E8D8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kern w:val="0"/>
                <w:sz w:val="21"/>
                <w:szCs w:val="21"/>
                <w:highlight w:val="none"/>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C9450">
            <w:pPr>
              <w:jc w:val="center"/>
              <w:textAlignment w:val="center"/>
              <w:rPr>
                <w:rFonts w:hint="eastAsia" w:ascii="宋体" w:hAnsi="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0EBAD">
            <w:pPr>
              <w:jc w:val="center"/>
              <w:textAlignment w:val="center"/>
              <w:rPr>
                <w:rFonts w:hint="eastAsia" w:ascii="宋体" w:hAnsi="宋体" w:cs="Times New Roman"/>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3E5E108A">
        <w:tblPrEx>
          <w:tblCellMar>
            <w:top w:w="0" w:type="dxa"/>
            <w:left w:w="0" w:type="dxa"/>
            <w:bottom w:w="0" w:type="dxa"/>
            <w:right w:w="0" w:type="dxa"/>
          </w:tblCellMar>
        </w:tblPrEx>
        <w:trPr>
          <w:trHeight w:val="840" w:hRule="atLeast"/>
          <w:jc w:val="right"/>
        </w:trPr>
        <w:tc>
          <w:tcPr>
            <w:tcW w:w="6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03BDE">
            <w:pPr>
              <w:jc w:val="center"/>
              <w:textAlignment w:val="center"/>
              <w:rPr>
                <w:rFonts w:hint="eastAsia" w:ascii="宋体" w:hAnsi="宋体" w:eastAsia="宋体"/>
                <w:b/>
                <w:bCs/>
                <w:color w:val="auto"/>
                <w:kern w:val="0"/>
                <w:sz w:val="21"/>
                <w:szCs w:val="21"/>
                <w:highlight w:val="none"/>
                <w:lang w:eastAsia="zh-CN"/>
              </w:rPr>
            </w:pPr>
            <w:r>
              <w:rPr>
                <w:rFonts w:hint="eastAsia" w:ascii="宋体" w:hAnsi="宋体"/>
                <w:b/>
                <w:bCs/>
                <w:color w:val="auto"/>
                <w:kern w:val="0"/>
                <w:sz w:val="21"/>
                <w:szCs w:val="21"/>
                <w:highlight w:val="none"/>
                <w:lang w:val="en-US" w:eastAsia="zh-CN"/>
              </w:rPr>
              <w:t>8</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CDBA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p w14:paraId="7A7ADC9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10</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45EAB">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Calibri"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本项目的价格分：通过本项目审查且报价最低的报价为评审基准价，其价格分为满分。报价得分 = （评审基准价/最终报价）×价格分值</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19AA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lang w:val="en-US" w:eastAsia="zh-CN"/>
              </w:rPr>
              <w:t>10分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F4256">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77C7">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r>
      <w:tr w14:paraId="436EE641">
        <w:tblPrEx>
          <w:tblCellMar>
            <w:top w:w="0" w:type="dxa"/>
            <w:left w:w="0" w:type="dxa"/>
            <w:bottom w:w="0" w:type="dxa"/>
            <w:right w:w="0" w:type="dxa"/>
          </w:tblCellMar>
        </w:tblPrEx>
        <w:trPr>
          <w:trHeight w:val="600" w:hRule="atLeast"/>
          <w:jc w:val="right"/>
        </w:trPr>
        <w:tc>
          <w:tcPr>
            <w:tcW w:w="77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826C1">
            <w:pPr>
              <w:jc w:val="center"/>
              <w:textAlignment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合计</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22015">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100</w:t>
            </w:r>
            <w:r>
              <w:rPr>
                <w:rFonts w:hint="eastAsia" w:ascii="宋体" w:hAnsi="宋体" w:cs="Times New Roman"/>
                <w:color w:val="auto"/>
                <w:kern w:val="0"/>
                <w:sz w:val="21"/>
                <w:szCs w:val="21"/>
                <w:highlight w:val="none"/>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C053B">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A742D">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r>
    </w:tbl>
    <w:p w14:paraId="226544D4">
      <w:pPr>
        <w:pStyle w:val="27"/>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9D350F2">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17C016C1">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22AA12E5">
      <w:pPr>
        <w:pStyle w:val="27"/>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7C4A3127">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A7FF989">
      <w:pPr>
        <w:spacing w:line="360" w:lineRule="auto"/>
        <w:jc w:val="left"/>
        <w:rPr>
          <w:rFonts w:hint="eastAsia" w:ascii="宋体" w:hAnsi="宋体" w:cs="宋体"/>
          <w:b/>
          <w:bCs/>
          <w:color w:val="auto"/>
          <w:sz w:val="21"/>
          <w:szCs w:val="21"/>
          <w:highlight w:val="none"/>
          <w:lang w:val="en-US" w:eastAsia="zh-CN"/>
        </w:rPr>
      </w:pPr>
    </w:p>
    <w:p w14:paraId="6B570093">
      <w:pPr>
        <w:spacing w:line="360" w:lineRule="auto"/>
        <w:jc w:val="left"/>
        <w:rPr>
          <w:rFonts w:hint="eastAsia" w:ascii="宋体" w:hAnsi="宋体" w:cs="宋体"/>
          <w:b/>
          <w:bCs/>
          <w:color w:val="auto"/>
          <w:sz w:val="21"/>
          <w:szCs w:val="21"/>
          <w:highlight w:val="none"/>
          <w:lang w:val="en-US" w:eastAsia="zh-CN"/>
        </w:rPr>
      </w:pPr>
    </w:p>
    <w:p w14:paraId="1775E630">
      <w:pPr>
        <w:spacing w:line="360" w:lineRule="auto"/>
        <w:jc w:val="left"/>
        <w:rPr>
          <w:rFonts w:hint="eastAsia" w:ascii="宋体" w:hAnsi="宋体" w:cs="宋体"/>
          <w:b/>
          <w:bCs/>
          <w:color w:val="auto"/>
          <w:sz w:val="21"/>
          <w:szCs w:val="21"/>
          <w:highlight w:val="none"/>
          <w:lang w:val="en-US" w:eastAsia="zh-CN"/>
        </w:rPr>
      </w:pPr>
    </w:p>
    <w:p w14:paraId="398199C4">
      <w:pPr>
        <w:spacing w:line="360" w:lineRule="auto"/>
        <w:jc w:val="left"/>
        <w:rPr>
          <w:rFonts w:hint="eastAsia" w:ascii="宋体" w:hAnsi="宋体" w:cs="宋体"/>
          <w:b/>
          <w:bCs/>
          <w:color w:val="auto"/>
          <w:sz w:val="21"/>
          <w:szCs w:val="21"/>
          <w:highlight w:val="none"/>
          <w:lang w:val="en-US" w:eastAsia="zh-CN"/>
        </w:rPr>
      </w:pPr>
    </w:p>
    <w:p w14:paraId="404E87C9">
      <w:pPr>
        <w:spacing w:line="360" w:lineRule="auto"/>
        <w:jc w:val="left"/>
        <w:rPr>
          <w:rFonts w:hint="eastAsia" w:ascii="宋体" w:hAnsi="宋体" w:cs="宋体"/>
          <w:b/>
          <w:bCs/>
          <w:color w:val="auto"/>
          <w:sz w:val="21"/>
          <w:szCs w:val="21"/>
          <w:highlight w:val="none"/>
          <w:lang w:val="en-US" w:eastAsia="zh-CN"/>
        </w:rPr>
      </w:pPr>
    </w:p>
    <w:p w14:paraId="09A19226">
      <w:pPr>
        <w:spacing w:line="360" w:lineRule="auto"/>
        <w:jc w:val="left"/>
        <w:rPr>
          <w:rFonts w:hint="eastAsia" w:ascii="宋体" w:hAnsi="宋体" w:cs="宋体"/>
          <w:b/>
          <w:bCs/>
          <w:color w:val="auto"/>
          <w:sz w:val="21"/>
          <w:szCs w:val="21"/>
          <w:highlight w:val="none"/>
          <w:lang w:val="en-US" w:eastAsia="zh-CN"/>
        </w:rPr>
      </w:pPr>
    </w:p>
    <w:p w14:paraId="67A13DD3">
      <w:pPr>
        <w:spacing w:line="360" w:lineRule="auto"/>
        <w:jc w:val="left"/>
        <w:rPr>
          <w:rFonts w:hint="eastAsia" w:ascii="宋体" w:hAnsi="宋体" w:cs="宋体"/>
          <w:b/>
          <w:bCs/>
          <w:color w:val="auto"/>
          <w:sz w:val="21"/>
          <w:szCs w:val="21"/>
          <w:highlight w:val="none"/>
          <w:lang w:val="en-US" w:eastAsia="zh-CN"/>
        </w:rPr>
      </w:pPr>
    </w:p>
    <w:p w14:paraId="08959334">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6A2EF45A">
      <w:pPr>
        <w:spacing w:line="360" w:lineRule="auto"/>
        <w:jc w:val="center"/>
        <w:outlineLvl w:val="0"/>
        <w:rPr>
          <w:rFonts w:hint="eastAsia" w:ascii="宋体" w:hAnsi="宋体"/>
          <w:b/>
          <w:bCs/>
          <w:color w:val="auto"/>
          <w:sz w:val="28"/>
          <w:szCs w:val="28"/>
          <w:highlight w:val="none"/>
        </w:rPr>
      </w:pPr>
      <w:bookmarkStart w:id="252" w:name="_Toc18642"/>
      <w:bookmarkStart w:id="253" w:name="_Toc337"/>
      <w:bookmarkStart w:id="254" w:name="_Toc17193"/>
      <w:r>
        <w:rPr>
          <w:rFonts w:hint="eastAsia" w:ascii="宋体" w:hAnsi="宋体"/>
          <w:b/>
          <w:bCs/>
          <w:color w:val="auto"/>
          <w:sz w:val="28"/>
          <w:szCs w:val="28"/>
          <w:highlight w:val="none"/>
        </w:rPr>
        <w:t>报价表</w:t>
      </w:r>
      <w:bookmarkEnd w:id="252"/>
      <w:bookmarkEnd w:id="253"/>
      <w:bookmarkEnd w:id="254"/>
    </w:p>
    <w:tbl>
      <w:tblPr>
        <w:tblStyle w:val="17"/>
        <w:tblW w:w="448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939"/>
        <w:gridCol w:w="3854"/>
        <w:gridCol w:w="1869"/>
      </w:tblGrid>
      <w:tr w14:paraId="5D00C7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9" w:hRule="atLeast"/>
          <w:jc w:val="center"/>
        </w:trPr>
        <w:tc>
          <w:tcPr>
            <w:tcW w:w="1696" w:type="pct"/>
            <w:tcBorders>
              <w:top w:val="single" w:color="auto" w:sz="4" w:space="0"/>
              <w:left w:val="single" w:color="auto" w:sz="4" w:space="0"/>
              <w:bottom w:val="single" w:color="auto" w:sz="4" w:space="0"/>
              <w:right w:val="single" w:color="000000" w:sz="4" w:space="0"/>
            </w:tcBorders>
            <w:noWrap w:val="0"/>
            <w:vAlign w:val="center"/>
          </w:tcPr>
          <w:p w14:paraId="552BB7BE">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2224" w:type="pct"/>
            <w:tcBorders>
              <w:top w:val="single" w:color="auto" w:sz="4" w:space="0"/>
              <w:left w:val="single" w:color="000000" w:sz="4" w:space="0"/>
              <w:bottom w:val="single" w:color="auto" w:sz="4" w:space="0"/>
              <w:right w:val="single" w:color="000000" w:sz="4" w:space="0"/>
            </w:tcBorders>
            <w:noWrap w:val="0"/>
            <w:vAlign w:val="center"/>
          </w:tcPr>
          <w:p w14:paraId="32E8352A">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w w:val="99"/>
                <w:sz w:val="21"/>
                <w:szCs w:val="21"/>
                <w:lang w:val="zh-CN" w:bidi="zh-CN"/>
              </w:rPr>
              <w:t>折扣率</w:t>
            </w:r>
          </w:p>
        </w:tc>
        <w:tc>
          <w:tcPr>
            <w:tcW w:w="1078" w:type="pct"/>
            <w:tcBorders>
              <w:top w:val="single" w:color="auto" w:sz="4" w:space="0"/>
              <w:left w:val="single" w:color="000000" w:sz="4" w:space="0"/>
              <w:bottom w:val="single" w:color="auto" w:sz="4" w:space="0"/>
              <w:right w:val="single" w:color="auto" w:sz="4" w:space="0"/>
            </w:tcBorders>
            <w:noWrap w:val="0"/>
            <w:vAlign w:val="center"/>
          </w:tcPr>
          <w:p w14:paraId="1F66C840">
            <w:pPr>
              <w:ind w:left="634"/>
              <w:jc w:val="both"/>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14:paraId="62C27F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jc w:val="center"/>
        </w:trPr>
        <w:tc>
          <w:tcPr>
            <w:tcW w:w="1696" w:type="pct"/>
            <w:tcBorders>
              <w:top w:val="single" w:color="auto" w:sz="4" w:space="0"/>
              <w:left w:val="single" w:color="auto" w:sz="4" w:space="0"/>
              <w:bottom w:val="single" w:color="auto" w:sz="4" w:space="0"/>
              <w:right w:val="single" w:color="000000" w:sz="4" w:space="0"/>
            </w:tcBorders>
            <w:noWrap w:val="0"/>
            <w:vAlign w:val="center"/>
          </w:tcPr>
          <w:p w14:paraId="5DFFF601">
            <w:pPr>
              <w:spacing w:before="86" w:line="364" w:lineRule="auto"/>
              <w:ind w:right="188"/>
              <w:jc w:val="center"/>
              <w:rPr>
                <w:rFonts w:hint="eastAsia" w:ascii="宋体" w:hAnsi="宋体" w:eastAsia="宋体" w:cs="宋体"/>
                <w:b w:val="0"/>
                <w:bCs/>
                <w:color w:val="auto"/>
                <w:sz w:val="21"/>
                <w:szCs w:val="21"/>
                <w:lang w:val="en-US" w:eastAsia="zh-CN" w:bidi="zh-CN"/>
              </w:rPr>
            </w:pPr>
            <w:r>
              <w:rPr>
                <w:rFonts w:hint="eastAsia" w:ascii="宋体" w:hAnsi="宋体" w:eastAsia="宋体" w:cs="宋体"/>
                <w:b w:val="0"/>
                <w:bCs/>
                <w:color w:val="auto"/>
                <w:sz w:val="21"/>
                <w:szCs w:val="21"/>
                <w:lang w:val="en-US" w:eastAsia="zh-CN" w:bidi="zh-CN"/>
              </w:rPr>
              <w:t>南方医科大学第五附属医院</w:t>
            </w:r>
          </w:p>
          <w:p w14:paraId="51EB37A8">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en-US" w:eastAsia="zh-CN" w:bidi="zh-CN"/>
              </w:rPr>
              <w:t>菌群移植服务项目</w:t>
            </w:r>
          </w:p>
        </w:tc>
        <w:tc>
          <w:tcPr>
            <w:tcW w:w="2224" w:type="pct"/>
            <w:tcBorders>
              <w:top w:val="single" w:color="auto" w:sz="4" w:space="0"/>
              <w:left w:val="single" w:color="000000" w:sz="4" w:space="0"/>
              <w:bottom w:val="single" w:color="auto" w:sz="4" w:space="0"/>
              <w:right w:val="single" w:color="auto" w:sz="4" w:space="0"/>
            </w:tcBorders>
            <w:noWrap w:val="0"/>
            <w:vAlign w:val="center"/>
          </w:tcPr>
          <w:p w14:paraId="47EC4327">
            <w:pPr>
              <w:ind w:left="29"/>
              <w:jc w:val="center"/>
              <w:rPr>
                <w:rFonts w:hint="eastAsia" w:ascii="宋体" w:hAnsi="宋体" w:eastAsia="宋体" w:cs="宋体"/>
                <w:b w:val="0"/>
                <w:bCs/>
                <w:color w:val="auto"/>
                <w:sz w:val="21"/>
                <w:szCs w:val="21"/>
                <w:lang w:bidi="zh-CN"/>
              </w:rPr>
            </w:pPr>
            <w:r>
              <w:rPr>
                <w:rFonts w:hint="eastAsia" w:ascii="宋体" w:hAnsi="宋体" w:eastAsia="宋体" w:cs="宋体"/>
                <w:b w:val="0"/>
                <w:bCs/>
                <w:color w:val="auto"/>
                <w:w w:val="99"/>
                <w:sz w:val="21"/>
                <w:szCs w:val="21"/>
                <w:lang w:bidi="zh-CN"/>
              </w:rPr>
              <w:t>%</w:t>
            </w:r>
          </w:p>
        </w:tc>
        <w:tc>
          <w:tcPr>
            <w:tcW w:w="1078" w:type="pct"/>
            <w:tcBorders>
              <w:top w:val="single" w:color="auto" w:sz="4" w:space="0"/>
              <w:left w:val="single" w:color="000000" w:sz="4" w:space="0"/>
              <w:bottom w:val="single" w:color="auto" w:sz="4" w:space="0"/>
              <w:right w:val="single" w:color="auto" w:sz="4" w:space="0"/>
            </w:tcBorders>
            <w:noWrap w:val="0"/>
            <w:vAlign w:val="center"/>
          </w:tcPr>
          <w:p w14:paraId="07D615B8">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zh-CN" w:eastAsia="zh-CN" w:bidi="zh-CN"/>
              </w:rPr>
              <w:t>服务期</w:t>
            </w:r>
            <w:r>
              <w:rPr>
                <w:rFonts w:hint="eastAsia" w:ascii="宋体" w:hAnsi="宋体" w:cs="宋体"/>
                <w:b w:val="0"/>
                <w:bCs/>
                <w:color w:val="auto"/>
                <w:sz w:val="21"/>
                <w:szCs w:val="21"/>
                <w:lang w:val="en-US" w:eastAsia="zh-CN" w:bidi="zh-CN"/>
              </w:rPr>
              <w:t>1</w:t>
            </w:r>
            <w:r>
              <w:rPr>
                <w:rFonts w:hint="eastAsia" w:ascii="宋体" w:hAnsi="宋体" w:eastAsia="宋体" w:cs="宋体"/>
                <w:b w:val="0"/>
                <w:bCs/>
                <w:color w:val="auto"/>
                <w:sz w:val="21"/>
                <w:szCs w:val="21"/>
                <w:lang w:val="zh-CN" w:bidi="zh-CN"/>
              </w:rPr>
              <w:t>年</w:t>
            </w:r>
          </w:p>
        </w:tc>
      </w:tr>
    </w:tbl>
    <w:p w14:paraId="18DAFD15">
      <w:pPr>
        <w:pStyle w:val="5"/>
        <w:ind w:firstLine="0"/>
        <w:jc w:val="both"/>
        <w:outlineLvl w:val="9"/>
        <w:rPr>
          <w:rFonts w:hint="eastAsia" w:ascii="宋体" w:hAnsi="宋体" w:cs="宋体"/>
          <w:b/>
          <w:bCs/>
          <w:color w:val="auto"/>
          <w:sz w:val="32"/>
          <w:szCs w:val="32"/>
        </w:rPr>
      </w:pPr>
    </w:p>
    <w:p w14:paraId="2C476D4D">
      <w:pPr>
        <w:spacing w:line="360" w:lineRule="exact"/>
        <w:ind w:left="420" w:leftChars="200"/>
        <w:rPr>
          <w:rFonts w:hint="eastAsia" w:ascii="宋体" w:hAnsi="宋体" w:cs="宋体"/>
          <w:b/>
          <w:color w:val="auto"/>
          <w:szCs w:val="21"/>
          <w:lang w:eastAsia="zh-CN"/>
        </w:rPr>
      </w:pPr>
      <w:r>
        <w:rPr>
          <w:rFonts w:hint="eastAsia" w:ascii="宋体" w:hAnsi="宋体" w:cs="宋体"/>
          <w:b/>
          <w:color w:val="auto"/>
          <w:szCs w:val="21"/>
          <w:lang w:eastAsia="zh-CN"/>
        </w:rPr>
        <w:t>备注：</w:t>
      </w:r>
    </w:p>
    <w:p w14:paraId="6977D7BF">
      <w:pPr>
        <w:spacing w:line="360" w:lineRule="exact"/>
        <w:ind w:left="420" w:leftChars="200"/>
        <w:rPr>
          <w:rFonts w:hint="eastAsia" w:ascii="宋体" w:hAnsi="宋体" w:cs="宋体"/>
          <w:b/>
          <w:color w:val="auto"/>
          <w:szCs w:val="21"/>
        </w:rPr>
      </w:pPr>
      <w:r>
        <w:rPr>
          <w:rFonts w:hint="eastAsia" w:ascii="宋体" w:hAnsi="宋体" w:cs="宋体"/>
          <w:b/>
          <w:color w:val="auto"/>
          <w:szCs w:val="21"/>
        </w:rPr>
        <w:t>1.温馨提示（金额大写）：壹、贰、叁、肆、伍、陆、柒、捌、玖、拾 、佰、仟、万</w:t>
      </w:r>
    </w:p>
    <w:p w14:paraId="51EBD43E">
      <w:pPr>
        <w:spacing w:line="360" w:lineRule="exact"/>
        <w:ind w:left="420" w:leftChars="200"/>
        <w:rPr>
          <w:rFonts w:hint="eastAsia" w:ascii="宋体" w:hAnsi="宋体" w:cs="宋体"/>
          <w:b/>
          <w:color w:val="auto"/>
          <w:szCs w:val="21"/>
        </w:rPr>
      </w:pPr>
      <w:r>
        <w:rPr>
          <w:rFonts w:hint="eastAsia" w:ascii="宋体" w:hAnsi="宋体" w:cs="宋体"/>
          <w:b/>
          <w:color w:val="auto"/>
          <w:szCs w:val="21"/>
        </w:rPr>
        <w:t>2.报价说明：</w:t>
      </w:r>
    </w:p>
    <w:p w14:paraId="5FE87E2D">
      <w:pPr>
        <w:spacing w:line="360" w:lineRule="exact"/>
        <w:ind w:firstLine="420" w:firstLineChars="200"/>
        <w:rPr>
          <w:rFonts w:hint="eastAsia" w:ascii="宋体" w:hAnsi="宋体" w:cs="宋体"/>
          <w:b w:val="0"/>
          <w:bCs/>
          <w:color w:val="auto"/>
          <w:szCs w:val="21"/>
        </w:rPr>
      </w:pPr>
      <w:r>
        <w:rPr>
          <w:rFonts w:hint="eastAsia" w:ascii="宋体" w:hAnsi="宋体" w:cs="宋体"/>
          <w:b w:val="0"/>
          <w:bCs/>
          <w:color w:val="auto"/>
          <w:szCs w:val="21"/>
        </w:rPr>
        <w:t>(1)本项目的报价方式为折扣率报价，只允许供应商报一个折扣率。例如：报七折，则填写70.00%,采购人不接受任何有选择的报价。</w:t>
      </w:r>
    </w:p>
    <w:p w14:paraId="2D2E2E96">
      <w:pPr>
        <w:spacing w:line="360" w:lineRule="exact"/>
        <w:ind w:firstLine="420" w:firstLineChars="200"/>
        <w:rPr>
          <w:rFonts w:hint="eastAsia" w:ascii="宋体" w:hAnsi="宋体" w:cs="宋体"/>
          <w:b w:val="0"/>
          <w:bCs/>
          <w:color w:val="auto"/>
          <w:szCs w:val="21"/>
        </w:rPr>
      </w:pPr>
      <w:r>
        <w:rPr>
          <w:rFonts w:hint="eastAsia" w:ascii="宋体" w:hAnsi="宋体" w:cs="宋体"/>
          <w:b w:val="0"/>
          <w:bCs/>
          <w:color w:val="auto"/>
          <w:szCs w:val="21"/>
        </w:rPr>
        <w:t>(2) 报价方式：供应商以</w:t>
      </w:r>
      <w:r>
        <w:rPr>
          <w:rFonts w:hint="eastAsia" w:ascii="宋体" w:hAnsi="宋体" w:cs="宋体"/>
          <w:b w:val="0"/>
          <w:bCs/>
          <w:color w:val="auto"/>
          <w:szCs w:val="21"/>
          <w:lang w:val="en-US" w:eastAsia="zh-CN"/>
        </w:rPr>
        <w:t>采购人</w:t>
      </w:r>
      <w:r>
        <w:rPr>
          <w:rFonts w:hint="eastAsia" w:ascii="宋体" w:hAnsi="宋体" w:cs="宋体"/>
          <w:b w:val="0"/>
          <w:bCs/>
          <w:color w:val="auto"/>
          <w:szCs w:val="21"/>
        </w:rPr>
        <w:t>发布的《</w:t>
      </w:r>
      <w:r>
        <w:rPr>
          <w:rFonts w:hint="eastAsia" w:ascii="宋体" w:hAnsi="宋体" w:cs="宋体"/>
          <w:b w:val="0"/>
          <w:bCs/>
          <w:color w:val="auto"/>
          <w:szCs w:val="21"/>
          <w:lang w:val="en-US" w:eastAsia="zh-CN"/>
        </w:rPr>
        <w:t>产品情况</w:t>
      </w:r>
      <w:r>
        <w:rPr>
          <w:rFonts w:hint="eastAsia" w:ascii="宋体" w:hAnsi="宋体" w:cs="宋体"/>
          <w:b w:val="0"/>
          <w:bCs/>
          <w:color w:val="auto"/>
          <w:szCs w:val="21"/>
        </w:rPr>
        <w:t>》</w:t>
      </w:r>
      <w:r>
        <w:rPr>
          <w:rFonts w:hint="eastAsia" w:ascii="宋体" w:hAnsi="宋体" w:cs="宋体"/>
          <w:b w:val="0"/>
          <w:bCs/>
          <w:color w:val="auto"/>
          <w:szCs w:val="21"/>
          <w:lang w:val="en-US" w:eastAsia="zh-CN"/>
        </w:rPr>
        <w:t>中单价限价</w:t>
      </w:r>
      <w:r>
        <w:rPr>
          <w:rFonts w:hint="eastAsia" w:ascii="宋体" w:hAnsi="宋体" w:cs="宋体"/>
          <w:b w:val="0"/>
          <w:bCs/>
          <w:color w:val="auto"/>
          <w:szCs w:val="21"/>
        </w:rPr>
        <w:t>为基准，报出统一的折扣率，该折扣率为所有产品统一的报价折扣率，即所有产品结算时按此折扣率结算。</w:t>
      </w:r>
    </w:p>
    <w:p w14:paraId="429B7109">
      <w:pPr>
        <w:spacing w:line="360" w:lineRule="exact"/>
        <w:ind w:firstLine="420" w:firstLineChars="200"/>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(3)价格</w:t>
      </w:r>
      <w:r>
        <w:rPr>
          <w:rFonts w:hint="eastAsia" w:ascii="宋体" w:hAnsi="宋体" w:eastAsia="宋体" w:cs="宋体"/>
          <w:b w:val="0"/>
          <w:bCs/>
          <w:color w:val="auto"/>
          <w:szCs w:val="21"/>
        </w:rPr>
        <w:t>包含但不限于各种货款、运费、</w:t>
      </w:r>
      <w:r>
        <w:rPr>
          <w:rFonts w:hint="eastAsia" w:ascii="宋体" w:hAnsi="宋体" w:eastAsia="宋体" w:cs="宋体"/>
          <w:b w:val="0"/>
          <w:bCs/>
          <w:color w:val="auto"/>
          <w:szCs w:val="21"/>
          <w:lang w:val="en-US" w:eastAsia="zh-CN"/>
        </w:rPr>
        <w:t>各种</w:t>
      </w:r>
      <w:r>
        <w:rPr>
          <w:rFonts w:hint="eastAsia" w:ascii="宋体" w:hAnsi="宋体" w:eastAsia="宋体" w:cs="宋体"/>
          <w:b w:val="0"/>
          <w:bCs/>
          <w:color w:val="auto"/>
          <w:szCs w:val="21"/>
        </w:rPr>
        <w:t>税费、人工费、</w:t>
      </w:r>
      <w:r>
        <w:rPr>
          <w:rFonts w:hint="eastAsia" w:ascii="宋体" w:hAnsi="宋体" w:eastAsia="宋体" w:cs="宋体"/>
          <w:b w:val="0"/>
          <w:bCs/>
          <w:color w:val="auto"/>
          <w:szCs w:val="21"/>
          <w:lang w:val="en-US" w:eastAsia="zh-CN"/>
        </w:rPr>
        <w:t>资料费、</w:t>
      </w:r>
      <w:r>
        <w:rPr>
          <w:rFonts w:hint="eastAsia" w:ascii="宋体" w:hAnsi="宋体" w:eastAsia="宋体" w:cs="宋体"/>
          <w:b w:val="0"/>
          <w:bCs/>
          <w:color w:val="auto"/>
          <w:szCs w:val="21"/>
        </w:rPr>
        <w:t>售后及可预见和不可预见等完成本</w:t>
      </w:r>
      <w:r>
        <w:rPr>
          <w:rFonts w:hint="eastAsia" w:ascii="宋体" w:hAnsi="宋体" w:eastAsia="宋体" w:cs="宋体"/>
          <w:b w:val="0"/>
          <w:bCs/>
          <w:color w:val="auto"/>
          <w:szCs w:val="21"/>
          <w:lang w:val="en-US" w:eastAsia="zh-CN"/>
        </w:rPr>
        <w:t>服务</w:t>
      </w:r>
      <w:r>
        <w:rPr>
          <w:rFonts w:hint="eastAsia" w:ascii="宋体" w:hAnsi="宋体" w:eastAsia="宋体" w:cs="宋体"/>
          <w:b w:val="0"/>
          <w:bCs/>
          <w:color w:val="auto"/>
          <w:szCs w:val="21"/>
        </w:rPr>
        <w:t>内容所需的全部费用</w:t>
      </w:r>
      <w:r>
        <w:rPr>
          <w:rFonts w:hint="eastAsia" w:ascii="宋体" w:hAnsi="宋体" w:eastAsia="宋体" w:cs="宋体"/>
          <w:b w:val="0"/>
          <w:bCs/>
          <w:color w:val="auto"/>
          <w:szCs w:val="21"/>
          <w:lang w:val="en-US" w:eastAsia="zh-CN"/>
        </w:rPr>
        <w:t>。报价保留到小数点后2位。</w:t>
      </w:r>
    </w:p>
    <w:p w14:paraId="40833651">
      <w:pPr>
        <w:spacing w:line="360" w:lineRule="exact"/>
        <w:ind w:left="420" w:leftChars="200"/>
        <w:rPr>
          <w:rFonts w:hint="eastAsia" w:ascii="宋体" w:hAnsi="宋体" w:cs="宋体"/>
          <w:b/>
          <w:color w:val="auto"/>
          <w:szCs w:val="21"/>
        </w:rPr>
      </w:pPr>
      <w:r>
        <w:rPr>
          <w:rFonts w:hint="eastAsia" w:ascii="宋体" w:hAnsi="宋体" w:cs="宋体"/>
          <w:b/>
          <w:color w:val="auto"/>
          <w:szCs w:val="21"/>
        </w:rPr>
        <w:t>3.其他承诺：</w:t>
      </w:r>
    </w:p>
    <w:p w14:paraId="121AED4D">
      <w:pPr>
        <w:widowControl/>
        <w:spacing w:line="360" w:lineRule="auto"/>
        <w:jc w:val="both"/>
        <w:rPr>
          <w:rFonts w:ascii="宋体" w:hAnsi="宋体"/>
          <w:color w:val="auto"/>
          <w:sz w:val="24"/>
        </w:rPr>
      </w:pPr>
    </w:p>
    <w:p w14:paraId="07B92D22">
      <w:pPr>
        <w:spacing w:line="360" w:lineRule="auto"/>
        <w:ind w:firstLine="5040" w:firstLineChars="2400"/>
        <w:jc w:val="both"/>
        <w:rPr>
          <w:rFonts w:hint="eastAsia" w:ascii="宋体" w:hAnsi="宋体" w:eastAsia="宋体" w:cs="宋体"/>
          <w:b w:val="0"/>
          <w:bCs/>
          <w:color w:val="auto"/>
          <w:szCs w:val="21"/>
        </w:rPr>
      </w:pPr>
      <w:bookmarkStart w:id="255" w:name="_Toc9338"/>
      <w:bookmarkStart w:id="256" w:name="_Toc12712"/>
      <w:r>
        <w:rPr>
          <w:rFonts w:hint="eastAsia" w:ascii="宋体" w:hAnsi="宋体" w:eastAsia="宋体" w:cs="宋体"/>
          <w:b w:val="0"/>
          <w:bCs/>
          <w:color w:val="auto"/>
          <w:szCs w:val="21"/>
        </w:rPr>
        <w:t>供应商名称（公章）：</w:t>
      </w:r>
      <w:bookmarkEnd w:id="255"/>
      <w:bookmarkEnd w:id="256"/>
    </w:p>
    <w:p w14:paraId="7AD38F42">
      <w:pPr>
        <w:spacing w:line="360" w:lineRule="auto"/>
        <w:ind w:firstLine="3780" w:firstLineChars="1800"/>
        <w:jc w:val="both"/>
        <w:rPr>
          <w:rFonts w:hint="eastAsia" w:ascii="宋体" w:hAnsi="宋体" w:eastAsia="宋体" w:cs="宋体"/>
          <w:b w:val="0"/>
          <w:bCs/>
          <w:color w:val="auto"/>
          <w:szCs w:val="21"/>
        </w:rPr>
      </w:pPr>
      <w:bookmarkStart w:id="257" w:name="_Toc4950"/>
      <w:bookmarkStart w:id="258" w:name="_Toc22414"/>
      <w:r>
        <w:rPr>
          <w:rFonts w:hint="eastAsia" w:ascii="宋体" w:hAnsi="宋体" w:eastAsia="宋体" w:cs="宋体"/>
          <w:b w:val="0"/>
          <w:bCs/>
          <w:color w:val="auto"/>
          <w:szCs w:val="21"/>
        </w:rPr>
        <w:t>供应商法定代表人或授权代表签名：</w:t>
      </w:r>
      <w:bookmarkEnd w:id="257"/>
      <w:bookmarkEnd w:id="258"/>
      <w:r>
        <w:rPr>
          <w:rFonts w:hint="eastAsia" w:ascii="宋体" w:hAnsi="宋体" w:eastAsia="宋体" w:cs="宋体"/>
          <w:b w:val="0"/>
          <w:bCs/>
          <w:color w:val="auto"/>
          <w:szCs w:val="21"/>
        </w:rPr>
        <w:t xml:space="preserve">           </w:t>
      </w:r>
    </w:p>
    <w:p w14:paraId="3CDEB9DE">
      <w:pPr>
        <w:tabs>
          <w:tab w:val="center" w:pos="5029"/>
          <w:tab w:val="right" w:pos="9218"/>
        </w:tabs>
        <w:spacing w:line="360" w:lineRule="auto"/>
        <w:ind w:firstLine="420" w:firstLineChars="200"/>
        <w:jc w:val="left"/>
        <w:rPr>
          <w:rFonts w:hint="eastAsia" w:ascii="宋体" w:hAnsi="宋体" w:eastAsia="宋体"/>
          <w:b/>
          <w:bCs/>
          <w:color w:val="auto"/>
          <w:sz w:val="28"/>
          <w:szCs w:val="28"/>
          <w:highlight w:val="none"/>
        </w:rPr>
      </w:pPr>
      <w:bookmarkStart w:id="259" w:name="_Toc9855"/>
      <w:bookmarkStart w:id="260" w:name="_Toc7865"/>
      <w:r>
        <w:rPr>
          <w:rFonts w:hint="eastAsia" w:ascii="宋体" w:hAnsi="宋体" w:eastAsia="宋体" w:cs="宋体"/>
          <w:b w:val="0"/>
          <w:bCs/>
          <w:color w:val="auto"/>
          <w:szCs w:val="21"/>
          <w:lang w:val="en-US" w:eastAsia="zh-CN"/>
        </w:rPr>
        <w:tab/>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日  期：    年    月     日</w:t>
      </w:r>
      <w:bookmarkEnd w:id="259"/>
      <w:bookmarkEnd w:id="260"/>
      <w:bookmarkStart w:id="261" w:name="_Toc6419"/>
    </w:p>
    <w:p w14:paraId="5722920C">
      <w:pPr>
        <w:spacing w:line="360" w:lineRule="auto"/>
        <w:jc w:val="center"/>
        <w:outlineLvl w:val="0"/>
        <w:rPr>
          <w:rFonts w:hint="eastAsia" w:ascii="宋体" w:hAnsi="宋体" w:eastAsia="宋体"/>
          <w:b/>
          <w:bCs/>
          <w:color w:val="auto"/>
          <w:sz w:val="28"/>
          <w:szCs w:val="28"/>
          <w:highlight w:val="none"/>
        </w:rPr>
      </w:pPr>
      <w:bookmarkStart w:id="262" w:name="_Toc31972"/>
      <w:r>
        <w:rPr>
          <w:rFonts w:hint="eastAsia" w:ascii="宋体" w:hAnsi="宋体" w:eastAsia="宋体"/>
          <w:b/>
          <w:bCs/>
          <w:color w:val="auto"/>
          <w:sz w:val="28"/>
          <w:szCs w:val="28"/>
          <w:highlight w:val="none"/>
        </w:rPr>
        <w:t>分项报价表</w:t>
      </w:r>
      <w:bookmarkEnd w:id="261"/>
      <w:bookmarkEnd w:id="262"/>
    </w:p>
    <w:tbl>
      <w:tblPr>
        <w:tblStyle w:val="17"/>
        <w:tblW w:w="11042" w:type="dxa"/>
        <w:jc w:val="center"/>
        <w:tblLayout w:type="fixed"/>
        <w:tblCellMar>
          <w:top w:w="0" w:type="dxa"/>
          <w:left w:w="108" w:type="dxa"/>
          <w:bottom w:w="0" w:type="dxa"/>
          <w:right w:w="108" w:type="dxa"/>
        </w:tblCellMar>
      </w:tblPr>
      <w:tblGrid>
        <w:gridCol w:w="600"/>
        <w:gridCol w:w="957"/>
        <w:gridCol w:w="641"/>
        <w:gridCol w:w="1662"/>
        <w:gridCol w:w="2863"/>
        <w:gridCol w:w="655"/>
        <w:gridCol w:w="1443"/>
        <w:gridCol w:w="1446"/>
        <w:gridCol w:w="775"/>
      </w:tblGrid>
      <w:tr w14:paraId="04D48B71">
        <w:tblPrEx>
          <w:tblCellMar>
            <w:top w:w="0" w:type="dxa"/>
            <w:left w:w="108" w:type="dxa"/>
            <w:bottom w:w="0" w:type="dxa"/>
            <w:right w:w="108" w:type="dxa"/>
          </w:tblCellMar>
        </w:tblPrEx>
        <w:trPr>
          <w:trHeight w:val="570" w:hRule="atLeast"/>
          <w:tblHeader/>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98D33B2">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69A9D2A">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菌群移植配套产品</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9BE9342">
            <w:pPr>
              <w:widowControl/>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剂型</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22F9D21C">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规格型号</w:t>
            </w:r>
          </w:p>
          <w:p w14:paraId="13A41AD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（采购人</w:t>
            </w:r>
            <w:r>
              <w:rPr>
                <w:rFonts w:hint="eastAsia" w:ascii="宋体" w:hAnsi="宋体" w:eastAsia="宋体" w:cs="宋体"/>
                <w:b/>
                <w:bCs/>
                <w:color w:val="auto"/>
                <w:kern w:val="0"/>
                <w:sz w:val="21"/>
                <w:szCs w:val="21"/>
                <w:highlight w:val="none"/>
                <w:lang w:val="en-US" w:eastAsia="zh-CN" w:bidi="ar"/>
              </w:rPr>
              <w:t>技术参数</w:t>
            </w:r>
            <w:r>
              <w:rPr>
                <w:rFonts w:hint="eastAsia" w:ascii="宋体" w:hAnsi="宋体" w:eastAsia="宋体" w:cs="宋体"/>
                <w:b/>
                <w:bCs/>
                <w:color w:val="auto"/>
                <w:kern w:val="0"/>
                <w:sz w:val="21"/>
                <w:szCs w:val="21"/>
                <w:highlight w:val="none"/>
                <w:lang w:bidi="ar"/>
              </w:rPr>
              <w:t>需求）</w:t>
            </w:r>
          </w:p>
        </w:tc>
        <w:tc>
          <w:tcPr>
            <w:tcW w:w="2863" w:type="dxa"/>
            <w:tcBorders>
              <w:top w:val="single" w:color="000000" w:sz="4" w:space="0"/>
              <w:left w:val="single" w:color="000000" w:sz="4" w:space="0"/>
              <w:bottom w:val="single" w:color="000000" w:sz="4" w:space="0"/>
              <w:right w:val="single" w:color="000000" w:sz="4" w:space="0"/>
            </w:tcBorders>
          </w:tcPr>
          <w:p w14:paraId="141CF35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品牌、规格型号</w:t>
            </w:r>
          </w:p>
          <w:p w14:paraId="00706B07">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（供应商按实际所投产品具体情况，填写品牌和</w:t>
            </w:r>
            <w:r>
              <w:rPr>
                <w:rFonts w:hint="eastAsia" w:ascii="宋体" w:hAnsi="宋体" w:eastAsia="宋体" w:cs="宋体"/>
                <w:b/>
                <w:bCs/>
                <w:color w:val="auto"/>
                <w:kern w:val="0"/>
                <w:sz w:val="21"/>
                <w:szCs w:val="21"/>
                <w:highlight w:val="none"/>
                <w:lang w:val="en-US" w:eastAsia="zh-CN" w:bidi="ar"/>
              </w:rPr>
              <w:t>技术参数</w:t>
            </w:r>
            <w:r>
              <w:rPr>
                <w:rFonts w:hint="eastAsia" w:ascii="宋体" w:hAnsi="宋体" w:eastAsia="宋体" w:cs="宋体"/>
                <w:b/>
                <w:bCs/>
                <w:color w:val="auto"/>
                <w:kern w:val="0"/>
                <w:sz w:val="21"/>
                <w:szCs w:val="21"/>
                <w:highlight w:val="none"/>
                <w:lang w:bidi="ar"/>
              </w:rPr>
              <w:t>）</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D3CE0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98D45FB">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采购人</w:t>
            </w:r>
          </w:p>
          <w:p w14:paraId="2ED0E18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单价限价（元）</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05A0441C">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供应商</w:t>
            </w:r>
          </w:p>
          <w:p w14:paraId="59AF98A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单价报价（元）</w:t>
            </w:r>
          </w:p>
        </w:tc>
        <w:tc>
          <w:tcPr>
            <w:tcW w:w="775" w:type="dxa"/>
            <w:tcBorders>
              <w:top w:val="single" w:color="000000" w:sz="4" w:space="0"/>
              <w:left w:val="single" w:color="000000" w:sz="4" w:space="0"/>
              <w:bottom w:val="single" w:color="000000" w:sz="4" w:space="0"/>
              <w:right w:val="single" w:color="000000" w:sz="4" w:space="0"/>
            </w:tcBorders>
            <w:vAlign w:val="center"/>
          </w:tcPr>
          <w:p w14:paraId="6FEC1CE5">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备注</w:t>
            </w:r>
          </w:p>
        </w:tc>
      </w:tr>
      <w:tr w14:paraId="5367935E">
        <w:tblPrEx>
          <w:tblCellMar>
            <w:top w:w="0" w:type="dxa"/>
            <w:left w:w="108" w:type="dxa"/>
            <w:bottom w:w="0" w:type="dxa"/>
            <w:right w:w="108" w:type="dxa"/>
          </w:tblCellMar>
        </w:tblPrEx>
        <w:trPr>
          <w:trHeight w:val="57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1D570328">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BD63E54">
            <w:pPr>
              <w:widowControl/>
              <w:jc w:val="center"/>
              <w:textAlignment w:val="center"/>
              <w:rPr>
                <w:rFonts w:hint="eastAsia" w:ascii="宋体" w:hAnsi="宋体" w:eastAsia="宋体" w:cs="宋体"/>
                <w:color w:val="auto"/>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4E49827">
            <w:pPr>
              <w:widowControl/>
              <w:jc w:val="center"/>
              <w:textAlignment w:val="center"/>
              <w:rPr>
                <w:rFonts w:hint="eastAsia" w:ascii="宋体" w:hAnsi="宋体" w:eastAsia="宋体" w:cs="宋体"/>
                <w:color w:val="auto"/>
                <w:sz w:val="21"/>
                <w:szCs w:val="21"/>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72352593">
            <w:pPr>
              <w:widowControl/>
              <w:jc w:val="center"/>
              <w:textAlignment w:val="center"/>
              <w:rPr>
                <w:rFonts w:hint="eastAsia" w:ascii="宋体" w:hAnsi="宋体" w:eastAsia="宋体" w:cs="宋体"/>
                <w:color w:val="auto"/>
                <w:sz w:val="21"/>
                <w:szCs w:val="21"/>
                <w:lang w:val="en-US" w:eastAsia="zh-CN"/>
              </w:rPr>
            </w:pPr>
          </w:p>
        </w:tc>
        <w:tc>
          <w:tcPr>
            <w:tcW w:w="2863" w:type="dxa"/>
            <w:tcBorders>
              <w:top w:val="single" w:color="000000" w:sz="4" w:space="0"/>
              <w:left w:val="single" w:color="000000" w:sz="4" w:space="0"/>
              <w:bottom w:val="single" w:color="000000" w:sz="4" w:space="0"/>
              <w:right w:val="single" w:color="000000" w:sz="4" w:space="0"/>
            </w:tcBorders>
          </w:tcPr>
          <w:p w14:paraId="2BE31261">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品牌：</w:t>
            </w:r>
          </w:p>
          <w:p w14:paraId="223FF875">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规格型号：</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9DEE86">
            <w:pPr>
              <w:widowControl/>
              <w:jc w:val="center"/>
              <w:textAlignment w:val="center"/>
              <w:rPr>
                <w:rFonts w:hint="eastAsia" w:ascii="宋体" w:hAnsi="宋体" w:eastAsia="宋体" w:cs="宋体"/>
                <w:color w:val="auto"/>
                <w:sz w:val="21"/>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4AF5EB50">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46A407B8">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1F546F76">
            <w:pPr>
              <w:widowControl/>
              <w:jc w:val="center"/>
              <w:textAlignment w:val="center"/>
              <w:rPr>
                <w:rFonts w:hint="eastAsia" w:ascii="宋体" w:hAnsi="宋体" w:eastAsia="宋体" w:cs="宋体"/>
                <w:color w:val="auto"/>
                <w:kern w:val="0"/>
                <w:sz w:val="21"/>
                <w:szCs w:val="21"/>
                <w:lang w:bidi="ar"/>
              </w:rPr>
            </w:pPr>
          </w:p>
        </w:tc>
      </w:tr>
      <w:tr w14:paraId="11694637">
        <w:tblPrEx>
          <w:tblCellMar>
            <w:top w:w="0" w:type="dxa"/>
            <w:left w:w="108" w:type="dxa"/>
            <w:bottom w:w="0" w:type="dxa"/>
            <w:right w:w="108" w:type="dxa"/>
          </w:tblCellMar>
        </w:tblPrEx>
        <w:trPr>
          <w:trHeight w:val="57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B233025">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A5EB4EC">
            <w:pPr>
              <w:widowControl/>
              <w:jc w:val="center"/>
              <w:textAlignment w:val="center"/>
              <w:rPr>
                <w:rFonts w:hint="eastAsia" w:ascii="宋体" w:hAnsi="宋体" w:eastAsia="宋体" w:cs="宋体"/>
                <w:color w:val="auto"/>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22823B04">
            <w:pPr>
              <w:widowControl/>
              <w:jc w:val="center"/>
              <w:textAlignment w:val="center"/>
              <w:rPr>
                <w:rFonts w:hint="eastAsia" w:ascii="宋体" w:hAnsi="宋体" w:eastAsia="宋体" w:cs="宋体"/>
                <w:color w:val="auto"/>
                <w:sz w:val="21"/>
                <w:szCs w:val="21"/>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6B33E0C0">
            <w:pPr>
              <w:widowControl/>
              <w:jc w:val="center"/>
              <w:textAlignment w:val="center"/>
              <w:rPr>
                <w:rFonts w:hint="eastAsia" w:ascii="宋体" w:hAnsi="宋体" w:eastAsia="宋体" w:cs="宋体"/>
                <w:color w:val="auto"/>
                <w:sz w:val="21"/>
                <w:szCs w:val="21"/>
                <w:lang w:val="en-US" w:eastAsia="zh-CN"/>
              </w:rPr>
            </w:pPr>
          </w:p>
        </w:tc>
        <w:tc>
          <w:tcPr>
            <w:tcW w:w="2863" w:type="dxa"/>
            <w:tcBorders>
              <w:top w:val="single" w:color="000000" w:sz="4" w:space="0"/>
              <w:left w:val="single" w:color="000000" w:sz="4" w:space="0"/>
              <w:bottom w:val="single" w:color="000000" w:sz="4" w:space="0"/>
              <w:right w:val="single" w:color="000000" w:sz="4" w:space="0"/>
            </w:tcBorders>
          </w:tcPr>
          <w:p w14:paraId="1ABD1EF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品牌：</w:t>
            </w:r>
          </w:p>
          <w:p w14:paraId="3E4C6CC3">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规格型号</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0582272">
            <w:pPr>
              <w:widowControl/>
              <w:jc w:val="center"/>
              <w:textAlignment w:val="center"/>
              <w:rPr>
                <w:rFonts w:hint="eastAsia" w:ascii="宋体" w:hAnsi="宋体" w:eastAsia="宋体" w:cs="宋体"/>
                <w:color w:val="auto"/>
                <w:sz w:val="21"/>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12C672D6">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7A98F2D7">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1548255C">
            <w:pPr>
              <w:widowControl/>
              <w:jc w:val="center"/>
              <w:textAlignment w:val="center"/>
              <w:rPr>
                <w:rFonts w:hint="eastAsia" w:ascii="宋体" w:hAnsi="宋体" w:eastAsia="宋体" w:cs="宋体"/>
                <w:color w:val="auto"/>
                <w:kern w:val="0"/>
                <w:sz w:val="21"/>
                <w:szCs w:val="21"/>
                <w:lang w:bidi="ar"/>
              </w:rPr>
            </w:pPr>
          </w:p>
        </w:tc>
      </w:tr>
      <w:tr w14:paraId="4EE8139B">
        <w:tblPrEx>
          <w:tblCellMar>
            <w:top w:w="0" w:type="dxa"/>
            <w:left w:w="108" w:type="dxa"/>
            <w:bottom w:w="0" w:type="dxa"/>
            <w:right w:w="108" w:type="dxa"/>
          </w:tblCellMar>
        </w:tblPrEx>
        <w:trPr>
          <w:trHeight w:val="57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47DA82">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2B3732F">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264C5AEE">
            <w:pPr>
              <w:widowControl/>
              <w:jc w:val="center"/>
              <w:textAlignment w:val="center"/>
              <w:rPr>
                <w:rFonts w:hint="eastAsia" w:ascii="宋体" w:hAnsi="宋体" w:eastAsia="宋体" w:cs="宋体"/>
                <w:color w:val="auto"/>
                <w:sz w:val="21"/>
                <w:szCs w:val="21"/>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55474A3E">
            <w:pPr>
              <w:widowControl/>
              <w:jc w:val="center"/>
              <w:textAlignment w:val="center"/>
              <w:rPr>
                <w:rFonts w:hint="eastAsia" w:ascii="宋体" w:hAnsi="宋体" w:eastAsia="宋体" w:cs="宋体"/>
                <w:color w:val="auto"/>
                <w:sz w:val="21"/>
                <w:szCs w:val="21"/>
                <w:lang w:val="en-US" w:eastAsia="zh-CN"/>
              </w:rPr>
            </w:pPr>
          </w:p>
        </w:tc>
        <w:tc>
          <w:tcPr>
            <w:tcW w:w="2863" w:type="dxa"/>
            <w:tcBorders>
              <w:top w:val="single" w:color="000000" w:sz="4" w:space="0"/>
              <w:left w:val="single" w:color="000000" w:sz="4" w:space="0"/>
              <w:bottom w:val="single" w:color="000000" w:sz="4" w:space="0"/>
              <w:right w:val="single" w:color="000000" w:sz="4" w:space="0"/>
            </w:tcBorders>
          </w:tcPr>
          <w:p w14:paraId="6D20C29F">
            <w:pPr>
              <w:widowControl/>
              <w:jc w:val="left"/>
              <w:textAlignment w:val="center"/>
              <w:rPr>
                <w:rFonts w:hint="eastAsia" w:ascii="宋体" w:hAnsi="宋体" w:eastAsia="宋体" w:cs="宋体"/>
                <w:color w:val="auto"/>
                <w:kern w:val="0"/>
                <w:sz w:val="21"/>
                <w:szCs w:val="21"/>
                <w:lang w:val="en-US" w:eastAsia="zh-CN" w:bidi="ar"/>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6DC467">
            <w:pPr>
              <w:widowControl/>
              <w:jc w:val="center"/>
              <w:textAlignment w:val="center"/>
              <w:rPr>
                <w:rFonts w:hint="eastAsia" w:ascii="宋体" w:hAnsi="宋体" w:eastAsia="宋体" w:cs="宋体"/>
                <w:color w:val="auto"/>
                <w:sz w:val="21"/>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2B2B5BB6">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4D44E7C0">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577F987D">
            <w:pPr>
              <w:widowControl/>
              <w:jc w:val="center"/>
              <w:textAlignment w:val="center"/>
              <w:rPr>
                <w:rFonts w:hint="eastAsia" w:ascii="宋体" w:hAnsi="宋体" w:eastAsia="宋体" w:cs="宋体"/>
                <w:color w:val="auto"/>
                <w:kern w:val="0"/>
                <w:sz w:val="21"/>
                <w:szCs w:val="21"/>
                <w:lang w:bidi="ar"/>
              </w:rPr>
            </w:pPr>
          </w:p>
        </w:tc>
      </w:tr>
      <w:tr w14:paraId="48C79960">
        <w:tblPrEx>
          <w:tblCellMar>
            <w:top w:w="0" w:type="dxa"/>
            <w:left w:w="108" w:type="dxa"/>
            <w:bottom w:w="0" w:type="dxa"/>
            <w:right w:w="108" w:type="dxa"/>
          </w:tblCellMar>
        </w:tblPrEx>
        <w:trPr>
          <w:trHeight w:val="570" w:hRule="atLeast"/>
          <w:jc w:val="center"/>
        </w:trPr>
        <w:tc>
          <w:tcPr>
            <w:tcW w:w="7378" w:type="dxa"/>
            <w:gridSpan w:val="6"/>
            <w:tcBorders>
              <w:top w:val="single" w:color="000000" w:sz="4" w:space="0"/>
              <w:left w:val="single" w:color="000000" w:sz="4" w:space="0"/>
              <w:bottom w:val="single" w:color="000000" w:sz="4" w:space="0"/>
              <w:right w:val="single" w:color="000000" w:sz="4" w:space="0"/>
            </w:tcBorders>
            <w:noWrap/>
            <w:vAlign w:val="center"/>
          </w:tcPr>
          <w:p w14:paraId="07A26422">
            <w:pPr>
              <w:widowControl/>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合计（元）</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280E23CD">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01ACED90">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20E3F375">
            <w:pPr>
              <w:widowControl/>
              <w:jc w:val="center"/>
              <w:textAlignment w:val="center"/>
              <w:rPr>
                <w:rFonts w:hint="eastAsia" w:ascii="宋体" w:hAnsi="宋体" w:eastAsia="宋体" w:cs="宋体"/>
                <w:color w:val="auto"/>
                <w:kern w:val="0"/>
                <w:sz w:val="21"/>
                <w:szCs w:val="21"/>
                <w:lang w:bidi="ar"/>
              </w:rPr>
            </w:pPr>
          </w:p>
        </w:tc>
      </w:tr>
    </w:tbl>
    <w:p w14:paraId="6A68670E">
      <w:pPr>
        <w:spacing w:line="360" w:lineRule="auto"/>
        <w:ind w:firstLine="5040" w:firstLineChars="2400"/>
        <w:jc w:val="both"/>
        <w:rPr>
          <w:rFonts w:hint="eastAsia" w:ascii="宋体" w:hAnsi="宋体" w:eastAsia="宋体" w:cs="宋体"/>
          <w:b w:val="0"/>
          <w:bCs/>
          <w:color w:val="auto"/>
          <w:szCs w:val="21"/>
        </w:rPr>
      </w:pPr>
      <w:r>
        <w:rPr>
          <w:rFonts w:hint="eastAsia" w:ascii="宋体" w:hAnsi="宋体" w:eastAsia="宋体" w:cs="宋体"/>
          <w:b w:val="0"/>
          <w:bCs/>
          <w:color w:val="auto"/>
          <w:szCs w:val="21"/>
        </w:rPr>
        <w:t>供应商名称（公章）：</w:t>
      </w:r>
    </w:p>
    <w:p w14:paraId="062D604A">
      <w:pPr>
        <w:spacing w:line="360" w:lineRule="auto"/>
        <w:ind w:firstLine="3780" w:firstLineChars="1800"/>
        <w:jc w:val="both"/>
        <w:rPr>
          <w:rFonts w:hint="eastAsia" w:ascii="宋体" w:hAnsi="宋体" w:eastAsia="宋体" w:cs="宋体"/>
          <w:b w:val="0"/>
          <w:bCs/>
          <w:color w:val="auto"/>
          <w:szCs w:val="21"/>
        </w:rPr>
      </w:pPr>
      <w:r>
        <w:rPr>
          <w:rFonts w:hint="eastAsia" w:ascii="宋体" w:hAnsi="宋体" w:eastAsia="宋体" w:cs="宋体"/>
          <w:b w:val="0"/>
          <w:bCs/>
          <w:color w:val="auto"/>
          <w:szCs w:val="21"/>
        </w:rPr>
        <w:t xml:space="preserve">供应商法定代表人或授权代表签名：           </w:t>
      </w:r>
    </w:p>
    <w:p w14:paraId="0ED407F3">
      <w:pPr>
        <w:tabs>
          <w:tab w:val="center" w:pos="5029"/>
          <w:tab w:val="right" w:pos="9218"/>
        </w:tabs>
        <w:spacing w:line="360" w:lineRule="auto"/>
        <w:ind w:firstLine="420" w:firstLineChars="200"/>
        <w:jc w:val="left"/>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ab/>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日  期：    年    月     日</w:t>
      </w:r>
    </w:p>
    <w:p w14:paraId="3D239A41">
      <w:pPr>
        <w:tabs>
          <w:tab w:val="center" w:pos="5029"/>
          <w:tab w:val="right" w:pos="9218"/>
        </w:tabs>
        <w:spacing w:line="360" w:lineRule="auto"/>
        <w:ind w:firstLine="420" w:firstLineChars="200"/>
        <w:jc w:val="left"/>
        <w:rPr>
          <w:rFonts w:hint="eastAsia" w:ascii="宋体" w:hAnsi="宋体" w:eastAsia="宋体" w:cs="宋体"/>
          <w:b w:val="0"/>
          <w:bCs/>
          <w:color w:val="auto"/>
          <w:szCs w:val="21"/>
          <w:lang w:eastAsia="zh-CN"/>
        </w:rPr>
        <w:sectPr>
          <w:headerReference r:id="rId10" w:type="default"/>
          <w:pgSz w:w="11906" w:h="16838"/>
          <w:pgMar w:top="1440" w:right="1134" w:bottom="1440" w:left="1134" w:header="851" w:footer="992" w:gutter="0"/>
          <w:pgNumType w:fmt="decimal"/>
          <w:cols w:space="720" w:num="1"/>
          <w:docGrid w:linePitch="312" w:charSpace="0"/>
        </w:sectPr>
      </w:pPr>
    </w:p>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0F072A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rPr>
        <w:t>一、</w:t>
      </w:r>
      <w:bookmarkStart w:id="263" w:name="_Toc62226531"/>
      <w:bookmarkStart w:id="264" w:name="_Toc22953"/>
      <w:bookmarkStart w:id="265" w:name="_Toc18142"/>
      <w:r>
        <w:rPr>
          <w:rFonts w:hint="eastAsia"/>
          <w:b/>
          <w:bCs/>
          <w:color w:val="auto"/>
          <w:sz w:val="18"/>
          <w:szCs w:val="18"/>
          <w:highlight w:val="none"/>
        </w:rPr>
        <w:t>项目预算及报价要求</w:t>
      </w:r>
      <w:r>
        <w:rPr>
          <w:rFonts w:hint="eastAsia" w:hAnsi="宋体"/>
          <w:b/>
          <w:color w:val="auto"/>
          <w:sz w:val="18"/>
          <w:szCs w:val="18"/>
          <w:highlight w:val="none"/>
        </w:rPr>
        <w:t>条款</w:t>
      </w:r>
      <w:bookmarkEnd w:id="263"/>
      <w:bookmarkEnd w:id="264"/>
      <w:r>
        <w:rPr>
          <w:rFonts w:hint="eastAsia" w:hAnsi="宋体"/>
          <w:b/>
          <w:color w:val="auto"/>
          <w:sz w:val="18"/>
          <w:szCs w:val="18"/>
          <w:highlight w:val="none"/>
        </w:rPr>
        <w:t>响应表</w:t>
      </w:r>
      <w:bookmarkEnd w:id="265"/>
    </w:p>
    <w:tbl>
      <w:tblPr>
        <w:tblStyle w:val="17"/>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eastAsia="zh-CN"/>
        </w:rPr>
        <w:t>二、</w:t>
      </w:r>
      <w:r>
        <w:rPr>
          <w:rFonts w:hint="eastAsia" w:hAnsi="宋体" w:eastAsia="宋体"/>
          <w:b/>
          <w:color w:val="auto"/>
          <w:sz w:val="18"/>
          <w:szCs w:val="18"/>
          <w:highlight w:val="none"/>
        </w:rPr>
        <w:t>服务期限</w:t>
      </w:r>
      <w:r>
        <w:rPr>
          <w:rFonts w:hint="eastAsia" w:hAnsi="宋体" w:eastAsia="宋体"/>
          <w:b/>
          <w:color w:val="auto"/>
          <w:sz w:val="18"/>
          <w:szCs w:val="18"/>
          <w:highlight w:val="none"/>
          <w:lang w:val="en-US" w:eastAsia="zh-CN"/>
        </w:rPr>
        <w:t>条款</w:t>
      </w:r>
      <w:r>
        <w:rPr>
          <w:rFonts w:hint="eastAsia" w:hAnsi="宋体"/>
          <w:b/>
          <w:color w:val="auto"/>
          <w:sz w:val="18"/>
          <w:szCs w:val="18"/>
          <w:highlight w:val="none"/>
        </w:rPr>
        <w:t>响应表</w:t>
      </w:r>
    </w:p>
    <w:tbl>
      <w:tblPr>
        <w:tblStyle w:val="17"/>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eastAsia="zh-CN"/>
        </w:rPr>
        <w:t>三</w:t>
      </w:r>
      <w:r>
        <w:rPr>
          <w:rFonts w:hint="eastAsia"/>
          <w:b/>
          <w:bCs/>
          <w:color w:val="auto"/>
          <w:sz w:val="18"/>
          <w:szCs w:val="18"/>
          <w:highlight w:val="none"/>
        </w:rPr>
        <w:t>、</w:t>
      </w:r>
      <w:r>
        <w:rPr>
          <w:rFonts w:hint="eastAsia" w:ascii="宋体" w:hAnsi="宋体" w:cs="宋体"/>
          <w:b/>
          <w:bCs/>
          <w:color w:val="auto"/>
          <w:sz w:val="18"/>
          <w:szCs w:val="18"/>
          <w:highlight w:val="none"/>
          <w:lang w:val="en-US" w:eastAsia="zh-CN"/>
        </w:rPr>
        <w:t>技术要求条款响应表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四、</w:t>
      </w:r>
      <w:r>
        <w:rPr>
          <w:rFonts w:hint="eastAsia" w:hAnsi="宋体" w:cs="Times New Roman"/>
          <w:b/>
          <w:color w:val="auto"/>
          <w:sz w:val="18"/>
          <w:szCs w:val="18"/>
          <w:highlight w:val="none"/>
          <w:lang w:val="en-US" w:eastAsia="zh-CN"/>
        </w:rPr>
        <w:t>商务要求</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B55148">
      <w:pPr>
        <w:pStyle w:val="24"/>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6BBAE580">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b/>
          <w:color w:val="auto"/>
          <w:sz w:val="18"/>
          <w:szCs w:val="18"/>
          <w:highlight w:val="none"/>
          <w:lang w:val="en-US" w:eastAsia="zh-CN"/>
        </w:rPr>
        <w:t>五</w:t>
      </w:r>
      <w:r>
        <w:rPr>
          <w:rFonts w:hint="eastAsia" w:ascii="宋体" w:hAnsi="宋体"/>
          <w:b/>
          <w:color w:val="auto"/>
          <w:sz w:val="18"/>
          <w:szCs w:val="18"/>
          <w:highlight w:val="none"/>
        </w:rPr>
        <w:t>、</w:t>
      </w:r>
      <w:r>
        <w:rPr>
          <w:rFonts w:hint="eastAsia" w:hAnsi="宋体" w:cs="Times New Roman"/>
          <w:b/>
          <w:color w:val="auto"/>
          <w:sz w:val="18"/>
          <w:szCs w:val="18"/>
          <w:highlight w:val="none"/>
          <w:lang w:val="en-US" w:eastAsia="zh-CN"/>
        </w:rPr>
        <w:t>考核标准</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F08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3343E8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173762A">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01075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4D35960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68A2AD4">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1A86C2A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7B5176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8194B2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593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D61657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EF3D0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9BCF3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74A9795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17B6C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EEE87B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1A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7C19BD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E00C1D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99729D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57628AF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451C7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78610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C73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B29640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8F05FF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FF3F4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7A73C93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23588B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1BEC69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727BFFE">
      <w:pPr>
        <w:pStyle w:val="24"/>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259A9E66">
      <w:pPr>
        <w:pStyle w:val="24"/>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b/>
          <w:color w:val="auto"/>
          <w:sz w:val="18"/>
          <w:szCs w:val="18"/>
          <w:highlight w:val="none"/>
          <w:lang w:val="en-US" w:eastAsia="zh-CN"/>
        </w:rPr>
        <w:t>六、</w:t>
      </w:r>
      <w:r>
        <w:rPr>
          <w:rFonts w:hint="eastAsia" w:ascii="宋体" w:hAnsi="宋体"/>
          <w:b/>
          <w:color w:val="auto"/>
          <w:sz w:val="18"/>
          <w:szCs w:val="18"/>
          <w:highlight w:val="none"/>
        </w:rPr>
        <w:t>合同条款</w:t>
      </w:r>
      <w:r>
        <w:rPr>
          <w:rFonts w:hint="eastAsia" w:hAnsi="宋体"/>
          <w:b/>
          <w:color w:val="auto"/>
          <w:sz w:val="18"/>
          <w:szCs w:val="18"/>
          <w:highlight w:val="none"/>
        </w:rPr>
        <w:t>响应表</w:t>
      </w: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37C399D1">
      <w:pPr>
        <w:pStyle w:val="2"/>
        <w:widowControl/>
        <w:numPr>
          <w:ilvl w:val="0"/>
          <w:numId w:val="0"/>
        </w:numPr>
        <w:spacing w:before="100" w:beforeAutospacing="1" w:after="100" w:afterAutospacing="1"/>
        <w:jc w:val="left"/>
        <w:outlineLvl w:val="9"/>
        <w:rPr>
          <w:rFonts w:hint="eastAsia"/>
          <w:color w:val="auto"/>
          <w:highlight w:val="none"/>
          <w:lang w:eastAsia="zh-CN"/>
        </w:rPr>
      </w:pPr>
    </w:p>
    <w:p w14:paraId="764AEEF3">
      <w:pPr>
        <w:pStyle w:val="27"/>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266" w:name="_Toc15747"/>
      <w:bookmarkStart w:id="267" w:name="_Toc29687"/>
      <w:bookmarkStart w:id="268" w:name="_Toc18653"/>
      <w:bookmarkStart w:id="269" w:name="_Toc15272"/>
      <w:bookmarkStart w:id="270" w:name="_Toc12562"/>
      <w:bookmarkStart w:id="271" w:name="_Toc6214"/>
      <w:bookmarkStart w:id="272" w:name="_Toc28851"/>
      <w:bookmarkStart w:id="273" w:name="_Toc21213"/>
      <w:bookmarkStart w:id="274" w:name="_Toc31077"/>
      <w:bookmarkStart w:id="275" w:name="_Toc31674"/>
      <w:bookmarkStart w:id="276" w:name="_Toc21561"/>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266"/>
      <w:bookmarkEnd w:id="267"/>
      <w:bookmarkEnd w:id="268"/>
      <w:bookmarkEnd w:id="269"/>
      <w:bookmarkEnd w:id="270"/>
    </w:p>
    <w:bookmarkEnd w:id="271"/>
    <w:bookmarkEnd w:id="272"/>
    <w:bookmarkEnd w:id="273"/>
    <w:bookmarkEnd w:id="274"/>
    <w:p w14:paraId="02155A84">
      <w:pPr>
        <w:pStyle w:val="27"/>
        <w:tabs>
          <w:tab w:val="left" w:pos="1050"/>
          <w:tab w:val="center" w:pos="4535"/>
        </w:tabs>
        <w:spacing w:line="360" w:lineRule="auto"/>
        <w:jc w:val="center"/>
        <w:outlineLvl w:val="9"/>
        <w:rPr>
          <w:rFonts w:hint="eastAsia"/>
          <w:b/>
          <w:bCs/>
          <w:color w:val="auto"/>
          <w:sz w:val="32"/>
          <w:szCs w:val="32"/>
          <w:highlight w:val="none"/>
        </w:rPr>
      </w:pPr>
      <w:bookmarkStart w:id="277" w:name="_Toc19528"/>
      <w:bookmarkStart w:id="278" w:name="_Toc31787"/>
      <w:bookmarkStart w:id="279" w:name="_Toc23684"/>
      <w:bookmarkStart w:id="280" w:name="_Toc23685"/>
      <w:bookmarkStart w:id="281" w:name="_Toc15050"/>
      <w:bookmarkStart w:id="282" w:name="_Toc22175"/>
      <w:bookmarkStart w:id="283" w:name="_Toc7276"/>
      <w:bookmarkStart w:id="284" w:name="_Toc14591"/>
      <w:bookmarkStart w:id="285" w:name="_Toc14853"/>
      <w:bookmarkStart w:id="286" w:name="_Toc28957"/>
      <w:bookmarkStart w:id="287" w:name="_Toc14020"/>
      <w:bookmarkStart w:id="288" w:name="_Toc3758"/>
      <w:bookmarkStart w:id="289" w:name="_Toc18443"/>
      <w:bookmarkStart w:id="290" w:name="_Toc3241"/>
    </w:p>
    <w:p w14:paraId="3D9CDF01">
      <w:pPr>
        <w:pStyle w:val="27"/>
        <w:tabs>
          <w:tab w:val="left" w:pos="1050"/>
          <w:tab w:val="center" w:pos="4535"/>
        </w:tabs>
        <w:spacing w:line="360" w:lineRule="auto"/>
        <w:jc w:val="center"/>
        <w:outlineLvl w:val="0"/>
        <w:rPr>
          <w:b/>
          <w:bCs/>
          <w:color w:val="auto"/>
          <w:sz w:val="28"/>
          <w:szCs w:val="28"/>
          <w:highlight w:val="none"/>
        </w:rPr>
      </w:pPr>
      <w:bookmarkStart w:id="291" w:name="_Toc18442"/>
      <w:bookmarkStart w:id="292" w:name="_Toc29471"/>
      <w:bookmarkStart w:id="293" w:name="_Toc14931"/>
      <w:bookmarkStart w:id="294" w:name="_Toc22827"/>
      <w:bookmarkStart w:id="295" w:name="_Toc32303"/>
      <w:r>
        <w:rPr>
          <w:rFonts w:hint="eastAsia"/>
          <w:b/>
          <w:bCs/>
          <w:color w:val="auto"/>
          <w:sz w:val="28"/>
          <w:szCs w:val="28"/>
          <w:highlight w:val="none"/>
        </w:rPr>
        <w:t>法定代表人资格证明书</w:t>
      </w:r>
      <w:bookmarkEnd w:id="277"/>
      <w:bookmarkEnd w:id="278"/>
      <w:bookmarkEnd w:id="279"/>
      <w:bookmarkEnd w:id="291"/>
      <w:bookmarkEnd w:id="292"/>
      <w:bookmarkEnd w:id="293"/>
      <w:bookmarkEnd w:id="294"/>
      <w:bookmarkEnd w:id="295"/>
    </w:p>
    <w:p w14:paraId="6B3F58B7">
      <w:pPr>
        <w:pStyle w:val="27"/>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7"/>
        <w:spacing w:line="360" w:lineRule="auto"/>
        <w:ind w:firstLine="560"/>
        <w:rPr>
          <w:color w:val="auto"/>
          <w:sz w:val="21"/>
          <w:szCs w:val="21"/>
          <w:highlight w:val="none"/>
        </w:rPr>
      </w:pPr>
    </w:p>
    <w:p w14:paraId="7C91961B">
      <w:pPr>
        <w:pStyle w:val="27"/>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7"/>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7"/>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7"/>
        <w:spacing w:line="360" w:lineRule="auto"/>
        <w:rPr>
          <w:b/>
          <w:bCs/>
          <w:color w:val="auto"/>
          <w:sz w:val="28"/>
          <w:szCs w:val="28"/>
          <w:highlight w:val="none"/>
        </w:rPr>
      </w:pPr>
    </w:p>
    <w:p w14:paraId="04297034">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00FB3D8">
      <w:pPr>
        <w:widowControl/>
        <w:spacing w:line="500" w:lineRule="atLeast"/>
        <w:rPr>
          <w:rFonts w:ascii="宋体" w:hAnsi="宋体"/>
          <w:color w:val="auto"/>
          <w:spacing w:val="4"/>
          <w:kern w:val="0"/>
          <w:szCs w:val="21"/>
          <w:highlight w:val="none"/>
        </w:rPr>
      </w:pPr>
    </w:p>
    <w:p w14:paraId="03DA9ACA">
      <w:pPr>
        <w:spacing w:line="400" w:lineRule="exact"/>
        <w:rPr>
          <w:rFonts w:ascii="宋体" w:hAnsi="宋体"/>
          <w:b/>
          <w:color w:val="auto"/>
          <w:sz w:val="36"/>
          <w:szCs w:val="36"/>
          <w:highlight w:val="none"/>
        </w:rPr>
      </w:pPr>
    </w:p>
    <w:p w14:paraId="745699B6">
      <w:pPr>
        <w:pStyle w:val="27"/>
        <w:spacing w:line="360" w:lineRule="auto"/>
        <w:jc w:val="center"/>
        <w:outlineLvl w:val="9"/>
        <w:rPr>
          <w:rFonts w:hint="eastAsia"/>
          <w:b/>
          <w:bCs/>
          <w:color w:val="auto"/>
          <w:sz w:val="32"/>
          <w:szCs w:val="32"/>
          <w:highlight w:val="none"/>
        </w:rPr>
      </w:pPr>
    </w:p>
    <w:p w14:paraId="0C9BC8BF">
      <w:pPr>
        <w:pStyle w:val="27"/>
        <w:spacing w:line="360" w:lineRule="auto"/>
        <w:jc w:val="center"/>
        <w:outlineLvl w:val="9"/>
        <w:rPr>
          <w:rFonts w:hint="eastAsia"/>
          <w:b/>
          <w:bCs/>
          <w:color w:val="auto"/>
          <w:sz w:val="32"/>
          <w:szCs w:val="32"/>
          <w:highlight w:val="none"/>
        </w:rPr>
      </w:pPr>
    </w:p>
    <w:p w14:paraId="3E053FEF">
      <w:pPr>
        <w:pStyle w:val="27"/>
        <w:spacing w:line="360" w:lineRule="auto"/>
        <w:jc w:val="center"/>
        <w:outlineLvl w:val="9"/>
        <w:rPr>
          <w:rFonts w:hint="eastAsia"/>
          <w:b/>
          <w:bCs/>
          <w:color w:val="auto"/>
          <w:sz w:val="32"/>
          <w:szCs w:val="32"/>
          <w:highlight w:val="none"/>
        </w:rPr>
      </w:pPr>
    </w:p>
    <w:bookmarkEnd w:id="280"/>
    <w:bookmarkEnd w:id="281"/>
    <w:bookmarkEnd w:id="282"/>
    <w:bookmarkEnd w:id="283"/>
    <w:bookmarkEnd w:id="284"/>
    <w:bookmarkEnd w:id="285"/>
    <w:bookmarkEnd w:id="286"/>
    <w:bookmarkEnd w:id="287"/>
    <w:bookmarkEnd w:id="288"/>
    <w:bookmarkEnd w:id="289"/>
    <w:bookmarkEnd w:id="290"/>
    <w:p w14:paraId="235C5939">
      <w:pPr>
        <w:pStyle w:val="27"/>
        <w:spacing w:line="360" w:lineRule="auto"/>
        <w:jc w:val="center"/>
        <w:outlineLvl w:val="0"/>
        <w:rPr>
          <w:b/>
          <w:bCs/>
          <w:color w:val="auto"/>
          <w:sz w:val="28"/>
          <w:szCs w:val="28"/>
          <w:highlight w:val="none"/>
        </w:rPr>
      </w:pPr>
      <w:bookmarkStart w:id="296" w:name="_Toc9055"/>
      <w:bookmarkStart w:id="297" w:name="_Toc3494"/>
      <w:bookmarkStart w:id="298" w:name="_Toc23308"/>
      <w:bookmarkStart w:id="299" w:name="_Toc26675"/>
      <w:bookmarkStart w:id="300" w:name="_Toc18069"/>
      <w:bookmarkStart w:id="301" w:name="_Toc17511"/>
      <w:bookmarkStart w:id="302" w:name="_Toc3470"/>
      <w:bookmarkStart w:id="303" w:name="_Toc9844"/>
      <w:r>
        <w:rPr>
          <w:rFonts w:hint="eastAsia"/>
          <w:b/>
          <w:bCs/>
          <w:color w:val="auto"/>
          <w:sz w:val="28"/>
          <w:szCs w:val="28"/>
          <w:highlight w:val="none"/>
        </w:rPr>
        <w:t>法定代表人授权委托书</w:t>
      </w:r>
      <w:bookmarkEnd w:id="296"/>
      <w:bookmarkEnd w:id="297"/>
      <w:bookmarkEnd w:id="298"/>
      <w:bookmarkEnd w:id="299"/>
      <w:bookmarkEnd w:id="300"/>
      <w:bookmarkEnd w:id="301"/>
      <w:bookmarkEnd w:id="302"/>
      <w:bookmarkEnd w:id="303"/>
    </w:p>
    <w:p w14:paraId="19B08372">
      <w:pPr>
        <w:pStyle w:val="28"/>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7"/>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7"/>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7"/>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7"/>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7"/>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7"/>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7"/>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7"/>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3"/>
        <w:ind w:firstLine="3975" w:firstLineChars="1100"/>
        <w:rPr>
          <w:b/>
          <w:bCs/>
          <w:color w:val="auto"/>
          <w:sz w:val="36"/>
          <w:szCs w:val="36"/>
          <w:highlight w:val="none"/>
        </w:rPr>
      </w:pPr>
    </w:p>
    <w:p w14:paraId="50DD3811">
      <w:pPr>
        <w:pStyle w:val="27"/>
        <w:tabs>
          <w:tab w:val="left" w:pos="1050"/>
          <w:tab w:val="center" w:pos="4535"/>
        </w:tabs>
        <w:spacing w:line="360" w:lineRule="auto"/>
        <w:jc w:val="center"/>
        <w:outlineLvl w:val="9"/>
        <w:rPr>
          <w:rFonts w:hint="eastAsia"/>
          <w:b/>
          <w:bCs/>
          <w:color w:val="auto"/>
          <w:sz w:val="32"/>
          <w:szCs w:val="32"/>
          <w:highlight w:val="none"/>
        </w:rPr>
      </w:pPr>
      <w:bookmarkStart w:id="304" w:name="_Toc10212"/>
      <w:bookmarkStart w:id="305" w:name="_Toc32281"/>
    </w:p>
    <w:p w14:paraId="22D6DAF3">
      <w:pPr>
        <w:pStyle w:val="27"/>
        <w:tabs>
          <w:tab w:val="left" w:pos="1050"/>
          <w:tab w:val="center" w:pos="4535"/>
        </w:tabs>
        <w:spacing w:line="360" w:lineRule="auto"/>
        <w:jc w:val="both"/>
        <w:outlineLvl w:val="9"/>
        <w:rPr>
          <w:rFonts w:hint="eastAsia"/>
          <w:b/>
          <w:bCs/>
          <w:color w:val="auto"/>
          <w:sz w:val="21"/>
          <w:szCs w:val="21"/>
          <w:highlight w:val="none"/>
          <w:lang w:val="en-US" w:eastAsia="zh-CN"/>
        </w:rPr>
      </w:pPr>
      <w:bookmarkStart w:id="306" w:name="_Toc13766"/>
    </w:p>
    <w:p w14:paraId="46AFEC06">
      <w:pPr>
        <w:pStyle w:val="27"/>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27"/>
        <w:tabs>
          <w:tab w:val="left" w:pos="1050"/>
          <w:tab w:val="center" w:pos="4535"/>
        </w:tabs>
        <w:spacing w:line="360" w:lineRule="auto"/>
        <w:jc w:val="both"/>
        <w:outlineLvl w:val="0"/>
        <w:rPr>
          <w:rFonts w:hint="eastAsia"/>
          <w:b/>
          <w:bCs/>
          <w:color w:val="auto"/>
          <w:sz w:val="21"/>
          <w:szCs w:val="21"/>
          <w:highlight w:val="none"/>
        </w:rPr>
      </w:pPr>
      <w:bookmarkStart w:id="307" w:name="_Toc26640"/>
      <w:bookmarkStart w:id="308" w:name="_Toc20534"/>
      <w:bookmarkStart w:id="309" w:name="_Toc22587"/>
      <w:bookmarkStart w:id="310" w:name="_Toc14561"/>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06"/>
      <w:bookmarkEnd w:id="307"/>
      <w:bookmarkEnd w:id="308"/>
      <w:bookmarkEnd w:id="309"/>
      <w:bookmarkEnd w:id="310"/>
    </w:p>
    <w:p w14:paraId="6525A8DA">
      <w:pPr>
        <w:pStyle w:val="27"/>
        <w:tabs>
          <w:tab w:val="left" w:pos="1050"/>
          <w:tab w:val="center" w:pos="4535"/>
        </w:tabs>
        <w:spacing w:line="360" w:lineRule="auto"/>
        <w:jc w:val="center"/>
        <w:outlineLvl w:val="0"/>
        <w:rPr>
          <w:b/>
          <w:bCs/>
          <w:color w:val="auto"/>
          <w:sz w:val="24"/>
          <w:szCs w:val="24"/>
          <w:highlight w:val="none"/>
        </w:rPr>
      </w:pPr>
      <w:bookmarkStart w:id="311" w:name="_Toc27402"/>
      <w:bookmarkStart w:id="312" w:name="_Toc22733"/>
      <w:bookmarkStart w:id="313" w:name="_Toc17724"/>
      <w:bookmarkStart w:id="314" w:name="_Toc18184"/>
      <w:bookmarkStart w:id="315" w:name="_Toc27041"/>
      <w:r>
        <w:rPr>
          <w:rFonts w:hint="eastAsia"/>
          <w:b/>
          <w:bCs/>
          <w:color w:val="auto"/>
          <w:sz w:val="24"/>
          <w:szCs w:val="24"/>
          <w:highlight w:val="none"/>
        </w:rPr>
        <w:t>同类项目经验情况一览表</w:t>
      </w:r>
      <w:bookmarkEnd w:id="275"/>
      <w:bookmarkEnd w:id="276"/>
      <w:bookmarkEnd w:id="304"/>
      <w:bookmarkEnd w:id="305"/>
      <w:bookmarkEnd w:id="311"/>
      <w:bookmarkEnd w:id="312"/>
      <w:bookmarkEnd w:id="313"/>
      <w:bookmarkEnd w:id="314"/>
      <w:bookmarkEnd w:id="315"/>
    </w:p>
    <w:tbl>
      <w:tblPr>
        <w:tblStyle w:val="17"/>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3"/>
        <w:rPr>
          <w:rFonts w:ascii="宋体" w:hAnsi="宋体"/>
          <w:color w:val="auto"/>
          <w:sz w:val="21"/>
          <w:szCs w:val="21"/>
          <w:highlight w:val="none"/>
        </w:rPr>
      </w:pPr>
    </w:p>
    <w:p w14:paraId="7DD35F5A">
      <w:pPr>
        <w:pStyle w:val="23"/>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16" w:name="_Toc6536"/>
      <w:bookmarkStart w:id="317" w:name="_Toc16613"/>
      <w:bookmarkStart w:id="318" w:name="_Toc16606"/>
      <w:bookmarkStart w:id="319" w:name="_Toc4106"/>
      <w:bookmarkStart w:id="320" w:name="_Toc31502"/>
      <w:bookmarkStart w:id="321" w:name="_Toc11330"/>
      <w:bookmarkStart w:id="322" w:name="_Toc1667"/>
      <w:r>
        <w:rPr>
          <w:rFonts w:hint="eastAsia" w:ascii="宋体" w:hAnsi="宋体" w:eastAsia="宋体" w:cs="宋体"/>
          <w:b/>
          <w:bCs/>
          <w:color w:val="auto"/>
          <w:kern w:val="0"/>
          <w:sz w:val="21"/>
          <w:szCs w:val="21"/>
          <w:highlight w:val="none"/>
          <w:lang w:val="en-US" w:eastAsia="zh-CN" w:bidi="ar-SA"/>
        </w:rPr>
        <w:t>注：</w:t>
      </w:r>
      <w:bookmarkEnd w:id="316"/>
      <w:bookmarkEnd w:id="317"/>
      <w:r>
        <w:rPr>
          <w:rFonts w:hint="eastAsia" w:ascii="宋体" w:hAnsi="宋体" w:eastAsia="宋体" w:cs="宋体"/>
          <w:b/>
          <w:bCs/>
          <w:color w:val="auto"/>
          <w:kern w:val="0"/>
          <w:sz w:val="21"/>
          <w:szCs w:val="21"/>
          <w:highlight w:val="none"/>
          <w:lang w:val="en-US" w:eastAsia="zh-CN" w:bidi="ar-SA"/>
        </w:rPr>
        <w:t>按评分标准提供相关证明材料。</w:t>
      </w:r>
      <w:bookmarkEnd w:id="318"/>
      <w:bookmarkEnd w:id="319"/>
      <w:bookmarkEnd w:id="320"/>
      <w:bookmarkEnd w:id="321"/>
      <w:bookmarkEnd w:id="322"/>
    </w:p>
    <w:p w14:paraId="036165ED">
      <w:pPr>
        <w:pStyle w:val="23"/>
        <w:ind w:firstLine="3614" w:firstLineChars="1000"/>
        <w:rPr>
          <w:b/>
          <w:bCs/>
          <w:color w:val="auto"/>
          <w:sz w:val="36"/>
          <w:szCs w:val="36"/>
          <w:highlight w:val="none"/>
        </w:rPr>
      </w:pPr>
    </w:p>
    <w:p w14:paraId="3BE00EF0">
      <w:pPr>
        <w:pStyle w:val="23"/>
        <w:ind w:firstLine="3614" w:firstLineChars="1000"/>
        <w:rPr>
          <w:b/>
          <w:bCs/>
          <w:color w:val="auto"/>
          <w:sz w:val="36"/>
          <w:szCs w:val="36"/>
          <w:highlight w:val="none"/>
        </w:rPr>
      </w:pPr>
    </w:p>
    <w:p w14:paraId="6EDB7A95">
      <w:pPr>
        <w:pStyle w:val="23"/>
        <w:ind w:firstLine="3614" w:firstLineChars="1000"/>
        <w:rPr>
          <w:b/>
          <w:bCs/>
          <w:color w:val="auto"/>
          <w:sz w:val="36"/>
          <w:szCs w:val="36"/>
          <w:highlight w:val="none"/>
        </w:rPr>
      </w:pPr>
    </w:p>
    <w:p w14:paraId="01EAB284">
      <w:pPr>
        <w:pStyle w:val="23"/>
        <w:ind w:firstLine="3614" w:firstLineChars="1000"/>
        <w:rPr>
          <w:b/>
          <w:bCs/>
          <w:color w:val="auto"/>
          <w:sz w:val="36"/>
          <w:szCs w:val="36"/>
          <w:highlight w:val="none"/>
        </w:rPr>
      </w:pPr>
    </w:p>
    <w:p w14:paraId="1AF20E6A">
      <w:pPr>
        <w:pStyle w:val="23"/>
        <w:ind w:firstLine="3614" w:firstLineChars="1000"/>
        <w:rPr>
          <w:b/>
          <w:bCs/>
          <w:color w:val="auto"/>
          <w:sz w:val="36"/>
          <w:szCs w:val="36"/>
          <w:highlight w:val="none"/>
        </w:rPr>
      </w:pPr>
    </w:p>
    <w:p w14:paraId="1C2DDED4">
      <w:pPr>
        <w:pStyle w:val="23"/>
        <w:ind w:firstLine="3614" w:firstLineChars="1000"/>
        <w:rPr>
          <w:b/>
          <w:bCs/>
          <w:color w:val="auto"/>
          <w:sz w:val="36"/>
          <w:szCs w:val="36"/>
          <w:highlight w:val="none"/>
        </w:rPr>
      </w:pPr>
    </w:p>
    <w:p w14:paraId="0CC9C6CB">
      <w:pPr>
        <w:pStyle w:val="23"/>
        <w:ind w:firstLine="3614" w:firstLineChars="1000"/>
        <w:rPr>
          <w:b/>
          <w:bCs/>
          <w:color w:val="auto"/>
          <w:sz w:val="36"/>
          <w:szCs w:val="36"/>
          <w:highlight w:val="none"/>
        </w:rPr>
      </w:pPr>
    </w:p>
    <w:p w14:paraId="247A96FB">
      <w:pPr>
        <w:pStyle w:val="23"/>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footerReference r:id="rId11" w:type="default"/>
          <w:pgSz w:w="11906" w:h="16838"/>
          <w:pgMar w:top="1134" w:right="1247" w:bottom="1134" w:left="1247" w:header="851" w:footer="992" w:gutter="0"/>
          <w:pgNumType w:fmt="decimal"/>
          <w:cols w:space="720" w:num="1"/>
          <w:docGrid w:linePitch="312" w:charSpace="0"/>
        </w:sectPr>
      </w:pPr>
      <w:bookmarkStart w:id="323" w:name="_Toc16505"/>
      <w:bookmarkStart w:id="324" w:name="_Toc23732"/>
      <w:bookmarkStart w:id="325" w:name="_Toc24877"/>
      <w:bookmarkStart w:id="326" w:name="_Toc20164"/>
      <w:bookmarkStart w:id="327" w:name="_Toc40776119"/>
      <w:bookmarkStart w:id="328" w:name="_Toc9749"/>
      <w:bookmarkStart w:id="329" w:name="_Toc21435"/>
      <w:bookmarkStart w:id="330" w:name="_Toc40346226"/>
      <w:bookmarkStart w:id="331" w:name="_Toc17929"/>
      <w:bookmarkStart w:id="332" w:name="_Toc30558"/>
      <w:bookmarkStart w:id="333" w:name="_Toc40346385"/>
      <w:bookmarkStart w:id="334" w:name="_Toc27180"/>
    </w:p>
    <w:bookmarkEnd w:id="323"/>
    <w:bookmarkEnd w:id="324"/>
    <w:bookmarkEnd w:id="325"/>
    <w:bookmarkEnd w:id="326"/>
    <w:bookmarkEnd w:id="327"/>
    <w:bookmarkEnd w:id="328"/>
    <w:bookmarkEnd w:id="329"/>
    <w:bookmarkEnd w:id="330"/>
    <w:bookmarkEnd w:id="331"/>
    <w:bookmarkEnd w:id="332"/>
    <w:bookmarkEnd w:id="333"/>
    <w:bookmarkEnd w:id="334"/>
    <w:p w14:paraId="3EEE6AA8">
      <w:pPr>
        <w:pStyle w:val="2"/>
        <w:rPr>
          <w:rFonts w:hint="default"/>
          <w:color w:val="auto"/>
          <w:highlight w:val="none"/>
          <w:lang w:val="en-US"/>
        </w:rPr>
      </w:pPr>
      <w:bookmarkStart w:id="335" w:name="_Toc6776"/>
      <w:bookmarkStart w:id="336" w:name="_Toc32422"/>
      <w:bookmarkStart w:id="337" w:name="_Toc1241"/>
      <w:bookmarkStart w:id="338" w:name="_Toc30135"/>
      <w:bookmarkStart w:id="339" w:name="_Toc30531"/>
      <w:bookmarkStart w:id="340" w:name="_Toc25012"/>
      <w:bookmarkStart w:id="341" w:name="_Toc16816"/>
      <w:bookmarkStart w:id="342" w:name="_Toc14321"/>
      <w:bookmarkStart w:id="343" w:name="_Toc1521"/>
      <w:bookmarkStart w:id="344" w:name="_Toc2196"/>
      <w:bookmarkStart w:id="345" w:name="_Toc17932"/>
      <w:bookmarkStart w:id="346" w:name="_Toc5396"/>
      <w:bookmarkStart w:id="347" w:name="_Toc24705"/>
      <w:bookmarkStart w:id="348" w:name="_Toc27834"/>
      <w:bookmarkStart w:id="349" w:name="_Toc14093"/>
      <w:bookmarkStart w:id="350" w:name="_Toc19803"/>
      <w:r>
        <w:rPr>
          <w:rFonts w:hint="eastAsia"/>
          <w:b/>
          <w:color w:val="auto"/>
          <w:sz w:val="24"/>
          <w:highlight w:val="none"/>
          <w:lang w:val="en-US" w:eastAsia="zh-CN"/>
        </w:rPr>
        <w:t>2.6公平竞争承诺书</w:t>
      </w:r>
      <w:bookmarkEnd w:id="335"/>
      <w:bookmarkEnd w:id="336"/>
      <w:bookmarkEnd w:id="337"/>
      <w:bookmarkEnd w:id="338"/>
      <w:bookmarkEnd w:id="339"/>
    </w:p>
    <w:p w14:paraId="0279F84E">
      <w:pPr>
        <w:pStyle w:val="27"/>
        <w:spacing w:line="360" w:lineRule="auto"/>
        <w:jc w:val="center"/>
        <w:outlineLvl w:val="0"/>
        <w:rPr>
          <w:rFonts w:hint="eastAsia"/>
          <w:b/>
          <w:bCs/>
          <w:color w:val="auto"/>
          <w:sz w:val="32"/>
          <w:szCs w:val="32"/>
          <w:highlight w:val="none"/>
        </w:rPr>
      </w:pPr>
      <w:bookmarkStart w:id="351" w:name="_Toc9163"/>
      <w:bookmarkStart w:id="352" w:name="_Toc32579"/>
      <w:bookmarkStart w:id="353" w:name="_Toc18674"/>
      <w:bookmarkStart w:id="354" w:name="_Toc20312"/>
      <w:bookmarkStart w:id="355" w:name="_Toc11542"/>
      <w:r>
        <w:rPr>
          <w:rFonts w:hint="eastAsia"/>
          <w:b/>
          <w:bCs/>
          <w:color w:val="auto"/>
          <w:sz w:val="32"/>
          <w:szCs w:val="32"/>
          <w:highlight w:val="none"/>
        </w:rPr>
        <w:t>公平竞争承诺书</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5186D86">
      <w:pPr>
        <w:pStyle w:val="27"/>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356" w:name="_Toc4776"/>
      <w:bookmarkStart w:id="357" w:name="_Toc16887"/>
      <w:bookmarkStart w:id="358" w:name="_Toc26271"/>
      <w:bookmarkStart w:id="359" w:name="_Toc6051"/>
      <w:bookmarkStart w:id="360" w:name="_Toc3166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356"/>
      <w:bookmarkEnd w:id="357"/>
      <w:bookmarkEnd w:id="358"/>
      <w:bookmarkEnd w:id="359"/>
      <w:bookmarkEnd w:id="360"/>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4"/>
        <w:rPr>
          <w:rFonts w:hint="eastAsia"/>
          <w:color w:val="auto"/>
          <w:sz w:val="21"/>
          <w:szCs w:val="21"/>
          <w:highlight w:val="none"/>
        </w:rPr>
      </w:pPr>
    </w:p>
    <w:p w14:paraId="38C347AC">
      <w:pPr>
        <w:pStyle w:val="24"/>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4"/>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4"/>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4"/>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4"/>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4"/>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7"/>
        <w:spacing w:line="360" w:lineRule="auto"/>
        <w:jc w:val="center"/>
        <w:outlineLvl w:val="0"/>
        <w:rPr>
          <w:b/>
          <w:bCs/>
          <w:color w:val="auto"/>
          <w:sz w:val="32"/>
          <w:szCs w:val="32"/>
          <w:highlight w:val="none"/>
        </w:rPr>
      </w:pPr>
      <w:bookmarkStart w:id="361" w:name="_Toc6773"/>
      <w:bookmarkStart w:id="362" w:name="_Toc12986"/>
      <w:bookmarkStart w:id="363" w:name="_Toc4538"/>
      <w:bookmarkStart w:id="364" w:name="_Toc9085"/>
      <w:bookmarkStart w:id="365" w:name="_Toc22349"/>
      <w:bookmarkStart w:id="366" w:name="_Toc29038"/>
      <w:bookmarkStart w:id="367" w:name="_Toc9333"/>
      <w:bookmarkStart w:id="368" w:name="_Toc9308"/>
      <w:bookmarkStart w:id="369" w:name="_Toc3968"/>
      <w:bookmarkStart w:id="370" w:name="_Toc29986"/>
      <w:bookmarkStart w:id="371" w:name="_Toc5237"/>
      <w:bookmarkStart w:id="372" w:name="_Toc12210"/>
      <w:bookmarkStart w:id="373" w:name="_Toc12567"/>
      <w:bookmarkStart w:id="374" w:name="_Toc8640"/>
      <w:bookmarkStart w:id="375" w:name="_Toc20949"/>
      <w:bookmarkStart w:id="376" w:name="_Toc9813"/>
      <w:bookmarkStart w:id="377" w:name="_Toc32565"/>
      <w:r>
        <w:rPr>
          <w:rFonts w:hint="eastAsia"/>
          <w:b/>
          <w:bCs/>
          <w:color w:val="auto"/>
          <w:sz w:val="32"/>
          <w:szCs w:val="32"/>
          <w:highlight w:val="none"/>
        </w:rPr>
        <w:t>关于资格和响应文件的声明函</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7.我方在参加政府采购活动前3年内在经营活动中没有重大违法、违规及刑事犯罪记录；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3"/>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3"/>
        <w:rPr>
          <w:rFonts w:hint="eastAsia" w:ascii="宋体" w:hAnsi="宋体"/>
          <w:color w:val="auto"/>
          <w:sz w:val="24"/>
          <w:highlight w:val="none"/>
        </w:rPr>
      </w:pPr>
    </w:p>
    <w:p w14:paraId="13348F4D">
      <w:pPr>
        <w:pStyle w:val="23"/>
        <w:rPr>
          <w:rFonts w:hint="eastAsia" w:ascii="宋体" w:hAnsi="宋体"/>
          <w:color w:val="auto"/>
          <w:sz w:val="24"/>
          <w:highlight w:val="none"/>
        </w:rPr>
      </w:pPr>
    </w:p>
    <w:p w14:paraId="39CDE66C">
      <w:pPr>
        <w:pStyle w:val="23"/>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3"/>
          <w:rFonts w:hint="eastAsia" w:asciiTheme="minorEastAsia" w:hAnsiTheme="minorEastAsia" w:eastAsiaTheme="minorEastAsia" w:cstheme="minorEastAsia"/>
          <w:b/>
          <w:bCs/>
          <w:color w:val="auto"/>
          <w:sz w:val="24"/>
          <w:szCs w:val="24"/>
          <w:highlight w:val="none"/>
          <w:lang w:val="en-US" w:eastAsia="zh-CN"/>
        </w:rPr>
        <w:t>2.8</w:t>
      </w:r>
      <w:r>
        <w:rPr>
          <w:rStyle w:val="43"/>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3"/>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378" w:name="_Toc27851"/>
      <w:bookmarkStart w:id="379" w:name="_Toc29810"/>
      <w:bookmarkStart w:id="380" w:name="_Toc14094"/>
      <w:bookmarkStart w:id="381" w:name="_Toc30483"/>
      <w:bookmarkStart w:id="382" w:name="_Toc17774"/>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378"/>
      <w:bookmarkEnd w:id="379"/>
      <w:bookmarkEnd w:id="380"/>
      <w:bookmarkEnd w:id="381"/>
      <w:bookmarkEnd w:id="382"/>
    </w:p>
    <w:p w14:paraId="6AE3CA41">
      <w:pPr>
        <w:pStyle w:val="23"/>
        <w:rPr>
          <w:rFonts w:hint="eastAsia" w:asciiTheme="minorEastAsia" w:hAnsiTheme="minorEastAsia" w:eastAsiaTheme="minorEastAsia" w:cstheme="minorEastAsia"/>
          <w:b/>
          <w:bCs/>
          <w:color w:val="auto"/>
          <w:sz w:val="24"/>
          <w:szCs w:val="24"/>
          <w:highlight w:val="none"/>
          <w:lang w:eastAsia="zh-CN"/>
        </w:rPr>
      </w:pPr>
    </w:p>
    <w:p w14:paraId="4125E64B">
      <w:pPr>
        <w:pStyle w:val="23"/>
        <w:rPr>
          <w:rFonts w:hint="eastAsia" w:ascii="宋体" w:hAnsi="宋体"/>
          <w:color w:val="auto"/>
          <w:sz w:val="24"/>
          <w:highlight w:val="none"/>
        </w:rPr>
      </w:pPr>
    </w:p>
    <w:p w14:paraId="7B683058">
      <w:pPr>
        <w:pStyle w:val="23"/>
        <w:rPr>
          <w:rFonts w:hint="eastAsia" w:ascii="宋体" w:hAnsi="宋体"/>
          <w:color w:val="auto"/>
          <w:sz w:val="24"/>
          <w:highlight w:val="none"/>
        </w:rPr>
      </w:pPr>
    </w:p>
    <w:p w14:paraId="0034A2E7">
      <w:pPr>
        <w:pStyle w:val="23"/>
        <w:rPr>
          <w:rFonts w:hint="eastAsia" w:ascii="宋体" w:hAnsi="宋体"/>
          <w:color w:val="auto"/>
          <w:sz w:val="24"/>
          <w:highlight w:val="none"/>
        </w:rPr>
      </w:pPr>
    </w:p>
    <w:p w14:paraId="319F3515">
      <w:pPr>
        <w:pStyle w:val="23"/>
        <w:rPr>
          <w:rFonts w:hint="eastAsia" w:ascii="宋体" w:hAnsi="宋体"/>
          <w:color w:val="auto"/>
          <w:sz w:val="24"/>
          <w:highlight w:val="none"/>
        </w:rPr>
      </w:pPr>
    </w:p>
    <w:p w14:paraId="4A05C202">
      <w:pPr>
        <w:pStyle w:val="23"/>
        <w:rPr>
          <w:rFonts w:hint="eastAsia" w:ascii="宋体" w:hAnsi="宋体"/>
          <w:color w:val="auto"/>
          <w:sz w:val="24"/>
          <w:highlight w:val="none"/>
        </w:rPr>
      </w:pPr>
    </w:p>
    <w:p w14:paraId="37C52445">
      <w:pPr>
        <w:pStyle w:val="23"/>
        <w:rPr>
          <w:rFonts w:hint="eastAsia" w:ascii="宋体" w:hAnsi="宋体"/>
          <w:color w:val="auto"/>
          <w:sz w:val="24"/>
          <w:highlight w:val="none"/>
        </w:rPr>
      </w:pPr>
    </w:p>
    <w:p w14:paraId="37BFC7B5">
      <w:pPr>
        <w:pStyle w:val="23"/>
        <w:rPr>
          <w:rFonts w:hint="eastAsia" w:ascii="宋体" w:hAnsi="宋体"/>
          <w:color w:val="auto"/>
          <w:sz w:val="24"/>
          <w:highlight w:val="none"/>
        </w:rPr>
      </w:pPr>
    </w:p>
    <w:p w14:paraId="1A8DF8B0">
      <w:pPr>
        <w:pStyle w:val="23"/>
        <w:rPr>
          <w:rFonts w:hint="eastAsia" w:ascii="宋体" w:hAnsi="宋体"/>
          <w:color w:val="auto"/>
          <w:sz w:val="24"/>
          <w:highlight w:val="none"/>
        </w:rPr>
      </w:pPr>
    </w:p>
    <w:p w14:paraId="27B5C04E">
      <w:pPr>
        <w:pStyle w:val="23"/>
        <w:rPr>
          <w:rFonts w:hint="eastAsia" w:ascii="宋体" w:hAnsi="宋体"/>
          <w:color w:val="auto"/>
          <w:sz w:val="24"/>
          <w:highlight w:val="none"/>
        </w:rPr>
      </w:pPr>
    </w:p>
    <w:p w14:paraId="48B6AE52">
      <w:pPr>
        <w:pStyle w:val="23"/>
        <w:rPr>
          <w:rFonts w:hint="eastAsia" w:ascii="宋体" w:hAnsi="宋体"/>
          <w:color w:val="auto"/>
          <w:sz w:val="24"/>
          <w:highlight w:val="none"/>
        </w:rPr>
      </w:pPr>
    </w:p>
    <w:p w14:paraId="3AA75E91">
      <w:pPr>
        <w:pStyle w:val="23"/>
        <w:rPr>
          <w:rFonts w:hint="eastAsia" w:ascii="宋体" w:hAnsi="宋体"/>
          <w:color w:val="auto"/>
          <w:sz w:val="24"/>
          <w:highlight w:val="none"/>
        </w:rPr>
      </w:pPr>
    </w:p>
    <w:p w14:paraId="0968D340">
      <w:pPr>
        <w:pStyle w:val="23"/>
        <w:rPr>
          <w:rFonts w:hint="eastAsia" w:ascii="宋体" w:hAnsi="宋体"/>
          <w:color w:val="auto"/>
          <w:sz w:val="24"/>
          <w:highlight w:val="none"/>
        </w:rPr>
      </w:pPr>
    </w:p>
    <w:p w14:paraId="40FFD3DB">
      <w:pPr>
        <w:pStyle w:val="23"/>
        <w:rPr>
          <w:rFonts w:hint="eastAsia" w:ascii="宋体" w:hAnsi="宋体"/>
          <w:color w:val="auto"/>
          <w:sz w:val="24"/>
          <w:highlight w:val="none"/>
        </w:rPr>
      </w:pPr>
    </w:p>
    <w:p w14:paraId="067E9370">
      <w:pPr>
        <w:pStyle w:val="23"/>
        <w:rPr>
          <w:rFonts w:hint="eastAsia" w:ascii="宋体" w:hAnsi="宋体"/>
          <w:color w:val="auto"/>
          <w:sz w:val="24"/>
          <w:highlight w:val="none"/>
        </w:rPr>
      </w:pPr>
    </w:p>
    <w:p w14:paraId="1D7936D4">
      <w:pPr>
        <w:pStyle w:val="23"/>
        <w:rPr>
          <w:rFonts w:hint="eastAsia" w:ascii="宋体" w:hAnsi="宋体"/>
          <w:color w:val="auto"/>
          <w:sz w:val="24"/>
          <w:highlight w:val="none"/>
        </w:rPr>
      </w:pPr>
    </w:p>
    <w:p w14:paraId="444B92F9">
      <w:pPr>
        <w:rPr>
          <w:color w:val="auto"/>
          <w:highlight w:val="none"/>
        </w:rPr>
      </w:pPr>
    </w:p>
    <w:p w14:paraId="065D8F92">
      <w:pPr>
        <w:pStyle w:val="24"/>
        <w:rPr>
          <w:color w:val="auto"/>
          <w:highlight w:val="none"/>
        </w:rPr>
      </w:pPr>
    </w:p>
    <w:p w14:paraId="5C1A5DF4">
      <w:pPr>
        <w:pStyle w:val="24"/>
        <w:rPr>
          <w:color w:val="auto"/>
          <w:highlight w:val="none"/>
        </w:rPr>
      </w:pPr>
    </w:p>
    <w:p w14:paraId="1428BDDF">
      <w:pPr>
        <w:pStyle w:val="24"/>
        <w:rPr>
          <w:color w:val="auto"/>
          <w:highlight w:val="none"/>
        </w:rPr>
      </w:pPr>
    </w:p>
    <w:p w14:paraId="485A9A8C">
      <w:pPr>
        <w:pStyle w:val="24"/>
        <w:rPr>
          <w:color w:val="auto"/>
          <w:highlight w:val="none"/>
        </w:rPr>
      </w:pPr>
    </w:p>
    <w:p w14:paraId="6E5530A6">
      <w:pPr>
        <w:pStyle w:val="24"/>
        <w:rPr>
          <w:color w:val="auto"/>
          <w:highlight w:val="none"/>
        </w:rPr>
      </w:pPr>
    </w:p>
    <w:p w14:paraId="2626BEFC">
      <w:pPr>
        <w:pStyle w:val="24"/>
        <w:rPr>
          <w:color w:val="auto"/>
          <w:highlight w:val="none"/>
        </w:rPr>
      </w:pPr>
    </w:p>
    <w:p w14:paraId="59639CF5">
      <w:pPr>
        <w:pStyle w:val="23"/>
        <w:rPr>
          <w:rFonts w:hint="eastAsia"/>
          <w:color w:val="auto"/>
          <w:highlight w:val="none"/>
          <w:lang w:eastAsia="zh-CN"/>
        </w:rPr>
      </w:pPr>
    </w:p>
    <w:p w14:paraId="02841B87">
      <w:pPr>
        <w:pStyle w:val="23"/>
        <w:rPr>
          <w:rFonts w:hint="eastAsia"/>
          <w:color w:val="auto"/>
          <w:highlight w:val="none"/>
          <w:lang w:eastAsia="zh-CN"/>
        </w:rPr>
      </w:pPr>
    </w:p>
    <w:p w14:paraId="7BBBB8B2">
      <w:pPr>
        <w:pStyle w:val="23"/>
        <w:rPr>
          <w:rFonts w:hint="eastAsia"/>
          <w:color w:val="auto"/>
          <w:highlight w:val="none"/>
          <w:lang w:eastAsia="zh-CN"/>
        </w:rPr>
      </w:pPr>
    </w:p>
    <w:p w14:paraId="51CB0C21">
      <w:pPr>
        <w:pStyle w:val="23"/>
        <w:rPr>
          <w:rFonts w:hint="eastAsia"/>
          <w:color w:val="auto"/>
          <w:highlight w:val="none"/>
          <w:lang w:eastAsia="zh-CN"/>
        </w:rPr>
      </w:pPr>
    </w:p>
    <w:p w14:paraId="3C2A2992">
      <w:pPr>
        <w:pStyle w:val="23"/>
        <w:rPr>
          <w:rFonts w:hint="eastAsia"/>
          <w:color w:val="auto"/>
          <w:highlight w:val="none"/>
          <w:lang w:eastAsia="zh-CN"/>
        </w:rPr>
      </w:pPr>
    </w:p>
    <w:p w14:paraId="7005845A">
      <w:pPr>
        <w:pStyle w:val="23"/>
        <w:rPr>
          <w:rFonts w:hint="eastAsia"/>
          <w:color w:val="auto"/>
          <w:highlight w:val="none"/>
          <w:lang w:eastAsia="zh-CN"/>
        </w:rPr>
      </w:pPr>
    </w:p>
    <w:p w14:paraId="4D216B29">
      <w:pPr>
        <w:pStyle w:val="23"/>
        <w:rPr>
          <w:rFonts w:hint="eastAsia"/>
          <w:color w:val="auto"/>
          <w:highlight w:val="none"/>
          <w:lang w:eastAsia="zh-CN"/>
        </w:rPr>
      </w:pPr>
    </w:p>
    <w:sectPr>
      <w:head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2"/>
      <w:framePr w:wrap="around" w:vAnchor="text" w:hAnchor="margin" w:xAlign="center" w:y="1"/>
      <w:rPr>
        <w:rStyle w:val="21"/>
      </w:rPr>
    </w:pPr>
    <w:r>
      <w:fldChar w:fldCharType="begin"/>
    </w:r>
    <w:r>
      <w:rPr>
        <w:rStyle w:val="21"/>
      </w:rPr>
      <w:instrText xml:space="preserve">PAGE  </w:instrText>
    </w:r>
    <w:r>
      <w:fldChar w:fldCharType="end"/>
    </w:r>
  </w:p>
  <w:p w14:paraId="4DF2DAD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2"/>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A9C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995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A995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6B4A">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716B4A">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32</w:t>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2BDAA"/>
    <w:multiLevelType w:val="singleLevel"/>
    <w:tmpl w:val="B372BDAA"/>
    <w:lvl w:ilvl="0" w:tentative="0">
      <w:start w:val="7"/>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E423C"/>
    <w:rsid w:val="021C1ADC"/>
    <w:rsid w:val="032337B5"/>
    <w:rsid w:val="034404CF"/>
    <w:rsid w:val="039B179B"/>
    <w:rsid w:val="04EE7118"/>
    <w:rsid w:val="054E169D"/>
    <w:rsid w:val="05907E7A"/>
    <w:rsid w:val="066F5ED2"/>
    <w:rsid w:val="073F1A33"/>
    <w:rsid w:val="07862043"/>
    <w:rsid w:val="079C2FAC"/>
    <w:rsid w:val="07BE48F0"/>
    <w:rsid w:val="07ED5D2D"/>
    <w:rsid w:val="083B7B3F"/>
    <w:rsid w:val="09652EA6"/>
    <w:rsid w:val="09EA79FA"/>
    <w:rsid w:val="0A146A4B"/>
    <w:rsid w:val="0A9C5E28"/>
    <w:rsid w:val="0AA45825"/>
    <w:rsid w:val="0B0A3975"/>
    <w:rsid w:val="0B6E199F"/>
    <w:rsid w:val="0B895769"/>
    <w:rsid w:val="0BA56654"/>
    <w:rsid w:val="0BCD2048"/>
    <w:rsid w:val="0C705246"/>
    <w:rsid w:val="0CAD27D4"/>
    <w:rsid w:val="0DDD2866"/>
    <w:rsid w:val="0E21791C"/>
    <w:rsid w:val="0ED05230"/>
    <w:rsid w:val="10014154"/>
    <w:rsid w:val="10277357"/>
    <w:rsid w:val="123F5759"/>
    <w:rsid w:val="12D574C5"/>
    <w:rsid w:val="12DD46A3"/>
    <w:rsid w:val="12EB2AD0"/>
    <w:rsid w:val="14331D3D"/>
    <w:rsid w:val="147A5AF1"/>
    <w:rsid w:val="1489025A"/>
    <w:rsid w:val="15325191"/>
    <w:rsid w:val="1577290B"/>
    <w:rsid w:val="1586383D"/>
    <w:rsid w:val="15FC5BCD"/>
    <w:rsid w:val="160D1FDA"/>
    <w:rsid w:val="16133E5E"/>
    <w:rsid w:val="16302F81"/>
    <w:rsid w:val="164C7363"/>
    <w:rsid w:val="16B65E2B"/>
    <w:rsid w:val="17562ADF"/>
    <w:rsid w:val="17921E2F"/>
    <w:rsid w:val="17993E56"/>
    <w:rsid w:val="17BC58AB"/>
    <w:rsid w:val="19990586"/>
    <w:rsid w:val="1A0602EA"/>
    <w:rsid w:val="1A812401"/>
    <w:rsid w:val="1AF93CE3"/>
    <w:rsid w:val="1BFC6CC3"/>
    <w:rsid w:val="1C7C1EB6"/>
    <w:rsid w:val="1C817B9F"/>
    <w:rsid w:val="1CAC7FE6"/>
    <w:rsid w:val="1DA90161"/>
    <w:rsid w:val="1DE30DB3"/>
    <w:rsid w:val="1F187406"/>
    <w:rsid w:val="1FF93973"/>
    <w:rsid w:val="20995391"/>
    <w:rsid w:val="20B81B4B"/>
    <w:rsid w:val="21282075"/>
    <w:rsid w:val="21D627A8"/>
    <w:rsid w:val="22A53EBB"/>
    <w:rsid w:val="23AD21E9"/>
    <w:rsid w:val="23CB506F"/>
    <w:rsid w:val="242554C8"/>
    <w:rsid w:val="24AD7560"/>
    <w:rsid w:val="24E1111B"/>
    <w:rsid w:val="24F675AF"/>
    <w:rsid w:val="250309EA"/>
    <w:rsid w:val="255B747B"/>
    <w:rsid w:val="262F2952"/>
    <w:rsid w:val="26C20E41"/>
    <w:rsid w:val="26F058DC"/>
    <w:rsid w:val="274618E3"/>
    <w:rsid w:val="27715F5E"/>
    <w:rsid w:val="28084236"/>
    <w:rsid w:val="28716EFA"/>
    <w:rsid w:val="291659B2"/>
    <w:rsid w:val="298D7034"/>
    <w:rsid w:val="299C04E7"/>
    <w:rsid w:val="2A241B69"/>
    <w:rsid w:val="2ACD6E12"/>
    <w:rsid w:val="2AF97AD0"/>
    <w:rsid w:val="2B5252AC"/>
    <w:rsid w:val="2B694EC9"/>
    <w:rsid w:val="2B7874B7"/>
    <w:rsid w:val="2BC8683E"/>
    <w:rsid w:val="2BD8709E"/>
    <w:rsid w:val="2BE11C14"/>
    <w:rsid w:val="2C0E0D23"/>
    <w:rsid w:val="2C1134D3"/>
    <w:rsid w:val="2C566B76"/>
    <w:rsid w:val="2CC51310"/>
    <w:rsid w:val="2D07550B"/>
    <w:rsid w:val="2D4227EC"/>
    <w:rsid w:val="2D8214F4"/>
    <w:rsid w:val="2DA7679B"/>
    <w:rsid w:val="2DD3689C"/>
    <w:rsid w:val="2DF41ABE"/>
    <w:rsid w:val="2FD82C2E"/>
    <w:rsid w:val="30D03C68"/>
    <w:rsid w:val="31120C66"/>
    <w:rsid w:val="31EA386E"/>
    <w:rsid w:val="32290665"/>
    <w:rsid w:val="32E15A65"/>
    <w:rsid w:val="34666027"/>
    <w:rsid w:val="35047229"/>
    <w:rsid w:val="35133FF2"/>
    <w:rsid w:val="35CC4F9D"/>
    <w:rsid w:val="35FA1A5A"/>
    <w:rsid w:val="36320B42"/>
    <w:rsid w:val="36F6488E"/>
    <w:rsid w:val="37114F57"/>
    <w:rsid w:val="37541FBF"/>
    <w:rsid w:val="376665A9"/>
    <w:rsid w:val="387633F7"/>
    <w:rsid w:val="39474E38"/>
    <w:rsid w:val="3C263095"/>
    <w:rsid w:val="3C37572C"/>
    <w:rsid w:val="3DBE51F4"/>
    <w:rsid w:val="3E561EDD"/>
    <w:rsid w:val="3E8F178D"/>
    <w:rsid w:val="3EBA1C45"/>
    <w:rsid w:val="3EFF6336"/>
    <w:rsid w:val="3F8955E2"/>
    <w:rsid w:val="3FA32B62"/>
    <w:rsid w:val="3FF52FF7"/>
    <w:rsid w:val="416E58B5"/>
    <w:rsid w:val="41B60C35"/>
    <w:rsid w:val="42A321BA"/>
    <w:rsid w:val="42AF6223"/>
    <w:rsid w:val="435B5C8B"/>
    <w:rsid w:val="43601601"/>
    <w:rsid w:val="443A18C0"/>
    <w:rsid w:val="44546201"/>
    <w:rsid w:val="44D52909"/>
    <w:rsid w:val="451E6F60"/>
    <w:rsid w:val="45244DEA"/>
    <w:rsid w:val="45662A9B"/>
    <w:rsid w:val="46D069DB"/>
    <w:rsid w:val="46E7675E"/>
    <w:rsid w:val="470632A8"/>
    <w:rsid w:val="47D91D8D"/>
    <w:rsid w:val="47F54DD0"/>
    <w:rsid w:val="485129D4"/>
    <w:rsid w:val="48635B9B"/>
    <w:rsid w:val="48687F8B"/>
    <w:rsid w:val="48AF080C"/>
    <w:rsid w:val="48F02D24"/>
    <w:rsid w:val="48F44CB0"/>
    <w:rsid w:val="49A719F8"/>
    <w:rsid w:val="4A391992"/>
    <w:rsid w:val="4A7F1CA4"/>
    <w:rsid w:val="4AEB6C72"/>
    <w:rsid w:val="4AF470D3"/>
    <w:rsid w:val="4C113007"/>
    <w:rsid w:val="4C981BA5"/>
    <w:rsid w:val="4CA76874"/>
    <w:rsid w:val="4D72553A"/>
    <w:rsid w:val="4DDA05B4"/>
    <w:rsid w:val="4DDF729F"/>
    <w:rsid w:val="4E2A19CF"/>
    <w:rsid w:val="4E4C452A"/>
    <w:rsid w:val="4E5E5E11"/>
    <w:rsid w:val="4E747091"/>
    <w:rsid w:val="4E98699E"/>
    <w:rsid w:val="4EC56BC8"/>
    <w:rsid w:val="4ED23FAB"/>
    <w:rsid w:val="4ED4505D"/>
    <w:rsid w:val="50221520"/>
    <w:rsid w:val="50445DD2"/>
    <w:rsid w:val="51A4105B"/>
    <w:rsid w:val="51A73BDA"/>
    <w:rsid w:val="521E6D6F"/>
    <w:rsid w:val="52726854"/>
    <w:rsid w:val="52AF0E96"/>
    <w:rsid w:val="53201D9E"/>
    <w:rsid w:val="53582DD5"/>
    <w:rsid w:val="538A7402"/>
    <w:rsid w:val="53A776AF"/>
    <w:rsid w:val="54674D33"/>
    <w:rsid w:val="548F1378"/>
    <w:rsid w:val="55082CF1"/>
    <w:rsid w:val="55F93E70"/>
    <w:rsid w:val="5623033B"/>
    <w:rsid w:val="564E221E"/>
    <w:rsid w:val="5658445F"/>
    <w:rsid w:val="568F6108"/>
    <w:rsid w:val="57AB3143"/>
    <w:rsid w:val="584D6A47"/>
    <w:rsid w:val="58617CCB"/>
    <w:rsid w:val="58A321B7"/>
    <w:rsid w:val="58A452FC"/>
    <w:rsid w:val="58A758D2"/>
    <w:rsid w:val="58D76A1B"/>
    <w:rsid w:val="59076B22"/>
    <w:rsid w:val="59232E69"/>
    <w:rsid w:val="59D406CA"/>
    <w:rsid w:val="5A4B59E1"/>
    <w:rsid w:val="5A6E3589"/>
    <w:rsid w:val="5A9647D7"/>
    <w:rsid w:val="5A9814EF"/>
    <w:rsid w:val="5B240D2B"/>
    <w:rsid w:val="5B245060"/>
    <w:rsid w:val="5BA934CB"/>
    <w:rsid w:val="5C8E6CC1"/>
    <w:rsid w:val="5D453D32"/>
    <w:rsid w:val="5D585F58"/>
    <w:rsid w:val="5D6F1865"/>
    <w:rsid w:val="5E55246A"/>
    <w:rsid w:val="5F0B7BE8"/>
    <w:rsid w:val="5FA32AF4"/>
    <w:rsid w:val="5FA82935"/>
    <w:rsid w:val="603C7BC2"/>
    <w:rsid w:val="60423FDD"/>
    <w:rsid w:val="614B10EF"/>
    <w:rsid w:val="62030FF2"/>
    <w:rsid w:val="625546C7"/>
    <w:rsid w:val="635941B3"/>
    <w:rsid w:val="6429050D"/>
    <w:rsid w:val="64A305A4"/>
    <w:rsid w:val="64C02086"/>
    <w:rsid w:val="658925AF"/>
    <w:rsid w:val="67145F6E"/>
    <w:rsid w:val="6772399F"/>
    <w:rsid w:val="6780006F"/>
    <w:rsid w:val="684D2239"/>
    <w:rsid w:val="68556D5D"/>
    <w:rsid w:val="689C77C3"/>
    <w:rsid w:val="68B72DD1"/>
    <w:rsid w:val="68E3749B"/>
    <w:rsid w:val="69BE6F9C"/>
    <w:rsid w:val="6A274C05"/>
    <w:rsid w:val="6A4B0471"/>
    <w:rsid w:val="6A9B6E5E"/>
    <w:rsid w:val="6BEE02A6"/>
    <w:rsid w:val="6C2D4552"/>
    <w:rsid w:val="6D526662"/>
    <w:rsid w:val="6D971A88"/>
    <w:rsid w:val="6DB629AF"/>
    <w:rsid w:val="6E7F2BD8"/>
    <w:rsid w:val="6EB3099A"/>
    <w:rsid w:val="6EFB13D7"/>
    <w:rsid w:val="6F32730A"/>
    <w:rsid w:val="6FAA2C9A"/>
    <w:rsid w:val="70466C1E"/>
    <w:rsid w:val="705C256B"/>
    <w:rsid w:val="7139323E"/>
    <w:rsid w:val="718F4A08"/>
    <w:rsid w:val="73E836B1"/>
    <w:rsid w:val="743D52CE"/>
    <w:rsid w:val="7453486F"/>
    <w:rsid w:val="752E6281"/>
    <w:rsid w:val="76CE06C3"/>
    <w:rsid w:val="77B36564"/>
    <w:rsid w:val="783919C4"/>
    <w:rsid w:val="78D00495"/>
    <w:rsid w:val="78FA1F51"/>
    <w:rsid w:val="790B2F23"/>
    <w:rsid w:val="795067BF"/>
    <w:rsid w:val="797D7F1B"/>
    <w:rsid w:val="79FA6E97"/>
    <w:rsid w:val="7A597865"/>
    <w:rsid w:val="7B1665E7"/>
    <w:rsid w:val="7BC06797"/>
    <w:rsid w:val="7BFE5B74"/>
    <w:rsid w:val="7C4A0BE1"/>
    <w:rsid w:val="7C6737CC"/>
    <w:rsid w:val="7CA8537C"/>
    <w:rsid w:val="7CC01DE0"/>
    <w:rsid w:val="7D7178C9"/>
    <w:rsid w:val="7D8A3184"/>
    <w:rsid w:val="7DB879AC"/>
    <w:rsid w:val="7DC014D7"/>
    <w:rsid w:val="7DD30733"/>
    <w:rsid w:val="7E0C7ECD"/>
    <w:rsid w:val="7E101204"/>
    <w:rsid w:val="7E7976F3"/>
    <w:rsid w:val="7E7B76A5"/>
    <w:rsid w:val="7ECD54EC"/>
    <w:rsid w:val="7F4D74FA"/>
    <w:rsid w:val="7F6A7154"/>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2"/>
    <w:autoRedefine/>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link w:val="39"/>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1"/>
    <w:autoRedefine/>
    <w:qFormat/>
    <w:uiPriority w:val="0"/>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8">
    <w:name w:val="Table Grid"/>
    <w:basedOn w:val="17"/>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character" w:customStyle="1" w:styleId="31">
    <w:name w:val="批注框文本 Char"/>
    <w:basedOn w:val="19"/>
    <w:link w:val="11"/>
    <w:autoRedefine/>
    <w:qFormat/>
    <w:uiPriority w:val="0"/>
    <w:rPr>
      <w:rFonts w:ascii="Times New Roman" w:hAnsi="Times New Roman" w:eastAsia="宋体" w:cs="Times New Roman"/>
      <w:kern w:val="2"/>
      <w:sz w:val="18"/>
      <w:szCs w:val="18"/>
    </w:rPr>
  </w:style>
  <w:style w:type="character" w:customStyle="1" w:styleId="32">
    <w:name w:val="标题 3 Char"/>
    <w:basedOn w:val="19"/>
    <w:link w:val="4"/>
    <w:autoRedefine/>
    <w:semiHidden/>
    <w:qFormat/>
    <w:uiPriority w:val="0"/>
    <w:rPr>
      <w:rFonts w:ascii="Times New Roman" w:hAnsi="Times New Roman" w:eastAsia="宋体" w:cs="Times New Roman"/>
      <w:b/>
      <w:bCs/>
      <w:kern w:val="2"/>
      <w:sz w:val="32"/>
      <w:szCs w:val="32"/>
    </w:rPr>
  </w:style>
  <w:style w:type="paragraph" w:customStyle="1" w:styleId="33">
    <w:name w:val="--规划正文"/>
    <w:basedOn w:val="1"/>
    <w:autoRedefine/>
    <w:qFormat/>
    <w:uiPriority w:val="0"/>
    <w:pPr>
      <w:spacing w:line="360" w:lineRule="auto"/>
      <w:ind w:firstLine="200" w:firstLineChars="200"/>
    </w:pPr>
    <w:rPr>
      <w:rFonts w:ascii="宋体"/>
      <w:kern w:val="0"/>
      <w:sz w:val="24"/>
      <w:szCs w:val="20"/>
    </w:rPr>
  </w:style>
  <w:style w:type="paragraph" w:customStyle="1" w:styleId="3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autoRedefine/>
    <w:qFormat/>
    <w:uiPriority w:val="99"/>
    <w:rPr>
      <w:rFonts w:ascii="Times New Roman" w:hAnsi="Times New Roman" w:eastAsia="宋体" w:cs="Times New Roman"/>
      <w:kern w:val="2"/>
      <w:sz w:val="18"/>
      <w:szCs w:val="18"/>
    </w:rPr>
  </w:style>
  <w:style w:type="paragraph" w:customStyle="1" w:styleId="38">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7"/>
    <w:autoRedefine/>
    <w:qFormat/>
    <w:uiPriority w:val="0"/>
    <w:rPr>
      <w:rFonts w:ascii="Times New Roman" w:hAnsi="Times New Roman" w:eastAsia="宋体" w:cs="Times New Roman"/>
      <w:kern w:val="2"/>
      <w:sz w:val="21"/>
      <w:szCs w:val="24"/>
    </w:rPr>
  </w:style>
  <w:style w:type="paragraph" w:customStyle="1" w:styleId="40">
    <w:name w:val="正文文本_0"/>
    <w:basedOn w:val="1"/>
    <w:autoRedefine/>
    <w:qFormat/>
    <w:uiPriority w:val="0"/>
    <w:pPr>
      <w:spacing w:after="120" w:line="276" w:lineRule="auto"/>
    </w:pPr>
    <w:rPr>
      <w:rFonts w:ascii="Tahoma" w:hAnsi="Tahoma"/>
      <w:kern w:val="0"/>
      <w:sz w:val="20"/>
      <w:szCs w:val="20"/>
    </w:rPr>
  </w:style>
  <w:style w:type="paragraph" w:customStyle="1" w:styleId="41">
    <w:name w:val="普通(网站)1"/>
    <w:basedOn w:val="1"/>
    <w:autoRedefine/>
    <w:qFormat/>
    <w:uiPriority w:val="0"/>
    <w:pPr>
      <w:widowControl/>
    </w:pPr>
    <w:rPr>
      <w:rFonts w:hAnsi="宋体"/>
      <w:sz w:val="15"/>
      <w:szCs w:val="15"/>
    </w:rPr>
  </w:style>
  <w:style w:type="character" w:customStyle="1" w:styleId="42">
    <w:name w:val="p141"/>
    <w:autoRedefine/>
    <w:qFormat/>
    <w:uiPriority w:val="99"/>
    <w:rPr>
      <w:sz w:val="21"/>
    </w:rPr>
  </w:style>
  <w:style w:type="character" w:customStyle="1" w:styleId="43">
    <w:name w:val="标题 2 Char1"/>
    <w:link w:val="3"/>
    <w:autoRedefine/>
    <w:qFormat/>
    <w:locked/>
    <w:uiPriority w:val="0"/>
    <w:rPr>
      <w:rFonts w:ascii="Arial" w:hAnsi="Arial" w:eastAsia="黑体"/>
      <w:b/>
      <w:bCs/>
      <w:sz w:val="32"/>
      <w:szCs w:val="32"/>
    </w:rPr>
  </w:style>
  <w:style w:type="paragraph" w:customStyle="1" w:styleId="44">
    <w:name w:val="表格文字"/>
    <w:basedOn w:val="45"/>
    <w:autoRedefine/>
    <w:qFormat/>
    <w:uiPriority w:val="0"/>
    <w:pPr>
      <w:spacing w:before="25" w:after="25"/>
    </w:pPr>
    <w:rPr>
      <w:bCs/>
      <w:spacing w:val="10"/>
    </w:rPr>
  </w:style>
  <w:style w:type="paragraph" w:customStyle="1" w:styleId="45">
    <w:name w:val="正文 New New New New New New New New New New New New New New New New New New New New New New New New New New New New New New New New New New New New"/>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ull3"/>
    <w:qFormat/>
    <w:uiPriority w:val="0"/>
    <w:rPr>
      <w:rFonts w:hint="eastAsia" w:ascii="Calibri" w:hAnsi="Calibri" w:eastAsia="宋体" w:cs="Times New Roman"/>
      <w:lang w:val="en-US" w:eastAsia="zh-Hans" w:bidi="ar-SA"/>
    </w:rPr>
  </w:style>
  <w:style w:type="paragraph" w:customStyle="1" w:styleId="47">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34</Pages>
  <Words>7677</Words>
  <Characters>8179</Characters>
  <Lines>93</Lines>
  <Paragraphs>26</Paragraphs>
  <TotalTime>31</TotalTime>
  <ScaleCrop>false</ScaleCrop>
  <LinksUpToDate>false</LinksUpToDate>
  <CharactersWithSpaces>8234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2025-05-16T06:55:52Z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