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7040"/>
      <w:bookmarkStart w:id="2" w:name="_Toc15365"/>
      <w:bookmarkStart w:id="3" w:name="_Toc14315"/>
      <w:bookmarkStart w:id="4" w:name="_Toc16091"/>
      <w:bookmarkStart w:id="5" w:name="_Toc3493"/>
      <w:bookmarkStart w:id="6" w:name="_Toc15189"/>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银医合作服务项目（</w:t>
      </w:r>
      <w:r>
        <w:rPr>
          <w:rFonts w:hint="eastAsia" w:ascii="宋体" w:hAnsi="宋体"/>
          <w:b/>
          <w:color w:val="auto"/>
          <w:kern w:val="0"/>
          <w:sz w:val="44"/>
          <w:szCs w:val="44"/>
          <w:highlight w:val="none"/>
          <w:lang w:val="en-US" w:eastAsia="zh-CN"/>
        </w:rPr>
        <w:t>二次</w:t>
      </w:r>
      <w:r>
        <w:rPr>
          <w:rFonts w:hint="eastAsia" w:ascii="宋体" w:hAnsi="宋体"/>
          <w:b/>
          <w:color w:val="auto"/>
          <w:kern w:val="0"/>
          <w:sz w:val="44"/>
          <w:szCs w:val="44"/>
          <w:highlight w:val="none"/>
          <w:lang w:eastAsia="zh-CN"/>
        </w:rPr>
        <w:t>）</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NYWYF20250003</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35E1E58">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4"/>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银医合作服务项目（二次）</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4"/>
        <w:numPr>
          <w:ilvl w:val="0"/>
          <w:numId w:val="2"/>
        </w:numPr>
        <w:jc w:val="center"/>
        <w:rPr>
          <w:rFonts w:hint="eastAsia"/>
        </w:rPr>
      </w:pPr>
      <w:bookmarkStart w:id="13" w:name="_Toc31759"/>
      <w:r>
        <w:rPr>
          <w:rFonts w:hint="eastAsia"/>
        </w:rPr>
        <w:t>供应商报名需提供资料目录</w:t>
      </w:r>
      <w:bookmarkEnd w:id="13"/>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3.供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C6E9C5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kern w:val="2"/>
          <w:sz w:val="24"/>
          <w:szCs w:val="24"/>
          <w:lang w:val="en-US" w:eastAsia="zh-CN" w:bidi="ar-SA"/>
        </w:rPr>
      </w:pPr>
      <w:r>
        <w:rPr>
          <w:rFonts w:hint="eastAsia" w:ascii="宋体" w:hAnsi="宋体" w:cs="宋体"/>
          <w:b w:val="0"/>
          <w:bCs/>
          <w:color w:val="auto"/>
          <w:kern w:val="0"/>
          <w:sz w:val="24"/>
          <w:szCs w:val="24"/>
          <w:lang w:val="en-US" w:eastAsia="zh-CN"/>
        </w:rPr>
        <w:t>4.</w:t>
      </w:r>
      <w:r>
        <w:rPr>
          <w:rFonts w:hint="eastAsia" w:ascii="宋体" w:hAnsi="宋体" w:eastAsia="宋体" w:cs="宋体"/>
          <w:b w:val="0"/>
          <w:bCs/>
          <w:color w:val="auto"/>
          <w:kern w:val="0"/>
          <w:sz w:val="24"/>
          <w:szCs w:val="24"/>
          <w:lang w:val="en-US" w:eastAsia="zh-CN"/>
        </w:rPr>
        <w:t xml:space="preserve"> </w:t>
      </w:r>
      <w:r>
        <w:rPr>
          <w:rFonts w:hint="eastAsia" w:ascii="宋体" w:hAnsi="宋体" w:eastAsia="宋体" w:cs="Times New Roman"/>
          <w:kern w:val="2"/>
          <w:sz w:val="24"/>
          <w:szCs w:val="24"/>
          <w:lang w:val="en-US" w:eastAsia="zh-CN" w:bidi="ar-SA"/>
        </w:rPr>
        <w:t>在中华人民共和国境内依法设立的银行机构，并具备以下基本条件：</w:t>
      </w:r>
    </w:p>
    <w:p w14:paraId="3B56268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（1）在从化地区设有分支机构。</w:t>
      </w:r>
      <w:r>
        <w:rPr>
          <w:rFonts w:hint="eastAsia" w:ascii="宋体" w:hAnsi="宋体" w:eastAsia="宋体" w:cs="Times New Roman"/>
          <w:b/>
          <w:bCs/>
          <w:kern w:val="2"/>
          <w:sz w:val="24"/>
          <w:szCs w:val="24"/>
          <w:lang w:val="en-US" w:eastAsia="zh-CN" w:bidi="ar-SA"/>
        </w:rPr>
        <w:t>(提供营业执照副本复印件，并加盖公章)</w:t>
      </w:r>
    </w:p>
    <w:p w14:paraId="0433FCD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（2）内部管理机制健全，具有履行合同所必需的设备和专业技术能力，有良好的信誉，支持医院发展，资金实力雄厚，财务状况良好，具有较强的风险控制能力，近三年内未发生金融风险及重大违约事件。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Times New Roman"/>
          <w:b/>
          <w:bCs/>
          <w:kern w:val="2"/>
          <w:sz w:val="24"/>
          <w:szCs w:val="24"/>
          <w:lang w:val="en-US" w:eastAsia="zh-CN" w:bidi="ar-SA"/>
        </w:rPr>
        <w:t>（需提供相关证明材料或出具书面声明，并加盖公章）</w:t>
      </w:r>
    </w:p>
    <w:p w14:paraId="4196BAF8">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2.提供总行或分行针对本项目唯一授权书。</w:t>
      </w:r>
      <w:r>
        <w:rPr>
          <w:rFonts w:hint="eastAsia" w:ascii="宋体" w:hAnsi="宋体" w:eastAsia="宋体" w:cs="Times New Roman"/>
          <w:b/>
          <w:bCs/>
          <w:kern w:val="2"/>
          <w:sz w:val="24"/>
          <w:szCs w:val="24"/>
          <w:lang w:val="en-US" w:eastAsia="zh-CN" w:bidi="ar-SA"/>
        </w:rPr>
        <w:t>（提供相关证明材料，格式自拟，并加盖公章）</w:t>
      </w:r>
    </w:p>
    <w:p w14:paraId="2C07BE6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3.单位负责人为同一人或者存在直接控股、管理关系的不同参会银行，不得参加同一合同项下的采购活动。</w:t>
      </w:r>
      <w:r>
        <w:rPr>
          <w:rFonts w:hint="eastAsia" w:ascii="宋体" w:hAnsi="宋体" w:eastAsia="宋体" w:cs="Times New Roman"/>
          <w:b/>
          <w:bCs/>
          <w:kern w:val="2"/>
          <w:sz w:val="24"/>
          <w:szCs w:val="24"/>
          <w:lang w:val="en-US" w:eastAsia="zh-CN" w:bidi="ar-SA"/>
        </w:rPr>
        <w:t>（提供声明函，格式自拟，并加盖公章）</w:t>
      </w:r>
    </w:p>
    <w:p w14:paraId="6407D9C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4. 本项目不接受联合体。</w:t>
      </w:r>
      <w:r>
        <w:rPr>
          <w:rFonts w:hint="eastAsia" w:ascii="宋体" w:hAnsi="宋体" w:eastAsia="宋体" w:cs="Times New Roman"/>
          <w:b/>
          <w:bCs/>
          <w:kern w:val="2"/>
          <w:sz w:val="24"/>
          <w:szCs w:val="24"/>
          <w:lang w:val="en-US" w:eastAsia="zh-CN" w:bidi="ar-SA"/>
        </w:rPr>
        <w:t>（提供声明函，格式自拟，并加盖公章）</w:t>
      </w:r>
    </w:p>
    <w:p w14:paraId="26E9789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kern w:val="2"/>
          <w:sz w:val="24"/>
          <w:szCs w:val="24"/>
          <w:lang w:val="en-US" w:eastAsia="zh-CN" w:bidi="ar-SA"/>
        </w:rPr>
      </w:pPr>
    </w:p>
    <w:p w14:paraId="34F5D6C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771C6D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053CAAB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4CDFCE3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669F02CB">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B35A57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6ADE383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0AAF23D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7DD45FD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2877921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57567F0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221D434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53571A7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3A149CB2">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158723A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2B560ACA">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0F59460">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0A38254F">
      <w:pPr>
        <w:pStyle w:val="2"/>
        <w:rPr>
          <w:rFonts w:hint="eastAsia" w:ascii="宋体" w:hAnsi="宋体" w:eastAsia="宋体" w:cs="宋体"/>
          <w:b/>
          <w:bCs w:val="0"/>
          <w:color w:val="auto"/>
          <w:kern w:val="0"/>
          <w:sz w:val="52"/>
          <w:szCs w:val="52"/>
          <w:lang w:val="en-US" w:eastAsia="zh-CN"/>
        </w:rPr>
      </w:pPr>
    </w:p>
    <w:p w14:paraId="4EE1DF33">
      <w:pPr>
        <w:pStyle w:val="2"/>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3"/>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776111"/>
      <w:bookmarkStart w:id="15" w:name="_Toc1994"/>
      <w:bookmarkStart w:id="16" w:name="_Toc15870"/>
      <w:bookmarkStart w:id="17" w:name="_Toc40346216"/>
      <w:bookmarkStart w:id="18" w:name="_Toc8364"/>
      <w:bookmarkStart w:id="19" w:name="_Toc21249"/>
      <w:bookmarkStart w:id="20" w:name="_Toc12520"/>
      <w:bookmarkStart w:id="21" w:name="_Toc7291"/>
      <w:bookmarkStart w:id="22" w:name="_Toc29113"/>
      <w:bookmarkStart w:id="23" w:name="_Toc6547"/>
      <w:bookmarkStart w:id="24" w:name="_Toc28703"/>
      <w:bookmarkStart w:id="25" w:name="_Toc11305"/>
      <w:bookmarkStart w:id="26" w:name="_Toc40346375"/>
      <w:bookmarkStart w:id="27" w:name="_Toc3471"/>
      <w:bookmarkStart w:id="28" w:name="_Toc26267"/>
      <w:bookmarkStart w:id="29" w:name="_Toc435"/>
      <w:bookmarkStart w:id="30" w:name="_Toc110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27997"/>
      <w:bookmarkStart w:id="33" w:name="_Toc20884"/>
      <w:bookmarkStart w:id="34" w:name="_Toc40776112"/>
      <w:bookmarkStart w:id="35" w:name="_Toc17709"/>
      <w:bookmarkStart w:id="36" w:name="_Toc40346376"/>
      <w:bookmarkStart w:id="37" w:name="_Toc40346217"/>
      <w:bookmarkStart w:id="38" w:name="_Toc2916"/>
    </w:p>
    <w:p w14:paraId="550CB58F">
      <w:pPr>
        <w:widowControl/>
        <w:spacing w:line="360" w:lineRule="auto"/>
        <w:ind w:firstLine="600"/>
        <w:outlineLvl w:val="0"/>
        <w:rPr>
          <w:rFonts w:cs="宋体"/>
          <w:kern w:val="0"/>
          <w:sz w:val="30"/>
          <w:szCs w:val="30"/>
        </w:rPr>
      </w:pPr>
      <w:bookmarkStart w:id="39" w:name="_Toc31538"/>
      <w:bookmarkStart w:id="40" w:name="_Toc11485"/>
      <w:bookmarkStart w:id="41" w:name="_Toc29102"/>
      <w:bookmarkStart w:id="42" w:name="_Toc30979"/>
      <w:bookmarkStart w:id="43" w:name="_Toc2012"/>
      <w:bookmarkStart w:id="44" w:name="_Toc23097"/>
      <w:bookmarkStart w:id="45" w:name="_Toc19699"/>
      <w:bookmarkStart w:id="46" w:name="_Toc5238"/>
      <w:bookmarkStart w:id="47" w:name="_Toc202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1558"/>
      <w:bookmarkStart w:id="49" w:name="_Toc24763"/>
      <w:bookmarkStart w:id="50" w:name="_Toc14824"/>
      <w:bookmarkStart w:id="51" w:name="_Toc40776113"/>
      <w:bookmarkStart w:id="52" w:name="_Toc17930"/>
      <w:bookmarkStart w:id="53" w:name="_Toc29767"/>
      <w:bookmarkStart w:id="54" w:name="_Toc11141"/>
      <w:bookmarkStart w:id="55" w:name="_Toc7052"/>
      <w:bookmarkStart w:id="56" w:name="_Toc31993"/>
      <w:bookmarkStart w:id="57" w:name="_Toc40346377"/>
      <w:bookmarkStart w:id="58" w:name="_Toc40346218"/>
      <w:bookmarkStart w:id="59" w:name="_Toc12645"/>
      <w:bookmarkStart w:id="60" w:name="_Toc4013"/>
      <w:bookmarkStart w:id="61" w:name="_Toc21483"/>
      <w:bookmarkStart w:id="62" w:name="_Toc16794"/>
      <w:bookmarkStart w:id="63" w:name="_Toc28064"/>
      <w:bookmarkStart w:id="64" w:name="_Toc2786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0346219"/>
      <w:bookmarkStart w:id="66" w:name="_Toc6438"/>
      <w:bookmarkStart w:id="67" w:name="_Toc19831"/>
      <w:bookmarkStart w:id="68" w:name="_Toc14287"/>
      <w:bookmarkStart w:id="69" w:name="_Toc31197"/>
      <w:bookmarkStart w:id="70" w:name="_Toc40776114"/>
      <w:bookmarkStart w:id="71" w:name="_Toc16813"/>
      <w:bookmarkStart w:id="72" w:name="_Toc26029"/>
      <w:bookmarkStart w:id="73" w:name="_Toc27771"/>
      <w:bookmarkStart w:id="74" w:name="_Toc1324"/>
      <w:bookmarkStart w:id="75" w:name="_Toc9883"/>
      <w:bookmarkStart w:id="76" w:name="_Toc11334"/>
      <w:bookmarkStart w:id="77" w:name="_Toc17537"/>
      <w:bookmarkStart w:id="78" w:name="_Toc24651"/>
      <w:bookmarkStart w:id="79" w:name="_Toc4563"/>
      <w:bookmarkStart w:id="80" w:name="_Toc32709"/>
      <w:bookmarkStart w:id="81" w:name="_Toc40346378"/>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8353"/>
      <w:bookmarkStart w:id="83" w:name="_Toc40346220"/>
      <w:bookmarkStart w:id="84" w:name="_Toc27868"/>
      <w:bookmarkStart w:id="85" w:name="_Toc21686"/>
      <w:bookmarkStart w:id="86" w:name="_Toc5634"/>
      <w:bookmarkStart w:id="87" w:name="_Toc14586"/>
      <w:bookmarkStart w:id="88" w:name="_Toc5189"/>
      <w:bookmarkStart w:id="89" w:name="_Toc40776115"/>
      <w:bookmarkStart w:id="90" w:name="_Toc12650"/>
      <w:bookmarkStart w:id="91" w:name="_Toc40346379"/>
      <w:bookmarkStart w:id="92" w:name="_Toc20994"/>
      <w:bookmarkStart w:id="93" w:name="_Toc27206"/>
      <w:bookmarkStart w:id="94" w:name="_Toc13222"/>
      <w:bookmarkStart w:id="95" w:name="_Toc30336"/>
      <w:bookmarkStart w:id="96" w:name="_Toc17483"/>
      <w:bookmarkStart w:id="97" w:name="_Toc3895"/>
      <w:bookmarkStart w:id="98" w:name="_Toc21940"/>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30856"/>
      <w:bookmarkStart w:id="100" w:name="_Toc21449"/>
      <w:bookmarkStart w:id="101" w:name="_Toc32371"/>
      <w:bookmarkStart w:id="102" w:name="_Toc9282"/>
      <w:bookmarkStart w:id="103" w:name="_Toc27009"/>
      <w:bookmarkStart w:id="104" w:name="_Toc40776116"/>
      <w:bookmarkStart w:id="105" w:name="_Toc12127"/>
      <w:bookmarkStart w:id="106" w:name="_Toc27646"/>
      <w:bookmarkStart w:id="107" w:name="_Toc5220"/>
      <w:bookmarkStart w:id="108" w:name="_Toc40346380"/>
      <w:bookmarkStart w:id="109" w:name="_Toc14462"/>
      <w:bookmarkStart w:id="110" w:name="_Toc8526"/>
      <w:bookmarkStart w:id="111" w:name="_Toc11547"/>
      <w:bookmarkStart w:id="112" w:name="_Toc3498"/>
      <w:bookmarkStart w:id="113" w:name="_Toc10454"/>
      <w:bookmarkStart w:id="114" w:name="_Toc30904"/>
      <w:bookmarkStart w:id="115" w:name="_Toc4034622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31077"/>
      <w:bookmarkStart w:id="117" w:name="_Toc28747"/>
      <w:bookmarkStart w:id="118" w:name="_Toc21213"/>
      <w:bookmarkStart w:id="119" w:name="_Toc16728"/>
      <w:bookmarkStart w:id="120" w:name="_Toc6691"/>
      <w:bookmarkStart w:id="121" w:name="_Toc9697"/>
      <w:bookmarkStart w:id="122" w:name="_Toc10399"/>
      <w:bookmarkStart w:id="123" w:name="_Toc13184"/>
      <w:bookmarkStart w:id="124" w:name="_Toc15539"/>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18473BA2">
      <w:pPr>
        <w:pStyle w:val="24"/>
        <w:tabs>
          <w:tab w:val="left" w:pos="1050"/>
          <w:tab w:val="center" w:pos="4535"/>
        </w:tabs>
        <w:spacing w:line="360" w:lineRule="auto"/>
        <w:jc w:val="both"/>
        <w:outlineLvl w:val="0"/>
        <w:rPr>
          <w:b/>
          <w:bCs/>
          <w:sz w:val="32"/>
          <w:szCs w:val="32"/>
        </w:rPr>
      </w:pPr>
    </w:p>
    <w:p w14:paraId="6D93F3BF">
      <w:pPr>
        <w:pStyle w:val="23"/>
        <w:spacing w:line="360" w:lineRule="auto"/>
        <w:ind w:firstLine="0" w:firstLineChars="0"/>
        <w:rPr>
          <w:rFonts w:hint="eastAsia" w:ascii="宋体" w:hAnsi="宋体"/>
          <w:bCs/>
          <w:color w:val="auto"/>
          <w:sz w:val="24"/>
          <w:szCs w:val="24"/>
        </w:rPr>
      </w:pPr>
    </w:p>
    <w:p w14:paraId="38A7F69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在中华人民共和国境内依法设立的银行机构，并具备以下基本条件：</w:t>
      </w:r>
    </w:p>
    <w:p w14:paraId="6075167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（1）在从化地区设有分支机构。</w:t>
      </w:r>
      <w:r>
        <w:rPr>
          <w:rFonts w:hint="eastAsia" w:ascii="宋体" w:hAnsi="宋体" w:eastAsia="宋体" w:cs="Times New Roman"/>
          <w:b/>
          <w:bCs/>
          <w:kern w:val="2"/>
          <w:sz w:val="24"/>
          <w:szCs w:val="24"/>
          <w:lang w:val="en-US" w:eastAsia="zh-CN" w:bidi="ar-SA"/>
        </w:rPr>
        <w:t>(提供营业执照副本复印件，并加盖公章)</w:t>
      </w:r>
    </w:p>
    <w:p w14:paraId="1645F858">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（2）内部管理机制健全，具有履行合同所必需的设备和专业技术能力，有良好的信誉，支持医院发展，资金实力雄厚，财务状况良好，具有较强的风险控制能力，近三年内未发生金融风险及重大违约事件。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Times New Roman"/>
          <w:b/>
          <w:bCs/>
          <w:kern w:val="2"/>
          <w:sz w:val="24"/>
          <w:szCs w:val="24"/>
          <w:lang w:val="en-US" w:eastAsia="zh-CN" w:bidi="ar-SA"/>
        </w:rPr>
        <w:t>（需提供相关证明材料或出具书面声明，并加盖公章）</w:t>
      </w:r>
    </w:p>
    <w:p w14:paraId="5616749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kern w:val="2"/>
          <w:sz w:val="24"/>
          <w:szCs w:val="24"/>
          <w:lang w:val="en-US" w:eastAsia="zh-CN" w:bidi="ar-SA"/>
        </w:rPr>
      </w:pPr>
    </w:p>
    <w:p w14:paraId="298A0DC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kern w:val="2"/>
          <w:sz w:val="24"/>
          <w:szCs w:val="24"/>
          <w:lang w:val="en-US" w:eastAsia="zh-CN" w:bidi="ar-SA"/>
        </w:rPr>
      </w:pPr>
    </w:p>
    <w:p w14:paraId="25A0178A">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提供总行或分行针对本项目唯一授权书。</w:t>
      </w:r>
      <w:r>
        <w:rPr>
          <w:rFonts w:hint="eastAsia" w:ascii="宋体" w:hAnsi="宋体" w:eastAsia="宋体" w:cs="Times New Roman"/>
          <w:b/>
          <w:bCs/>
          <w:kern w:val="2"/>
          <w:sz w:val="24"/>
          <w:szCs w:val="24"/>
          <w:lang w:val="en-US" w:eastAsia="zh-CN" w:bidi="ar-SA"/>
        </w:rPr>
        <w:t>（提供相关证明材料，格式自拟，并加盖公章）</w:t>
      </w:r>
    </w:p>
    <w:p w14:paraId="5F700B5A">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kern w:val="2"/>
          <w:sz w:val="24"/>
          <w:szCs w:val="24"/>
          <w:lang w:val="en-US" w:eastAsia="zh-CN" w:bidi="ar-SA"/>
        </w:rPr>
      </w:pPr>
    </w:p>
    <w:p w14:paraId="0361492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单位负责人为同一人或者存在直接控股、管理关系的不同参会银行，不得参加同一合同项下的采购活动。</w:t>
      </w:r>
      <w:r>
        <w:rPr>
          <w:rFonts w:hint="eastAsia" w:ascii="宋体" w:hAnsi="宋体" w:eastAsia="宋体" w:cs="Times New Roman"/>
          <w:b/>
          <w:bCs/>
          <w:kern w:val="2"/>
          <w:sz w:val="24"/>
          <w:szCs w:val="24"/>
          <w:lang w:val="en-US" w:eastAsia="zh-CN" w:bidi="ar-SA"/>
        </w:rPr>
        <w:t>（提供声明函，格式自拟，并加盖公章）</w:t>
      </w:r>
    </w:p>
    <w:p w14:paraId="2B840D4A">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Times New Roman"/>
          <w:kern w:val="2"/>
          <w:sz w:val="24"/>
          <w:szCs w:val="24"/>
          <w:lang w:val="en-US" w:eastAsia="zh-CN" w:bidi="ar-SA"/>
        </w:rPr>
      </w:pPr>
    </w:p>
    <w:p w14:paraId="206DE0A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kern w:val="2"/>
          <w:sz w:val="24"/>
          <w:szCs w:val="24"/>
          <w:lang w:val="en-US" w:eastAsia="zh-CN" w:bidi="ar-SA"/>
        </w:rPr>
        <w:t>本项目不接受联合体。</w:t>
      </w:r>
      <w:r>
        <w:rPr>
          <w:rFonts w:hint="eastAsia" w:ascii="宋体" w:hAnsi="宋体" w:eastAsia="宋体" w:cs="Times New Roman"/>
          <w:b/>
          <w:bCs/>
          <w:kern w:val="2"/>
          <w:sz w:val="24"/>
          <w:szCs w:val="24"/>
          <w:lang w:val="en-US" w:eastAsia="zh-CN" w:bidi="ar-SA"/>
        </w:rPr>
        <w:t>（提供声明函，格式自拟，并加盖公章）</w:t>
      </w:r>
    </w:p>
    <w:p w14:paraId="56F24227">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79046386">
      <w:pPr>
        <w:pStyle w:val="24"/>
        <w:tabs>
          <w:tab w:val="left" w:pos="1050"/>
          <w:tab w:val="center" w:pos="4535"/>
        </w:tabs>
        <w:spacing w:line="360" w:lineRule="auto"/>
        <w:jc w:val="center"/>
        <w:outlineLvl w:val="0"/>
        <w:rPr>
          <w:b/>
          <w:bCs/>
          <w:sz w:val="32"/>
          <w:szCs w:val="32"/>
        </w:rPr>
      </w:pPr>
    </w:p>
    <w:p w14:paraId="09E6E4ED">
      <w:pPr>
        <w:pStyle w:val="24"/>
        <w:tabs>
          <w:tab w:val="left" w:pos="1050"/>
          <w:tab w:val="center" w:pos="4535"/>
        </w:tabs>
        <w:spacing w:line="360" w:lineRule="auto"/>
        <w:jc w:val="center"/>
        <w:outlineLvl w:val="0"/>
        <w:rPr>
          <w:b/>
          <w:bCs/>
          <w:sz w:val="32"/>
          <w:szCs w:val="32"/>
        </w:rPr>
      </w:pPr>
    </w:p>
    <w:p w14:paraId="11B43095">
      <w:pPr>
        <w:pStyle w:val="24"/>
        <w:tabs>
          <w:tab w:val="left" w:pos="1050"/>
          <w:tab w:val="center" w:pos="4535"/>
        </w:tabs>
        <w:spacing w:line="360" w:lineRule="auto"/>
        <w:jc w:val="center"/>
        <w:outlineLvl w:val="0"/>
        <w:rPr>
          <w:b/>
          <w:bCs/>
          <w:sz w:val="32"/>
          <w:szCs w:val="32"/>
        </w:rPr>
      </w:pPr>
    </w:p>
    <w:p w14:paraId="14A0E8A4">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039B4D5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bookmarkStart w:id="138" w:name="_GoBack"/>
      <w:bookmarkEnd w:id="138"/>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020"/>
      <w:bookmarkStart w:id="130" w:name="_Toc20854"/>
      <w:bookmarkStart w:id="131" w:name="_Toc3241"/>
      <w:bookmarkStart w:id="132" w:name="_Toc14853"/>
      <w:bookmarkStart w:id="133" w:name="_Toc7276"/>
      <w:bookmarkStart w:id="134" w:name="_Toc15050"/>
      <w:bookmarkStart w:id="135" w:name="_Toc18443"/>
      <w:bookmarkStart w:id="136" w:name="_Toc3758"/>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bookmarkEnd w:id="125"/>
    <w:bookmarkEnd w:id="126"/>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A266D6A"/>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838F3"/>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42B06F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A10E52"/>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D2A177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4"/>
    <w:autoRedefine/>
    <w:qFormat/>
    <w:uiPriority w:val="0"/>
    <w:rPr>
      <w:rFonts w:ascii="Arial" w:hAnsi="Arial" w:eastAsia="黑体" w:cs="Times New Roman"/>
      <w:b/>
      <w:bCs/>
      <w:sz w:val="32"/>
      <w:szCs w:val="32"/>
    </w:rPr>
  </w:style>
  <w:style w:type="character" w:customStyle="1" w:styleId="21">
    <w:name w:val="正文缩进 Char"/>
    <w:link w:val="2"/>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1827</Words>
  <Characters>1909</Characters>
  <Lines>18</Lines>
  <Paragraphs>5</Paragraphs>
  <TotalTime>1</TotalTime>
  <ScaleCrop>false</ScaleCrop>
  <LinksUpToDate>false</LinksUpToDate>
  <CharactersWithSpaces>2352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2025-02-26T08:03:58Z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