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6091"/>
      <w:bookmarkStart w:id="3" w:name="_Toc15553"/>
      <w:bookmarkStart w:id="4" w:name="_Toc3493"/>
      <w:bookmarkStart w:id="5" w:name="_Toc14315"/>
      <w:bookmarkStart w:id="6" w:name="_Toc15189"/>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影像诊断科3.0T MRI失超紧急维修项目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NYWYF20250004</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F0F4613">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影像诊断科3.0T MRI失超紧急维修项目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04</w:t>
      </w:r>
      <w:bookmarkStart w:id="138" w:name="_GoBack"/>
      <w:bookmarkEnd w:id="138"/>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C8AF00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cs="Times New Roman"/>
          <w:color w:val="auto"/>
          <w:sz w:val="24"/>
          <w:szCs w:val="24"/>
          <w:lang w:val="en-US" w:eastAsia="zh-CN"/>
        </w:rPr>
        <w:t>5.具有良好的商业信誉和健全的财务会计制度，提供2023年至今经审计的财务报告或者提供其银行基本账户出具的银行资信证明。</w:t>
      </w:r>
      <w:r>
        <w:rPr>
          <w:rFonts w:hint="eastAsia" w:ascii="宋体" w:hAnsi="宋体" w:cs="Times New Roman"/>
          <w:b/>
          <w:bCs/>
          <w:color w:val="auto"/>
          <w:sz w:val="24"/>
          <w:szCs w:val="24"/>
          <w:lang w:val="en-US" w:eastAsia="zh-CN"/>
        </w:rPr>
        <w:t>（提供相关证明材料，并加盖供应商公章）</w:t>
      </w:r>
    </w:p>
    <w:p w14:paraId="4D9A5EF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6.具有履行合同所必需的设备和专业技术能力。</w:t>
      </w:r>
      <w:r>
        <w:rPr>
          <w:rFonts w:hint="eastAsia" w:ascii="宋体" w:hAnsi="宋体" w:cs="Times New Roman"/>
          <w:b/>
          <w:bCs/>
          <w:color w:val="auto"/>
          <w:sz w:val="24"/>
          <w:szCs w:val="24"/>
          <w:lang w:val="en-US" w:eastAsia="zh-CN"/>
        </w:rPr>
        <w:t>（提供填报设备及专业技术能力情况或者提供声明函，格式自拟，并加盖供应商公章）</w:t>
      </w:r>
    </w:p>
    <w:p w14:paraId="444FABE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cs="Times New Roman"/>
          <w:color w:val="auto"/>
          <w:sz w:val="24"/>
          <w:szCs w:val="24"/>
          <w:lang w:val="en-US" w:eastAsia="zh-CN"/>
        </w:rPr>
        <w:t>7.具有依法缴纳税收和社会保障资金的良好记录。</w:t>
      </w:r>
      <w:r>
        <w:rPr>
          <w:rFonts w:hint="eastAsia" w:ascii="宋体" w:hAnsi="宋体" w:cs="Times New Roman"/>
          <w:b/>
          <w:bCs/>
          <w:color w:val="auto"/>
          <w:sz w:val="24"/>
          <w:szCs w:val="24"/>
          <w:lang w:val="en-US" w:eastAsia="zh-CN"/>
        </w:rPr>
        <w:t>（提供声明函，格式自拟，并加盖供应商公章）</w:t>
      </w:r>
    </w:p>
    <w:p w14:paraId="1CF414E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cs="Times New Roman"/>
          <w:color w:val="auto"/>
          <w:sz w:val="24"/>
          <w:szCs w:val="24"/>
          <w:lang w:val="en-US" w:eastAsia="zh-CN"/>
        </w:rPr>
        <w:t>8. 近三年以来参加采购经营活动中没有重大违法记录。</w:t>
      </w:r>
      <w:r>
        <w:rPr>
          <w:rFonts w:hint="eastAsia" w:ascii="宋体" w:hAnsi="宋体" w:cs="Times New Roman"/>
          <w:b/>
          <w:bCs/>
          <w:color w:val="auto"/>
          <w:sz w:val="24"/>
          <w:szCs w:val="24"/>
          <w:lang w:val="en-US" w:eastAsia="zh-CN"/>
        </w:rPr>
        <w:t>（提供声明函，格式自拟，并加盖供应商公章）</w:t>
      </w:r>
    </w:p>
    <w:p w14:paraId="7B70E66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cs="Times New Roman"/>
          <w:color w:val="auto"/>
          <w:sz w:val="24"/>
          <w:szCs w:val="24"/>
          <w:lang w:val="en-US" w:eastAsia="zh-CN"/>
        </w:rPr>
        <w:t>9.在“信用中国”网站（www.creditchina.gov.cn）、中国政府采购网（www.ccgp.gov.cn）没有被列入失信被执行人、重大税收违法案件当事人名单、政府采购严重违法失信行为记录名单及其他不符合规定条件的供应商名单。</w:t>
      </w:r>
      <w:r>
        <w:rPr>
          <w:rFonts w:hint="eastAsia" w:ascii="宋体" w:hAnsi="宋体" w:cs="Times New Roman"/>
          <w:b/>
          <w:bCs/>
          <w:color w:val="auto"/>
          <w:sz w:val="24"/>
          <w:szCs w:val="24"/>
          <w:lang w:val="en-US" w:eastAsia="zh-CN"/>
        </w:rPr>
        <w:t>（提供相关证明材料，并加盖供应商公章）</w:t>
      </w:r>
    </w:p>
    <w:p w14:paraId="7F11FE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r>
        <w:rPr>
          <w:rFonts w:hint="eastAsia" w:ascii="宋体" w:hAnsi="宋体" w:cs="Times New Roman"/>
          <w:color w:val="auto"/>
          <w:sz w:val="24"/>
          <w:szCs w:val="24"/>
          <w:lang w:val="en-US" w:eastAsia="zh-CN"/>
        </w:rPr>
        <w:t>10.法定代表人或单位负责人为同一人或者存在直接控股、管理关系的不同供应商，不得参加同一合同项下的采购活动。</w:t>
      </w:r>
      <w:r>
        <w:rPr>
          <w:rFonts w:hint="eastAsia" w:ascii="宋体" w:hAnsi="宋体" w:cs="Times New Roman"/>
          <w:b/>
          <w:bCs/>
          <w:color w:val="auto"/>
          <w:sz w:val="24"/>
          <w:szCs w:val="24"/>
          <w:lang w:val="en-US" w:eastAsia="zh-CN"/>
        </w:rPr>
        <w:t>（提供声明函，格式自拟，并加盖供应商公章）</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33908D9A">
      <w:pPr>
        <w:rPr>
          <w:rFonts w:hint="eastAsia"/>
        </w:rPr>
      </w:pPr>
    </w:p>
    <w:p w14:paraId="2C788DFC">
      <w:pPr>
        <w:rPr>
          <w:rFonts w:hint="eastAsia"/>
        </w:rPr>
      </w:pPr>
    </w:p>
    <w:p w14:paraId="448CC9F6">
      <w:pPr>
        <w:rPr>
          <w:rFonts w:hint="eastAsia"/>
        </w:rPr>
      </w:pPr>
    </w:p>
    <w:p w14:paraId="3F514452">
      <w:pPr>
        <w:pStyle w:val="3"/>
        <w:jc w:val="center"/>
        <w:rPr>
          <w:rFonts w:hint="eastAsia"/>
          <w:sz w:val="36"/>
          <w:szCs w:val="36"/>
        </w:rPr>
      </w:pPr>
    </w:p>
    <w:p w14:paraId="4DBC7EB1">
      <w:pPr>
        <w:pStyle w:val="3"/>
        <w:jc w:val="center"/>
        <w:rPr>
          <w:rFonts w:hint="eastAsia"/>
          <w:sz w:val="36"/>
          <w:szCs w:val="36"/>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56549B63">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2520"/>
      <w:bookmarkStart w:id="15" w:name="_Toc21249"/>
      <w:bookmarkStart w:id="16" w:name="_Toc29113"/>
      <w:bookmarkStart w:id="17" w:name="_Toc7291"/>
      <w:bookmarkStart w:id="18" w:name="_Toc40346375"/>
      <w:bookmarkStart w:id="19" w:name="_Toc6547"/>
      <w:bookmarkStart w:id="20" w:name="_Toc435"/>
      <w:bookmarkStart w:id="21" w:name="_Toc11305"/>
      <w:bookmarkStart w:id="22" w:name="_Toc26267"/>
      <w:bookmarkStart w:id="23" w:name="_Toc15870"/>
      <w:bookmarkStart w:id="24" w:name="_Toc1994"/>
      <w:bookmarkStart w:id="25" w:name="_Toc3471"/>
      <w:bookmarkStart w:id="26" w:name="_Toc8364"/>
      <w:bookmarkStart w:id="27" w:name="_Toc28703"/>
      <w:bookmarkStart w:id="28" w:name="_Toc40776111"/>
      <w:bookmarkStart w:id="29" w:name="_Toc40346216"/>
      <w:bookmarkStart w:id="30" w:name="_Toc110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40346217"/>
      <w:bookmarkStart w:id="33" w:name="_Toc27997"/>
      <w:bookmarkStart w:id="34" w:name="_Toc20884"/>
      <w:bookmarkStart w:id="35" w:name="_Toc1743"/>
      <w:bookmarkStart w:id="36" w:name="_Toc17709"/>
      <w:bookmarkStart w:id="37" w:name="_Toc40346376"/>
      <w:bookmarkStart w:id="38" w:name="_Toc40776112"/>
    </w:p>
    <w:p w14:paraId="550CB58F">
      <w:pPr>
        <w:widowControl/>
        <w:spacing w:line="360" w:lineRule="auto"/>
        <w:ind w:firstLine="600"/>
        <w:outlineLvl w:val="0"/>
        <w:rPr>
          <w:rFonts w:cs="宋体"/>
          <w:kern w:val="0"/>
          <w:sz w:val="30"/>
          <w:szCs w:val="30"/>
        </w:rPr>
      </w:pPr>
      <w:bookmarkStart w:id="39" w:name="_Toc29102"/>
      <w:bookmarkStart w:id="40" w:name="_Toc23097"/>
      <w:bookmarkStart w:id="41" w:name="_Toc19699"/>
      <w:bookmarkStart w:id="42" w:name="_Toc30979"/>
      <w:bookmarkStart w:id="43" w:name="_Toc2029"/>
      <w:bookmarkStart w:id="44" w:name="_Toc5238"/>
      <w:bookmarkStart w:id="45" w:name="_Toc31538"/>
      <w:bookmarkStart w:id="46" w:name="_Toc2012"/>
      <w:bookmarkStart w:id="47" w:name="_Toc11485"/>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141"/>
      <w:bookmarkStart w:id="49" w:name="_Toc28064"/>
      <w:bookmarkStart w:id="50" w:name="_Toc4013"/>
      <w:bookmarkStart w:id="51" w:name="_Toc40346377"/>
      <w:bookmarkStart w:id="52" w:name="_Toc17930"/>
      <w:bookmarkStart w:id="53" w:name="_Toc40776113"/>
      <w:bookmarkStart w:id="54" w:name="_Toc21483"/>
      <w:bookmarkStart w:id="55" w:name="_Toc14824"/>
      <w:bookmarkStart w:id="56" w:name="_Toc7052"/>
      <w:bookmarkStart w:id="57" w:name="_Toc24763"/>
      <w:bookmarkStart w:id="58" w:name="_Toc40346218"/>
      <w:bookmarkStart w:id="59" w:name="_Toc16794"/>
      <w:bookmarkStart w:id="60" w:name="_Toc11558"/>
      <w:bookmarkStart w:id="61" w:name="_Toc12645"/>
      <w:bookmarkStart w:id="62" w:name="_Toc31993"/>
      <w:bookmarkStart w:id="63" w:name="_Toc29767"/>
      <w:bookmarkStart w:id="64" w:name="_Toc278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6813"/>
      <w:bookmarkStart w:id="66" w:name="_Toc24651"/>
      <w:bookmarkStart w:id="67" w:name="_Toc40776114"/>
      <w:bookmarkStart w:id="68" w:name="_Toc27771"/>
      <w:bookmarkStart w:id="69" w:name="_Toc4563"/>
      <w:bookmarkStart w:id="70" w:name="_Toc17537"/>
      <w:bookmarkStart w:id="71" w:name="_Toc19831"/>
      <w:bookmarkStart w:id="72" w:name="_Toc31197"/>
      <w:bookmarkStart w:id="73" w:name="_Toc40346378"/>
      <w:bookmarkStart w:id="74" w:name="_Toc9883"/>
      <w:bookmarkStart w:id="75" w:name="_Toc1324"/>
      <w:bookmarkStart w:id="76" w:name="_Toc40346219"/>
      <w:bookmarkStart w:id="77" w:name="_Toc26029"/>
      <w:bookmarkStart w:id="78" w:name="_Toc11334"/>
      <w:bookmarkStart w:id="79" w:name="_Toc32709"/>
      <w:bookmarkStart w:id="80" w:name="_Toc14287"/>
      <w:bookmarkStart w:id="81" w:name="_Toc6438"/>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20994"/>
      <w:bookmarkStart w:id="84" w:name="_Toc40346379"/>
      <w:bookmarkStart w:id="85" w:name="_Toc27868"/>
      <w:bookmarkStart w:id="86" w:name="_Toc18353"/>
      <w:bookmarkStart w:id="87" w:name="_Toc5634"/>
      <w:bookmarkStart w:id="88" w:name="_Toc13222"/>
      <w:bookmarkStart w:id="89" w:name="_Toc21940"/>
      <w:bookmarkStart w:id="90" w:name="_Toc5189"/>
      <w:bookmarkStart w:id="91" w:name="_Toc21686"/>
      <w:bookmarkStart w:id="92" w:name="_Toc14586"/>
      <w:bookmarkStart w:id="93" w:name="_Toc12650"/>
      <w:bookmarkStart w:id="94" w:name="_Toc40346220"/>
      <w:bookmarkStart w:id="95" w:name="_Toc3895"/>
      <w:bookmarkStart w:id="96" w:name="_Toc30336"/>
      <w:bookmarkStart w:id="97" w:name="_Toc40776115"/>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776116"/>
      <w:bookmarkStart w:id="100" w:name="_Toc30904"/>
      <w:bookmarkStart w:id="101" w:name="_Toc21449"/>
      <w:bookmarkStart w:id="102" w:name="_Toc11547"/>
      <w:bookmarkStart w:id="103" w:name="_Toc9282"/>
      <w:bookmarkStart w:id="104" w:name="_Toc3498"/>
      <w:bookmarkStart w:id="105" w:name="_Toc40346380"/>
      <w:bookmarkStart w:id="106" w:name="_Toc12127"/>
      <w:bookmarkStart w:id="107" w:name="_Toc5220"/>
      <w:bookmarkStart w:id="108" w:name="_Toc10454"/>
      <w:bookmarkStart w:id="109" w:name="_Toc27646"/>
      <w:bookmarkStart w:id="110" w:name="_Toc14462"/>
      <w:bookmarkStart w:id="111" w:name="_Toc8526"/>
      <w:bookmarkStart w:id="112" w:name="_Toc32371"/>
      <w:bookmarkStart w:id="113" w:name="_Toc30856"/>
      <w:bookmarkStart w:id="114" w:name="_Toc27009"/>
      <w:bookmarkStart w:id="115" w:name="_Toc4034622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6691"/>
      <w:bookmarkStart w:id="117" w:name="_Toc28747"/>
      <w:bookmarkStart w:id="118" w:name="_Toc9697"/>
      <w:bookmarkStart w:id="119" w:name="_Toc21213"/>
      <w:bookmarkStart w:id="120" w:name="_Toc15539"/>
      <w:bookmarkStart w:id="121" w:name="_Toc10399"/>
      <w:bookmarkStart w:id="122" w:name="_Toc16728"/>
      <w:bookmarkStart w:id="123" w:name="_Toc13184"/>
      <w:bookmarkStart w:id="124" w:name="_Toc3107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679C026E">
      <w:pPr>
        <w:pStyle w:val="23"/>
        <w:spacing w:line="360" w:lineRule="auto"/>
        <w:ind w:firstLine="0" w:firstLineChars="0"/>
        <w:rPr>
          <w:rFonts w:hint="eastAsia" w:ascii="宋体" w:hAnsi="宋体"/>
          <w:bCs/>
          <w:color w:val="auto"/>
          <w:sz w:val="24"/>
          <w:szCs w:val="24"/>
        </w:rPr>
      </w:pPr>
    </w:p>
    <w:p w14:paraId="2102F019">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3241"/>
      <w:bookmarkStart w:id="130" w:name="_Toc3758"/>
      <w:bookmarkStart w:id="131" w:name="_Toc18443"/>
      <w:bookmarkStart w:id="132" w:name="_Toc14020"/>
      <w:bookmarkStart w:id="133" w:name="_Toc7276"/>
      <w:bookmarkStart w:id="134" w:name="_Toc15934"/>
      <w:bookmarkStart w:id="135" w:name="_Toc20854"/>
      <w:bookmarkStart w:id="136" w:name="_Toc15050"/>
      <w:bookmarkStart w:id="137" w:name="_Toc14853"/>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17A07F93">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bCs w:val="0"/>
          <w:color w:val="auto"/>
          <w:kern w:val="0"/>
          <w:sz w:val="24"/>
          <w:szCs w:val="24"/>
          <w:lang w:eastAsia="zh-CN"/>
        </w:rPr>
      </w:pPr>
      <w:r>
        <w:rPr>
          <w:rFonts w:hint="eastAsia" w:ascii="宋体" w:hAnsi="宋体" w:eastAsia="宋体" w:cs="宋体"/>
          <w:b w:val="0"/>
          <w:bCs/>
          <w:color w:val="auto"/>
          <w:kern w:val="0"/>
          <w:sz w:val="24"/>
          <w:szCs w:val="24"/>
          <w:lang w:val="en-US" w:eastAsia="zh-CN"/>
        </w:rPr>
        <w:t>具有良好的商业信誉和健全的财务会计制度，提供2023年</w:t>
      </w:r>
      <w:r>
        <w:rPr>
          <w:rFonts w:hint="eastAsia" w:ascii="宋体" w:hAnsi="宋体" w:cs="宋体"/>
          <w:b w:val="0"/>
          <w:bCs/>
          <w:color w:val="auto"/>
          <w:kern w:val="0"/>
          <w:sz w:val="24"/>
          <w:szCs w:val="24"/>
          <w:lang w:val="en-US" w:eastAsia="zh-CN"/>
        </w:rPr>
        <w:t>至今</w:t>
      </w:r>
      <w:r>
        <w:rPr>
          <w:rFonts w:hint="eastAsia" w:ascii="宋体" w:hAnsi="宋体" w:eastAsia="宋体" w:cs="宋体"/>
          <w:b w:val="0"/>
          <w:bCs/>
          <w:color w:val="auto"/>
          <w:kern w:val="0"/>
          <w:sz w:val="24"/>
          <w:szCs w:val="24"/>
          <w:lang w:val="en-US" w:eastAsia="zh-CN"/>
        </w:rPr>
        <w:t>经审计的财务报告或者提供其银行基本账户出具的银行资信证明；</w:t>
      </w:r>
      <w:r>
        <w:rPr>
          <w:rFonts w:hint="eastAsia" w:ascii="宋体" w:hAnsi="宋体" w:cs="宋体"/>
          <w:b/>
          <w:bCs w:val="0"/>
          <w:color w:val="auto"/>
          <w:kern w:val="0"/>
          <w:sz w:val="24"/>
          <w:szCs w:val="24"/>
          <w:lang w:val="en-US" w:eastAsia="zh-CN"/>
        </w:rPr>
        <w:t>（提供相关证明材料，并加盖供应商公章）</w:t>
      </w:r>
    </w:p>
    <w:p w14:paraId="4DB2A71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4"/>
          <w:szCs w:val="24"/>
        </w:rPr>
      </w:pPr>
    </w:p>
    <w:p w14:paraId="18AE1A0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10F2586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4"/>
          <w:szCs w:val="24"/>
        </w:rPr>
      </w:pPr>
    </w:p>
    <w:p w14:paraId="71DB2C9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63E126D5">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color w:val="auto"/>
          <w:kern w:val="0"/>
          <w:sz w:val="24"/>
          <w:szCs w:val="24"/>
          <w:lang w:val="en-US" w:eastAsia="zh-CN"/>
        </w:rPr>
      </w:pPr>
    </w:p>
    <w:p w14:paraId="0861536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
          <w:bCs/>
          <w:color w:val="auto"/>
          <w:kern w:val="0"/>
          <w:sz w:val="24"/>
          <w:szCs w:val="24"/>
          <w:lang w:eastAsia="zh-CN"/>
        </w:rPr>
      </w:pPr>
      <w:r>
        <w:rPr>
          <w:rFonts w:hint="eastAsia" w:ascii="宋体" w:hAnsi="宋体" w:cs="宋体"/>
          <w:color w:val="auto"/>
          <w:kern w:val="0"/>
          <w:sz w:val="24"/>
          <w:szCs w:val="24"/>
          <w:lang w:val="en-US" w:eastAsia="zh-CN"/>
        </w:rPr>
        <w:t>近三年</w:t>
      </w:r>
      <w:r>
        <w:rPr>
          <w:rFonts w:hint="eastAsia" w:ascii="宋体" w:hAnsi="宋体" w:eastAsia="宋体" w:cs="宋体"/>
          <w:color w:val="auto"/>
          <w:kern w:val="0"/>
          <w:sz w:val="24"/>
          <w:szCs w:val="24"/>
        </w:rPr>
        <w:t>以来参加采购经营活动中没有重大违法记录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5EF1BF7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4"/>
          <w:szCs w:val="24"/>
          <w:lang w:val="en-US" w:eastAsia="zh-CN"/>
        </w:rPr>
      </w:pPr>
    </w:p>
    <w:p w14:paraId="22304943">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在“信用中国”网站（www.creditchina.gov.cn）、中国政府采购网（www.ccgp.gov.cn）没有被列入失信被执行人、重大税收违法案件当事人名单、政府采购严重违法失信行为记录名单及其他不符合规定条件的供应商名单。</w:t>
      </w:r>
      <w:r>
        <w:rPr>
          <w:rFonts w:hint="eastAsia" w:ascii="宋体" w:hAnsi="宋体" w:cs="宋体"/>
          <w:b/>
          <w:bCs w:val="0"/>
          <w:color w:val="auto"/>
          <w:kern w:val="0"/>
          <w:sz w:val="24"/>
          <w:szCs w:val="24"/>
          <w:lang w:val="en-US" w:eastAsia="zh-CN"/>
        </w:rPr>
        <w:t>（提供相关证明材料，并加盖供应商公章）</w:t>
      </w:r>
    </w:p>
    <w:p w14:paraId="2564958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4"/>
          <w:szCs w:val="24"/>
        </w:rPr>
      </w:pPr>
    </w:p>
    <w:p w14:paraId="31FFEC75">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7490FFD9">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4"/>
          <w:szCs w:val="24"/>
        </w:rPr>
      </w:pPr>
    </w:p>
    <w:p w14:paraId="38FC0889">
      <w:pPr>
        <w:jc w:val="center"/>
        <w:rPr>
          <w:rFonts w:hint="eastAsia" w:ascii="黑体" w:hAnsi="黑体" w:eastAsia="黑体"/>
          <w:sz w:val="32"/>
          <w:szCs w:val="32"/>
        </w:rPr>
      </w:pPr>
    </w:p>
    <w:p w14:paraId="36A33FA5">
      <w:pPr>
        <w:spacing w:line="360" w:lineRule="auto"/>
        <w:jc w:val="center"/>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84C2E52"/>
    <w:rsid w:val="09525BED"/>
    <w:rsid w:val="09C81AE3"/>
    <w:rsid w:val="0BC73FB0"/>
    <w:rsid w:val="0C03487B"/>
    <w:rsid w:val="0D8344AC"/>
    <w:rsid w:val="0DE105E0"/>
    <w:rsid w:val="13327346"/>
    <w:rsid w:val="14C35BD0"/>
    <w:rsid w:val="14EF6DCA"/>
    <w:rsid w:val="172327DB"/>
    <w:rsid w:val="1A26709A"/>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CE483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4AF0487"/>
    <w:rsid w:val="55252680"/>
    <w:rsid w:val="563C073B"/>
    <w:rsid w:val="56F11A48"/>
    <w:rsid w:val="586B6FDD"/>
    <w:rsid w:val="597F2160"/>
    <w:rsid w:val="5A9932D8"/>
    <w:rsid w:val="5AF234EC"/>
    <w:rsid w:val="5B125F66"/>
    <w:rsid w:val="5C5762BC"/>
    <w:rsid w:val="5C5E5835"/>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1974</Words>
  <Characters>2146</Characters>
  <Lines>18</Lines>
  <Paragraphs>5</Paragraphs>
  <TotalTime>1</TotalTime>
  <ScaleCrop>false</ScaleCrop>
  <LinksUpToDate>false</LinksUpToDate>
  <CharactersWithSpaces>2591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2025-02-10T03:00:49Z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