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48"/>
          <w:szCs w:val="48"/>
          <w:highlight w:val="none"/>
        </w:rPr>
      </w:pPr>
      <w:bookmarkStart w:id="0" w:name="_Toc6752"/>
      <w:bookmarkStart w:id="1" w:name="_Toc8279"/>
      <w:bookmarkStart w:id="2" w:name="_Toc11302"/>
      <w:bookmarkStart w:id="3" w:name="_Toc20609"/>
      <w:r>
        <w:rPr>
          <w:rFonts w:hint="eastAsia" w:ascii="宋体" w:hAnsi="宋体"/>
          <w:b/>
          <w:color w:val="auto"/>
          <w:kern w:val="0"/>
          <w:sz w:val="48"/>
          <w:szCs w:val="48"/>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48"/>
          <w:szCs w:val="48"/>
          <w:highlight w:val="none"/>
        </w:rPr>
      </w:pPr>
    </w:p>
    <w:p w14:paraId="187076FF">
      <w:pPr>
        <w:spacing w:line="480" w:lineRule="auto"/>
        <w:jc w:val="center"/>
        <w:outlineLvl w:val="0"/>
        <w:rPr>
          <w:rFonts w:hint="eastAsia" w:ascii="宋体" w:hAnsi="宋体" w:eastAsia="宋体"/>
          <w:b/>
          <w:color w:val="auto"/>
          <w:kern w:val="0"/>
          <w:sz w:val="48"/>
          <w:szCs w:val="48"/>
          <w:highlight w:val="none"/>
          <w:lang w:eastAsia="zh-CN"/>
        </w:rPr>
      </w:pPr>
      <w:r>
        <w:rPr>
          <w:rFonts w:hint="eastAsia" w:ascii="宋体" w:hAnsi="宋体" w:cs="Times New Roman"/>
          <w:b/>
          <w:color w:val="auto"/>
          <w:kern w:val="0"/>
          <w:sz w:val="48"/>
          <w:szCs w:val="48"/>
          <w:highlight w:val="none"/>
          <w:lang w:eastAsia="zh-CN"/>
        </w:rPr>
        <w:t>超声经颅多普勒血流分析仪项目</w:t>
      </w:r>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4148"/>
      <w:bookmarkStart w:id="5" w:name="_Toc19298"/>
      <w:bookmarkStart w:id="6" w:name="_Toc74"/>
      <w:bookmarkStart w:id="7" w:name="_Toc1360"/>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0723"/>
      <w:bookmarkStart w:id="9" w:name="_Toc16075"/>
      <w:bookmarkStart w:id="10" w:name="_Toc14283"/>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00</w:t>
      </w:r>
      <w:bookmarkEnd w:id="11"/>
      <w:r>
        <w:rPr>
          <w:rFonts w:hint="eastAsia" w:ascii="宋体" w:hAnsi="宋体"/>
          <w:b/>
          <w:bCs/>
          <w:color w:val="auto"/>
          <w:sz w:val="36"/>
          <w:szCs w:val="36"/>
          <w:highlight w:val="none"/>
          <w:lang w:val="en-US" w:eastAsia="zh-CN"/>
        </w:rPr>
        <w:t>04</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年</w:t>
      </w:r>
      <w:r>
        <w:rPr>
          <w:rFonts w:hint="eastAsia" w:ascii="宋体" w:hAnsi="宋体"/>
          <w:b/>
          <w:bCs/>
          <w:color w:val="auto"/>
          <w:sz w:val="36"/>
          <w:szCs w:val="36"/>
          <w:highlight w:val="none"/>
          <w:lang w:val="en-US" w:eastAsia="zh-CN"/>
        </w:rPr>
        <w:t>1</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4FD58591">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lang w:val="en-US" w:eastAsia="zh-CN"/>
            </w:rPr>
            <w:t>2</w:t>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532730CB">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18867"/>
      <w:bookmarkStart w:id="13" w:name="_Toc91515612"/>
    </w:p>
    <w:p w14:paraId="5090E600">
      <w:pPr>
        <w:numPr>
          <w:ilvl w:val="0"/>
          <w:numId w:val="1"/>
        </w:numPr>
        <w:jc w:val="center"/>
        <w:outlineLvl w:val="0"/>
        <w:rPr>
          <w:b/>
          <w:bCs/>
          <w:color w:val="auto"/>
          <w:kern w:val="0"/>
          <w:sz w:val="28"/>
          <w:szCs w:val="28"/>
          <w:highlight w:val="none"/>
        </w:rPr>
      </w:pPr>
      <w:bookmarkStart w:id="14" w:name="_Toc17322"/>
      <w:bookmarkStart w:id="15" w:name="_Toc16090"/>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highlight w:val="none"/>
          <w:lang w:eastAsia="zh-CN"/>
        </w:rPr>
        <w:t>医院</w:t>
      </w:r>
      <w:r>
        <w:rPr>
          <w:rFonts w:hint="eastAsia" w:ascii="宋体" w:hAnsi="宋体" w:eastAsia="宋体" w:cs="宋体"/>
          <w:color w:val="auto"/>
          <w:kern w:val="0"/>
          <w:sz w:val="21"/>
          <w:szCs w:val="21"/>
          <w:highlight w:val="none"/>
        </w:rPr>
        <w:t>拟采购</w:t>
      </w:r>
      <w:r>
        <w:rPr>
          <w:rFonts w:hint="eastAsia" w:ascii="宋体" w:hAnsi="宋体" w:eastAsia="宋体" w:cs="宋体"/>
          <w:color w:val="auto"/>
          <w:kern w:val="0"/>
          <w:sz w:val="21"/>
          <w:szCs w:val="21"/>
        </w:rPr>
        <w:t>超声经颅多普勒血流分析仪</w:t>
      </w:r>
      <w:r>
        <w:rPr>
          <w:rFonts w:hint="eastAsia" w:ascii="宋体" w:hAnsi="宋体" w:cs="宋体"/>
          <w:color w:val="auto"/>
          <w:kern w:val="0"/>
          <w:sz w:val="21"/>
          <w:szCs w:val="21"/>
          <w:highlight w:val="none"/>
          <w:lang w:val="en-US" w:eastAsia="zh-CN"/>
        </w:rPr>
        <w:t>1台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00</w:t>
      </w:r>
      <w:r>
        <w:rPr>
          <w:rFonts w:hint="eastAsia" w:ascii="宋体" w:hAnsi="宋体" w:cs="宋体"/>
          <w:b w:val="0"/>
          <w:bCs/>
          <w:color w:val="auto"/>
          <w:kern w:val="0"/>
          <w:sz w:val="21"/>
          <w:szCs w:val="21"/>
          <w:highlight w:val="none"/>
          <w:lang w:val="en-US" w:eastAsia="zh-CN"/>
        </w:rPr>
        <w:t>04</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南方医科大学第五附属医院超声经颅多普勒血流分析仪项目</w:t>
      </w:r>
    </w:p>
    <w:p w14:paraId="4B1C9432">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限价:</w:t>
      </w:r>
      <w:r>
        <w:rPr>
          <w:rFonts w:hint="eastAsia" w:ascii="宋体" w:hAnsi="宋体" w:cs="宋体"/>
          <w:b w:val="0"/>
          <w:bCs/>
          <w:color w:val="auto"/>
          <w:kern w:val="0"/>
          <w:sz w:val="21"/>
          <w:szCs w:val="21"/>
          <w:highlight w:val="none"/>
          <w:lang w:val="en-US" w:eastAsia="zh-CN"/>
        </w:rPr>
        <w:t xml:space="preserve"> 31.5万元</w:t>
      </w:r>
    </w:p>
    <w:p w14:paraId="05FE844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 数量：1台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15</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xml:space="preserve">. </w:t>
      </w: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lang w:val="en-US" w:eastAsia="zh-CN"/>
        </w:rPr>
        <w:t>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rPr>
        <w:t>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E55F2E8">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5204859">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5899"/>
      <w:bookmarkStart w:id="17" w:name="_Toc3128"/>
      <w:bookmarkStart w:id="18" w:name="_Toc28493"/>
      <w:bookmarkStart w:id="19" w:name="_Toc6689"/>
      <w:bookmarkStart w:id="20" w:name="_Toc91515613"/>
      <w:bookmarkStart w:id="21" w:name="_Toc25217"/>
      <w:bookmarkStart w:id="22" w:name="_Toc31844"/>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776106"/>
      <w:bookmarkStart w:id="24" w:name="_Toc40346211"/>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南方医科大学第五附属医院超声经颅多普勒血流分析仪项目</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（三）限价:</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zh-CN" w:eastAsia="zh-CN"/>
        </w:rPr>
        <w:t>31.5万元</w:t>
      </w:r>
    </w:p>
    <w:p w14:paraId="041D493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1台</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项目参数需求</w:t>
      </w:r>
    </w:p>
    <w:p w14:paraId="43132BF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（一）整体系统要求</w:t>
      </w:r>
    </w:p>
    <w:p w14:paraId="27E5655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应用于神经内科病人的颅内血管。锁骨等颈部血管检查，对脑血管进行监测、微栓子监测、发泡实验等。</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（二）主要技术要求</w:t>
      </w:r>
    </w:p>
    <w:p w14:paraId="3CBB2852">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1、具有对脑血管状况进行超声无创检查的功能。</w:t>
      </w:r>
    </w:p>
    <w:p w14:paraId="643BCAAE">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▲2、便携一体式主机、支持触摸屏操作，屏幕≥15寸，内置大容量电池，方便床旁检查。</w:t>
      </w:r>
    </w:p>
    <w:p w14:paraId="1C411A00">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▲3、探头频率≥4个，至少包含1.6MHz、2MHz、4MHz、8MHz频率段探头。</w:t>
      </w:r>
    </w:p>
    <w:p w14:paraId="5494D87B">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▲4、频谱分辨采样率≥5个：至少包含128点、256点、512点、1024点、2048点。</w:t>
      </w:r>
    </w:p>
    <w:p w14:paraId="4CAE9E38">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5、流速测量范围：1.6MHz探头在探测深度50mm时最大流速测量≥700cm/s；</w:t>
      </w:r>
    </w:p>
    <w:p w14:paraId="0517B352">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6、取样容积：1-20 mm连续可调。</w:t>
      </w:r>
    </w:p>
    <w:p w14:paraId="186933E0">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7、探测深度范围:最小工作距离≤5mm，最大工作距离≥150mm。</w:t>
      </w:r>
    </w:p>
    <w:p w14:paraId="7E619FC2">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8、配备有线小键盘，具备≥4个自定义键。</w:t>
      </w:r>
    </w:p>
    <w:p w14:paraId="13259E9F">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9、具备1.6MHz探头和4MHz探头。</w:t>
      </w:r>
    </w:p>
    <w:p w14:paraId="232527AD">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10、滤波范围0-2700HZ可调。</w:t>
      </w:r>
    </w:p>
    <w:p w14:paraId="4160C803">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eastAsia="宋体" w:asciiTheme="minorEastAsia" w:hAnsiTheme="minorEastAsia" w:cstheme="minorEastAsia"/>
          <w:b w:val="0"/>
          <w:bCs w:val="0"/>
          <w:color w:val="auto"/>
          <w:kern w:val="0"/>
          <w:sz w:val="21"/>
          <w:szCs w:val="21"/>
          <w:highlight w:val="none"/>
          <w:lang w:val="en-US" w:eastAsia="zh-CN"/>
        </w:rPr>
        <w:t>11、增益范围：1～60dB可调。</w:t>
      </w:r>
    </w:p>
    <w:p w14:paraId="1EE5D6A7">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（三）软件要求</w:t>
      </w:r>
    </w:p>
    <w:p w14:paraId="67E7963B">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▲1、具有≥双通道12深度模式，双通道每通道可同时显示≥ 6个深度图谱。</w:t>
      </w:r>
    </w:p>
    <w:p w14:paraId="052952DA">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▲2、具有探头自动休眠功能，延长探头使用寿命。</w:t>
      </w:r>
    </w:p>
    <w:p w14:paraId="37A53D8C">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3、检测参数≥11个：至少包含Vs、Vm、Vd、PI、RI、S/D、HR、SBI、STI、HITS、TI。</w:t>
      </w:r>
    </w:p>
    <w:p w14:paraId="6F4590EA">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▲4、具有数据导出功能，数据管理：数据导入及导出、数据检索、数据分类统计等。</w:t>
      </w:r>
    </w:p>
    <w:p w14:paraId="21175F51">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▲5、具有一键报告功能，具备自动优化：深度、标尺、增益、基线、降噪一键无线遥控控制，快速获得理想频谱。</w:t>
      </w:r>
    </w:p>
    <w:p w14:paraId="769E274B">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▲6、具有栓子监测软件；具备栓子和伪迹自动识别功能，自动计数，M-模监测微栓子高强度轨迹功能，</w:t>
      </w:r>
    </w:p>
    <w:p w14:paraId="59D41D05">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▲7、具有发泡实验语音提醒功能，自动计时、自动计数、自动去除伪差，具备智能发泡结果分级，智能语音识别发泡试验。</w:t>
      </w:r>
    </w:p>
    <w:p w14:paraId="35BA8FEE">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▲8、具有长程监护自动报警功能，异常血流提醒功能：颜色提醒、闪烁提醒、语音播报提醒。</w:t>
      </w:r>
    </w:p>
    <w:p w14:paraId="2B682FC2">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9、具备颈脑血管手术脑循环监测模块，具备术前评估脑动脉侧支循环/窃血及脑血流灌注/代偿情况功能，具备术中术后实时预警低灌注、高灌注、栓子脱落功能。</w:t>
      </w:r>
    </w:p>
    <w:p w14:paraId="2BEF73F2">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10、具备神经重症脑循环监测模块，具备辅助识别振荡波、钉子波功能，具备自动计算血流方向指数、净剩血流速度、自动计算尖小收缩峰峰值流速、收缩期持续时间、TCD颅内压值、Lindegaard指数等功能。</w:t>
      </w:r>
    </w:p>
    <w:p w14:paraId="00D9A723">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11、具备静脉溶栓/机械取栓监测模块，具备实时预报血管再通程度，辅助判定TIBI分级功能。</w:t>
      </w:r>
    </w:p>
    <w:p w14:paraId="0C4ED36B">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12、具备脑血流动力学监测模块，具备自动计算屏气指数、血流速度增快百分率、血流自动调节指数等功能。</w:t>
      </w:r>
    </w:p>
    <w:p w14:paraId="06A58BDA">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13、支持自定义检测血管参数，自定义检测流程。</w:t>
      </w:r>
    </w:p>
    <w:p w14:paraId="603CDE50">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14、配备无线遥控器：可远距离无线操控，不受线缆束缚，具有自定义按键功能。</w:t>
      </w:r>
    </w:p>
    <w:p w14:paraId="54ADE54F">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15、具备离线数据分析功能：可在检查结束后再对数据进行计算、测量、出报告。</w:t>
      </w:r>
    </w:p>
    <w:p w14:paraId="1688A90D">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16、具备报告单功能：多种模板选择、模板自定义、支持BMP、JPG、PNG、PDF等多种报告格式、血管批量导入报告单、词条可编辑导入或导出、快速出报告单、从病案界面直接出报告单。</w:t>
      </w:r>
    </w:p>
    <w:p w14:paraId="4D08CC48">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17、具备参数双向自动计算功能，并支持手动测量保存数据。</w:t>
      </w:r>
    </w:p>
    <w:p w14:paraId="27DC8C02">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18、支持DICOM3.0网络接口，可连接医院网络，PACS系统。</w:t>
      </w:r>
    </w:p>
    <w:p w14:paraId="2C33EF2D">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19、智能性，基线根据血流速度变化自动调节，标尺根据血流速度变化自动切换和调整。</w:t>
      </w:r>
    </w:p>
    <w:p w14:paraId="2C8A97DF">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20、具备快照功能，可对异常数据进行记录，对栓子进行分析，可手动添加栓子事件和提示。</w:t>
      </w:r>
    </w:p>
    <w:p w14:paraId="2DBC1B23">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21、具备实时输出和显示功能，对IWM、POWER、PEAK等实现连续曲线显示与输出。</w:t>
      </w:r>
    </w:p>
    <w:p w14:paraId="7F3D75C3">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cstheme="minorEastAsia"/>
          <w:b w:val="0"/>
          <w:bCs w:val="0"/>
          <w:color w:val="auto"/>
          <w:kern w:val="0"/>
          <w:sz w:val="21"/>
          <w:szCs w:val="21"/>
          <w:highlight w:val="none"/>
          <w:lang w:val="en-US" w:eastAsia="zh-CN"/>
        </w:rPr>
        <w:t>22、具备动态M-模型，无限记录原始血流信息，能实现血流信息回放、测量。</w:t>
      </w:r>
    </w:p>
    <w:p w14:paraId="14EFEC9E">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（四）</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gridCol w:w="1792"/>
      </w:tblGrid>
      <w:tr w14:paraId="7A6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单位</w:t>
            </w:r>
          </w:p>
        </w:tc>
        <w:tc>
          <w:tcPr>
            <w:tcW w:w="1792" w:type="dxa"/>
            <w:shd w:val="clear" w:color="auto" w:fill="auto"/>
            <w:vAlign w:val="center"/>
          </w:tcPr>
          <w:p w14:paraId="14B89AE6">
            <w:pPr>
              <w:widowControl/>
              <w:jc w:val="center"/>
              <w:rPr>
                <w:rFonts w:hint="eastAsia" w:ascii="宋体" w:hAnsi="宋体" w:cs="宋体"/>
                <w:b/>
                <w:bCs/>
                <w:kern w:val="0"/>
                <w:sz w:val="21"/>
                <w:szCs w:val="21"/>
                <w:lang w:eastAsia="zh-CN"/>
              </w:rPr>
            </w:pPr>
            <w:r>
              <w:rPr>
                <w:rFonts w:hint="eastAsia" w:ascii="宋体" w:hAnsi="宋体" w:cs="宋体"/>
                <w:b/>
                <w:bCs/>
                <w:kern w:val="0"/>
                <w:sz w:val="21"/>
                <w:szCs w:val="21"/>
                <w:lang w:eastAsia="zh-CN"/>
              </w:rPr>
              <w:t>数量</w:t>
            </w:r>
          </w:p>
        </w:tc>
      </w:tr>
      <w:tr w14:paraId="398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1</w:t>
            </w:r>
          </w:p>
        </w:tc>
        <w:tc>
          <w:tcPr>
            <w:tcW w:w="4305" w:type="dxa"/>
            <w:shd w:val="clear" w:color="auto" w:fill="auto"/>
            <w:vAlign w:val="center"/>
          </w:tcPr>
          <w:p w14:paraId="554661D6">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超声经颅多普勒血流分析仪主机及软件</w:t>
            </w:r>
          </w:p>
        </w:tc>
        <w:tc>
          <w:tcPr>
            <w:tcW w:w="1792" w:type="dxa"/>
            <w:shd w:val="clear" w:color="auto" w:fill="auto"/>
            <w:vAlign w:val="center"/>
          </w:tcPr>
          <w:p w14:paraId="1D2C67BC">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台</w:t>
            </w:r>
          </w:p>
        </w:tc>
        <w:tc>
          <w:tcPr>
            <w:tcW w:w="1792" w:type="dxa"/>
            <w:shd w:val="clear" w:color="auto" w:fill="auto"/>
            <w:vAlign w:val="center"/>
          </w:tcPr>
          <w:p w14:paraId="01BF4900">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1</w:t>
            </w:r>
          </w:p>
        </w:tc>
      </w:tr>
      <w:tr w14:paraId="1A3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2</w:t>
            </w:r>
          </w:p>
        </w:tc>
        <w:tc>
          <w:tcPr>
            <w:tcW w:w="4305" w:type="dxa"/>
            <w:shd w:val="clear" w:color="auto" w:fill="auto"/>
            <w:vAlign w:val="center"/>
          </w:tcPr>
          <w:p w14:paraId="758E5B9B">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探头</w:t>
            </w:r>
          </w:p>
        </w:tc>
        <w:tc>
          <w:tcPr>
            <w:tcW w:w="1792" w:type="dxa"/>
            <w:shd w:val="clear" w:color="auto" w:fill="auto"/>
            <w:vAlign w:val="center"/>
          </w:tcPr>
          <w:p w14:paraId="52DC1AC5">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把</w:t>
            </w:r>
          </w:p>
        </w:tc>
        <w:tc>
          <w:tcPr>
            <w:tcW w:w="1792" w:type="dxa"/>
            <w:shd w:val="clear" w:color="auto" w:fill="auto"/>
            <w:vAlign w:val="center"/>
          </w:tcPr>
          <w:p w14:paraId="28A37303">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2</w:t>
            </w:r>
          </w:p>
        </w:tc>
      </w:tr>
      <w:tr w14:paraId="781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AC3A27C">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3</w:t>
            </w:r>
          </w:p>
        </w:tc>
        <w:tc>
          <w:tcPr>
            <w:tcW w:w="4305" w:type="dxa"/>
            <w:shd w:val="clear" w:color="auto" w:fill="auto"/>
            <w:vAlign w:val="center"/>
          </w:tcPr>
          <w:p w14:paraId="19A4E29D">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监护探头</w:t>
            </w:r>
          </w:p>
        </w:tc>
        <w:tc>
          <w:tcPr>
            <w:tcW w:w="1792" w:type="dxa"/>
            <w:shd w:val="clear" w:color="auto" w:fill="auto"/>
            <w:vAlign w:val="center"/>
          </w:tcPr>
          <w:p w14:paraId="09DBEFB8">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把</w:t>
            </w:r>
          </w:p>
        </w:tc>
        <w:tc>
          <w:tcPr>
            <w:tcW w:w="1792" w:type="dxa"/>
            <w:shd w:val="clear" w:color="auto" w:fill="auto"/>
            <w:vAlign w:val="center"/>
          </w:tcPr>
          <w:p w14:paraId="7E576338">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2</w:t>
            </w:r>
          </w:p>
        </w:tc>
      </w:tr>
      <w:tr w14:paraId="7D6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BF066D7">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4</w:t>
            </w:r>
          </w:p>
        </w:tc>
        <w:tc>
          <w:tcPr>
            <w:tcW w:w="4305" w:type="dxa"/>
            <w:shd w:val="clear" w:color="auto" w:fill="auto"/>
            <w:vAlign w:val="center"/>
          </w:tcPr>
          <w:p w14:paraId="65A18B32">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监护头架</w:t>
            </w:r>
          </w:p>
        </w:tc>
        <w:tc>
          <w:tcPr>
            <w:tcW w:w="1792" w:type="dxa"/>
            <w:shd w:val="clear" w:color="auto" w:fill="auto"/>
            <w:vAlign w:val="center"/>
          </w:tcPr>
          <w:p w14:paraId="0669AF4A">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个</w:t>
            </w:r>
          </w:p>
        </w:tc>
        <w:tc>
          <w:tcPr>
            <w:tcW w:w="1792" w:type="dxa"/>
            <w:shd w:val="clear" w:color="auto" w:fill="auto"/>
            <w:vAlign w:val="center"/>
          </w:tcPr>
          <w:p w14:paraId="02E86E43">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1</w:t>
            </w:r>
          </w:p>
        </w:tc>
      </w:tr>
      <w:tr w14:paraId="18F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15D2EDA6">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5</w:t>
            </w:r>
          </w:p>
        </w:tc>
        <w:tc>
          <w:tcPr>
            <w:tcW w:w="4305" w:type="dxa"/>
            <w:shd w:val="clear" w:color="auto" w:fill="auto"/>
            <w:vAlign w:val="center"/>
          </w:tcPr>
          <w:p w14:paraId="47BBFDBC">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台车</w:t>
            </w:r>
          </w:p>
        </w:tc>
        <w:tc>
          <w:tcPr>
            <w:tcW w:w="1792" w:type="dxa"/>
            <w:shd w:val="clear" w:color="auto" w:fill="auto"/>
            <w:vAlign w:val="center"/>
          </w:tcPr>
          <w:p w14:paraId="31524117">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台</w:t>
            </w:r>
          </w:p>
        </w:tc>
        <w:tc>
          <w:tcPr>
            <w:tcW w:w="1792" w:type="dxa"/>
            <w:shd w:val="clear" w:color="auto" w:fill="auto"/>
            <w:vAlign w:val="center"/>
          </w:tcPr>
          <w:p w14:paraId="33DF08E6">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1</w:t>
            </w:r>
          </w:p>
        </w:tc>
      </w:tr>
      <w:tr w14:paraId="67E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DD48114">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6</w:t>
            </w:r>
          </w:p>
        </w:tc>
        <w:tc>
          <w:tcPr>
            <w:tcW w:w="4305" w:type="dxa"/>
            <w:shd w:val="clear" w:color="auto" w:fill="auto"/>
            <w:vAlign w:val="center"/>
          </w:tcPr>
          <w:p w14:paraId="65F54289">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图文工作站</w:t>
            </w:r>
          </w:p>
        </w:tc>
        <w:tc>
          <w:tcPr>
            <w:tcW w:w="1792" w:type="dxa"/>
            <w:shd w:val="clear" w:color="auto" w:fill="auto"/>
            <w:vAlign w:val="center"/>
          </w:tcPr>
          <w:p w14:paraId="45EE909C">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套</w:t>
            </w:r>
          </w:p>
        </w:tc>
        <w:tc>
          <w:tcPr>
            <w:tcW w:w="1792" w:type="dxa"/>
            <w:shd w:val="clear" w:color="auto" w:fill="auto"/>
            <w:vAlign w:val="center"/>
          </w:tcPr>
          <w:p w14:paraId="4B113138">
            <w:pPr>
              <w:spacing w:line="276" w:lineRule="auto"/>
              <w:jc w:val="center"/>
              <w:rPr>
                <w:rFonts w:hint="eastAsia" w:ascii="宋体" w:hAnsi="宋体" w:eastAsia="宋体" w:cs="宋体"/>
                <w:kern w:val="0"/>
                <w:sz w:val="21"/>
                <w:szCs w:val="21"/>
                <w:lang w:val="en-US" w:eastAsia="zh-CN" w:bidi="ar-SA"/>
              </w:rPr>
            </w:pPr>
            <w:r>
              <w:rPr>
                <w:rFonts w:hint="eastAsia" w:ascii="宋体" w:hAnsi="宋体" w:eastAsia="宋体" w:cs="宋体"/>
                <w:bCs/>
                <w:color w:val="000000"/>
                <w:kern w:val="0"/>
                <w:sz w:val="21"/>
                <w:szCs w:val="21"/>
              </w:rPr>
              <w:t>1</w:t>
            </w:r>
          </w:p>
        </w:tc>
      </w:tr>
    </w:tbl>
    <w:p w14:paraId="06F77CD3">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6"/>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5</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0FAE1B1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20E28BBD">
      <w:pPr>
        <w:pStyle w:val="23"/>
        <w:spacing w:line="360" w:lineRule="auto"/>
        <w:ind w:firstLine="420" w:firstLineChars="200"/>
        <w:rPr>
          <w:rFonts w:hint="eastAsia" w:ascii="宋体" w:hAnsi="宋体" w:cs="宋体"/>
          <w:b/>
          <w:bCs/>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6C790D2B">
      <w:pPr>
        <w:pStyle w:val="23"/>
        <w:spacing w:line="360" w:lineRule="auto"/>
        <w:ind w:firstLine="422" w:firstLineChars="200"/>
        <w:rPr>
          <w:rFonts w:hint="eastAsia" w:ascii="宋体" w:hAnsi="宋体" w:cs="宋体"/>
          <w:b/>
          <w:bCs/>
          <w:color w:val="auto"/>
          <w:szCs w:val="21"/>
          <w:highlight w:val="none"/>
        </w:rPr>
      </w:pP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11）拒绝有关部门监督检查或者提供虚假情况的。</w:t>
      </w:r>
    </w:p>
    <w:p w14:paraId="0AFDF819">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63AE722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430DB78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28B101FB">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06BEBF22">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5494071A">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6"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7A80038D">
      <w:pPr>
        <w:pStyle w:val="23"/>
        <w:spacing w:line="360" w:lineRule="auto"/>
        <w:outlineLvl w:val="0"/>
        <w:rPr>
          <w:rFonts w:hint="eastAsia"/>
          <w:b/>
          <w:bCs/>
          <w:color w:val="auto"/>
          <w:kern w:val="0"/>
          <w:sz w:val="32"/>
          <w:szCs w:val="36"/>
          <w:highlight w:val="none"/>
        </w:rPr>
      </w:pPr>
    </w:p>
    <w:p w14:paraId="416A2143">
      <w:pPr>
        <w:pStyle w:val="23"/>
        <w:spacing w:line="360" w:lineRule="auto"/>
        <w:outlineLvl w:val="0"/>
        <w:rPr>
          <w:rFonts w:hint="eastAsia"/>
          <w:b/>
          <w:bCs/>
          <w:color w:val="auto"/>
          <w:kern w:val="0"/>
          <w:sz w:val="32"/>
          <w:szCs w:val="36"/>
          <w:highlight w:val="none"/>
        </w:rPr>
      </w:pPr>
    </w:p>
    <w:p w14:paraId="2F17DA99">
      <w:pPr>
        <w:pStyle w:val="23"/>
        <w:spacing w:line="360" w:lineRule="auto"/>
        <w:outlineLvl w:val="0"/>
        <w:rPr>
          <w:rFonts w:hint="eastAsia"/>
          <w:b/>
          <w:bCs/>
          <w:color w:val="auto"/>
          <w:kern w:val="0"/>
          <w:sz w:val="32"/>
          <w:szCs w:val="36"/>
          <w:highlight w:val="none"/>
        </w:rPr>
      </w:pPr>
    </w:p>
    <w:p w14:paraId="1E27FF44">
      <w:pPr>
        <w:pStyle w:val="23"/>
        <w:spacing w:line="360" w:lineRule="auto"/>
        <w:outlineLvl w:val="0"/>
        <w:rPr>
          <w:rFonts w:hint="eastAsia"/>
          <w:b/>
          <w:bCs/>
          <w:color w:val="auto"/>
          <w:kern w:val="0"/>
          <w:sz w:val="32"/>
          <w:szCs w:val="36"/>
          <w:highlight w:val="none"/>
        </w:rPr>
      </w:pPr>
    </w:p>
    <w:p w14:paraId="30C5916A">
      <w:pPr>
        <w:pStyle w:val="23"/>
        <w:spacing w:line="360" w:lineRule="auto"/>
        <w:outlineLvl w:val="0"/>
        <w:rPr>
          <w:rFonts w:hint="eastAsia"/>
          <w:b/>
          <w:bCs/>
          <w:color w:val="auto"/>
          <w:kern w:val="0"/>
          <w:sz w:val="32"/>
          <w:szCs w:val="36"/>
          <w:highlight w:val="none"/>
        </w:rPr>
      </w:pPr>
    </w:p>
    <w:p w14:paraId="33D45C24">
      <w:pPr>
        <w:pStyle w:val="23"/>
        <w:spacing w:line="360" w:lineRule="auto"/>
        <w:outlineLvl w:val="0"/>
        <w:rPr>
          <w:rFonts w:hint="eastAsia"/>
          <w:b/>
          <w:bCs/>
          <w:color w:val="auto"/>
          <w:kern w:val="0"/>
          <w:sz w:val="32"/>
          <w:szCs w:val="36"/>
          <w:highlight w:val="none"/>
        </w:rPr>
      </w:pPr>
    </w:p>
    <w:p w14:paraId="3A8E99BB">
      <w:pPr>
        <w:pStyle w:val="23"/>
        <w:spacing w:line="360" w:lineRule="auto"/>
        <w:outlineLvl w:val="0"/>
        <w:rPr>
          <w:rFonts w:hint="eastAsia"/>
          <w:b/>
          <w:bCs/>
          <w:color w:val="auto"/>
          <w:kern w:val="0"/>
          <w:sz w:val="32"/>
          <w:szCs w:val="36"/>
          <w:highlight w:val="none"/>
        </w:rPr>
      </w:pPr>
    </w:p>
    <w:p w14:paraId="68BC31D8">
      <w:pPr>
        <w:pStyle w:val="23"/>
        <w:spacing w:line="360" w:lineRule="auto"/>
        <w:outlineLvl w:val="0"/>
        <w:rPr>
          <w:rFonts w:hint="eastAsia"/>
          <w:b/>
          <w:bCs/>
          <w:color w:val="auto"/>
          <w:kern w:val="0"/>
          <w:sz w:val="32"/>
          <w:szCs w:val="36"/>
          <w:highlight w:val="none"/>
        </w:rPr>
      </w:pPr>
    </w:p>
    <w:p w14:paraId="2F1A3428">
      <w:pPr>
        <w:pStyle w:val="23"/>
        <w:spacing w:line="360" w:lineRule="auto"/>
        <w:outlineLvl w:val="0"/>
        <w:rPr>
          <w:rFonts w:hint="eastAsia"/>
          <w:b/>
          <w:bCs/>
          <w:color w:val="auto"/>
          <w:kern w:val="0"/>
          <w:sz w:val="32"/>
          <w:szCs w:val="36"/>
          <w:highlight w:val="none"/>
        </w:rPr>
      </w:pPr>
    </w:p>
    <w:p w14:paraId="1C2CF9FF">
      <w:pPr>
        <w:pStyle w:val="23"/>
        <w:spacing w:line="360" w:lineRule="auto"/>
        <w:outlineLvl w:val="0"/>
        <w:rPr>
          <w:rFonts w:hint="eastAsia"/>
          <w:b/>
          <w:bCs/>
          <w:color w:val="auto"/>
          <w:kern w:val="0"/>
          <w:sz w:val="32"/>
          <w:szCs w:val="36"/>
          <w:highlight w:val="none"/>
        </w:rPr>
      </w:pPr>
    </w:p>
    <w:p w14:paraId="5412C53E">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4"/>
          <w:szCs w:val="24"/>
          <w:highlight w:val="none"/>
        </w:rPr>
      </w:pPr>
      <w:r>
        <w:rPr>
          <w:rFonts w:hint="eastAsia"/>
          <w:b/>
          <w:color w:val="auto"/>
          <w:sz w:val="24"/>
          <w:szCs w:val="24"/>
          <w:highlight w:val="none"/>
          <w:lang w:val="en-US" w:eastAsia="zh-CN"/>
        </w:rPr>
        <w:t>南方医科大学第五附属医院超声经颅多普勒血流分析仪项目</w:t>
      </w:r>
      <w:r>
        <w:rPr>
          <w:rFonts w:hint="eastAsia"/>
          <w:b/>
          <w:color w:val="auto"/>
          <w:sz w:val="24"/>
          <w:szCs w:val="24"/>
          <w:highlight w:val="none"/>
        </w:rPr>
        <w:t>评分表</w:t>
      </w:r>
    </w:p>
    <w:p w14:paraId="754EA73A">
      <w:pPr>
        <w:tabs>
          <w:tab w:val="left" w:pos="3656"/>
        </w:tabs>
        <w:jc w:val="right"/>
        <w:rPr>
          <w:b/>
          <w:color w:val="auto"/>
          <w:szCs w:val="21"/>
          <w:highlight w:val="none"/>
        </w:rPr>
      </w:pPr>
    </w:p>
    <w:tbl>
      <w:tblPr>
        <w:tblStyle w:val="17"/>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44"/>
        <w:gridCol w:w="7150"/>
        <w:gridCol w:w="90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7"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44"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7150"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0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77"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544"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31961784">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15</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1.5</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399523CE">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10</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0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15</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677"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544"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7150" w:type="dxa"/>
            <w:shd w:val="clear" w:color="auto" w:fill="auto"/>
            <w:vAlign w:val="center"/>
          </w:tcPr>
          <w:p w14:paraId="1B44E46F">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20</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15</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10</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5</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1870717E">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31</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90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20分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544"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7150"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0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7"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544"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7150"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0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77"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544"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7150"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7"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544"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7"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544"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7150"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0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71"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0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66493224">
      <w:pPr>
        <w:pStyle w:val="23"/>
        <w:spacing w:line="360" w:lineRule="auto"/>
        <w:rPr>
          <w:rFonts w:ascii="宋体" w:hAnsi="宋体" w:cs="宋体"/>
          <w:b/>
          <w:bCs/>
          <w:color w:val="auto"/>
          <w:sz w:val="24"/>
          <w:highlight w:val="none"/>
        </w:rPr>
      </w:pPr>
    </w:p>
    <w:p w14:paraId="7794795A">
      <w:pPr>
        <w:pStyle w:val="23"/>
        <w:spacing w:line="360" w:lineRule="auto"/>
        <w:rPr>
          <w:rFonts w:ascii="宋体" w:hAnsi="宋体" w:cs="宋体"/>
          <w:b/>
          <w:bCs/>
          <w:color w:val="auto"/>
          <w:sz w:val="24"/>
          <w:highlight w:val="none"/>
        </w:rPr>
      </w:pPr>
    </w:p>
    <w:p w14:paraId="517A61DA">
      <w:pPr>
        <w:pStyle w:val="23"/>
        <w:spacing w:line="360" w:lineRule="auto"/>
        <w:rPr>
          <w:rFonts w:ascii="宋体" w:hAnsi="宋体" w:cs="宋体"/>
          <w:b/>
          <w:bCs/>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888"/>
      <w:bookmarkStart w:id="29" w:name="_Toc15582"/>
      <w:bookmarkStart w:id="30" w:name="_Toc91515617"/>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21856"/>
      <w:bookmarkStart w:id="32" w:name="_Toc84838886"/>
      <w:bookmarkStart w:id="33" w:name="_Toc2217"/>
      <w:bookmarkStart w:id="34" w:name="_Toc27578"/>
      <w:bookmarkStart w:id="35" w:name="_Toc28334"/>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25614"/>
      <w:bookmarkStart w:id="37" w:name="_Toc20588"/>
      <w:bookmarkStart w:id="38" w:name="_Toc1978"/>
      <w:bookmarkStart w:id="39" w:name="_Toc11301"/>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23413"/>
      <w:bookmarkStart w:id="41" w:name="_Toc415"/>
      <w:bookmarkStart w:id="42" w:name="_Toc13771"/>
      <w:bookmarkStart w:id="43" w:name="_Toc7926"/>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20975"/>
      <w:bookmarkStart w:id="45" w:name="_Toc20811"/>
      <w:bookmarkStart w:id="46" w:name="_Toc11989"/>
      <w:bookmarkStart w:id="47" w:name="_Toc27806"/>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27766"/>
      <w:bookmarkStart w:id="49" w:name="_Toc9267"/>
      <w:bookmarkStart w:id="50" w:name="_Toc7035"/>
      <w:bookmarkStart w:id="51" w:name="_Toc13858"/>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10312"/>
      <w:bookmarkStart w:id="53" w:name="_Toc20103"/>
      <w:bookmarkStart w:id="54" w:name="_Toc14663"/>
      <w:bookmarkStart w:id="55" w:name="_Toc22269"/>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29510"/>
      <w:bookmarkStart w:id="57" w:name="_Toc8651"/>
      <w:bookmarkStart w:id="58" w:name="_Toc2284"/>
      <w:bookmarkStart w:id="59" w:name="_Toc492"/>
      <w:r>
        <w:rPr>
          <w:rFonts w:ascii="宋体" w:hAnsi="宋体" w:cs="宋体"/>
          <w:color w:val="auto"/>
          <w:kern w:val="0"/>
          <w:sz w:val="30"/>
          <w:szCs w:val="30"/>
          <w:highlight w:val="none"/>
        </w:rPr>
        <w:t>日    期：</w:t>
      </w:r>
      <w:bookmarkEnd w:id="56"/>
      <w:bookmarkEnd w:id="57"/>
      <w:bookmarkEnd w:id="58"/>
      <w:bookmarkEnd w:id="59"/>
    </w:p>
    <w:p w14:paraId="42F3FA69">
      <w:pPr>
        <w:jc w:val="both"/>
        <w:outlineLvl w:val="0"/>
        <w:rPr>
          <w:rFonts w:hint="eastAsia"/>
          <w:b/>
          <w:bCs/>
          <w:color w:val="auto"/>
          <w:kern w:val="0"/>
          <w:sz w:val="32"/>
          <w:szCs w:val="36"/>
          <w:highlight w:val="none"/>
          <w:lang w:val="en-US" w:eastAsia="zh-CN"/>
        </w:rPr>
      </w:pPr>
      <w:bookmarkStart w:id="60" w:name="_Toc91515626"/>
      <w:bookmarkStart w:id="61" w:name="_Toc91499297"/>
    </w:p>
    <w:p w14:paraId="08AFDF29">
      <w:pPr>
        <w:jc w:val="center"/>
        <w:outlineLvl w:val="0"/>
        <w:rPr>
          <w:rFonts w:hint="eastAsia"/>
          <w:b/>
          <w:bCs/>
          <w:color w:val="auto"/>
          <w:kern w:val="0"/>
          <w:sz w:val="32"/>
          <w:szCs w:val="36"/>
          <w:highlight w:val="none"/>
          <w:lang w:val="en-US" w:eastAsia="zh-CN"/>
        </w:rPr>
      </w:pPr>
    </w:p>
    <w:p w14:paraId="0D090B1F">
      <w:pPr>
        <w:jc w:val="center"/>
        <w:outlineLvl w:val="0"/>
        <w:rPr>
          <w:rFonts w:hint="eastAsia"/>
          <w:b/>
          <w:bCs/>
          <w:color w:val="auto"/>
          <w:kern w:val="0"/>
          <w:sz w:val="32"/>
          <w:szCs w:val="36"/>
          <w:highlight w:val="none"/>
          <w:lang w:val="en-US" w:eastAsia="zh-CN"/>
        </w:rPr>
      </w:pPr>
    </w:p>
    <w:p w14:paraId="054E441C">
      <w:pPr>
        <w:jc w:val="center"/>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b w:val="0"/>
                <w:bCs w:val="0"/>
                <w:color w:val="auto"/>
                <w:szCs w:val="21"/>
                <w:highlight w:val="none"/>
                <w:lang w:eastAsia="zh-CN"/>
              </w:rPr>
              <w:t>采购</w:t>
            </w:r>
            <w:r>
              <w:rPr>
                <w:rFonts w:hint="eastAsia" w:ascii="宋体" w:hAnsi="宋体"/>
                <w:b w:val="0"/>
                <w:bCs w:val="0"/>
                <w:color w:val="auto"/>
                <w:szCs w:val="21"/>
                <w:highlight w:val="none"/>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highlight w:val="none"/>
                <w:lang w:val="en-US" w:eastAsia="zh-CN"/>
              </w:rPr>
              <w:t>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cs="宋体"/>
                <w:color w:val="auto"/>
                <w:kern w:val="0"/>
                <w:sz w:val="21"/>
                <w:szCs w:val="21"/>
                <w:lang w:val="en-US" w:eastAsia="zh-CN"/>
              </w:rPr>
              <w:t>近三年</w:t>
            </w:r>
            <w:r>
              <w:rPr>
                <w:rFonts w:hint="eastAsia" w:ascii="宋体" w:hAnsi="宋体" w:eastAsia="宋体" w:cs="宋体"/>
                <w:color w:val="auto"/>
                <w:kern w:val="0"/>
                <w:sz w:val="21"/>
                <w:szCs w:val="21"/>
                <w:highlight w:val="none"/>
              </w:rPr>
              <w:t>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27269"/>
      <w:bookmarkStart w:id="63" w:name="_Toc6149"/>
      <w:bookmarkStart w:id="64" w:name="_Toc2890"/>
      <w:bookmarkStart w:id="65" w:name="_Toc21582"/>
      <w:bookmarkStart w:id="66" w:name="_Toc7117"/>
      <w:bookmarkStart w:id="67" w:name="_Toc14500"/>
      <w:bookmarkStart w:id="68" w:name="_Toc23070"/>
      <w:bookmarkStart w:id="69" w:name="_Toc32603"/>
      <w:bookmarkStart w:id="70" w:name="_Toc24236"/>
      <w:bookmarkStart w:id="71" w:name="_Toc24209"/>
      <w:bookmarkStart w:id="72" w:name="_Toc2728"/>
      <w:bookmarkStart w:id="73" w:name="_Toc11551"/>
      <w:bookmarkStart w:id="74" w:name="_Toc2653"/>
      <w:bookmarkStart w:id="75" w:name="_Toc18394"/>
      <w:bookmarkStart w:id="76" w:name="_Toc2130"/>
      <w:bookmarkStart w:id="77" w:name="_Toc40776120"/>
      <w:bookmarkStart w:id="78" w:name="_Toc6169"/>
      <w:bookmarkStart w:id="79" w:name="_Toc17997"/>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台</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color w:val="auto"/>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3593"/>
      <w:bookmarkStart w:id="81" w:name="_Toc6214"/>
      <w:bookmarkStart w:id="82" w:name="_Toc21213"/>
      <w:bookmarkStart w:id="83" w:name="_Toc31077"/>
      <w:bookmarkStart w:id="84" w:name="_Toc28851"/>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A49CE1C">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both"/>
        <w:rPr>
          <w:b/>
          <w:bCs/>
          <w:color w:val="auto"/>
          <w:sz w:val="32"/>
          <w:szCs w:val="32"/>
          <w:highlight w:val="none"/>
        </w:rPr>
      </w:pPr>
    </w:p>
    <w:p w14:paraId="0012CFA6">
      <w:pPr>
        <w:pStyle w:val="27"/>
        <w:tabs>
          <w:tab w:val="left" w:pos="1050"/>
          <w:tab w:val="center" w:pos="4535"/>
        </w:tabs>
        <w:spacing w:line="360" w:lineRule="auto"/>
        <w:jc w:val="both"/>
        <w:rPr>
          <w:b/>
          <w:bCs/>
          <w:color w:val="auto"/>
          <w:sz w:val="32"/>
          <w:szCs w:val="32"/>
          <w:highlight w:val="none"/>
        </w:rPr>
      </w:pPr>
    </w:p>
    <w:p w14:paraId="24C15AAA">
      <w:pPr>
        <w:tabs>
          <w:tab w:val="left" w:pos="3656"/>
        </w:tabs>
        <w:jc w:val="center"/>
        <w:outlineLvl w:val="0"/>
        <w:rPr>
          <w:b/>
          <w:color w:val="auto"/>
          <w:sz w:val="22"/>
          <w:szCs w:val="22"/>
          <w:highlight w:val="none"/>
        </w:rPr>
      </w:pPr>
      <w:bookmarkStart w:id="85" w:name="_Toc4088"/>
      <w:r>
        <w:rPr>
          <w:rFonts w:hint="eastAsia"/>
          <w:b/>
          <w:color w:val="auto"/>
          <w:sz w:val="24"/>
          <w:szCs w:val="24"/>
          <w:highlight w:val="none"/>
          <w:lang w:val="en-US" w:eastAsia="zh-CN"/>
        </w:rPr>
        <w:t>南方医科大学第五附属医院超声经颅多普勒血流分析仪项目</w:t>
      </w:r>
      <w:r>
        <w:rPr>
          <w:rFonts w:hint="eastAsia"/>
          <w:b/>
          <w:color w:val="auto"/>
          <w:sz w:val="24"/>
          <w:szCs w:val="24"/>
          <w:highlight w:val="none"/>
        </w:rPr>
        <w:t>评分自查表</w:t>
      </w:r>
      <w:bookmarkEnd w:id="85"/>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2D145721">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2BC10A49">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20C4E7D0">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15</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1.5</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57F5889E">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10</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15</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74" w:type="dxa"/>
            <w:shd w:val="clear" w:color="auto" w:fill="auto"/>
            <w:vAlign w:val="center"/>
          </w:tcPr>
          <w:p w14:paraId="46B7D195">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20</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15</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10</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5</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1AEE4390">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31</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611FD90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C9BDBA6">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575B93D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59251953">
            <w:pP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6454C01D">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6DCDEB94">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74" w:type="dxa"/>
            <w:shd w:val="clear" w:color="auto" w:fill="auto"/>
            <w:vAlign w:val="center"/>
          </w:tcPr>
          <w:p w14:paraId="7A00AA32">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44C3D98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53F52C7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77AC453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分；</w:t>
            </w:r>
          </w:p>
          <w:p w14:paraId="04D783A7">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4441765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78BBB00">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6DB8604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7DE938C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554A6CB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  </w:t>
            </w:r>
          </w:p>
          <w:p w14:paraId="3DA039A2">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302" w:type="dxa"/>
            <w:shd w:val="clear" w:color="auto" w:fill="auto"/>
            <w:vAlign w:val="center"/>
          </w:tcPr>
          <w:p w14:paraId="7A0369A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20C4FB3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286D489E">
      <w:pPr>
        <w:pStyle w:val="27"/>
        <w:tabs>
          <w:tab w:val="left" w:pos="1050"/>
          <w:tab w:val="center" w:pos="4535"/>
        </w:tabs>
        <w:spacing w:line="360" w:lineRule="auto"/>
        <w:jc w:val="both"/>
        <w:outlineLvl w:val="0"/>
        <w:rPr>
          <w:rFonts w:hint="eastAsia"/>
          <w:b/>
          <w:bCs/>
          <w:color w:val="auto"/>
          <w:sz w:val="32"/>
          <w:szCs w:val="32"/>
          <w:highlight w:val="none"/>
        </w:rPr>
      </w:pPr>
      <w:bookmarkStart w:id="86" w:name="_Toc365"/>
      <w:bookmarkStart w:id="87" w:name="_Toc24566"/>
      <w:bookmarkStart w:id="88" w:name="_Toc12491"/>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89" w:name="_Toc3241"/>
      <w:bookmarkStart w:id="90" w:name="_Toc14591"/>
      <w:bookmarkStart w:id="91" w:name="_Toc22175"/>
      <w:bookmarkStart w:id="92" w:name="_Toc14020"/>
      <w:bookmarkStart w:id="93" w:name="_Toc23685"/>
      <w:bookmarkStart w:id="94" w:name="_Toc18443"/>
      <w:bookmarkStart w:id="95" w:name="_Toc15050"/>
      <w:bookmarkStart w:id="96" w:name="_Toc28957"/>
      <w:bookmarkStart w:id="97" w:name="_Toc3758"/>
      <w:bookmarkStart w:id="98" w:name="_Toc14853"/>
      <w:bookmarkStart w:id="99" w:name="_Toc7276"/>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0" w:name="_Toc6857"/>
      <w:bookmarkStart w:id="101" w:name="_Toc19701"/>
      <w:bookmarkStart w:id="102" w:name="_Toc26085"/>
      <w:bookmarkStart w:id="103" w:name="_Toc15848"/>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w:t>
      </w:r>
      <w:r>
        <w:rPr>
          <w:rFonts w:hint="eastAsia" w:ascii="宋体" w:hAnsi="宋体"/>
          <w:b/>
          <w:color w:val="auto"/>
          <w:sz w:val="24"/>
          <w:highlight w:val="none"/>
          <w:lang w:val="en-US" w:eastAsia="zh-CN"/>
        </w:rPr>
        <w:t>供应商</w:t>
      </w:r>
      <w:r>
        <w:rPr>
          <w:rFonts w:hint="eastAsia" w:ascii="宋体" w:hAnsi="宋体"/>
          <w:b/>
          <w:color w:val="auto"/>
          <w:sz w:val="24"/>
          <w:highlight w:val="none"/>
        </w:rPr>
        <w:t>公章</w:t>
      </w:r>
      <w:r>
        <w:rPr>
          <w:rFonts w:hint="eastAsia" w:ascii="宋体" w:hAnsi="宋体"/>
          <w:b/>
          <w:color w:val="auto"/>
          <w:sz w:val="24"/>
          <w:highlight w:val="none"/>
          <w:lang w:eastAsia="zh-CN"/>
        </w:rPr>
        <w:t>。</w:t>
      </w:r>
    </w:p>
    <w:p w14:paraId="7E4E0D01">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05" w:name="_Toc17932"/>
      <w:bookmarkStart w:id="106" w:name="_Toc25012"/>
      <w:bookmarkStart w:id="107" w:name="_Toc27834"/>
      <w:bookmarkStart w:id="108" w:name="_Toc16816"/>
      <w:bookmarkStart w:id="109" w:name="_Toc9239"/>
      <w:bookmarkStart w:id="110" w:name="_Toc1521"/>
      <w:bookmarkStart w:id="111" w:name="_Toc5396"/>
      <w:bookmarkStart w:id="112" w:name="_Toc2196"/>
      <w:bookmarkStart w:id="113" w:name="_Toc19803"/>
      <w:bookmarkStart w:id="114" w:name="_Toc11984"/>
      <w:bookmarkStart w:id="115" w:name="_Toc21430"/>
      <w:bookmarkStart w:id="116" w:name="_Toc14321"/>
      <w:bookmarkStart w:id="117" w:name="_Toc14093"/>
      <w:bookmarkStart w:id="118" w:name="_Toc24705"/>
      <w:bookmarkStart w:id="119" w:name="_Toc16193"/>
      <w:bookmarkStart w:id="120" w:name="_Toc11034"/>
      <w:bookmarkStart w:id="121" w:name="_Toc11836"/>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7F66E72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5541"/>
      <w:bookmarkStart w:id="124" w:name="_Toc19080"/>
      <w:bookmarkStart w:id="125" w:name="_Toc10009"/>
      <w:bookmarkStart w:id="126" w:name="_Toc28881"/>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27" w:name="_Toc22349"/>
      <w:bookmarkStart w:id="128" w:name="_Toc6773"/>
      <w:bookmarkStart w:id="129" w:name="_Toc5237"/>
      <w:bookmarkStart w:id="130" w:name="_Toc20949"/>
      <w:bookmarkStart w:id="131" w:name="_Toc2372"/>
      <w:bookmarkStart w:id="132" w:name="_Toc21571"/>
      <w:bookmarkStart w:id="133" w:name="_Toc12567"/>
      <w:bookmarkStart w:id="134" w:name="_Toc4538"/>
      <w:bookmarkStart w:id="135" w:name="_Toc1097"/>
      <w:bookmarkStart w:id="136" w:name="_Toc12986"/>
      <w:bookmarkStart w:id="137" w:name="_Toc9308"/>
      <w:bookmarkStart w:id="138" w:name="_Toc9085"/>
      <w:bookmarkStart w:id="139" w:name="_Toc9813"/>
      <w:bookmarkStart w:id="140" w:name="_Toc8464"/>
      <w:bookmarkStart w:id="141" w:name="_Toc29986"/>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11483"/>
      <w:bookmarkStart w:id="143" w:name="_Toc32039"/>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774334C5">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w:t>
      </w:r>
      <w:bookmarkStart w:id="150" w:name="_GoBack"/>
      <w:bookmarkEnd w:id="150"/>
      <w:r>
        <w:rPr>
          <w:rFonts w:hint="eastAsia" w:asciiTheme="minorEastAsia" w:hAnsiTheme="minorEastAsia" w:eastAsiaTheme="minorEastAsia" w:cstheme="minorEastAsia"/>
          <w:color w:val="auto"/>
          <w:szCs w:val="21"/>
          <w:highlight w:val="none"/>
        </w:rPr>
        <w:t>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AC1DDEF">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706F9369">
      <w:pPr>
        <w:spacing w:line="400" w:lineRule="exact"/>
        <w:ind w:firstLine="482"/>
        <w:jc w:val="center"/>
        <w:rPr>
          <w:rFonts w:hint="eastAsia" w:asciiTheme="minorEastAsia" w:hAnsiTheme="minorEastAsia" w:eastAsiaTheme="minorEastAsia" w:cstheme="minorEastAsia"/>
          <w:b/>
          <w:color w:val="auto"/>
          <w:szCs w:val="21"/>
          <w:highlight w:val="none"/>
        </w:rPr>
      </w:pPr>
    </w:p>
    <w:p w14:paraId="00B262F8">
      <w:pPr>
        <w:spacing w:line="400" w:lineRule="exact"/>
        <w:ind w:firstLine="482"/>
        <w:jc w:val="center"/>
        <w:rPr>
          <w:rFonts w:hint="eastAsia" w:asciiTheme="minorEastAsia" w:hAnsiTheme="minorEastAsia" w:eastAsiaTheme="minorEastAsia" w:cstheme="minorEastAsia"/>
          <w:b/>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46" w:name="_Toc3458"/>
      <w:bookmarkStart w:id="147" w:name="_Toc27318"/>
      <w:bookmarkStart w:id="148" w:name="_Toc25701"/>
      <w:bookmarkStart w:id="149" w:name="_Toc15683"/>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bl>
    <w:p w14:paraId="66EA7932">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050D"/>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D2752A"/>
    <w:rsid w:val="02F34145"/>
    <w:rsid w:val="03766311"/>
    <w:rsid w:val="03B23DD3"/>
    <w:rsid w:val="03F37F57"/>
    <w:rsid w:val="047C053B"/>
    <w:rsid w:val="04956A61"/>
    <w:rsid w:val="049E696B"/>
    <w:rsid w:val="04A722F0"/>
    <w:rsid w:val="04DB3EC7"/>
    <w:rsid w:val="051F7339"/>
    <w:rsid w:val="054C370F"/>
    <w:rsid w:val="05575AC4"/>
    <w:rsid w:val="0563090D"/>
    <w:rsid w:val="0584434F"/>
    <w:rsid w:val="05F250AD"/>
    <w:rsid w:val="06320987"/>
    <w:rsid w:val="064621DB"/>
    <w:rsid w:val="066C4408"/>
    <w:rsid w:val="067C2431"/>
    <w:rsid w:val="06B37672"/>
    <w:rsid w:val="06D53D90"/>
    <w:rsid w:val="070103DE"/>
    <w:rsid w:val="07155011"/>
    <w:rsid w:val="071B55C3"/>
    <w:rsid w:val="0738380D"/>
    <w:rsid w:val="075E248C"/>
    <w:rsid w:val="076C043D"/>
    <w:rsid w:val="07717FE4"/>
    <w:rsid w:val="0822685D"/>
    <w:rsid w:val="08323CDC"/>
    <w:rsid w:val="088E173E"/>
    <w:rsid w:val="08C07E24"/>
    <w:rsid w:val="08C946BC"/>
    <w:rsid w:val="08FC0E5C"/>
    <w:rsid w:val="0A460D6B"/>
    <w:rsid w:val="0A726737"/>
    <w:rsid w:val="0AAE36E1"/>
    <w:rsid w:val="0ADB0F46"/>
    <w:rsid w:val="0AE41CDE"/>
    <w:rsid w:val="0AEC3153"/>
    <w:rsid w:val="0C21655A"/>
    <w:rsid w:val="0C7D0976"/>
    <w:rsid w:val="0C865B71"/>
    <w:rsid w:val="0C9D4705"/>
    <w:rsid w:val="0CCC323C"/>
    <w:rsid w:val="0CEA502E"/>
    <w:rsid w:val="0D070E59"/>
    <w:rsid w:val="0D565967"/>
    <w:rsid w:val="0D6C49AA"/>
    <w:rsid w:val="0D987605"/>
    <w:rsid w:val="0DC108C7"/>
    <w:rsid w:val="0E3177FA"/>
    <w:rsid w:val="0E4137B5"/>
    <w:rsid w:val="0E7C0F26"/>
    <w:rsid w:val="0EA9707C"/>
    <w:rsid w:val="0EBD7892"/>
    <w:rsid w:val="0F24110D"/>
    <w:rsid w:val="0F4B5E10"/>
    <w:rsid w:val="0F5E5F9B"/>
    <w:rsid w:val="0FD97D81"/>
    <w:rsid w:val="100C6724"/>
    <w:rsid w:val="10402E20"/>
    <w:rsid w:val="10547D99"/>
    <w:rsid w:val="107C5DD0"/>
    <w:rsid w:val="10C34956"/>
    <w:rsid w:val="10F93609"/>
    <w:rsid w:val="111451B1"/>
    <w:rsid w:val="11391602"/>
    <w:rsid w:val="11457119"/>
    <w:rsid w:val="11985EB2"/>
    <w:rsid w:val="11987B90"/>
    <w:rsid w:val="11A2533F"/>
    <w:rsid w:val="11B5417B"/>
    <w:rsid w:val="122D652B"/>
    <w:rsid w:val="12833BB9"/>
    <w:rsid w:val="12C30C3D"/>
    <w:rsid w:val="12D44A81"/>
    <w:rsid w:val="12FF7C3B"/>
    <w:rsid w:val="13084172"/>
    <w:rsid w:val="13A07EA8"/>
    <w:rsid w:val="13C0284D"/>
    <w:rsid w:val="13EB044B"/>
    <w:rsid w:val="14223741"/>
    <w:rsid w:val="14400F74"/>
    <w:rsid w:val="148D1503"/>
    <w:rsid w:val="148E0F6C"/>
    <w:rsid w:val="14A8633C"/>
    <w:rsid w:val="14B95E54"/>
    <w:rsid w:val="14BE42F6"/>
    <w:rsid w:val="14C44CA4"/>
    <w:rsid w:val="14F07D19"/>
    <w:rsid w:val="15156CCE"/>
    <w:rsid w:val="153B2D0D"/>
    <w:rsid w:val="159837B8"/>
    <w:rsid w:val="15D01DAE"/>
    <w:rsid w:val="15E95FCC"/>
    <w:rsid w:val="16622EAD"/>
    <w:rsid w:val="16FA3767"/>
    <w:rsid w:val="17171557"/>
    <w:rsid w:val="17FA27F7"/>
    <w:rsid w:val="18243F2C"/>
    <w:rsid w:val="18583300"/>
    <w:rsid w:val="18950986"/>
    <w:rsid w:val="18B660FA"/>
    <w:rsid w:val="19245736"/>
    <w:rsid w:val="1944364E"/>
    <w:rsid w:val="19B02442"/>
    <w:rsid w:val="19B769DA"/>
    <w:rsid w:val="19CD1CDB"/>
    <w:rsid w:val="19E82A2B"/>
    <w:rsid w:val="1A1E1C90"/>
    <w:rsid w:val="1A672B43"/>
    <w:rsid w:val="1AE64524"/>
    <w:rsid w:val="1B727505"/>
    <w:rsid w:val="1B8A054A"/>
    <w:rsid w:val="1BA837CD"/>
    <w:rsid w:val="1BF260EF"/>
    <w:rsid w:val="1BF92B6C"/>
    <w:rsid w:val="1C2C5199"/>
    <w:rsid w:val="1C3034D1"/>
    <w:rsid w:val="1C675470"/>
    <w:rsid w:val="1C7656A8"/>
    <w:rsid w:val="1C862732"/>
    <w:rsid w:val="1C994B22"/>
    <w:rsid w:val="1CBC4E17"/>
    <w:rsid w:val="1CC865E3"/>
    <w:rsid w:val="1CD153A7"/>
    <w:rsid w:val="1CFA688A"/>
    <w:rsid w:val="1D73541C"/>
    <w:rsid w:val="1D85546D"/>
    <w:rsid w:val="1DC73F81"/>
    <w:rsid w:val="1DD7144A"/>
    <w:rsid w:val="1DFC6799"/>
    <w:rsid w:val="1E517A74"/>
    <w:rsid w:val="1EDE1792"/>
    <w:rsid w:val="1F4C5B16"/>
    <w:rsid w:val="1F4F62B8"/>
    <w:rsid w:val="1F6E6F3E"/>
    <w:rsid w:val="1F8C04FC"/>
    <w:rsid w:val="1FAE3405"/>
    <w:rsid w:val="201D0542"/>
    <w:rsid w:val="206E15EB"/>
    <w:rsid w:val="207563C6"/>
    <w:rsid w:val="207B2B57"/>
    <w:rsid w:val="20883077"/>
    <w:rsid w:val="20B25C45"/>
    <w:rsid w:val="20DB0292"/>
    <w:rsid w:val="20E06E5E"/>
    <w:rsid w:val="214B42D7"/>
    <w:rsid w:val="21614A2B"/>
    <w:rsid w:val="216B02BD"/>
    <w:rsid w:val="21A7260E"/>
    <w:rsid w:val="21CD4264"/>
    <w:rsid w:val="21D166C1"/>
    <w:rsid w:val="221B63A0"/>
    <w:rsid w:val="22357F0B"/>
    <w:rsid w:val="22405E06"/>
    <w:rsid w:val="2244060A"/>
    <w:rsid w:val="22C22BF8"/>
    <w:rsid w:val="23224138"/>
    <w:rsid w:val="23675615"/>
    <w:rsid w:val="237A44F5"/>
    <w:rsid w:val="237A5ADC"/>
    <w:rsid w:val="23850BEE"/>
    <w:rsid w:val="23906919"/>
    <w:rsid w:val="23B23183"/>
    <w:rsid w:val="23FF2CC8"/>
    <w:rsid w:val="243323DA"/>
    <w:rsid w:val="243D4775"/>
    <w:rsid w:val="24782FDE"/>
    <w:rsid w:val="248D7E61"/>
    <w:rsid w:val="24D76CB4"/>
    <w:rsid w:val="251440F9"/>
    <w:rsid w:val="257A4584"/>
    <w:rsid w:val="25F0369F"/>
    <w:rsid w:val="264E011E"/>
    <w:rsid w:val="26565926"/>
    <w:rsid w:val="26B46E17"/>
    <w:rsid w:val="26E25288"/>
    <w:rsid w:val="27555203"/>
    <w:rsid w:val="27A73183"/>
    <w:rsid w:val="27A97FAA"/>
    <w:rsid w:val="27B0758A"/>
    <w:rsid w:val="27BA21B7"/>
    <w:rsid w:val="27DE2A4E"/>
    <w:rsid w:val="2813078C"/>
    <w:rsid w:val="28233068"/>
    <w:rsid w:val="28716EFA"/>
    <w:rsid w:val="28CB00C0"/>
    <w:rsid w:val="28F05BE9"/>
    <w:rsid w:val="28FA298C"/>
    <w:rsid w:val="290037C9"/>
    <w:rsid w:val="29147BC7"/>
    <w:rsid w:val="291658E9"/>
    <w:rsid w:val="292E7041"/>
    <w:rsid w:val="296F2D34"/>
    <w:rsid w:val="297F356C"/>
    <w:rsid w:val="29BA46F0"/>
    <w:rsid w:val="29CF661E"/>
    <w:rsid w:val="29DE75C4"/>
    <w:rsid w:val="29F7222B"/>
    <w:rsid w:val="2A100353"/>
    <w:rsid w:val="2A85242B"/>
    <w:rsid w:val="2A9D6F57"/>
    <w:rsid w:val="2B694EC9"/>
    <w:rsid w:val="2BBB0F51"/>
    <w:rsid w:val="2BF66CEB"/>
    <w:rsid w:val="2C0F4CE9"/>
    <w:rsid w:val="2C1548EE"/>
    <w:rsid w:val="2C39766C"/>
    <w:rsid w:val="2C7F4488"/>
    <w:rsid w:val="2C805234"/>
    <w:rsid w:val="2C970D19"/>
    <w:rsid w:val="2CC55886"/>
    <w:rsid w:val="2CDC0483"/>
    <w:rsid w:val="2CF63C91"/>
    <w:rsid w:val="2D1C3985"/>
    <w:rsid w:val="2D22434F"/>
    <w:rsid w:val="2D247BFB"/>
    <w:rsid w:val="2D522E91"/>
    <w:rsid w:val="2D694474"/>
    <w:rsid w:val="2DAD7DFD"/>
    <w:rsid w:val="2DBE4A99"/>
    <w:rsid w:val="2DDC5444"/>
    <w:rsid w:val="2DE50457"/>
    <w:rsid w:val="2E46739B"/>
    <w:rsid w:val="2E563044"/>
    <w:rsid w:val="2EB43A90"/>
    <w:rsid w:val="2EB65903"/>
    <w:rsid w:val="2EC8340B"/>
    <w:rsid w:val="2ED34A16"/>
    <w:rsid w:val="2F002096"/>
    <w:rsid w:val="2F2B6123"/>
    <w:rsid w:val="2F827A5E"/>
    <w:rsid w:val="306E7FE2"/>
    <w:rsid w:val="30894E1C"/>
    <w:rsid w:val="309C4B4F"/>
    <w:rsid w:val="30CF1B3A"/>
    <w:rsid w:val="30F6760E"/>
    <w:rsid w:val="310F699B"/>
    <w:rsid w:val="315218E6"/>
    <w:rsid w:val="316513E5"/>
    <w:rsid w:val="31696552"/>
    <w:rsid w:val="31800233"/>
    <w:rsid w:val="31927F10"/>
    <w:rsid w:val="319E66A5"/>
    <w:rsid w:val="31BB08AD"/>
    <w:rsid w:val="322A1CE7"/>
    <w:rsid w:val="33497717"/>
    <w:rsid w:val="33B10912"/>
    <w:rsid w:val="33EE68D8"/>
    <w:rsid w:val="341D307C"/>
    <w:rsid w:val="34994CCB"/>
    <w:rsid w:val="34D6158E"/>
    <w:rsid w:val="35103416"/>
    <w:rsid w:val="351B0104"/>
    <w:rsid w:val="354B6B44"/>
    <w:rsid w:val="355A37FC"/>
    <w:rsid w:val="355B0E0A"/>
    <w:rsid w:val="35742812"/>
    <w:rsid w:val="357E4CAE"/>
    <w:rsid w:val="359C5713"/>
    <w:rsid w:val="359F0C3E"/>
    <w:rsid w:val="35CA7EC6"/>
    <w:rsid w:val="35F12D98"/>
    <w:rsid w:val="36C546D4"/>
    <w:rsid w:val="36DD1A34"/>
    <w:rsid w:val="3752323C"/>
    <w:rsid w:val="37893954"/>
    <w:rsid w:val="38183C99"/>
    <w:rsid w:val="38935A50"/>
    <w:rsid w:val="38AC7253"/>
    <w:rsid w:val="38E86458"/>
    <w:rsid w:val="39326269"/>
    <w:rsid w:val="39573D91"/>
    <w:rsid w:val="39E207BF"/>
    <w:rsid w:val="3A0410CF"/>
    <w:rsid w:val="3A8C3E3B"/>
    <w:rsid w:val="3AA649D4"/>
    <w:rsid w:val="3AB91D2C"/>
    <w:rsid w:val="3AF37D8C"/>
    <w:rsid w:val="3B003F2D"/>
    <w:rsid w:val="3B7F1C91"/>
    <w:rsid w:val="3BEF0F0D"/>
    <w:rsid w:val="3BF9256D"/>
    <w:rsid w:val="3C077B45"/>
    <w:rsid w:val="3C0A2744"/>
    <w:rsid w:val="3C1E7DFF"/>
    <w:rsid w:val="3C371BD0"/>
    <w:rsid w:val="3C52785C"/>
    <w:rsid w:val="3CA134EE"/>
    <w:rsid w:val="3CD86573"/>
    <w:rsid w:val="3CE80111"/>
    <w:rsid w:val="3CE93077"/>
    <w:rsid w:val="3D6C74FD"/>
    <w:rsid w:val="3D8536C8"/>
    <w:rsid w:val="3DAC3EF8"/>
    <w:rsid w:val="3DC2196D"/>
    <w:rsid w:val="3E0E6961"/>
    <w:rsid w:val="3E3D2DA2"/>
    <w:rsid w:val="3E733530"/>
    <w:rsid w:val="3ED7163A"/>
    <w:rsid w:val="3F2A7F57"/>
    <w:rsid w:val="3F316DAB"/>
    <w:rsid w:val="3F52287D"/>
    <w:rsid w:val="3F787C67"/>
    <w:rsid w:val="3F8715F7"/>
    <w:rsid w:val="3FC858DC"/>
    <w:rsid w:val="3FDB4CF6"/>
    <w:rsid w:val="3FEB602E"/>
    <w:rsid w:val="40A95E96"/>
    <w:rsid w:val="40EE536A"/>
    <w:rsid w:val="4121517C"/>
    <w:rsid w:val="413656D6"/>
    <w:rsid w:val="413E130B"/>
    <w:rsid w:val="417A6EDD"/>
    <w:rsid w:val="41E53E7C"/>
    <w:rsid w:val="42520175"/>
    <w:rsid w:val="42610076"/>
    <w:rsid w:val="42C52901"/>
    <w:rsid w:val="42D71A17"/>
    <w:rsid w:val="42F736CA"/>
    <w:rsid w:val="431E31A2"/>
    <w:rsid w:val="432E501B"/>
    <w:rsid w:val="4340580E"/>
    <w:rsid w:val="43F54F5F"/>
    <w:rsid w:val="43FD57FC"/>
    <w:rsid w:val="44546201"/>
    <w:rsid w:val="445F5435"/>
    <w:rsid w:val="447847E9"/>
    <w:rsid w:val="44A97AE4"/>
    <w:rsid w:val="44B4176F"/>
    <w:rsid w:val="44BB561C"/>
    <w:rsid w:val="45294080"/>
    <w:rsid w:val="45442C68"/>
    <w:rsid w:val="456A6EAA"/>
    <w:rsid w:val="45D26D76"/>
    <w:rsid w:val="46DB2F1F"/>
    <w:rsid w:val="473A6662"/>
    <w:rsid w:val="4750593E"/>
    <w:rsid w:val="47C92F7B"/>
    <w:rsid w:val="47E6500A"/>
    <w:rsid w:val="48147269"/>
    <w:rsid w:val="48435459"/>
    <w:rsid w:val="485F18F6"/>
    <w:rsid w:val="48D520B0"/>
    <w:rsid w:val="492E4A63"/>
    <w:rsid w:val="493C3F49"/>
    <w:rsid w:val="494158A8"/>
    <w:rsid w:val="494516EF"/>
    <w:rsid w:val="495913D8"/>
    <w:rsid w:val="49FC2FAB"/>
    <w:rsid w:val="4A09189D"/>
    <w:rsid w:val="4A38509F"/>
    <w:rsid w:val="4A77668A"/>
    <w:rsid w:val="4A7B1730"/>
    <w:rsid w:val="4A9B5A20"/>
    <w:rsid w:val="4ACF69DD"/>
    <w:rsid w:val="4AFF7D5D"/>
    <w:rsid w:val="4B1A02E9"/>
    <w:rsid w:val="4B4375C7"/>
    <w:rsid w:val="4B6B069D"/>
    <w:rsid w:val="4B78393E"/>
    <w:rsid w:val="4B906C07"/>
    <w:rsid w:val="4BFE6267"/>
    <w:rsid w:val="4C5B5CAE"/>
    <w:rsid w:val="4CB709E2"/>
    <w:rsid w:val="4CEC2563"/>
    <w:rsid w:val="4D3F79A8"/>
    <w:rsid w:val="4D4A5495"/>
    <w:rsid w:val="4D5A43DC"/>
    <w:rsid w:val="4DB84D64"/>
    <w:rsid w:val="4DD75A9E"/>
    <w:rsid w:val="4E0039F5"/>
    <w:rsid w:val="4E1F24C4"/>
    <w:rsid w:val="4E5403A8"/>
    <w:rsid w:val="4E5E5E11"/>
    <w:rsid w:val="4EA57C73"/>
    <w:rsid w:val="4EAC1FAA"/>
    <w:rsid w:val="4EC01691"/>
    <w:rsid w:val="4ECF7A46"/>
    <w:rsid w:val="4ED666AE"/>
    <w:rsid w:val="4F253B0A"/>
    <w:rsid w:val="4F2E3366"/>
    <w:rsid w:val="4F3767B4"/>
    <w:rsid w:val="4F771DC3"/>
    <w:rsid w:val="4F873DBE"/>
    <w:rsid w:val="4FC56AF0"/>
    <w:rsid w:val="5043249A"/>
    <w:rsid w:val="504A6682"/>
    <w:rsid w:val="50520ABE"/>
    <w:rsid w:val="50D43B78"/>
    <w:rsid w:val="50DE4FD7"/>
    <w:rsid w:val="512B0369"/>
    <w:rsid w:val="51B740A0"/>
    <w:rsid w:val="51B975FA"/>
    <w:rsid w:val="51C3398D"/>
    <w:rsid w:val="522D1358"/>
    <w:rsid w:val="525940CF"/>
    <w:rsid w:val="5333644E"/>
    <w:rsid w:val="53432B32"/>
    <w:rsid w:val="535350EA"/>
    <w:rsid w:val="53773B61"/>
    <w:rsid w:val="541859EC"/>
    <w:rsid w:val="542D593B"/>
    <w:rsid w:val="543C3DD0"/>
    <w:rsid w:val="54421C53"/>
    <w:rsid w:val="544B4013"/>
    <w:rsid w:val="54794E03"/>
    <w:rsid w:val="54857CFC"/>
    <w:rsid w:val="54BC6CBF"/>
    <w:rsid w:val="55784DF8"/>
    <w:rsid w:val="55805F3E"/>
    <w:rsid w:val="55A7171D"/>
    <w:rsid w:val="55B91768"/>
    <w:rsid w:val="562E14F6"/>
    <w:rsid w:val="567F795E"/>
    <w:rsid w:val="568A3B26"/>
    <w:rsid w:val="5699320F"/>
    <w:rsid w:val="56B91708"/>
    <w:rsid w:val="56CA045F"/>
    <w:rsid w:val="56D86640"/>
    <w:rsid w:val="57513563"/>
    <w:rsid w:val="577435D6"/>
    <w:rsid w:val="579252AA"/>
    <w:rsid w:val="57EF2F07"/>
    <w:rsid w:val="587703E3"/>
    <w:rsid w:val="589725A1"/>
    <w:rsid w:val="5922540F"/>
    <w:rsid w:val="59443607"/>
    <w:rsid w:val="5A355549"/>
    <w:rsid w:val="5A612F88"/>
    <w:rsid w:val="5A7B0E96"/>
    <w:rsid w:val="5AB02E22"/>
    <w:rsid w:val="5AC4067B"/>
    <w:rsid w:val="5ADF607A"/>
    <w:rsid w:val="5AE34FA5"/>
    <w:rsid w:val="5B1E6C40"/>
    <w:rsid w:val="5B37709F"/>
    <w:rsid w:val="5B6D05DD"/>
    <w:rsid w:val="5B737397"/>
    <w:rsid w:val="5C1A2297"/>
    <w:rsid w:val="5C1F26E8"/>
    <w:rsid w:val="5C2303CB"/>
    <w:rsid w:val="5C291C9D"/>
    <w:rsid w:val="5C4557E5"/>
    <w:rsid w:val="5C8B31BA"/>
    <w:rsid w:val="5CB50119"/>
    <w:rsid w:val="5D223DF8"/>
    <w:rsid w:val="5D296EBB"/>
    <w:rsid w:val="5D3A105C"/>
    <w:rsid w:val="5D4A130C"/>
    <w:rsid w:val="5D67216D"/>
    <w:rsid w:val="5D852344"/>
    <w:rsid w:val="5DCA244C"/>
    <w:rsid w:val="5E3C6BDC"/>
    <w:rsid w:val="5E792165"/>
    <w:rsid w:val="5E7A5C21"/>
    <w:rsid w:val="5F41229A"/>
    <w:rsid w:val="5F772160"/>
    <w:rsid w:val="5F795ED8"/>
    <w:rsid w:val="5F9005DA"/>
    <w:rsid w:val="5F905B76"/>
    <w:rsid w:val="5FB05672"/>
    <w:rsid w:val="5FD47748"/>
    <w:rsid w:val="5FE63B56"/>
    <w:rsid w:val="601D2D07"/>
    <w:rsid w:val="607E29C3"/>
    <w:rsid w:val="608B4D11"/>
    <w:rsid w:val="609703C4"/>
    <w:rsid w:val="61DA1F74"/>
    <w:rsid w:val="61E233E4"/>
    <w:rsid w:val="62294A24"/>
    <w:rsid w:val="624162F5"/>
    <w:rsid w:val="62566DFA"/>
    <w:rsid w:val="62610083"/>
    <w:rsid w:val="6261664C"/>
    <w:rsid w:val="62F6059B"/>
    <w:rsid w:val="633D0704"/>
    <w:rsid w:val="63675036"/>
    <w:rsid w:val="63966F89"/>
    <w:rsid w:val="63995DE9"/>
    <w:rsid w:val="63A611BA"/>
    <w:rsid w:val="63AE4945"/>
    <w:rsid w:val="63AF3EC4"/>
    <w:rsid w:val="63D4752A"/>
    <w:rsid w:val="63F6324E"/>
    <w:rsid w:val="643B3538"/>
    <w:rsid w:val="64501C5F"/>
    <w:rsid w:val="64DB0A9B"/>
    <w:rsid w:val="650E2EA2"/>
    <w:rsid w:val="652A4D4D"/>
    <w:rsid w:val="656B6078"/>
    <w:rsid w:val="65890FFB"/>
    <w:rsid w:val="658925AF"/>
    <w:rsid w:val="65C936C8"/>
    <w:rsid w:val="65D375A4"/>
    <w:rsid w:val="66005C9D"/>
    <w:rsid w:val="661A1A97"/>
    <w:rsid w:val="66930864"/>
    <w:rsid w:val="66A34226"/>
    <w:rsid w:val="66C51A03"/>
    <w:rsid w:val="66CD4D5B"/>
    <w:rsid w:val="67206C22"/>
    <w:rsid w:val="67FD341E"/>
    <w:rsid w:val="685D273E"/>
    <w:rsid w:val="687063BF"/>
    <w:rsid w:val="68B27404"/>
    <w:rsid w:val="68E933F7"/>
    <w:rsid w:val="69660446"/>
    <w:rsid w:val="69E53D98"/>
    <w:rsid w:val="69ED4F00"/>
    <w:rsid w:val="6A1E198E"/>
    <w:rsid w:val="6A4C0196"/>
    <w:rsid w:val="6A8C571F"/>
    <w:rsid w:val="6AA95198"/>
    <w:rsid w:val="6AC52C01"/>
    <w:rsid w:val="6AC95DD5"/>
    <w:rsid w:val="6AE5406E"/>
    <w:rsid w:val="6B286A04"/>
    <w:rsid w:val="6B405AFC"/>
    <w:rsid w:val="6B907B50"/>
    <w:rsid w:val="6BA01447"/>
    <w:rsid w:val="6BA32DFC"/>
    <w:rsid w:val="6BD87281"/>
    <w:rsid w:val="6C063B86"/>
    <w:rsid w:val="6C270A6A"/>
    <w:rsid w:val="6C483142"/>
    <w:rsid w:val="6CEA60FA"/>
    <w:rsid w:val="6CF00C27"/>
    <w:rsid w:val="6D2767E6"/>
    <w:rsid w:val="6D3278CD"/>
    <w:rsid w:val="6D616D7B"/>
    <w:rsid w:val="6D971A88"/>
    <w:rsid w:val="6E0C43BB"/>
    <w:rsid w:val="6E122C37"/>
    <w:rsid w:val="6E3F653F"/>
    <w:rsid w:val="6E4F3F34"/>
    <w:rsid w:val="6E5814CB"/>
    <w:rsid w:val="6ED343A4"/>
    <w:rsid w:val="6EFF5CCE"/>
    <w:rsid w:val="6F125E32"/>
    <w:rsid w:val="6F3062D4"/>
    <w:rsid w:val="6F6513F8"/>
    <w:rsid w:val="6F6932AA"/>
    <w:rsid w:val="6F6F2711"/>
    <w:rsid w:val="6FC65D7B"/>
    <w:rsid w:val="6FEF3153"/>
    <w:rsid w:val="704A7DF5"/>
    <w:rsid w:val="705E55CD"/>
    <w:rsid w:val="705F6BB4"/>
    <w:rsid w:val="708E10B8"/>
    <w:rsid w:val="709A5CAE"/>
    <w:rsid w:val="70E265CD"/>
    <w:rsid w:val="70F2261F"/>
    <w:rsid w:val="712B6906"/>
    <w:rsid w:val="71683636"/>
    <w:rsid w:val="71D376CA"/>
    <w:rsid w:val="721101F2"/>
    <w:rsid w:val="72113DDC"/>
    <w:rsid w:val="72247F25"/>
    <w:rsid w:val="729D1A86"/>
    <w:rsid w:val="73124222"/>
    <w:rsid w:val="73261A7B"/>
    <w:rsid w:val="73350423"/>
    <w:rsid w:val="738343C3"/>
    <w:rsid w:val="73EB4E76"/>
    <w:rsid w:val="741713C4"/>
    <w:rsid w:val="74561EEC"/>
    <w:rsid w:val="74A50AEE"/>
    <w:rsid w:val="750758DC"/>
    <w:rsid w:val="75520448"/>
    <w:rsid w:val="75564CF6"/>
    <w:rsid w:val="75996CCD"/>
    <w:rsid w:val="75A11CFC"/>
    <w:rsid w:val="75B55338"/>
    <w:rsid w:val="75F93D0D"/>
    <w:rsid w:val="76073EC6"/>
    <w:rsid w:val="765021A6"/>
    <w:rsid w:val="76613E0E"/>
    <w:rsid w:val="766729D8"/>
    <w:rsid w:val="766A6123"/>
    <w:rsid w:val="768A637D"/>
    <w:rsid w:val="76C306EB"/>
    <w:rsid w:val="770B3EB1"/>
    <w:rsid w:val="77295485"/>
    <w:rsid w:val="773A5AF5"/>
    <w:rsid w:val="775F306F"/>
    <w:rsid w:val="77CF17A9"/>
    <w:rsid w:val="77E6160F"/>
    <w:rsid w:val="77EA3963"/>
    <w:rsid w:val="78133758"/>
    <w:rsid w:val="781E653B"/>
    <w:rsid w:val="78455681"/>
    <w:rsid w:val="7855070D"/>
    <w:rsid w:val="78591348"/>
    <w:rsid w:val="78736BD9"/>
    <w:rsid w:val="78833952"/>
    <w:rsid w:val="78840542"/>
    <w:rsid w:val="78AB2DA7"/>
    <w:rsid w:val="78B663C1"/>
    <w:rsid w:val="78EC72C3"/>
    <w:rsid w:val="7910501E"/>
    <w:rsid w:val="79857F13"/>
    <w:rsid w:val="7996736B"/>
    <w:rsid w:val="79C63ECA"/>
    <w:rsid w:val="79D62AA7"/>
    <w:rsid w:val="79FF3026"/>
    <w:rsid w:val="7A102B3D"/>
    <w:rsid w:val="7A476B1B"/>
    <w:rsid w:val="7A597865"/>
    <w:rsid w:val="7A6335B5"/>
    <w:rsid w:val="7AAA11E4"/>
    <w:rsid w:val="7ADE338D"/>
    <w:rsid w:val="7B036C80"/>
    <w:rsid w:val="7B0E1773"/>
    <w:rsid w:val="7B2C0D48"/>
    <w:rsid w:val="7B610376"/>
    <w:rsid w:val="7BF41475"/>
    <w:rsid w:val="7C773D9D"/>
    <w:rsid w:val="7C7970C0"/>
    <w:rsid w:val="7CBA72F4"/>
    <w:rsid w:val="7CC33904"/>
    <w:rsid w:val="7CD0624E"/>
    <w:rsid w:val="7D18369C"/>
    <w:rsid w:val="7D670130"/>
    <w:rsid w:val="7D7B6E68"/>
    <w:rsid w:val="7DA5314F"/>
    <w:rsid w:val="7DA64256"/>
    <w:rsid w:val="7DC62455"/>
    <w:rsid w:val="7DD80EBF"/>
    <w:rsid w:val="7E05628F"/>
    <w:rsid w:val="7E1418F5"/>
    <w:rsid w:val="7E300083"/>
    <w:rsid w:val="7E374B3D"/>
    <w:rsid w:val="7E5356EF"/>
    <w:rsid w:val="7EA24C44"/>
    <w:rsid w:val="7EA96565"/>
    <w:rsid w:val="7F2B3C8E"/>
    <w:rsid w:val="7F805BDA"/>
    <w:rsid w:val="7F8C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5167</Words>
  <Characters>5505</Characters>
  <Lines>115</Lines>
  <Paragraphs>32</Paragraphs>
  <TotalTime>0</TotalTime>
  <ScaleCrop>false</ScaleCrop>
  <LinksUpToDate>false</LinksUpToDate>
  <CharactersWithSpaces>5578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2024-01-26T07:12:00Z</cp:lastPrinted>
  <dcterms:modified xsi:type="dcterms:W3CDTF">2025-01-10T08:57:00Z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47429C040DC449BB8D491E4A4BA5268A</vt:lpwstr>
  </property>
  <property fmtid="{D5CDD505-2E9C-101B-9397-08002B2CF9AE}" pid="4" name="KSOTemplateDocerSaveRecord">
    <vt:lpwstr>eyJoZGlkIjoiNjAzYWRiNzkzYTczZjAwYzg1NzQyOTk3YjE3NGQ5ZTUifQ==</vt:lpwstr>
  </property>
</Properties>
</file>