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4315"/>
      <w:bookmarkStart w:id="2" w:name="_Toc16091"/>
      <w:bookmarkStart w:id="3" w:name="_Toc3493"/>
      <w:bookmarkStart w:id="4" w:name="_Toc15365"/>
      <w:bookmarkStart w:id="5" w:name="_Toc15189"/>
      <w:bookmarkStart w:id="6" w:name="_Toc17040"/>
      <w:bookmarkStart w:id="7" w:name="_Toc15553"/>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1D2D31C3">
      <w:pPr>
        <w:spacing w:line="480" w:lineRule="auto"/>
        <w:jc w:val="center"/>
        <w:outlineLvl w:val="0"/>
        <w:rPr>
          <w:rFonts w:hint="eastAsia" w:ascii="宋体" w:hAnsi="宋体"/>
          <w:b/>
          <w:bCs/>
          <w:color w:val="auto"/>
          <w:sz w:val="72"/>
          <w:szCs w:val="72"/>
          <w:highlight w:val="none"/>
          <w:lang w:eastAsia="zh-CN"/>
        </w:rPr>
      </w:pPr>
      <w:r>
        <w:rPr>
          <w:rFonts w:hint="eastAsia" w:ascii="宋体" w:hAnsi="宋体"/>
          <w:b/>
          <w:color w:val="auto"/>
          <w:kern w:val="0"/>
          <w:sz w:val="44"/>
          <w:szCs w:val="44"/>
          <w:highlight w:val="none"/>
          <w:lang w:eastAsia="zh-CN"/>
        </w:rPr>
        <w:t>骨动力系统（骨锯）项目</w:t>
      </w:r>
    </w:p>
    <w:p w14:paraId="34339D68">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NYWYH20240020</w:t>
      </w:r>
    </w:p>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4A4C92C9">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骨动力系统（骨锯）</w:t>
      </w:r>
      <w:r>
        <w:rPr>
          <w:rFonts w:hint="eastAsia" w:ascii="宋体" w:hAnsi="宋体" w:eastAsia="宋体" w:cs="宋体"/>
          <w:color w:val="0000FF"/>
          <w:kern w:val="0"/>
          <w:sz w:val="24"/>
          <w:szCs w:val="24"/>
          <w:lang w:val="en-US" w:eastAsia="zh-CN"/>
        </w:rPr>
        <w:t>+NYWYH2024002</w:t>
      </w:r>
      <w:r>
        <w:rPr>
          <w:rFonts w:hint="eastAsia" w:ascii="宋体" w:hAnsi="宋体" w:cs="宋体"/>
          <w:color w:val="0000FF"/>
          <w:kern w:val="0"/>
          <w:sz w:val="24"/>
          <w:szCs w:val="24"/>
          <w:lang w:val="en-US" w:eastAsia="zh-CN"/>
        </w:rPr>
        <w:t>0</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114F54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宋体"/>
          <w:b w:val="0"/>
          <w:bCs/>
          <w:color w:val="auto"/>
          <w:kern w:val="0"/>
          <w:sz w:val="24"/>
          <w:szCs w:val="24"/>
        </w:rPr>
        <w:t>具有履行合同所必需的设备和专业技术能力</w:t>
      </w:r>
      <w:r>
        <w:rPr>
          <w:rFonts w:hint="eastAsia" w:ascii="宋体" w:hAnsi="宋体" w:cs="宋体"/>
          <w:b w:val="0"/>
          <w:bCs/>
          <w:color w:val="auto"/>
          <w:kern w:val="0"/>
          <w:sz w:val="24"/>
          <w:szCs w:val="24"/>
          <w:lang w:eastAsia="zh-CN"/>
        </w:rPr>
        <w:t>；</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填报设备及专业技术能力情况或者提供</w:t>
      </w:r>
      <w:r>
        <w:rPr>
          <w:rFonts w:hint="eastAsia" w:ascii="宋体" w:hAnsi="宋体" w:cs="宋体"/>
          <w:b/>
          <w:bCs w:val="0"/>
          <w:color w:val="auto"/>
          <w:kern w:val="0"/>
          <w:sz w:val="24"/>
          <w:szCs w:val="24"/>
          <w:lang w:eastAsia="zh-CN"/>
        </w:rPr>
        <w:t>声明函</w:t>
      </w:r>
      <w:r>
        <w:rPr>
          <w:rFonts w:hint="eastAsia" w:ascii="宋体" w:hAnsi="宋体" w:eastAsia="宋体" w:cs="宋体"/>
          <w:b/>
          <w:bCs w:val="0"/>
          <w:color w:val="auto"/>
          <w:kern w:val="0"/>
          <w:sz w:val="24"/>
          <w:szCs w:val="24"/>
        </w:rPr>
        <w:t>，格式自拟，并加盖供应商公章</w:t>
      </w:r>
      <w:r>
        <w:rPr>
          <w:rFonts w:hint="eastAsia" w:ascii="宋体" w:hAnsi="宋体" w:cs="宋体"/>
          <w:b/>
          <w:bCs w:val="0"/>
          <w:color w:val="auto"/>
          <w:kern w:val="0"/>
          <w:sz w:val="24"/>
          <w:szCs w:val="24"/>
          <w:lang w:eastAsia="zh-CN"/>
        </w:rPr>
        <w:t>）</w:t>
      </w:r>
    </w:p>
    <w:p w14:paraId="3C6ECFF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rPr>
        <w:t>具有依法缴纳税收和社会保障资金的良</w:t>
      </w:r>
      <w:r>
        <w:rPr>
          <w:rFonts w:hint="eastAsia" w:ascii="宋体" w:hAnsi="宋体" w:eastAsia="宋体" w:cs="宋体"/>
          <w:color w:val="auto"/>
          <w:kern w:val="0"/>
          <w:sz w:val="24"/>
          <w:szCs w:val="24"/>
        </w:rPr>
        <w:t>好记录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，格式自拟，并加盖供应商公</w:t>
      </w:r>
      <w:r>
        <w:rPr>
          <w:rFonts w:hint="eastAsia" w:ascii="宋体" w:hAnsi="宋体" w:cs="宋体"/>
          <w:b/>
          <w:bCs/>
          <w:color w:val="auto"/>
          <w:kern w:val="0"/>
          <w:sz w:val="24"/>
          <w:szCs w:val="24"/>
          <w:lang w:val="en-US" w:eastAsia="zh-CN"/>
        </w:rPr>
        <w:t>章）</w:t>
      </w:r>
    </w:p>
    <w:p w14:paraId="2FED5EAE">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 xml:space="preserve">7. </w:t>
      </w:r>
      <w:r>
        <w:rPr>
          <w:rFonts w:hint="eastAsia" w:ascii="宋体" w:hAnsi="宋体" w:eastAsia="宋体" w:cs="宋体"/>
          <w:color w:val="auto"/>
          <w:kern w:val="0"/>
          <w:sz w:val="24"/>
          <w:szCs w:val="24"/>
          <w:lang w:val="en-US" w:eastAsia="zh-CN"/>
        </w:rPr>
        <w:t>2020年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lang w:val="en-US" w:eastAsia="zh-CN"/>
        </w:rPr>
        <w:t>月1日以来企业及其法定代表人未被人民法院列入“失信被执行人名单”；</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提供“信用中国”网站或全国法院被执行人信息查询的网页截图</w:t>
      </w:r>
      <w:r>
        <w:rPr>
          <w:rFonts w:hint="eastAsia" w:ascii="宋体" w:hAnsi="宋体" w:cs="宋体"/>
          <w:b/>
          <w:bCs/>
          <w:color w:val="auto"/>
          <w:kern w:val="0"/>
          <w:sz w:val="24"/>
          <w:szCs w:val="24"/>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2020年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月1日以来参加政府采购经营活动中没有重大违法记录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并加盖供应商公章</w:t>
      </w:r>
      <w:r>
        <w:rPr>
          <w:rFonts w:hint="eastAsia" w:ascii="宋体" w:hAnsi="宋体" w:cs="宋体"/>
          <w:b/>
          <w:bCs/>
          <w:color w:val="auto"/>
          <w:kern w:val="0"/>
          <w:sz w:val="24"/>
          <w:szCs w:val="24"/>
          <w:lang w:eastAsia="zh-CN"/>
        </w:rPr>
        <w:t>）</w:t>
      </w:r>
    </w:p>
    <w:p w14:paraId="1D2E7F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提供相关证明文件材料并加盖供应商公章</w:t>
      </w:r>
      <w:r>
        <w:rPr>
          <w:rFonts w:hint="eastAsia" w:ascii="宋体" w:hAnsi="宋体" w:cs="宋体"/>
          <w:b/>
          <w:bCs/>
          <w:color w:val="auto"/>
          <w:sz w:val="24"/>
          <w:szCs w:val="24"/>
          <w:lang w:eastAsia="zh-CN"/>
        </w:rPr>
        <w:t>）</w:t>
      </w:r>
    </w:p>
    <w:p w14:paraId="156CF9A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如参与者为代理经销商且代理产品为进口产品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提供从制造厂商到代理经销商对所投产品的合法有效授权证明文件</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并加盖供应商公章</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b/>
          <w:color w:val="auto"/>
          <w:sz w:val="24"/>
          <w:szCs w:val="24"/>
          <w:highlight w:val="none"/>
        </w:rPr>
        <w:t>如</w:t>
      </w:r>
      <w:r>
        <w:rPr>
          <w:rFonts w:hint="eastAsia" w:asciiTheme="minorEastAsia" w:hAnsiTheme="minorEastAsia" w:eastAsiaTheme="minorEastAsia"/>
          <w:b/>
          <w:color w:val="auto"/>
          <w:sz w:val="24"/>
          <w:szCs w:val="24"/>
          <w:highlight w:val="none"/>
          <w:lang w:eastAsia="zh-CN"/>
        </w:rPr>
        <w:t>提供资料非中文</w:t>
      </w:r>
      <w:r>
        <w:rPr>
          <w:rFonts w:hint="eastAsia" w:asciiTheme="minorEastAsia" w:hAnsiTheme="minorEastAsia" w:eastAsiaTheme="minorEastAsia"/>
          <w:b/>
          <w:color w:val="auto"/>
          <w:sz w:val="24"/>
          <w:szCs w:val="24"/>
          <w:highlight w:val="none"/>
        </w:rPr>
        <w:t>版，请同时</w:t>
      </w:r>
      <w:r>
        <w:rPr>
          <w:rFonts w:hint="eastAsia" w:asciiTheme="minorEastAsia" w:hAnsiTheme="minorEastAsia" w:eastAsiaTheme="minorEastAsia"/>
          <w:b/>
          <w:color w:val="auto"/>
          <w:sz w:val="24"/>
          <w:szCs w:val="24"/>
          <w:highlight w:val="none"/>
          <w:lang w:eastAsia="zh-CN"/>
        </w:rPr>
        <w:t>另</w:t>
      </w:r>
      <w:r>
        <w:rPr>
          <w:rFonts w:hint="eastAsia" w:asciiTheme="minorEastAsia" w:hAnsiTheme="minorEastAsia" w:eastAsiaTheme="minorEastAsia"/>
          <w:b/>
          <w:color w:val="auto"/>
          <w:sz w:val="24"/>
          <w:szCs w:val="24"/>
          <w:highlight w:val="none"/>
        </w:rPr>
        <w:t>提供中文版加盖供应商公章</w:t>
      </w:r>
      <w:r>
        <w:rPr>
          <w:rFonts w:hint="eastAsia" w:asciiTheme="minorEastAsia" w:hAnsiTheme="minorEastAsia" w:eastAsiaTheme="minorEastAsia"/>
          <w:b/>
          <w:color w:val="auto"/>
          <w:sz w:val="24"/>
          <w:szCs w:val="24"/>
          <w:highlight w:val="none"/>
          <w:lang w:eastAsia="zh-CN"/>
        </w:rPr>
        <w:t>）</w:t>
      </w:r>
    </w:p>
    <w:p w14:paraId="017B47B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法定代表人或单位负责人为同一人或者存在直接控股、管理关系的不同</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，不得参加同一合同项下的采购活动</w:t>
      </w:r>
      <w:r>
        <w:rPr>
          <w:rFonts w:hint="eastAsia" w:ascii="宋体" w:hAnsi="宋体" w:cs="宋体"/>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44E7194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color w:val="auto"/>
          <w:sz w:val="24"/>
          <w:szCs w:val="24"/>
        </w:rPr>
      </w:pP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本项目不接受联合体。</w:t>
      </w:r>
      <w:r>
        <w:rPr>
          <w:rFonts w:hint="eastAsia" w:ascii="宋体" w:hAnsi="宋体" w:eastAsia="宋体" w:cs="宋体"/>
          <w:b/>
          <w:bCs/>
          <w:color w:val="auto"/>
          <w:kern w:val="0"/>
          <w:sz w:val="24"/>
          <w:szCs w:val="24"/>
        </w:rPr>
        <w:t>（提供声明函，格式自拟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474469F">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3471"/>
      <w:bookmarkStart w:id="15" w:name="_Toc1994"/>
      <w:bookmarkStart w:id="16" w:name="_Toc40346216"/>
      <w:bookmarkStart w:id="17" w:name="_Toc8364"/>
      <w:bookmarkStart w:id="18" w:name="_Toc29113"/>
      <w:bookmarkStart w:id="19" w:name="_Toc28703"/>
      <w:bookmarkStart w:id="20" w:name="_Toc40346375"/>
      <w:bookmarkStart w:id="21" w:name="_Toc7291"/>
      <w:bookmarkStart w:id="22" w:name="_Toc6547"/>
      <w:bookmarkStart w:id="23" w:name="_Toc21249"/>
      <w:bookmarkStart w:id="24" w:name="_Toc26267"/>
      <w:bookmarkStart w:id="25" w:name="_Toc11075"/>
      <w:bookmarkStart w:id="26" w:name="_Toc11305"/>
      <w:bookmarkStart w:id="27" w:name="_Toc435"/>
      <w:bookmarkStart w:id="28" w:name="_Toc12520"/>
      <w:bookmarkStart w:id="29" w:name="_Toc40776111"/>
      <w:bookmarkStart w:id="30" w:name="_Toc15870"/>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346376"/>
      <w:bookmarkStart w:id="32" w:name="_Toc1743"/>
      <w:bookmarkStart w:id="33" w:name="_Toc17709"/>
      <w:bookmarkStart w:id="34" w:name="_Toc20884"/>
      <w:bookmarkStart w:id="35" w:name="_Toc27997"/>
      <w:bookmarkStart w:id="36" w:name="_Toc40346217"/>
      <w:bookmarkStart w:id="37" w:name="_Toc2916"/>
      <w:bookmarkStart w:id="38" w:name="_Toc40776112"/>
    </w:p>
    <w:p w14:paraId="550CB58F">
      <w:pPr>
        <w:widowControl/>
        <w:spacing w:line="360" w:lineRule="auto"/>
        <w:ind w:firstLine="600"/>
        <w:outlineLvl w:val="0"/>
        <w:rPr>
          <w:rFonts w:cs="宋体"/>
          <w:kern w:val="0"/>
          <w:sz w:val="30"/>
          <w:szCs w:val="30"/>
        </w:rPr>
      </w:pPr>
      <w:bookmarkStart w:id="39" w:name="_Toc30979"/>
      <w:bookmarkStart w:id="40" w:name="_Toc5238"/>
      <w:bookmarkStart w:id="41" w:name="_Toc11485"/>
      <w:bookmarkStart w:id="42" w:name="_Toc2029"/>
      <w:bookmarkStart w:id="43" w:name="_Toc23097"/>
      <w:bookmarkStart w:id="44" w:name="_Toc31538"/>
      <w:bookmarkStart w:id="45" w:name="_Toc19699"/>
      <w:bookmarkStart w:id="46" w:name="_Toc2012"/>
      <w:bookmarkStart w:id="47" w:name="_Toc29102"/>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31993"/>
      <w:bookmarkStart w:id="49" w:name="_Toc21483"/>
      <w:bookmarkStart w:id="50" w:name="_Toc11141"/>
      <w:bookmarkStart w:id="51" w:name="_Toc28064"/>
      <w:bookmarkStart w:id="52" w:name="_Toc40346377"/>
      <w:bookmarkStart w:id="53" w:name="_Toc27867"/>
      <w:bookmarkStart w:id="54" w:name="_Toc24763"/>
      <w:bookmarkStart w:id="55" w:name="_Toc17930"/>
      <w:bookmarkStart w:id="56" w:name="_Toc29767"/>
      <w:bookmarkStart w:id="57" w:name="_Toc12645"/>
      <w:bookmarkStart w:id="58" w:name="_Toc7052"/>
      <w:bookmarkStart w:id="59" w:name="_Toc14824"/>
      <w:bookmarkStart w:id="60" w:name="_Toc16794"/>
      <w:bookmarkStart w:id="61" w:name="_Toc40346218"/>
      <w:bookmarkStart w:id="62" w:name="_Toc4013"/>
      <w:bookmarkStart w:id="63" w:name="_Toc40776113"/>
      <w:bookmarkStart w:id="64" w:name="_Toc11558"/>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32709"/>
      <w:bookmarkStart w:id="66" w:name="_Toc27771"/>
      <w:bookmarkStart w:id="67" w:name="_Toc19831"/>
      <w:bookmarkStart w:id="68" w:name="_Toc31197"/>
      <w:bookmarkStart w:id="69" w:name="_Toc4563"/>
      <w:bookmarkStart w:id="70" w:name="_Toc26029"/>
      <w:bookmarkStart w:id="71" w:name="_Toc40776114"/>
      <w:bookmarkStart w:id="72" w:name="_Toc40346378"/>
      <w:bookmarkStart w:id="73" w:name="_Toc1324"/>
      <w:bookmarkStart w:id="74" w:name="_Toc40346219"/>
      <w:bookmarkStart w:id="75" w:name="_Toc16813"/>
      <w:bookmarkStart w:id="76" w:name="_Toc6438"/>
      <w:bookmarkStart w:id="77" w:name="_Toc14287"/>
      <w:bookmarkStart w:id="78" w:name="_Toc24651"/>
      <w:bookmarkStart w:id="79" w:name="_Toc17537"/>
      <w:bookmarkStart w:id="80" w:name="_Toc11334"/>
      <w:bookmarkStart w:id="81" w:name="_Toc9883"/>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7483"/>
      <w:bookmarkStart w:id="83" w:name="_Toc21940"/>
      <w:bookmarkStart w:id="84" w:name="_Toc3895"/>
      <w:bookmarkStart w:id="85" w:name="_Toc5189"/>
      <w:bookmarkStart w:id="86" w:name="_Toc5634"/>
      <w:bookmarkStart w:id="87" w:name="_Toc20994"/>
      <w:bookmarkStart w:id="88" w:name="_Toc40346220"/>
      <w:bookmarkStart w:id="89" w:name="_Toc14586"/>
      <w:bookmarkStart w:id="90" w:name="_Toc40346379"/>
      <w:bookmarkStart w:id="91" w:name="_Toc40776115"/>
      <w:bookmarkStart w:id="92" w:name="_Toc13222"/>
      <w:bookmarkStart w:id="93" w:name="_Toc27868"/>
      <w:bookmarkStart w:id="94" w:name="_Toc21686"/>
      <w:bookmarkStart w:id="95" w:name="_Toc27206"/>
      <w:bookmarkStart w:id="96" w:name="_Toc30336"/>
      <w:bookmarkStart w:id="97" w:name="_Toc18353"/>
      <w:bookmarkStart w:id="98" w:name="_Toc12650"/>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3498"/>
      <w:bookmarkStart w:id="100" w:name="_Toc40346380"/>
      <w:bookmarkStart w:id="101" w:name="_Toc40776116"/>
      <w:bookmarkStart w:id="102" w:name="_Toc30856"/>
      <w:bookmarkStart w:id="103" w:name="_Toc14462"/>
      <w:bookmarkStart w:id="104" w:name="_Toc8526"/>
      <w:bookmarkStart w:id="105" w:name="_Toc12127"/>
      <w:bookmarkStart w:id="106" w:name="_Toc5220"/>
      <w:bookmarkStart w:id="107" w:name="_Toc40346221"/>
      <w:bookmarkStart w:id="108" w:name="_Toc10454"/>
      <w:bookmarkStart w:id="109" w:name="_Toc27009"/>
      <w:bookmarkStart w:id="110" w:name="_Toc27646"/>
      <w:bookmarkStart w:id="111" w:name="_Toc21449"/>
      <w:bookmarkStart w:id="112" w:name="_Toc30904"/>
      <w:bookmarkStart w:id="113" w:name="_Toc32371"/>
      <w:bookmarkStart w:id="114" w:name="_Toc9282"/>
      <w:bookmarkStart w:id="115" w:name="_Toc11547"/>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3184"/>
      <w:bookmarkStart w:id="117" w:name="_Toc15539"/>
      <w:bookmarkStart w:id="118" w:name="_Toc9697"/>
      <w:bookmarkStart w:id="119" w:name="_Toc10399"/>
      <w:bookmarkStart w:id="120" w:name="_Toc31077"/>
      <w:bookmarkStart w:id="121" w:name="_Toc16728"/>
      <w:bookmarkStart w:id="122" w:name="_Toc21213"/>
      <w:bookmarkStart w:id="123" w:name="_Toc28747"/>
      <w:bookmarkStart w:id="124" w:name="_Toc6691"/>
      <w:bookmarkStart w:id="125" w:name="_Toc16608"/>
      <w:bookmarkStart w:id="126" w:name="_Toc8637"/>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5419F7DF">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20854"/>
      <w:bookmarkStart w:id="130" w:name="_Toc18443"/>
      <w:bookmarkStart w:id="131" w:name="_Toc3758"/>
      <w:bookmarkStart w:id="132" w:name="_Toc15050"/>
      <w:bookmarkStart w:id="133" w:name="_Toc14020"/>
      <w:bookmarkStart w:id="134" w:name="_Toc3241"/>
      <w:bookmarkStart w:id="135" w:name="_Toc15934"/>
      <w:bookmarkStart w:id="136" w:name="_Toc14853"/>
      <w:bookmarkStart w:id="137" w:name="_Toc7276"/>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p w14:paraId="4AE2F7FA">
      <w:pPr>
        <w:pStyle w:val="16"/>
        <w:ind w:firstLine="3960" w:firstLineChars="1100"/>
        <w:outlineLvl w:val="0"/>
        <w:rPr>
          <w:b/>
          <w:bCs/>
          <w:sz w:val="36"/>
          <w:szCs w:val="36"/>
        </w:rPr>
      </w:pPr>
    </w:p>
    <w:bookmarkEnd w:id="125"/>
    <w:bookmarkEnd w:id="126"/>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val="en-US" w:eastAsia="zh-CN"/>
        </w:rPr>
        <w:t>供应商</w:t>
      </w:r>
      <w:r>
        <w:rPr>
          <w:rFonts w:hint="eastAsia" w:ascii="宋体" w:hAnsi="宋体" w:eastAsia="宋体" w:cs="Times New Roman"/>
          <w:color w:val="auto"/>
          <w:sz w:val="24"/>
          <w:szCs w:val="24"/>
        </w:rPr>
        <w:t>，不得参加同一合同项下的政府采购活动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690DB2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p>
    <w:p w14:paraId="167C33A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报价表（详见相关格式）</w:t>
      </w:r>
    </w:p>
    <w:p w14:paraId="491B3223">
      <w:pPr>
        <w:jc w:val="center"/>
        <w:rPr>
          <w:rFonts w:hint="eastAsia" w:ascii="黑体" w:hAnsi="黑体" w:eastAsia="黑体"/>
          <w:sz w:val="32"/>
          <w:szCs w:val="32"/>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
                <w:bCs w:val="0"/>
                <w:sz w:val="24"/>
              </w:rPr>
            </w:pPr>
            <w:r>
              <w:rPr>
                <w:rFonts w:hint="eastAsia" w:ascii="宋体" w:hAnsi="宋体" w:cs="宋体"/>
                <w:b/>
                <w:bCs w:val="0"/>
                <w:sz w:val="24"/>
              </w:rPr>
              <w:t>项目名称</w:t>
            </w:r>
          </w:p>
        </w:tc>
        <w:tc>
          <w:tcPr>
            <w:tcW w:w="2127" w:type="dxa"/>
            <w:shd w:val="clear" w:color="auto" w:fill="auto"/>
            <w:noWrap/>
            <w:vAlign w:val="center"/>
          </w:tcPr>
          <w:p w14:paraId="477775C5">
            <w:pPr>
              <w:spacing w:line="360" w:lineRule="auto"/>
              <w:jc w:val="center"/>
              <w:rPr>
                <w:rFonts w:ascii="宋体" w:hAnsi="宋体" w:cs="宋体"/>
                <w:b/>
                <w:bCs w:val="0"/>
                <w:sz w:val="24"/>
              </w:rPr>
            </w:pPr>
            <w:r>
              <w:rPr>
                <w:rFonts w:hint="eastAsia" w:ascii="宋体" w:hAnsi="宋体" w:cs="宋体"/>
                <w:b/>
                <w:bCs w:val="0"/>
                <w:sz w:val="24"/>
              </w:rPr>
              <w:t>产品注册证名称</w:t>
            </w:r>
          </w:p>
        </w:tc>
        <w:tc>
          <w:tcPr>
            <w:tcW w:w="1417" w:type="dxa"/>
            <w:shd w:val="clear" w:color="auto" w:fill="auto"/>
            <w:noWrap/>
            <w:vAlign w:val="center"/>
          </w:tcPr>
          <w:p w14:paraId="15C6DD29">
            <w:pPr>
              <w:spacing w:line="360" w:lineRule="auto"/>
              <w:jc w:val="center"/>
              <w:rPr>
                <w:rFonts w:ascii="宋体" w:hAnsi="宋体" w:cs="宋体"/>
                <w:b/>
                <w:bCs w:val="0"/>
                <w:sz w:val="24"/>
              </w:rPr>
            </w:pPr>
            <w:r>
              <w:rPr>
                <w:rFonts w:hint="eastAsia" w:ascii="宋体" w:hAnsi="宋体" w:cs="宋体"/>
                <w:b/>
                <w:bCs w:val="0"/>
                <w:sz w:val="24"/>
              </w:rPr>
              <w:t>品牌</w:t>
            </w:r>
          </w:p>
        </w:tc>
        <w:tc>
          <w:tcPr>
            <w:tcW w:w="1276" w:type="dxa"/>
            <w:shd w:val="clear" w:color="auto" w:fill="auto"/>
            <w:noWrap/>
            <w:vAlign w:val="center"/>
          </w:tcPr>
          <w:p w14:paraId="596CA43D">
            <w:pPr>
              <w:spacing w:line="360" w:lineRule="auto"/>
              <w:jc w:val="center"/>
              <w:rPr>
                <w:rFonts w:ascii="宋体" w:hAnsi="宋体" w:cs="宋体"/>
                <w:b/>
                <w:bCs w:val="0"/>
                <w:sz w:val="24"/>
              </w:rPr>
            </w:pPr>
            <w:r>
              <w:rPr>
                <w:rFonts w:hint="eastAsia" w:ascii="宋体" w:hAnsi="宋体" w:cs="宋体"/>
                <w:b/>
                <w:bCs w:val="0"/>
                <w:sz w:val="24"/>
              </w:rPr>
              <w:t>型号</w:t>
            </w:r>
          </w:p>
        </w:tc>
        <w:tc>
          <w:tcPr>
            <w:tcW w:w="1103" w:type="dxa"/>
            <w:shd w:val="clear" w:color="auto" w:fill="auto"/>
            <w:vAlign w:val="center"/>
          </w:tcPr>
          <w:p w14:paraId="408EC911">
            <w:pPr>
              <w:spacing w:line="360" w:lineRule="auto"/>
              <w:jc w:val="center"/>
              <w:rPr>
                <w:rFonts w:ascii="宋体" w:hAnsi="宋体" w:cs="宋体"/>
                <w:b/>
                <w:bCs w:val="0"/>
                <w:sz w:val="24"/>
              </w:rPr>
            </w:pPr>
            <w:r>
              <w:rPr>
                <w:rFonts w:hint="eastAsia" w:ascii="宋体" w:hAnsi="宋体" w:cs="宋体"/>
                <w:b/>
                <w:bCs w:val="0"/>
                <w:sz w:val="24"/>
              </w:rPr>
              <w:t>产地</w:t>
            </w:r>
          </w:p>
        </w:tc>
        <w:tc>
          <w:tcPr>
            <w:tcW w:w="1276" w:type="dxa"/>
            <w:shd w:val="clear" w:color="auto" w:fill="auto"/>
            <w:noWrap/>
            <w:vAlign w:val="center"/>
          </w:tcPr>
          <w:p w14:paraId="1C308899">
            <w:pPr>
              <w:spacing w:line="360" w:lineRule="auto"/>
              <w:jc w:val="center"/>
              <w:rPr>
                <w:rFonts w:ascii="宋体" w:hAnsi="宋体" w:cs="宋体"/>
                <w:b/>
                <w:bCs w:val="0"/>
                <w:sz w:val="24"/>
              </w:rPr>
            </w:pPr>
            <w:r>
              <w:rPr>
                <w:rFonts w:hint="eastAsia" w:ascii="宋体" w:hAnsi="宋体" w:cs="宋体"/>
                <w:b/>
                <w:bCs w:val="0"/>
                <w:sz w:val="24"/>
              </w:rPr>
              <w:t>上市时间</w:t>
            </w:r>
          </w:p>
        </w:tc>
        <w:tc>
          <w:tcPr>
            <w:tcW w:w="1471" w:type="dxa"/>
            <w:shd w:val="clear" w:color="auto" w:fill="auto"/>
            <w:noWrap/>
            <w:vAlign w:val="center"/>
          </w:tcPr>
          <w:p w14:paraId="1F3E3A84">
            <w:pPr>
              <w:spacing w:line="360" w:lineRule="auto"/>
              <w:jc w:val="center"/>
              <w:rPr>
                <w:rFonts w:ascii="宋体" w:hAnsi="宋体" w:cs="宋体"/>
                <w:b/>
                <w:bCs w:val="0"/>
                <w:sz w:val="24"/>
              </w:rPr>
            </w:pPr>
            <w:r>
              <w:rPr>
                <w:rFonts w:hint="eastAsia" w:ascii="宋体" w:hAnsi="宋体" w:cs="宋体"/>
                <w:b/>
                <w:bCs w:val="0"/>
                <w:sz w:val="24"/>
              </w:rPr>
              <w:t>初始报价</w:t>
            </w:r>
          </w:p>
          <w:p w14:paraId="58B0EBA5">
            <w:pPr>
              <w:spacing w:line="360" w:lineRule="auto"/>
              <w:jc w:val="center"/>
              <w:rPr>
                <w:rFonts w:ascii="宋体" w:hAnsi="宋体" w:cs="宋体"/>
                <w:b/>
                <w:bCs w:val="0"/>
                <w:sz w:val="24"/>
              </w:rPr>
            </w:pPr>
            <w:r>
              <w:rPr>
                <w:rFonts w:hint="eastAsia" w:ascii="宋体" w:hAnsi="宋体" w:cs="宋体"/>
                <w:b/>
                <w:bCs w:val="0"/>
                <w:sz w:val="24"/>
              </w:rPr>
              <w:t>（元/台）</w:t>
            </w:r>
          </w:p>
        </w:tc>
        <w:tc>
          <w:tcPr>
            <w:tcW w:w="850" w:type="dxa"/>
            <w:shd w:val="clear" w:color="auto" w:fill="auto"/>
            <w:vAlign w:val="center"/>
          </w:tcPr>
          <w:p w14:paraId="71B9903E">
            <w:pPr>
              <w:spacing w:line="360" w:lineRule="auto"/>
              <w:jc w:val="center"/>
              <w:rPr>
                <w:rFonts w:ascii="宋体" w:hAnsi="宋体" w:cs="宋体"/>
                <w:b/>
                <w:bCs w:val="0"/>
                <w:sz w:val="24"/>
              </w:rPr>
            </w:pPr>
            <w:r>
              <w:rPr>
                <w:rFonts w:hint="eastAsia" w:ascii="宋体" w:hAnsi="宋体" w:cs="宋体"/>
                <w:b/>
                <w:bCs w:val="0"/>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
                <w:bCs w:val="0"/>
                <w:sz w:val="24"/>
              </w:rPr>
            </w:pPr>
            <w:r>
              <w:rPr>
                <w:rFonts w:hint="eastAsia" w:ascii="宋体" w:hAnsi="宋体" w:cs="宋体"/>
                <w:b/>
                <w:bCs w:val="0"/>
                <w:sz w:val="24"/>
              </w:rPr>
              <w:t>合计（元）：</w:t>
            </w:r>
          </w:p>
        </w:tc>
        <w:tc>
          <w:tcPr>
            <w:tcW w:w="5976" w:type="dxa"/>
            <w:gridSpan w:val="5"/>
            <w:shd w:val="clear" w:color="auto" w:fill="auto"/>
            <w:noWrap/>
            <w:vAlign w:val="center"/>
          </w:tcPr>
          <w:p w14:paraId="79501711">
            <w:pPr>
              <w:spacing w:line="360" w:lineRule="auto"/>
              <w:jc w:val="left"/>
              <w:rPr>
                <w:rFonts w:ascii="宋体" w:hAnsi="宋体" w:cs="宋体"/>
                <w:b/>
                <w:bCs w:val="0"/>
                <w:sz w:val="24"/>
              </w:rPr>
            </w:pPr>
            <w:r>
              <w:rPr>
                <w:rFonts w:hint="eastAsia" w:ascii="宋体" w:hAnsi="宋体" w:cs="宋体"/>
                <w:b/>
                <w:bCs w:val="0"/>
                <w:sz w:val="24"/>
              </w:rPr>
              <w:t>合计金额大写：</w:t>
            </w:r>
          </w:p>
        </w:tc>
      </w:tr>
    </w:tbl>
    <w:p w14:paraId="20E64F37">
      <w:pPr>
        <w:widowControl/>
        <w:spacing w:line="360" w:lineRule="auto"/>
        <w:jc w:val="left"/>
        <w:rPr>
          <w:rFonts w:hint="eastAsia" w:ascii="宋体" w:hAnsi="宋体"/>
          <w:b/>
          <w:bCs/>
          <w:sz w:val="24"/>
          <w:lang w:val="en-US" w:eastAsia="zh-CN"/>
        </w:rPr>
      </w:pPr>
      <w:r>
        <w:rPr>
          <w:rFonts w:hint="eastAsia" w:ascii="宋体" w:hAnsi="宋体"/>
          <w:b/>
          <w:bCs/>
          <w:sz w:val="24"/>
          <w:lang w:val="en-US" w:eastAsia="zh-CN"/>
        </w:rPr>
        <w:t>备注：</w:t>
      </w:r>
    </w:p>
    <w:p w14:paraId="27C5EE7A">
      <w:pPr>
        <w:widowControl/>
        <w:spacing w:line="360" w:lineRule="auto"/>
        <w:jc w:val="left"/>
        <w:rPr>
          <w:rFonts w:ascii="宋体" w:hAnsi="宋体"/>
          <w:sz w:val="24"/>
        </w:rPr>
      </w:pPr>
      <w:r>
        <w:rPr>
          <w:rFonts w:hint="eastAsia" w:ascii="宋体" w:hAnsi="宋体"/>
          <w:b/>
          <w:bCs/>
          <w:sz w:val="24"/>
          <w:lang w:val="en-US" w:eastAsia="zh-CN"/>
        </w:rPr>
        <w:t>1.</w:t>
      </w:r>
      <w:r>
        <w:rPr>
          <w:rFonts w:hint="eastAsia" w:ascii="宋体" w:hAnsi="宋体"/>
          <w:b/>
          <w:bCs/>
          <w:sz w:val="24"/>
        </w:rPr>
        <w:t>温馨提示：</w:t>
      </w:r>
      <w:r>
        <w:rPr>
          <w:rFonts w:hint="eastAsia" w:ascii="宋体" w:hAnsi="宋体"/>
          <w:sz w:val="24"/>
        </w:rPr>
        <w:t>壹、贰、叁、肆、伍、陆、柒、捌、玖、拾 、佰、仟、万</w:t>
      </w:r>
    </w:p>
    <w:p w14:paraId="53741B6E">
      <w:pPr>
        <w:widowControl/>
        <w:spacing w:line="360" w:lineRule="auto"/>
        <w:jc w:val="left"/>
        <w:rPr>
          <w:rFonts w:ascii="宋体" w:hAnsi="宋体"/>
          <w:b/>
          <w:bCs/>
          <w:sz w:val="24"/>
        </w:rPr>
      </w:pPr>
      <w:r>
        <w:rPr>
          <w:rFonts w:hint="eastAsia" w:ascii="宋体" w:hAnsi="宋体"/>
          <w:b/>
          <w:bCs/>
          <w:sz w:val="24"/>
          <w:lang w:val="en-US" w:eastAsia="zh-CN"/>
        </w:rPr>
        <w:t>2.</w:t>
      </w:r>
      <w:r>
        <w:rPr>
          <w:rFonts w:hint="eastAsia" w:ascii="宋体" w:hAnsi="宋体"/>
          <w:b/>
          <w:bCs/>
          <w:sz w:val="24"/>
        </w:rPr>
        <w:t>附加内容：</w:t>
      </w:r>
      <w:r>
        <w:rPr>
          <w:rFonts w:ascii="宋体" w:hAnsi="宋体"/>
          <w:b/>
          <w:bCs/>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附加说明：</w:t>
      </w:r>
    </w:p>
    <w:p w14:paraId="1AA65D2E">
      <w:pPr>
        <w:widowControl/>
        <w:spacing w:line="360" w:lineRule="auto"/>
        <w:jc w:val="left"/>
        <w:rPr>
          <w:rFonts w:hint="default" w:ascii="宋体" w:hAnsi="宋体" w:eastAsia="宋体"/>
          <w:sz w:val="24"/>
          <w:u w:val="single"/>
          <w:lang w:val="en-US" w:eastAsia="zh-CN"/>
        </w:rPr>
      </w:pPr>
      <w:r>
        <w:rPr>
          <w:rFonts w:hint="eastAsia" w:ascii="宋体" w:hAnsi="宋体"/>
          <w:sz w:val="24"/>
        </w:rPr>
        <w:t>1）供货期</w:t>
      </w:r>
      <w:r>
        <w:rPr>
          <w:rFonts w:hint="eastAsia" w:ascii="宋体" w:hAnsi="宋体"/>
          <w:sz w:val="24"/>
          <w:lang w:eastAsia="zh-CN"/>
        </w:rPr>
        <w:t>：</w:t>
      </w:r>
      <w:r>
        <w:rPr>
          <w:rFonts w:hint="eastAsia" w:ascii="宋体" w:hAnsi="宋体"/>
          <w:sz w:val="24"/>
          <w:u w:val="single"/>
          <w:lang w:val="en-US" w:eastAsia="zh-CN"/>
        </w:rPr>
        <w:t xml:space="preserve">                       ；</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b/>
          <w:bCs/>
          <w:sz w:val="24"/>
          <w:lang w:val="en-US" w:eastAsia="zh-CN"/>
        </w:rPr>
        <w:t>5.</w:t>
      </w:r>
      <w:r>
        <w:rPr>
          <w:rFonts w:hint="eastAsia" w:ascii="宋体" w:hAnsi="宋体"/>
          <w:b/>
          <w:bCs/>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6EA44F8E">
      <w:pPr>
        <w:spacing w:line="360" w:lineRule="auto"/>
        <w:jc w:val="center"/>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36A33FA5">
      <w:pPr>
        <w:spacing w:line="360" w:lineRule="auto"/>
        <w:jc w:val="center"/>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日  期：  年   月    日</w:t>
      </w:r>
      <w:bookmarkStart w:id="138" w:name="_GoBack"/>
      <w:bookmarkEnd w:id="138"/>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D8344AC"/>
    <w:rsid w:val="0DE105E0"/>
    <w:rsid w:val="13327346"/>
    <w:rsid w:val="14C35BD0"/>
    <w:rsid w:val="14EF6DCA"/>
    <w:rsid w:val="172327DB"/>
    <w:rsid w:val="1B060F39"/>
    <w:rsid w:val="1D177890"/>
    <w:rsid w:val="1D2A0A29"/>
    <w:rsid w:val="1EF609CD"/>
    <w:rsid w:val="1FBF47AD"/>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1FD3"/>
    <w:rsid w:val="46A2484B"/>
    <w:rsid w:val="47BA27C5"/>
    <w:rsid w:val="4BE8422D"/>
    <w:rsid w:val="4BFD0FED"/>
    <w:rsid w:val="4C4F110A"/>
    <w:rsid w:val="4FE82879"/>
    <w:rsid w:val="508A631B"/>
    <w:rsid w:val="51701B4D"/>
    <w:rsid w:val="548C5956"/>
    <w:rsid w:val="55252680"/>
    <w:rsid w:val="563C073B"/>
    <w:rsid w:val="56F11A48"/>
    <w:rsid w:val="586B6FDD"/>
    <w:rsid w:val="597F2160"/>
    <w:rsid w:val="5A9932D8"/>
    <w:rsid w:val="5AF234EC"/>
    <w:rsid w:val="5B125F66"/>
    <w:rsid w:val="5C5762BC"/>
    <w:rsid w:val="5C85526A"/>
    <w:rsid w:val="5C952952"/>
    <w:rsid w:val="5CAE0BF7"/>
    <w:rsid w:val="5CB3268C"/>
    <w:rsid w:val="5EDB7DEF"/>
    <w:rsid w:val="611E41E2"/>
    <w:rsid w:val="639C77AA"/>
    <w:rsid w:val="64DB34C0"/>
    <w:rsid w:val="658C3CFB"/>
    <w:rsid w:val="6594786A"/>
    <w:rsid w:val="65F91CA0"/>
    <w:rsid w:val="66C035C3"/>
    <w:rsid w:val="69E20917"/>
    <w:rsid w:val="6DF1127F"/>
    <w:rsid w:val="6F523856"/>
    <w:rsid w:val="6FB966A4"/>
    <w:rsid w:val="6FDD7D54"/>
    <w:rsid w:val="70F95A5B"/>
    <w:rsid w:val="746A0197"/>
    <w:rsid w:val="768B3397"/>
    <w:rsid w:val="77506DB6"/>
    <w:rsid w:val="78FC5DB4"/>
    <w:rsid w:val="7969372B"/>
    <w:rsid w:val="79DF1122"/>
    <w:rsid w:val="7A2540C6"/>
    <w:rsid w:val="7A8E3AE6"/>
    <w:rsid w:val="7B0E0768"/>
    <w:rsid w:val="7C1B19AD"/>
    <w:rsid w:val="7CA73C49"/>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2529</Words>
  <Characters>2643</Characters>
  <Lines>18</Lines>
  <Paragraphs>5</Paragraphs>
  <TotalTime>5</TotalTime>
  <ScaleCrop>false</ScaleCrop>
  <LinksUpToDate>false</LinksUpToDate>
  <CharactersWithSpaces>3224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2024-12-16T08:31:21Z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