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88F3C">
      <w:pPr>
        <w:rPr>
          <w:sz w:val="24"/>
        </w:rPr>
      </w:pPr>
      <w:r>
        <w:rPr>
          <w:rFonts w:hint="eastAsia"/>
          <w:sz w:val="24"/>
        </w:rPr>
        <w:t xml:space="preserve"> </w:t>
      </w: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p w14:paraId="2E0D93F2">
      <w:pPr>
        <w:jc w:val="center"/>
        <w:rPr>
          <w:rFonts w:hint="eastAsia" w:ascii="宋体" w:hAnsi="宋体" w:eastAsia="宋体"/>
          <w:b/>
          <w:kern w:val="0"/>
          <w:sz w:val="48"/>
          <w:szCs w:val="48"/>
          <w:lang w:val="en-US" w:eastAsia="zh-CN"/>
        </w:rPr>
      </w:pPr>
      <w:bookmarkStart w:id="0" w:name="_Toc357586305"/>
      <w:bookmarkStart w:id="1" w:name="_Toc437960957"/>
      <w:r>
        <w:rPr>
          <w:rFonts w:hint="eastAsia" w:ascii="宋体" w:hAnsi="宋体"/>
          <w:b/>
          <w:kern w:val="0"/>
          <w:sz w:val="48"/>
          <w:szCs w:val="48"/>
          <w:lang w:val="en-US" w:eastAsia="zh-CN"/>
        </w:rPr>
        <w:t xml:space="preserve"> </w:t>
      </w:r>
    </w:p>
    <w:p w14:paraId="035B133D">
      <w:pPr>
        <w:jc w:val="center"/>
        <w:rPr>
          <w:rFonts w:ascii="宋体" w:hAnsi="宋体"/>
          <w:b/>
          <w:kern w:val="0"/>
          <w:sz w:val="48"/>
          <w:szCs w:val="48"/>
        </w:rPr>
      </w:pPr>
    </w:p>
    <w:p w14:paraId="4EE7E0DF">
      <w:pPr>
        <w:jc w:val="center"/>
        <w:rPr>
          <w:rFonts w:ascii="宋体" w:hAnsi="宋体"/>
          <w:b/>
          <w:kern w:val="0"/>
          <w:sz w:val="48"/>
          <w:szCs w:val="48"/>
        </w:rPr>
      </w:pPr>
    </w:p>
    <w:p w14:paraId="09255AE9">
      <w:pPr>
        <w:jc w:val="center"/>
        <w:outlineLvl w:val="0"/>
        <w:rPr>
          <w:rFonts w:ascii="宋体" w:hAnsi="宋体"/>
          <w:b/>
          <w:kern w:val="0"/>
          <w:sz w:val="44"/>
          <w:szCs w:val="44"/>
        </w:rPr>
      </w:pPr>
      <w:bookmarkStart w:id="2" w:name="_Toc16221"/>
      <w:bookmarkStart w:id="3" w:name="_Toc25014"/>
      <w:bookmarkStart w:id="4" w:name="_Toc4061"/>
      <w:bookmarkStart w:id="5" w:name="_Toc26826"/>
      <w:bookmarkStart w:id="6" w:name="_Toc11252"/>
      <w:bookmarkStart w:id="7" w:name="_Toc8427"/>
      <w:bookmarkStart w:id="8" w:name="_Toc14280"/>
      <w:bookmarkStart w:id="9" w:name="_Toc22601"/>
      <w:bookmarkStart w:id="10" w:name="_Toc18101"/>
      <w:bookmarkStart w:id="11" w:name="_Toc4226"/>
      <w:bookmarkStart w:id="12" w:name="_Toc31748"/>
      <w:r>
        <w:rPr>
          <w:rFonts w:hint="eastAsia" w:ascii="宋体" w:hAnsi="宋体"/>
          <w:b/>
          <w:kern w:val="0"/>
          <w:sz w:val="44"/>
          <w:szCs w:val="44"/>
        </w:rPr>
        <w:t>南方医科大学第五附属医院</w:t>
      </w:r>
      <w:bookmarkEnd w:id="2"/>
      <w:bookmarkEnd w:id="3"/>
      <w:bookmarkEnd w:id="4"/>
      <w:bookmarkEnd w:id="5"/>
      <w:bookmarkEnd w:id="6"/>
      <w:bookmarkEnd w:id="7"/>
      <w:bookmarkEnd w:id="8"/>
      <w:bookmarkEnd w:id="9"/>
      <w:bookmarkEnd w:id="10"/>
      <w:bookmarkEnd w:id="11"/>
      <w:bookmarkEnd w:id="12"/>
    </w:p>
    <w:p w14:paraId="1A83A154">
      <w:pPr>
        <w:jc w:val="center"/>
        <w:rPr>
          <w:rFonts w:ascii="宋体" w:hAnsi="宋体"/>
          <w:b/>
          <w:kern w:val="0"/>
          <w:sz w:val="44"/>
          <w:szCs w:val="44"/>
        </w:rPr>
      </w:pPr>
    </w:p>
    <w:p w14:paraId="6726D68A">
      <w:pPr>
        <w:spacing w:line="480" w:lineRule="auto"/>
        <w:jc w:val="center"/>
        <w:rPr>
          <w:rFonts w:hint="eastAsia" w:ascii="宋体" w:hAnsi="宋体"/>
          <w:b/>
          <w:kern w:val="0"/>
          <w:sz w:val="44"/>
          <w:szCs w:val="44"/>
        </w:rPr>
      </w:pPr>
    </w:p>
    <w:p w14:paraId="718D9201">
      <w:pPr>
        <w:spacing w:line="480" w:lineRule="auto"/>
        <w:jc w:val="center"/>
        <w:outlineLvl w:val="0"/>
        <w:rPr>
          <w:rFonts w:hint="eastAsia" w:ascii="宋体" w:hAnsi="宋体"/>
          <w:b/>
          <w:bCs/>
          <w:sz w:val="72"/>
          <w:szCs w:val="72"/>
        </w:rPr>
      </w:pPr>
      <w:bookmarkStart w:id="13" w:name="_Toc1474"/>
      <w:bookmarkStart w:id="14" w:name="_Toc9510"/>
      <w:bookmarkStart w:id="15" w:name="_Toc21207"/>
      <w:bookmarkStart w:id="16" w:name="_Toc27225"/>
      <w:bookmarkStart w:id="17" w:name="_Toc32344"/>
      <w:bookmarkStart w:id="18" w:name="_Toc6813"/>
      <w:r>
        <w:rPr>
          <w:rFonts w:hint="eastAsia" w:ascii="宋体" w:hAnsi="宋体"/>
          <w:b/>
          <w:kern w:val="0"/>
          <w:sz w:val="44"/>
          <w:szCs w:val="44"/>
        </w:rPr>
        <w:t>院内遴选采购代理机构项目</w:t>
      </w:r>
      <w:bookmarkEnd w:id="13"/>
      <w:bookmarkEnd w:id="14"/>
      <w:bookmarkEnd w:id="15"/>
    </w:p>
    <w:p w14:paraId="5763F515">
      <w:pPr>
        <w:spacing w:line="480" w:lineRule="auto"/>
        <w:jc w:val="center"/>
        <w:outlineLvl w:val="9"/>
        <w:rPr>
          <w:rFonts w:hint="eastAsia" w:ascii="宋体" w:hAnsi="宋体"/>
          <w:b/>
          <w:bCs/>
          <w:sz w:val="72"/>
          <w:szCs w:val="72"/>
        </w:rPr>
      </w:pPr>
    </w:p>
    <w:p w14:paraId="25D0FBDC">
      <w:pPr>
        <w:spacing w:line="480" w:lineRule="auto"/>
        <w:jc w:val="center"/>
        <w:outlineLvl w:val="0"/>
        <w:rPr>
          <w:rFonts w:ascii="宋体" w:hAnsi="宋体"/>
          <w:b/>
          <w:bCs/>
          <w:sz w:val="72"/>
          <w:szCs w:val="72"/>
        </w:rPr>
      </w:pPr>
      <w:bookmarkStart w:id="19" w:name="_Toc19316"/>
      <w:bookmarkStart w:id="20" w:name="_Toc14991"/>
      <w:bookmarkStart w:id="21" w:name="_Toc19383"/>
      <w:bookmarkStart w:id="22" w:name="_Toc8183"/>
      <w:bookmarkStart w:id="23" w:name="_Toc6740"/>
      <w:bookmarkStart w:id="24" w:name="_Toc15554"/>
      <w:bookmarkStart w:id="25" w:name="_Toc28006"/>
      <w:bookmarkStart w:id="26" w:name="_Toc24815"/>
      <w:r>
        <w:rPr>
          <w:rFonts w:hint="eastAsia" w:ascii="宋体" w:hAnsi="宋体"/>
          <w:b/>
          <w:bCs/>
          <w:sz w:val="72"/>
          <w:szCs w:val="72"/>
        </w:rPr>
        <w:t>院内采购文件</w:t>
      </w:r>
      <w:bookmarkEnd w:id="16"/>
      <w:bookmarkEnd w:id="17"/>
      <w:bookmarkEnd w:id="18"/>
      <w:bookmarkEnd w:id="19"/>
      <w:bookmarkEnd w:id="20"/>
      <w:bookmarkEnd w:id="21"/>
      <w:bookmarkEnd w:id="22"/>
      <w:bookmarkEnd w:id="23"/>
      <w:bookmarkEnd w:id="24"/>
      <w:bookmarkEnd w:id="25"/>
      <w:bookmarkEnd w:id="26"/>
    </w:p>
    <w:p w14:paraId="763B049F">
      <w:pPr>
        <w:spacing w:line="480" w:lineRule="auto"/>
        <w:ind w:firstLine="843" w:firstLineChars="300"/>
        <w:jc w:val="center"/>
        <w:rPr>
          <w:rFonts w:ascii="宋体" w:hAnsi="宋体"/>
          <w:b/>
          <w:bCs/>
          <w:sz w:val="28"/>
          <w:szCs w:val="28"/>
        </w:rPr>
      </w:pPr>
    </w:p>
    <w:p w14:paraId="75D9A2B3">
      <w:pPr>
        <w:pStyle w:val="25"/>
      </w:pPr>
    </w:p>
    <w:p w14:paraId="390D25FF">
      <w:pPr>
        <w:pStyle w:val="25"/>
        <w:spacing w:line="360" w:lineRule="auto"/>
        <w:rPr>
          <w:rFonts w:ascii="方正小标宋简体" w:hAnsi="宋体" w:eastAsia="方正小标宋简体"/>
          <w:sz w:val="32"/>
        </w:rPr>
      </w:pPr>
    </w:p>
    <w:p w14:paraId="6F9DF71C">
      <w:pPr>
        <w:adjustRightInd w:val="0"/>
        <w:snapToGrid w:val="0"/>
        <w:spacing w:line="360" w:lineRule="auto"/>
        <w:ind w:firstLine="2530" w:firstLineChars="700"/>
        <w:outlineLvl w:val="0"/>
        <w:rPr>
          <w:rFonts w:hint="default" w:ascii="宋体" w:hAnsi="宋体" w:eastAsia="宋体"/>
          <w:b/>
          <w:bCs/>
          <w:sz w:val="36"/>
          <w:szCs w:val="36"/>
          <w:highlight w:val="none"/>
          <w:lang w:val="en-US" w:eastAsia="zh-CN"/>
        </w:rPr>
      </w:pPr>
      <w:bookmarkStart w:id="27" w:name="_Toc22228"/>
      <w:bookmarkStart w:id="28" w:name="_Toc16990"/>
      <w:bookmarkStart w:id="29" w:name="_Toc354"/>
      <w:bookmarkStart w:id="30" w:name="_Toc8823"/>
      <w:bookmarkStart w:id="31" w:name="_Toc2266"/>
      <w:bookmarkStart w:id="32" w:name="_Toc30565"/>
      <w:bookmarkStart w:id="33" w:name="_Toc18620"/>
      <w:bookmarkStart w:id="34" w:name="_Toc14034"/>
      <w:bookmarkStart w:id="35" w:name="_Toc28511"/>
      <w:bookmarkStart w:id="36" w:name="_Toc29340"/>
      <w:bookmarkStart w:id="37" w:name="_Toc5768"/>
      <w:r>
        <w:rPr>
          <w:rFonts w:hint="eastAsia" w:ascii="宋体" w:hAnsi="宋体"/>
          <w:b/>
          <w:bCs/>
          <w:sz w:val="36"/>
          <w:szCs w:val="36"/>
          <w:highlight w:val="none"/>
        </w:rPr>
        <w:t>项目编号：</w:t>
      </w:r>
      <w:bookmarkEnd w:id="27"/>
      <w:bookmarkEnd w:id="28"/>
      <w:bookmarkEnd w:id="29"/>
      <w:bookmarkEnd w:id="30"/>
      <w:bookmarkEnd w:id="31"/>
      <w:bookmarkEnd w:id="32"/>
      <w:bookmarkEnd w:id="33"/>
      <w:bookmarkEnd w:id="34"/>
      <w:r>
        <w:rPr>
          <w:rFonts w:hint="eastAsia" w:ascii="宋体" w:hAnsi="宋体"/>
          <w:b/>
          <w:bCs/>
          <w:sz w:val="36"/>
          <w:szCs w:val="36"/>
          <w:highlight w:val="none"/>
        </w:rPr>
        <w:t>NYWYF20240023</w:t>
      </w:r>
      <w:bookmarkEnd w:id="35"/>
      <w:bookmarkEnd w:id="36"/>
      <w:bookmarkEnd w:id="37"/>
    </w:p>
    <w:p w14:paraId="3369737F">
      <w:pPr>
        <w:pStyle w:val="25"/>
        <w:spacing w:line="360" w:lineRule="auto"/>
        <w:ind w:firstLine="2530" w:firstLineChars="700"/>
        <w:rPr>
          <w:rFonts w:ascii="宋体" w:hAnsi="宋体"/>
          <w:b/>
          <w:bCs/>
          <w:sz w:val="36"/>
          <w:szCs w:val="36"/>
        </w:rPr>
      </w:pPr>
    </w:p>
    <w:p w14:paraId="319F287A">
      <w:pPr>
        <w:widowControl/>
        <w:ind w:right="-26"/>
        <w:jc w:val="center"/>
        <w:textAlignment w:val="bottom"/>
        <w:rPr>
          <w:rFonts w:ascii="方正小标宋简体" w:hAnsi="宋体" w:eastAsia="方正小标宋简体"/>
          <w:sz w:val="32"/>
        </w:rPr>
      </w:pPr>
    </w:p>
    <w:p w14:paraId="4F122203">
      <w:pPr>
        <w:adjustRightInd w:val="0"/>
        <w:snapToGrid w:val="0"/>
        <w:spacing w:line="360" w:lineRule="auto"/>
        <w:rPr>
          <w:rFonts w:ascii="宋体" w:hAnsi="宋体"/>
          <w:b/>
          <w:bCs/>
          <w:sz w:val="28"/>
          <w:szCs w:val="28"/>
        </w:rPr>
      </w:pPr>
    </w:p>
    <w:p w14:paraId="71647450">
      <w:pPr>
        <w:spacing w:line="360" w:lineRule="auto"/>
        <w:rPr>
          <w:rFonts w:ascii="宋体" w:hAnsi="宋体"/>
          <w:b/>
          <w:bCs/>
          <w:sz w:val="28"/>
          <w:szCs w:val="28"/>
        </w:rPr>
      </w:pPr>
    </w:p>
    <w:p w14:paraId="4BF00921">
      <w:pPr>
        <w:spacing w:line="360" w:lineRule="auto"/>
        <w:jc w:val="center"/>
        <w:rPr>
          <w:rFonts w:ascii="宋体" w:hAnsi="宋体"/>
          <w:b/>
          <w:bCs/>
          <w:sz w:val="28"/>
          <w:szCs w:val="28"/>
        </w:rPr>
      </w:pPr>
    </w:p>
    <w:p w14:paraId="1B4499F1">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38" w:name="_Toc20952"/>
      <w:bookmarkStart w:id="39" w:name="_Toc25080"/>
      <w:bookmarkStart w:id="40" w:name="_Toc15570"/>
      <w:bookmarkStart w:id="41" w:name="_Toc31552"/>
      <w:bookmarkStart w:id="42" w:name="_Toc8482"/>
      <w:bookmarkStart w:id="43" w:name="_Toc32511"/>
      <w:bookmarkStart w:id="44" w:name="_Toc27802"/>
      <w:bookmarkStart w:id="45" w:name="_Toc14740"/>
      <w:bookmarkStart w:id="46" w:name="_Toc1804"/>
      <w:bookmarkStart w:id="47" w:name="_Toc30821"/>
      <w:bookmarkStart w:id="48" w:name="_Toc25070"/>
      <w:r>
        <w:rPr>
          <w:rFonts w:hint="eastAsia" w:ascii="宋体" w:hAnsi="宋体"/>
          <w:b/>
          <w:bCs/>
          <w:sz w:val="32"/>
          <w:szCs w:val="32"/>
        </w:rPr>
        <w:t>日 期：2024年</w:t>
      </w:r>
      <w:r>
        <w:rPr>
          <w:rFonts w:hint="eastAsia" w:ascii="宋体" w:hAnsi="宋体"/>
          <w:b/>
          <w:bCs/>
          <w:sz w:val="32"/>
          <w:szCs w:val="32"/>
          <w:lang w:val="en-US" w:eastAsia="zh-CN"/>
        </w:rPr>
        <w:t>11</w:t>
      </w:r>
      <w:r>
        <w:rPr>
          <w:rFonts w:hint="eastAsia" w:ascii="宋体" w:hAnsi="宋体"/>
          <w:b/>
          <w:bCs/>
          <w:sz w:val="32"/>
          <w:szCs w:val="32"/>
        </w:rPr>
        <w:t>月</w:t>
      </w:r>
      <w:bookmarkEnd w:id="38"/>
      <w:bookmarkEnd w:id="39"/>
      <w:bookmarkEnd w:id="40"/>
      <w:bookmarkEnd w:id="41"/>
      <w:bookmarkEnd w:id="42"/>
      <w:bookmarkEnd w:id="43"/>
      <w:bookmarkEnd w:id="44"/>
      <w:bookmarkEnd w:id="45"/>
      <w:bookmarkEnd w:id="46"/>
      <w:bookmarkEnd w:id="47"/>
      <w:bookmarkEnd w:id="48"/>
    </w:p>
    <w:bookmarkEnd w:id="0"/>
    <w:bookmarkEnd w:id="1"/>
    <w:p w14:paraId="3FC68637">
      <w:pPr>
        <w:rPr>
          <w:rFonts w:ascii="Times New Roman" w:hAnsi="Times New Roman"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64552"/>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5C57FCA9">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38376A9E">
          <w:pPr>
            <w:pStyle w:val="26"/>
            <w:tabs>
              <w:tab w:val="right" w:leader="dot" w:pos="9638"/>
            </w:tabs>
          </w:pPr>
          <w:r>
            <w:fldChar w:fldCharType="begin"/>
          </w:r>
          <w:r>
            <w:instrText xml:space="preserve">TOC \o "1-1" \h \u </w:instrText>
          </w:r>
          <w:r>
            <w:fldChar w:fldCharType="separate"/>
          </w:r>
        </w:p>
        <w:p w14:paraId="3B893660">
          <w:pPr>
            <w:pStyle w:val="26"/>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_Toc15217 </w:instrText>
          </w:r>
          <w:r>
            <w:rPr>
              <w:b/>
              <w:bCs/>
              <w:sz w:val="28"/>
              <w:szCs w:val="28"/>
            </w:rPr>
            <w:fldChar w:fldCharType="separate"/>
          </w:r>
          <w:r>
            <w:rPr>
              <w:rFonts w:hint="eastAsia"/>
              <w:b/>
              <w:bCs/>
              <w:kern w:val="0"/>
              <w:sz w:val="28"/>
              <w:szCs w:val="28"/>
              <w:lang w:val="en-US" w:eastAsia="zh-CN"/>
            </w:rPr>
            <w:t xml:space="preserve">第一部分 </w:t>
          </w:r>
          <w:r>
            <w:rPr>
              <w:rFonts w:hint="eastAsia"/>
              <w:b/>
              <w:bCs/>
              <w:kern w:val="0"/>
              <w:sz w:val="28"/>
              <w:szCs w:val="28"/>
            </w:rPr>
            <w:t>遴选邀请函</w:t>
          </w:r>
          <w:r>
            <w:rPr>
              <w:b/>
              <w:bCs/>
              <w:sz w:val="28"/>
              <w:szCs w:val="28"/>
            </w:rPr>
            <w:tab/>
          </w:r>
          <w:r>
            <w:rPr>
              <w:b/>
              <w:bCs/>
              <w:sz w:val="28"/>
              <w:szCs w:val="28"/>
            </w:rPr>
            <w:fldChar w:fldCharType="begin"/>
          </w:r>
          <w:r>
            <w:rPr>
              <w:b/>
              <w:bCs/>
              <w:sz w:val="28"/>
              <w:szCs w:val="28"/>
            </w:rPr>
            <w:instrText xml:space="preserve"> PAGEREF _Toc15217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14:paraId="1F4EB6BA">
          <w:pPr>
            <w:pStyle w:val="26"/>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_Toc12099 </w:instrText>
          </w:r>
          <w:r>
            <w:rPr>
              <w:b/>
              <w:bCs/>
              <w:sz w:val="28"/>
              <w:szCs w:val="28"/>
            </w:rPr>
            <w:fldChar w:fldCharType="separate"/>
          </w:r>
          <w:r>
            <w:rPr>
              <w:rFonts w:hint="eastAsia"/>
              <w:b/>
              <w:bCs/>
              <w:kern w:val="0"/>
              <w:sz w:val="28"/>
              <w:szCs w:val="28"/>
              <w:lang w:val="en-US" w:eastAsia="zh-CN"/>
            </w:rPr>
            <w:t xml:space="preserve">第二部分 </w:t>
          </w:r>
          <w:r>
            <w:rPr>
              <w:rFonts w:hint="eastAsia"/>
              <w:b/>
              <w:bCs/>
              <w:kern w:val="0"/>
              <w:sz w:val="28"/>
              <w:szCs w:val="28"/>
              <w:lang w:eastAsia="zh-CN"/>
            </w:rPr>
            <w:t>采购</w:t>
          </w:r>
          <w:r>
            <w:rPr>
              <w:rFonts w:hint="eastAsia"/>
              <w:b/>
              <w:bCs/>
              <w:kern w:val="0"/>
              <w:sz w:val="28"/>
              <w:szCs w:val="28"/>
            </w:rPr>
            <w:t>需求</w:t>
          </w:r>
          <w:r>
            <w:rPr>
              <w:b/>
              <w:bCs/>
              <w:sz w:val="28"/>
              <w:szCs w:val="28"/>
            </w:rPr>
            <w:tab/>
          </w:r>
          <w:r>
            <w:rPr>
              <w:b/>
              <w:bCs/>
              <w:sz w:val="28"/>
              <w:szCs w:val="28"/>
            </w:rPr>
            <w:fldChar w:fldCharType="begin"/>
          </w:r>
          <w:r>
            <w:rPr>
              <w:b/>
              <w:bCs/>
              <w:sz w:val="28"/>
              <w:szCs w:val="28"/>
            </w:rPr>
            <w:instrText xml:space="preserve"> PAGEREF _Toc12099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14:paraId="6D64DDCE">
          <w:pPr>
            <w:pStyle w:val="26"/>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_Toc10907 </w:instrText>
          </w:r>
          <w:r>
            <w:rPr>
              <w:b/>
              <w:bCs/>
              <w:sz w:val="28"/>
              <w:szCs w:val="28"/>
            </w:rPr>
            <w:fldChar w:fldCharType="separate"/>
          </w:r>
          <w:r>
            <w:rPr>
              <w:rFonts w:hint="eastAsia"/>
              <w:b/>
              <w:bCs/>
              <w:kern w:val="0"/>
              <w:sz w:val="28"/>
              <w:szCs w:val="28"/>
            </w:rPr>
            <w:t>第三部分  资料整理注意事项</w:t>
          </w:r>
          <w:r>
            <w:rPr>
              <w:b/>
              <w:bCs/>
              <w:sz w:val="28"/>
              <w:szCs w:val="28"/>
            </w:rPr>
            <w:tab/>
          </w:r>
          <w:r>
            <w:rPr>
              <w:b/>
              <w:bCs/>
              <w:sz w:val="28"/>
              <w:szCs w:val="28"/>
            </w:rPr>
            <w:fldChar w:fldCharType="begin"/>
          </w:r>
          <w:r>
            <w:rPr>
              <w:b/>
              <w:bCs/>
              <w:sz w:val="28"/>
              <w:szCs w:val="28"/>
            </w:rPr>
            <w:instrText xml:space="preserve"> PAGEREF _Toc10907 \h </w:instrText>
          </w:r>
          <w:r>
            <w:rPr>
              <w:b/>
              <w:bCs/>
              <w:sz w:val="28"/>
              <w:szCs w:val="28"/>
            </w:rPr>
            <w:fldChar w:fldCharType="separate"/>
          </w:r>
          <w:r>
            <w:rPr>
              <w:b/>
              <w:bCs/>
              <w:sz w:val="28"/>
              <w:szCs w:val="28"/>
            </w:rPr>
            <w:t>12</w:t>
          </w:r>
          <w:r>
            <w:rPr>
              <w:b/>
              <w:bCs/>
              <w:sz w:val="28"/>
              <w:szCs w:val="28"/>
            </w:rPr>
            <w:fldChar w:fldCharType="end"/>
          </w:r>
          <w:r>
            <w:rPr>
              <w:b/>
              <w:bCs/>
              <w:sz w:val="28"/>
              <w:szCs w:val="28"/>
            </w:rPr>
            <w:fldChar w:fldCharType="end"/>
          </w:r>
        </w:p>
        <w:p w14:paraId="4624E1DF">
          <w:pPr>
            <w:pStyle w:val="26"/>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_Toc15011 </w:instrText>
          </w:r>
          <w:r>
            <w:rPr>
              <w:b/>
              <w:bCs/>
              <w:sz w:val="28"/>
              <w:szCs w:val="28"/>
            </w:rPr>
            <w:fldChar w:fldCharType="separate"/>
          </w:r>
          <w:r>
            <w:rPr>
              <w:rFonts w:hint="eastAsia"/>
              <w:b/>
              <w:bCs/>
              <w:kern w:val="0"/>
              <w:sz w:val="28"/>
              <w:szCs w:val="28"/>
              <w:lang w:val="en-US" w:eastAsia="zh-CN"/>
            </w:rPr>
            <w:t>第四部分  评分标准</w:t>
          </w:r>
          <w:r>
            <w:rPr>
              <w:b/>
              <w:bCs/>
              <w:sz w:val="28"/>
              <w:szCs w:val="28"/>
            </w:rPr>
            <w:tab/>
          </w:r>
          <w:r>
            <w:rPr>
              <w:b/>
              <w:bCs/>
              <w:sz w:val="28"/>
              <w:szCs w:val="28"/>
            </w:rPr>
            <w:fldChar w:fldCharType="begin"/>
          </w:r>
          <w:r>
            <w:rPr>
              <w:b/>
              <w:bCs/>
              <w:sz w:val="28"/>
              <w:szCs w:val="28"/>
            </w:rPr>
            <w:instrText xml:space="preserve"> PAGEREF _Toc15011 \h </w:instrText>
          </w:r>
          <w:r>
            <w:rPr>
              <w:b/>
              <w:bCs/>
              <w:sz w:val="28"/>
              <w:szCs w:val="28"/>
            </w:rPr>
            <w:fldChar w:fldCharType="separate"/>
          </w:r>
          <w:r>
            <w:rPr>
              <w:b/>
              <w:bCs/>
              <w:sz w:val="28"/>
              <w:szCs w:val="28"/>
            </w:rPr>
            <w:t>13</w:t>
          </w:r>
          <w:r>
            <w:rPr>
              <w:b/>
              <w:bCs/>
              <w:sz w:val="28"/>
              <w:szCs w:val="28"/>
            </w:rPr>
            <w:fldChar w:fldCharType="end"/>
          </w:r>
          <w:r>
            <w:rPr>
              <w:b/>
              <w:bCs/>
              <w:sz w:val="28"/>
              <w:szCs w:val="28"/>
            </w:rPr>
            <w:fldChar w:fldCharType="end"/>
          </w:r>
        </w:p>
        <w:p w14:paraId="140E2E6C">
          <w:pPr>
            <w:pStyle w:val="26"/>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_Toc26661 </w:instrText>
          </w:r>
          <w:r>
            <w:rPr>
              <w:b/>
              <w:bCs/>
              <w:sz w:val="28"/>
              <w:szCs w:val="28"/>
            </w:rPr>
            <w:fldChar w:fldCharType="separate"/>
          </w:r>
          <w:r>
            <w:rPr>
              <w:rFonts w:hint="eastAsia"/>
              <w:b/>
              <w:bCs/>
              <w:kern w:val="0"/>
              <w:sz w:val="28"/>
              <w:szCs w:val="28"/>
              <w:lang w:val="en-US" w:eastAsia="zh-CN"/>
            </w:rPr>
            <w:t xml:space="preserve">第五部分 </w:t>
          </w:r>
          <w:r>
            <w:rPr>
              <w:rFonts w:hint="eastAsia"/>
              <w:b/>
              <w:bCs/>
              <w:kern w:val="0"/>
              <w:sz w:val="28"/>
              <w:szCs w:val="28"/>
            </w:rPr>
            <w:t>相关格式模板</w:t>
          </w:r>
          <w:r>
            <w:rPr>
              <w:b/>
              <w:bCs/>
              <w:sz w:val="28"/>
              <w:szCs w:val="28"/>
            </w:rPr>
            <w:tab/>
          </w:r>
          <w:r>
            <w:rPr>
              <w:b/>
              <w:bCs/>
              <w:sz w:val="28"/>
              <w:szCs w:val="28"/>
            </w:rPr>
            <w:fldChar w:fldCharType="begin"/>
          </w:r>
          <w:r>
            <w:rPr>
              <w:b/>
              <w:bCs/>
              <w:sz w:val="28"/>
              <w:szCs w:val="28"/>
            </w:rPr>
            <w:instrText xml:space="preserve"> PAGEREF _Toc26661 \h </w:instrText>
          </w:r>
          <w:r>
            <w:rPr>
              <w:b/>
              <w:bCs/>
              <w:sz w:val="28"/>
              <w:szCs w:val="28"/>
            </w:rPr>
            <w:fldChar w:fldCharType="separate"/>
          </w:r>
          <w:r>
            <w:rPr>
              <w:b/>
              <w:bCs/>
              <w:sz w:val="28"/>
              <w:szCs w:val="28"/>
            </w:rPr>
            <w:t>16</w:t>
          </w:r>
          <w:r>
            <w:rPr>
              <w:b/>
              <w:bCs/>
              <w:sz w:val="28"/>
              <w:szCs w:val="28"/>
            </w:rPr>
            <w:fldChar w:fldCharType="end"/>
          </w:r>
          <w:r>
            <w:rPr>
              <w:b/>
              <w:bCs/>
              <w:sz w:val="28"/>
              <w:szCs w:val="28"/>
            </w:rPr>
            <w:fldChar w:fldCharType="end"/>
          </w:r>
        </w:p>
        <w:p w14:paraId="3B5841C8">
          <w:pPr>
            <w:pStyle w:val="26"/>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_Toc26882 </w:instrText>
          </w:r>
          <w:r>
            <w:rPr>
              <w:b/>
              <w:bCs/>
              <w:sz w:val="28"/>
              <w:szCs w:val="28"/>
            </w:rPr>
            <w:fldChar w:fldCharType="separate"/>
          </w:r>
          <w:r>
            <w:rPr>
              <w:rFonts w:hint="eastAsia" w:ascii="宋体" w:hAnsi="宋体" w:eastAsia="宋体"/>
              <w:b/>
              <w:bCs/>
              <w:sz w:val="28"/>
              <w:szCs w:val="28"/>
              <w:lang w:eastAsia="zh-CN"/>
            </w:rPr>
            <w:t>第</w:t>
          </w:r>
          <w:r>
            <w:rPr>
              <w:rFonts w:hint="eastAsia" w:ascii="宋体" w:hAnsi="宋体"/>
              <w:b/>
              <w:bCs/>
              <w:sz w:val="28"/>
              <w:szCs w:val="28"/>
              <w:lang w:val="en-US" w:eastAsia="zh-CN"/>
            </w:rPr>
            <w:t>六</w:t>
          </w:r>
          <w:r>
            <w:rPr>
              <w:rFonts w:hint="eastAsia" w:ascii="宋体" w:hAnsi="宋体" w:eastAsia="宋体"/>
              <w:b/>
              <w:bCs/>
              <w:sz w:val="28"/>
              <w:szCs w:val="28"/>
              <w:lang w:eastAsia="zh-CN"/>
            </w:rPr>
            <w:t>部分</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合同模板（报名成功后获得）</w:t>
          </w:r>
          <w:r>
            <w:rPr>
              <w:b/>
              <w:bCs/>
              <w:sz w:val="28"/>
              <w:szCs w:val="28"/>
            </w:rPr>
            <w:tab/>
          </w:r>
          <w:r>
            <w:rPr>
              <w:b/>
              <w:bCs/>
              <w:sz w:val="28"/>
              <w:szCs w:val="28"/>
            </w:rPr>
            <w:fldChar w:fldCharType="begin"/>
          </w:r>
          <w:r>
            <w:rPr>
              <w:b/>
              <w:bCs/>
              <w:sz w:val="28"/>
              <w:szCs w:val="28"/>
            </w:rPr>
            <w:instrText xml:space="preserve"> PAGEREF _Toc26882 \h </w:instrText>
          </w:r>
          <w:r>
            <w:rPr>
              <w:b/>
              <w:bCs/>
              <w:sz w:val="28"/>
              <w:szCs w:val="28"/>
            </w:rPr>
            <w:fldChar w:fldCharType="separate"/>
          </w:r>
          <w:r>
            <w:rPr>
              <w:b/>
              <w:bCs/>
              <w:sz w:val="28"/>
              <w:szCs w:val="28"/>
            </w:rPr>
            <w:t>31</w:t>
          </w:r>
          <w:r>
            <w:rPr>
              <w:b/>
              <w:bCs/>
              <w:sz w:val="28"/>
              <w:szCs w:val="28"/>
            </w:rPr>
            <w:fldChar w:fldCharType="end"/>
          </w:r>
          <w:r>
            <w:rPr>
              <w:b/>
              <w:bCs/>
              <w:sz w:val="28"/>
              <w:szCs w:val="28"/>
            </w:rPr>
            <w:fldChar w:fldCharType="end"/>
          </w:r>
        </w:p>
        <w:p w14:paraId="726CB4FF">
          <w:pPr>
            <w:rPr>
              <w:rFonts w:ascii="Times New Roman" w:hAnsi="Times New Roman" w:eastAsia="宋体" w:cs="Times New Roman"/>
              <w:kern w:val="2"/>
              <w:sz w:val="21"/>
              <w:szCs w:val="24"/>
              <w:lang w:val="en-US" w:eastAsia="zh-CN" w:bidi="ar-SA"/>
            </w:rPr>
          </w:pPr>
          <w:r>
            <w:fldChar w:fldCharType="end"/>
          </w:r>
        </w:p>
      </w:sdtContent>
    </w:sdt>
    <w:p w14:paraId="181AD60A">
      <w:pPr>
        <w:rPr>
          <w:rFonts w:ascii="Times New Roman" w:hAnsi="Times New Roman" w:eastAsia="宋体" w:cs="Times New Roman"/>
          <w:kern w:val="2"/>
          <w:sz w:val="21"/>
          <w:szCs w:val="24"/>
          <w:lang w:val="en-US" w:eastAsia="zh-CN" w:bidi="ar-SA"/>
        </w:rPr>
      </w:pPr>
    </w:p>
    <w:p w14:paraId="7670BD93"/>
    <w:p w14:paraId="524FAD0E"/>
    <w:p w14:paraId="54BC838B"/>
    <w:p w14:paraId="7DBCE638"/>
    <w:p w14:paraId="75CF7307"/>
    <w:p w14:paraId="0567C6E1"/>
    <w:p w14:paraId="7B8D4EC5"/>
    <w:p w14:paraId="48A32AF1"/>
    <w:p w14:paraId="7E9062EC"/>
    <w:p w14:paraId="631C084A"/>
    <w:p w14:paraId="5FDD4AE1"/>
    <w:p w14:paraId="7B19F18D"/>
    <w:p w14:paraId="72CA11D9"/>
    <w:p w14:paraId="250E9CDD"/>
    <w:p w14:paraId="6272AADB"/>
    <w:p w14:paraId="59C2468F"/>
    <w:p w14:paraId="23073AA3"/>
    <w:p w14:paraId="6BE60397"/>
    <w:p w14:paraId="00E5E2F3">
      <w:pPr>
        <w:pStyle w:val="8"/>
      </w:pPr>
    </w:p>
    <w:p w14:paraId="2B439A57">
      <w:pPr>
        <w:pStyle w:val="8"/>
      </w:pPr>
    </w:p>
    <w:p w14:paraId="734B0562">
      <w:pPr>
        <w:pStyle w:val="8"/>
      </w:pPr>
    </w:p>
    <w:p w14:paraId="0F54B677">
      <w:pPr>
        <w:pStyle w:val="8"/>
      </w:pPr>
    </w:p>
    <w:p w14:paraId="64A4108E">
      <w:pPr>
        <w:pStyle w:val="8"/>
      </w:pPr>
    </w:p>
    <w:p w14:paraId="5F14A96D">
      <w:pPr>
        <w:pStyle w:val="8"/>
      </w:pPr>
    </w:p>
    <w:p w14:paraId="79E04931">
      <w:pPr>
        <w:pStyle w:val="8"/>
      </w:pPr>
    </w:p>
    <w:p w14:paraId="4EAEA307">
      <w:pPr>
        <w:pStyle w:val="8"/>
      </w:pPr>
    </w:p>
    <w:p w14:paraId="0C828A8D">
      <w:pPr>
        <w:pStyle w:val="8"/>
      </w:pPr>
    </w:p>
    <w:p w14:paraId="542AB18B">
      <w:pPr>
        <w:pStyle w:val="8"/>
      </w:pPr>
    </w:p>
    <w:p w14:paraId="2402B20D"/>
    <w:p w14:paraId="1509D5FE"/>
    <w:p w14:paraId="24D3CCD8"/>
    <w:p w14:paraId="2C580BD4">
      <w:pPr>
        <w:sectPr>
          <w:headerReference r:id="rId7" w:type="default"/>
          <w:footerReference r:id="rId8" w:type="default"/>
          <w:pgSz w:w="11906" w:h="16838"/>
          <w:pgMar w:top="1134" w:right="1134" w:bottom="850" w:left="1134" w:header="851" w:footer="992" w:gutter="0"/>
          <w:pgNumType w:fmt="decimal"/>
          <w:cols w:space="720" w:num="1"/>
          <w:docGrid w:linePitch="312" w:charSpace="0"/>
        </w:sectPr>
      </w:pPr>
    </w:p>
    <w:p w14:paraId="4B820704">
      <w:pPr>
        <w:numPr>
          <w:ilvl w:val="0"/>
          <w:numId w:val="0"/>
        </w:numPr>
        <w:jc w:val="center"/>
        <w:outlineLvl w:val="0"/>
        <w:rPr>
          <w:b/>
          <w:bCs/>
          <w:color w:val="000000"/>
          <w:kern w:val="0"/>
          <w:sz w:val="28"/>
          <w:szCs w:val="28"/>
        </w:rPr>
      </w:pPr>
      <w:bookmarkStart w:id="49" w:name="_Toc88488433"/>
      <w:bookmarkStart w:id="50" w:name="_Toc25805"/>
      <w:bookmarkStart w:id="51" w:name="_Toc15217"/>
      <w:bookmarkStart w:id="52" w:name="_Toc5138"/>
      <w:r>
        <w:rPr>
          <w:rFonts w:hint="eastAsia"/>
          <w:b/>
          <w:bCs/>
          <w:color w:val="000000"/>
          <w:kern w:val="0"/>
          <w:sz w:val="28"/>
          <w:szCs w:val="28"/>
          <w:lang w:val="en-US" w:eastAsia="zh-CN"/>
        </w:rPr>
        <w:t xml:space="preserve">第一部分 </w:t>
      </w:r>
      <w:r>
        <w:rPr>
          <w:rFonts w:hint="eastAsia"/>
          <w:b/>
          <w:bCs/>
          <w:color w:val="000000"/>
          <w:kern w:val="0"/>
          <w:sz w:val="28"/>
          <w:szCs w:val="28"/>
        </w:rPr>
        <w:t>遴选邀请函</w:t>
      </w:r>
      <w:bookmarkEnd w:id="49"/>
      <w:bookmarkEnd w:id="50"/>
      <w:bookmarkEnd w:id="51"/>
      <w:bookmarkEnd w:id="52"/>
    </w:p>
    <w:p w14:paraId="00F8071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p>
    <w:p w14:paraId="3DBF89E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我院近期将遴选采购代理服务机构，</w:t>
      </w:r>
      <w:r>
        <w:rPr>
          <w:rFonts w:hint="eastAsia" w:ascii="宋体" w:hAnsi="宋体" w:eastAsia="宋体" w:cs="宋体"/>
          <w:b w:val="0"/>
          <w:bCs w:val="0"/>
          <w:color w:val="auto"/>
          <w:sz w:val="21"/>
          <w:szCs w:val="21"/>
          <w:highlight w:val="none"/>
          <w:lang w:val="en-US" w:eastAsia="zh-CN"/>
        </w:rPr>
        <w:t>为采购人提供采购代理服务，</w:t>
      </w:r>
      <w:r>
        <w:rPr>
          <w:rFonts w:hint="eastAsia" w:ascii="宋体" w:hAnsi="宋体" w:eastAsia="宋体" w:cs="宋体"/>
          <w:b w:val="0"/>
          <w:bCs w:val="0"/>
          <w:color w:val="auto"/>
          <w:sz w:val="21"/>
          <w:szCs w:val="21"/>
          <w:lang w:val="en-US" w:eastAsia="zh-CN"/>
        </w:rPr>
        <w:t>欢迎符合条件的单位前来</w:t>
      </w:r>
      <w:r>
        <w:rPr>
          <w:rFonts w:hint="eastAsia" w:ascii="宋体" w:hAnsi="宋体" w:cs="宋体"/>
          <w:b w:val="0"/>
          <w:bCs w:val="0"/>
          <w:color w:val="auto"/>
          <w:sz w:val="21"/>
          <w:szCs w:val="21"/>
          <w:lang w:val="en-US" w:eastAsia="zh-CN"/>
        </w:rPr>
        <w:t>参加</w:t>
      </w:r>
      <w:r>
        <w:rPr>
          <w:rFonts w:hint="eastAsia" w:ascii="宋体" w:hAnsi="宋体" w:eastAsia="宋体" w:cs="宋体"/>
          <w:b w:val="0"/>
          <w:bCs w:val="0"/>
          <w:color w:val="auto"/>
          <w:sz w:val="21"/>
          <w:szCs w:val="21"/>
          <w:lang w:val="en-US" w:eastAsia="zh-CN"/>
        </w:rPr>
        <w:t>。</w:t>
      </w:r>
    </w:p>
    <w:p w14:paraId="3FD883C3">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cs="宋体"/>
          <w:b/>
          <w:bCs/>
          <w:color w:val="auto"/>
          <w:sz w:val="21"/>
          <w:szCs w:val="21"/>
          <w:highlight w:val="none"/>
          <w:lang w:val="en-US" w:eastAsia="zh-CN"/>
        </w:rPr>
        <w:t>项目情况</w:t>
      </w:r>
    </w:p>
    <w:p w14:paraId="2E4FD1D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1.项目名称：南方医科大学第五附属医院院内遴选采购代理机构项目</w:t>
      </w:r>
    </w:p>
    <w:p w14:paraId="2A2850D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2.项目编号：NYWYF20240023</w:t>
      </w:r>
    </w:p>
    <w:p w14:paraId="431C2D5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3.服务期：三年</w:t>
      </w:r>
      <w:r>
        <w:rPr>
          <w:rFonts w:hint="eastAsia" w:ascii="宋体" w:hAnsi="宋体" w:cs="宋体"/>
          <w:b w:val="0"/>
          <w:bCs w:val="0"/>
          <w:color w:val="auto"/>
          <w:sz w:val="21"/>
          <w:szCs w:val="21"/>
          <w:highlight w:val="none"/>
          <w:lang w:val="en-US" w:eastAsia="zh-CN"/>
        </w:rPr>
        <w:t>。</w:t>
      </w:r>
    </w:p>
    <w:p w14:paraId="30E4CB4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项目</w:t>
      </w:r>
      <w:r>
        <w:rPr>
          <w:rFonts w:hint="default" w:ascii="宋体" w:hAnsi="宋体" w:eastAsia="宋体" w:cs="宋体"/>
          <w:b w:val="0"/>
          <w:bCs w:val="0"/>
          <w:color w:val="auto"/>
          <w:sz w:val="21"/>
          <w:szCs w:val="21"/>
          <w:highlight w:val="none"/>
          <w:lang w:val="en-US" w:eastAsia="zh-CN"/>
        </w:rPr>
        <w:t>内容及要求：详见第二部分采购需求</w:t>
      </w:r>
      <w:r>
        <w:rPr>
          <w:rFonts w:hint="eastAsia" w:ascii="宋体" w:hAnsi="宋体" w:eastAsia="宋体" w:cs="宋体"/>
          <w:b w:val="0"/>
          <w:bCs w:val="0"/>
          <w:color w:val="auto"/>
          <w:sz w:val="21"/>
          <w:szCs w:val="21"/>
          <w:highlight w:val="none"/>
          <w:lang w:val="en-US" w:eastAsia="zh-CN"/>
        </w:rPr>
        <w:t>。</w:t>
      </w:r>
    </w:p>
    <w:p w14:paraId="10EFF1AB">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1B1A1581">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w:t>
      </w:r>
      <w:r>
        <w:rPr>
          <w:rFonts w:hint="eastAsia" w:ascii="宋体" w:hAnsi="宋体" w:cs="宋体"/>
          <w:b w:val="0"/>
          <w:bCs w:val="0"/>
          <w:color w:val="auto"/>
          <w:sz w:val="21"/>
          <w:szCs w:val="21"/>
          <w:lang w:val="en-US" w:eastAsia="zh-CN"/>
        </w:rPr>
        <w:t>12</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2882E3E6">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0B0D2DEC">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val="en-US" w:eastAsia="zh-CN"/>
        </w:rPr>
        <w:t>公告</w:t>
      </w:r>
      <w:r>
        <w:rPr>
          <w:rFonts w:hint="eastAsia" w:ascii="宋体" w:hAnsi="宋体" w:eastAsia="宋体" w:cs="宋体"/>
          <w:color w:val="auto"/>
          <w:sz w:val="21"/>
          <w:szCs w:val="21"/>
        </w:rPr>
        <w:t>附件3报名资料</w:t>
      </w:r>
    </w:p>
    <w:p w14:paraId="04921DC6">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4FBC0CF">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w:t>
      </w:r>
      <w:r>
        <w:rPr>
          <w:rFonts w:hint="eastAsia" w:ascii="宋体" w:hAnsi="宋体" w:eastAsia="宋体" w:cs="宋体"/>
          <w:color w:val="auto"/>
          <w:sz w:val="21"/>
          <w:szCs w:val="21"/>
          <w:lang w:val="en-US" w:eastAsia="zh-CN"/>
        </w:rPr>
        <w:t>各</w:t>
      </w:r>
      <w:r>
        <w:rPr>
          <w:rFonts w:hint="eastAsia" w:ascii="宋体" w:hAnsi="宋体" w:eastAsia="宋体" w:cs="宋体"/>
          <w:color w:val="auto"/>
          <w:sz w:val="21"/>
          <w:szCs w:val="21"/>
        </w:rPr>
        <w:t>采购代理服务机构）</w:t>
      </w:r>
    </w:p>
    <w:p w14:paraId="4241F581">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rPr>
        <w:t>三、供应商资格要求</w:t>
      </w:r>
    </w:p>
    <w:p w14:paraId="4BEF8A8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bookmarkStart w:id="53" w:name="_Toc28359004"/>
      <w:bookmarkEnd w:id="53"/>
      <w:r>
        <w:rPr>
          <w:rFonts w:hint="eastAsia" w:ascii="宋体" w:hAnsi="宋体" w:eastAsia="宋体" w:cs="宋体"/>
          <w:b w:val="0"/>
          <w:bCs w:val="0"/>
          <w:color w:val="auto"/>
          <w:sz w:val="21"/>
          <w:szCs w:val="21"/>
          <w:lang w:val="en-US" w:eastAsia="zh-CN"/>
        </w:rPr>
        <w:t>1.具有独立承担民事责任的能力：必须是中华人民共和国境内注册的独立法人，持有有效的企业法人营业执照</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（提交有效的营业执照或事业法人登记证或身份证等相关证明副本复印件</w:t>
      </w:r>
      <w:r>
        <w:rPr>
          <w:rFonts w:hint="eastAsia" w:ascii="宋体" w:hAnsi="宋体" w:cs="宋体"/>
          <w:b/>
          <w:bCs/>
          <w:color w:val="auto"/>
          <w:sz w:val="21"/>
          <w:szCs w:val="21"/>
          <w:lang w:val="en-US" w:eastAsia="zh-CN"/>
        </w:rPr>
        <w:t>并加盖供应商公章</w:t>
      </w:r>
      <w:r>
        <w:rPr>
          <w:rFonts w:hint="eastAsia" w:ascii="宋体" w:hAnsi="宋体" w:eastAsia="宋体" w:cs="宋体"/>
          <w:b/>
          <w:bCs/>
          <w:color w:val="auto"/>
          <w:sz w:val="21"/>
          <w:szCs w:val="21"/>
          <w:lang w:val="en-US" w:eastAsia="zh-CN"/>
        </w:rPr>
        <w:t>。分支机构参与响应的，须提供总公司和分公司营业执照副本复印件，总公司出具给分支机构的授权书</w:t>
      </w:r>
      <w:r>
        <w:rPr>
          <w:rFonts w:hint="eastAsia" w:ascii="宋体" w:hAnsi="宋体" w:cs="宋体"/>
          <w:b/>
          <w:bCs/>
          <w:color w:val="auto"/>
          <w:sz w:val="21"/>
          <w:szCs w:val="21"/>
          <w:lang w:val="en-US" w:eastAsia="zh-CN"/>
        </w:rPr>
        <w:t>，并加盖供应商公章</w:t>
      </w:r>
      <w:r>
        <w:rPr>
          <w:rFonts w:hint="eastAsia" w:ascii="宋体" w:hAnsi="宋体" w:eastAsia="宋体" w:cs="宋体"/>
          <w:b/>
          <w:bCs/>
          <w:color w:val="auto"/>
          <w:sz w:val="21"/>
          <w:szCs w:val="21"/>
          <w:lang w:val="en-US" w:eastAsia="zh-CN"/>
        </w:rPr>
        <w:t>）</w:t>
      </w:r>
    </w:p>
    <w:p w14:paraId="458BA94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2.有依法缴纳税收和社会保障资金的良好记录</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采购</w:t>
      </w:r>
      <w:r>
        <w:rPr>
          <w:rFonts w:hint="eastAsia" w:ascii="宋体" w:hAnsi="宋体" w:eastAsia="宋体" w:cs="宋体"/>
          <w:b/>
          <w:bCs/>
          <w:color w:val="auto"/>
          <w:sz w:val="21"/>
          <w:szCs w:val="21"/>
          <w:lang w:val="en-US" w:eastAsia="zh-CN"/>
        </w:rPr>
        <w:t>截止日前6个月内任意1个月依法缴纳税收和社会保障资金的相关材料。如依法免税或不需要缴纳社会保障资金的， 提供相应证明材料</w:t>
      </w:r>
      <w:r>
        <w:rPr>
          <w:rFonts w:hint="eastAsia" w:ascii="宋体" w:hAnsi="宋体" w:cs="宋体"/>
          <w:b/>
          <w:bCs/>
          <w:color w:val="auto"/>
          <w:sz w:val="21"/>
          <w:szCs w:val="21"/>
          <w:lang w:val="en-US" w:eastAsia="zh-CN"/>
        </w:rPr>
        <w:t>，并加盖供应商公章）</w:t>
      </w:r>
    </w:p>
    <w:p w14:paraId="1F1A4C0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近三年在</w:t>
      </w:r>
      <w:r>
        <w:rPr>
          <w:rFonts w:hint="eastAsia" w:ascii="宋体" w:hAnsi="宋体" w:cs="宋体"/>
          <w:b w:val="0"/>
          <w:bCs w:val="0"/>
          <w:color w:val="auto"/>
          <w:sz w:val="21"/>
          <w:szCs w:val="21"/>
          <w:lang w:val="en-US" w:eastAsia="zh-CN"/>
        </w:rPr>
        <w:t>采购</w:t>
      </w:r>
      <w:r>
        <w:rPr>
          <w:rFonts w:hint="eastAsia" w:ascii="宋体" w:hAnsi="宋体" w:eastAsia="宋体" w:cs="宋体"/>
          <w:b w:val="0"/>
          <w:bCs w:val="0"/>
          <w:color w:val="auto"/>
          <w:sz w:val="21"/>
          <w:szCs w:val="21"/>
          <w:lang w:val="en-US" w:eastAsia="zh-CN"/>
        </w:rPr>
        <w:t>代理的经营活动中没有违法行为</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(提供书面声明函</w:t>
      </w:r>
      <w:r>
        <w:rPr>
          <w:rFonts w:hint="eastAsia" w:ascii="宋体" w:hAnsi="宋体" w:cs="宋体"/>
          <w:b/>
          <w:bCs/>
          <w:color w:val="auto"/>
          <w:sz w:val="21"/>
          <w:szCs w:val="21"/>
          <w:lang w:val="en-US" w:eastAsia="zh-CN"/>
        </w:rPr>
        <w:t>，格式自拟，并加盖供应商公章</w:t>
      </w:r>
      <w:r>
        <w:rPr>
          <w:rFonts w:hint="eastAsia" w:ascii="宋体" w:hAnsi="宋体" w:eastAsia="宋体" w:cs="宋体"/>
          <w:b/>
          <w:bCs/>
          <w:color w:val="auto"/>
          <w:sz w:val="21"/>
          <w:szCs w:val="21"/>
          <w:lang w:val="en-US" w:eastAsia="zh-CN"/>
        </w:rPr>
        <w:t>)</w:t>
      </w:r>
    </w:p>
    <w:p w14:paraId="06B1FCB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s="宋体"/>
          <w:b/>
          <w:bCs/>
          <w:color w:val="auto"/>
          <w:sz w:val="21"/>
          <w:szCs w:val="21"/>
          <w:lang w:val="en-US" w:eastAsia="zh-CN"/>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r>
        <w:rPr>
          <w:rFonts w:hint="eastAsia" w:ascii="宋体" w:hAnsi="宋体" w:cs="宋体"/>
          <w:b w:val="0"/>
          <w:bCs w:val="0"/>
          <w:color w:val="auto"/>
          <w:sz w:val="21"/>
          <w:szCs w:val="21"/>
          <w:lang w:val="en-US" w:eastAsia="zh-CN"/>
        </w:rPr>
        <w:t>。</w:t>
      </w:r>
      <w:r>
        <w:rPr>
          <w:rFonts w:hint="eastAsia" w:ascii="宋体" w:hAnsi="宋体" w:cs="宋体"/>
          <w:b/>
          <w:bCs/>
          <w:color w:val="auto"/>
          <w:sz w:val="21"/>
          <w:szCs w:val="21"/>
          <w:lang w:val="en-US" w:eastAsia="zh-CN"/>
        </w:rPr>
        <w:t>（提</w:t>
      </w:r>
      <w:r>
        <w:rPr>
          <w:rFonts w:hint="eastAsia" w:ascii="宋体" w:hAnsi="宋体" w:cs="宋体"/>
          <w:b/>
          <w:bCs/>
          <w:color w:val="auto"/>
          <w:sz w:val="21"/>
          <w:szCs w:val="21"/>
          <w:highlight w:val="none"/>
          <w:lang w:val="en-US" w:eastAsia="zh-CN"/>
        </w:rPr>
        <w:t>供</w:t>
      </w:r>
      <w:r>
        <w:rPr>
          <w:rFonts w:hint="eastAsia" w:ascii="宋体" w:hAnsi="宋体" w:eastAsia="宋体" w:cs="宋体"/>
          <w:b/>
          <w:bCs/>
          <w:color w:val="auto"/>
          <w:sz w:val="21"/>
          <w:szCs w:val="21"/>
          <w:highlight w:val="none"/>
          <w:lang w:val="en-US" w:eastAsia="zh-CN"/>
        </w:rPr>
        <w:t>打印在</w:t>
      </w:r>
      <w:r>
        <w:rPr>
          <w:rFonts w:hint="eastAsia" w:ascii="宋体" w:hAnsi="宋体" w:eastAsia="宋体" w:cs="宋体"/>
          <w:b/>
          <w:bCs/>
          <w:color w:val="auto"/>
          <w:sz w:val="21"/>
          <w:szCs w:val="21"/>
          <w:lang w:val="en-US" w:eastAsia="zh-CN"/>
        </w:rPr>
        <w:t>“信用中国”和“中国政府采购网”的查询结果</w:t>
      </w:r>
      <w:r>
        <w:rPr>
          <w:rFonts w:hint="eastAsia" w:ascii="宋体" w:hAnsi="宋体" w:cs="宋体"/>
          <w:b/>
          <w:bCs/>
          <w:color w:val="auto"/>
          <w:sz w:val="21"/>
          <w:szCs w:val="21"/>
          <w:lang w:val="en-US" w:eastAsia="zh-CN"/>
        </w:rPr>
        <w:t>加盖供应商公章</w:t>
      </w:r>
      <w:r>
        <w:rPr>
          <w:rFonts w:hint="eastAsia" w:ascii="宋体" w:hAnsi="宋体" w:eastAsia="宋体" w:cs="宋体"/>
          <w:b/>
          <w:bCs/>
          <w:color w:val="auto"/>
          <w:sz w:val="21"/>
          <w:szCs w:val="21"/>
          <w:lang w:val="en-US" w:eastAsia="zh-CN"/>
        </w:rPr>
        <w:t>，并提供查询网址</w:t>
      </w:r>
      <w:r>
        <w:rPr>
          <w:rFonts w:hint="eastAsia" w:ascii="宋体" w:hAnsi="宋体" w:cs="宋体"/>
          <w:b/>
          <w:bCs/>
          <w:color w:val="auto"/>
          <w:sz w:val="21"/>
          <w:szCs w:val="21"/>
          <w:lang w:val="en-US" w:eastAsia="zh-CN"/>
        </w:rPr>
        <w:t>）</w:t>
      </w:r>
    </w:p>
    <w:p w14:paraId="658348C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法定代表人或单位负责人为同一人或者存在直接控股、管理关系的不同响应单位，不得参加同一合同项下的采购活动</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（提供声明函，格式自拟，并加盖供应商公章）</w:t>
      </w:r>
    </w:p>
    <w:p w14:paraId="67C6DC6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本项目不允许联合体投标。不允许分包转包。</w:t>
      </w:r>
      <w:r>
        <w:rPr>
          <w:rFonts w:hint="eastAsia" w:ascii="宋体" w:hAnsi="宋体" w:eastAsia="宋体" w:cs="宋体"/>
          <w:b/>
          <w:bCs/>
          <w:color w:val="auto"/>
          <w:sz w:val="21"/>
          <w:szCs w:val="21"/>
          <w:lang w:val="en-US" w:eastAsia="zh-CN"/>
        </w:rPr>
        <w:t>（提供声明函，格式自拟，并加盖供应商公章）</w:t>
      </w:r>
    </w:p>
    <w:p w14:paraId="4647197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7.在近三年内采购代理服务机构、法定代表人以及拟委任的项目负责人没有行贿（受贿）犯罪行为的，没有弄虚作假骗取中标/围标串标行为</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不存在法院生效判决书或行政主管部门书面认定的以上行为</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(提供书面声明函，格式自拟，并加盖</w:t>
      </w:r>
      <w:r>
        <w:rPr>
          <w:rFonts w:hint="eastAsia" w:ascii="宋体" w:hAnsi="宋体" w:cs="宋体"/>
          <w:b/>
          <w:bCs/>
          <w:color w:val="auto"/>
          <w:sz w:val="21"/>
          <w:szCs w:val="21"/>
          <w:lang w:val="en-US" w:eastAsia="zh-CN"/>
        </w:rPr>
        <w:t>供应商</w:t>
      </w:r>
      <w:r>
        <w:rPr>
          <w:rFonts w:hint="eastAsia" w:ascii="宋体" w:hAnsi="宋体" w:eastAsia="宋体" w:cs="宋体"/>
          <w:b/>
          <w:bCs/>
          <w:color w:val="auto"/>
          <w:sz w:val="21"/>
          <w:szCs w:val="21"/>
          <w:lang w:val="en-US" w:eastAsia="zh-CN"/>
        </w:rPr>
        <w:t>公章)。</w:t>
      </w:r>
    </w:p>
    <w:p w14:paraId="4842D44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8.采购代理服务机构已在广东省政府采购网（https://gdgpo.czt.gd.gov.cn/）、广州公共资源交易中心网站（http://www.gzzb.gd.cn）和中国国际招标网（http://www.chinabidding.com）登记备案</w:t>
      </w:r>
      <w:r>
        <w:rPr>
          <w:rFonts w:hint="eastAsia" w:ascii="宋体" w:hAnsi="宋体" w:eastAsia="宋体" w:cs="宋体"/>
          <w:b/>
          <w:bCs/>
          <w:color w:val="auto"/>
          <w:sz w:val="21"/>
          <w:szCs w:val="21"/>
          <w:lang w:val="en-US" w:eastAsia="zh-CN"/>
        </w:rPr>
        <w:t>（需提供相关证明材料或提供网页截图，格式自拟，并加盖</w:t>
      </w:r>
      <w:r>
        <w:rPr>
          <w:rFonts w:hint="eastAsia" w:ascii="宋体" w:hAnsi="宋体" w:cs="宋体"/>
          <w:b/>
          <w:bCs/>
          <w:color w:val="auto"/>
          <w:sz w:val="21"/>
          <w:szCs w:val="21"/>
          <w:lang w:val="en-US" w:eastAsia="zh-CN"/>
        </w:rPr>
        <w:t>供应商</w:t>
      </w:r>
      <w:r>
        <w:rPr>
          <w:rFonts w:hint="eastAsia" w:ascii="宋体" w:hAnsi="宋体" w:eastAsia="宋体" w:cs="宋体"/>
          <w:b/>
          <w:bCs/>
          <w:color w:val="auto"/>
          <w:sz w:val="21"/>
          <w:szCs w:val="21"/>
          <w:lang w:val="en-US" w:eastAsia="zh-CN"/>
        </w:rPr>
        <w:t>公章）</w:t>
      </w:r>
    </w:p>
    <w:p w14:paraId="72C5202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9.具有中国招标投标公共服务平台（http://www.cebpubservice.com）发布信息权限，并且开通系统操作账户。</w:t>
      </w:r>
      <w:r>
        <w:rPr>
          <w:rFonts w:hint="eastAsia" w:ascii="宋体" w:hAnsi="宋体" w:eastAsia="宋体" w:cs="宋体"/>
          <w:b/>
          <w:bCs/>
          <w:color w:val="auto"/>
          <w:sz w:val="21"/>
          <w:szCs w:val="21"/>
          <w:lang w:val="en-US" w:eastAsia="zh-CN"/>
        </w:rPr>
        <w:t>（需提供相关证明材料，格式自拟，并加盖</w:t>
      </w:r>
      <w:r>
        <w:rPr>
          <w:rFonts w:hint="eastAsia" w:ascii="宋体" w:hAnsi="宋体" w:cs="宋体"/>
          <w:b/>
          <w:bCs/>
          <w:color w:val="auto"/>
          <w:sz w:val="21"/>
          <w:szCs w:val="21"/>
          <w:lang w:val="en-US" w:eastAsia="zh-CN"/>
        </w:rPr>
        <w:t>供应商</w:t>
      </w:r>
      <w:r>
        <w:rPr>
          <w:rFonts w:hint="eastAsia" w:ascii="宋体" w:hAnsi="宋体" w:eastAsia="宋体" w:cs="宋体"/>
          <w:b/>
          <w:bCs/>
          <w:color w:val="auto"/>
          <w:sz w:val="21"/>
          <w:szCs w:val="21"/>
          <w:lang w:val="en-US" w:eastAsia="zh-CN"/>
        </w:rPr>
        <w:t>公章</w:t>
      </w:r>
      <w:r>
        <w:rPr>
          <w:rFonts w:hint="eastAsia" w:ascii="宋体" w:hAnsi="宋体" w:cs="宋体"/>
          <w:b/>
          <w:bCs/>
          <w:color w:val="auto"/>
          <w:sz w:val="21"/>
          <w:szCs w:val="21"/>
          <w:lang w:val="en-US" w:eastAsia="zh-CN"/>
        </w:rPr>
        <w:t>）</w:t>
      </w:r>
    </w:p>
    <w:p w14:paraId="35FF1246">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bCs/>
          <w:color w:val="auto"/>
          <w:sz w:val="21"/>
          <w:szCs w:val="21"/>
          <w:lang w:val="en-US" w:eastAsia="zh-CN"/>
        </w:rPr>
        <w:t>注：</w:t>
      </w:r>
      <w:r>
        <w:rPr>
          <w:rFonts w:hint="eastAsia" w:ascii="宋体" w:hAnsi="宋体" w:eastAsia="宋体" w:cs="宋体"/>
          <w:b/>
          <w:bCs/>
          <w:color w:val="auto"/>
          <w:sz w:val="21"/>
          <w:szCs w:val="21"/>
          <w:lang w:val="en-US" w:eastAsia="zh-CN"/>
        </w:rPr>
        <w:t>如发现提供虚假材料者，取消其参加遴选资格和服务资格</w:t>
      </w:r>
      <w:r>
        <w:rPr>
          <w:rFonts w:hint="eastAsia" w:ascii="宋体" w:hAnsi="宋体" w:cs="宋体"/>
          <w:b/>
          <w:bCs/>
          <w:color w:val="auto"/>
          <w:sz w:val="21"/>
          <w:szCs w:val="21"/>
          <w:lang w:val="en-US" w:eastAsia="zh-CN"/>
        </w:rPr>
        <w:t>。</w:t>
      </w:r>
    </w:p>
    <w:p w14:paraId="6529991D">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11EA85A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w:t>
      </w:r>
      <w:r>
        <w:rPr>
          <w:rFonts w:hint="eastAsia" w:ascii="宋体" w:hAnsi="宋体" w:eastAsia="宋体" w:cs="宋体"/>
          <w:color w:val="auto"/>
          <w:kern w:val="0"/>
          <w:sz w:val="21"/>
          <w:szCs w:val="21"/>
          <w:lang w:eastAsia="zh-CN"/>
        </w:rPr>
        <w:t>和项目需求咨询</w:t>
      </w:r>
      <w:r>
        <w:rPr>
          <w:rFonts w:hint="eastAsia" w:ascii="宋体" w:hAnsi="宋体" w:eastAsia="宋体" w:cs="宋体"/>
          <w:color w:val="auto"/>
          <w:kern w:val="0"/>
          <w:sz w:val="21"/>
          <w:szCs w:val="21"/>
        </w:rPr>
        <w:t>）  邮箱：nywycgb@126.com</w:t>
      </w:r>
    </w:p>
    <w:p w14:paraId="156030B0">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6755F71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47C2B126">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51A82BEF">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p>
    <w:p w14:paraId="20A9408B">
      <w:pPr>
        <w:keepNext w:val="0"/>
        <w:keepLines w:val="0"/>
        <w:pageBreakBefore w:val="0"/>
        <w:widowControl/>
        <w:kinsoku/>
        <w:wordWrap/>
        <w:overflowPunct/>
        <w:topLinePunct w:val="0"/>
        <w:bidi w:val="0"/>
        <w:spacing w:line="360" w:lineRule="exact"/>
        <w:ind w:firstLine="360"/>
        <w:jc w:val="left"/>
        <w:textAlignment w:val="auto"/>
        <w:rPr>
          <w:rFonts w:hint="eastAsia" w:cs="宋体" w:asciiTheme="minorEastAsia" w:hAnsiTheme="minorEastAsia"/>
          <w:b/>
          <w:kern w:val="0"/>
          <w:sz w:val="21"/>
          <w:szCs w:val="21"/>
        </w:rPr>
      </w:pPr>
    </w:p>
    <w:p w14:paraId="06F4A95E">
      <w:pPr>
        <w:keepNext w:val="0"/>
        <w:keepLines w:val="0"/>
        <w:pageBreakBefore w:val="0"/>
        <w:widowControl/>
        <w:kinsoku/>
        <w:wordWrap/>
        <w:overflowPunct/>
        <w:topLinePunct w:val="0"/>
        <w:bidi w:val="0"/>
        <w:spacing w:line="360" w:lineRule="exact"/>
        <w:jc w:val="left"/>
        <w:textAlignment w:val="auto"/>
        <w:rPr>
          <w:rFonts w:cs="宋体" w:asciiTheme="minorEastAsia" w:hAnsiTheme="minorEastAsia"/>
          <w:kern w:val="0"/>
          <w:sz w:val="21"/>
          <w:szCs w:val="21"/>
        </w:rPr>
      </w:pPr>
    </w:p>
    <w:p w14:paraId="5AE19503">
      <w:pPr>
        <w:keepNext w:val="0"/>
        <w:keepLines w:val="0"/>
        <w:pageBreakBefore w:val="0"/>
        <w:widowControl/>
        <w:kinsoku/>
        <w:wordWrap/>
        <w:overflowPunct/>
        <w:topLinePunct w:val="0"/>
        <w:bidi w:val="0"/>
        <w:spacing w:line="360" w:lineRule="exact"/>
        <w:ind w:firstLine="315" w:firstLineChars="15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718647EE">
      <w:pPr>
        <w:keepNext w:val="0"/>
        <w:keepLines w:val="0"/>
        <w:pageBreakBefore w:val="0"/>
        <w:widowControl/>
        <w:kinsoku/>
        <w:wordWrap/>
        <w:overflowPunct/>
        <w:topLinePunct w:val="0"/>
        <w:bidi w:val="0"/>
        <w:spacing w:line="360" w:lineRule="exact"/>
        <w:ind w:firstLine="315" w:firstLineChars="15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2024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29</w:t>
      </w:r>
      <w:r>
        <w:rPr>
          <w:rFonts w:hint="eastAsia" w:ascii="宋体" w:hAnsi="宋体" w:eastAsia="宋体" w:cs="宋体"/>
          <w:color w:val="auto"/>
          <w:kern w:val="0"/>
          <w:sz w:val="21"/>
          <w:szCs w:val="21"/>
          <w:highlight w:val="none"/>
        </w:rPr>
        <w:t>日</w:t>
      </w:r>
    </w:p>
    <w:p w14:paraId="13FD068B">
      <w:pPr>
        <w:keepNext w:val="0"/>
        <w:keepLines w:val="0"/>
        <w:pageBreakBefore w:val="0"/>
        <w:widowControl/>
        <w:kinsoku/>
        <w:wordWrap/>
        <w:overflowPunct/>
        <w:topLinePunct w:val="0"/>
        <w:bidi w:val="0"/>
        <w:spacing w:line="360" w:lineRule="exact"/>
        <w:ind w:firstLine="420"/>
        <w:jc w:val="left"/>
        <w:textAlignment w:val="auto"/>
        <w:rPr>
          <w:rFonts w:cs="宋体" w:asciiTheme="minorEastAsia" w:hAnsiTheme="minorEastAsia"/>
          <w:kern w:val="0"/>
          <w:sz w:val="21"/>
          <w:szCs w:val="21"/>
        </w:rPr>
      </w:pPr>
    </w:p>
    <w:p w14:paraId="49B39B1B">
      <w:pPr>
        <w:widowControl/>
        <w:spacing w:line="360" w:lineRule="auto"/>
        <w:ind w:firstLine="315" w:firstLineChars="150"/>
        <w:jc w:val="left"/>
        <w:rPr>
          <w:rFonts w:cs="宋体" w:asciiTheme="minorEastAsia" w:hAnsiTheme="minorEastAsia"/>
          <w:kern w:val="0"/>
          <w:sz w:val="21"/>
          <w:szCs w:val="21"/>
        </w:rPr>
      </w:pPr>
    </w:p>
    <w:p w14:paraId="2897962E">
      <w:pPr>
        <w:widowControl/>
        <w:spacing w:line="360" w:lineRule="auto"/>
        <w:ind w:firstLine="315" w:firstLineChars="150"/>
        <w:jc w:val="left"/>
        <w:rPr>
          <w:rFonts w:cs="宋体" w:asciiTheme="minorEastAsia" w:hAnsiTheme="minorEastAsia"/>
          <w:kern w:val="0"/>
          <w:sz w:val="21"/>
          <w:szCs w:val="21"/>
        </w:rPr>
      </w:pPr>
    </w:p>
    <w:p w14:paraId="3C59D276">
      <w:pPr>
        <w:widowControl/>
        <w:spacing w:line="360" w:lineRule="auto"/>
        <w:ind w:firstLine="315" w:firstLineChars="150"/>
        <w:jc w:val="left"/>
        <w:rPr>
          <w:rFonts w:cs="宋体" w:asciiTheme="minorEastAsia" w:hAnsiTheme="minorEastAsia"/>
          <w:kern w:val="0"/>
          <w:sz w:val="21"/>
          <w:szCs w:val="21"/>
        </w:rPr>
      </w:pPr>
    </w:p>
    <w:p w14:paraId="3B1FA2A4">
      <w:pPr>
        <w:widowControl/>
        <w:spacing w:line="360" w:lineRule="auto"/>
        <w:ind w:firstLine="315" w:firstLineChars="150"/>
        <w:jc w:val="left"/>
        <w:rPr>
          <w:rFonts w:cs="宋体" w:asciiTheme="minorEastAsia" w:hAnsiTheme="minorEastAsia"/>
          <w:kern w:val="0"/>
          <w:sz w:val="21"/>
          <w:szCs w:val="21"/>
        </w:rPr>
      </w:pPr>
    </w:p>
    <w:p w14:paraId="6F7FFA67">
      <w:pPr>
        <w:pStyle w:val="8"/>
        <w:rPr>
          <w:rFonts w:cs="宋体" w:asciiTheme="minorEastAsia" w:hAnsiTheme="minorEastAsia"/>
          <w:kern w:val="0"/>
          <w:sz w:val="24"/>
          <w:szCs w:val="28"/>
        </w:rPr>
      </w:pPr>
    </w:p>
    <w:p w14:paraId="460C0E11">
      <w:pPr>
        <w:pStyle w:val="8"/>
        <w:rPr>
          <w:rFonts w:cs="宋体" w:asciiTheme="minorEastAsia" w:hAnsiTheme="minorEastAsia"/>
          <w:kern w:val="0"/>
          <w:sz w:val="24"/>
          <w:szCs w:val="28"/>
        </w:rPr>
      </w:pPr>
    </w:p>
    <w:p w14:paraId="04F1D48C">
      <w:pPr>
        <w:pStyle w:val="8"/>
        <w:rPr>
          <w:rFonts w:cs="宋体" w:asciiTheme="minorEastAsia" w:hAnsiTheme="minorEastAsia"/>
          <w:kern w:val="0"/>
          <w:sz w:val="24"/>
          <w:szCs w:val="28"/>
        </w:rPr>
      </w:pPr>
    </w:p>
    <w:p w14:paraId="250928D9">
      <w:pPr>
        <w:pStyle w:val="8"/>
        <w:rPr>
          <w:rFonts w:cs="宋体" w:asciiTheme="minorEastAsia" w:hAnsiTheme="minorEastAsia"/>
          <w:kern w:val="0"/>
          <w:sz w:val="24"/>
          <w:szCs w:val="28"/>
        </w:rPr>
      </w:pPr>
    </w:p>
    <w:p w14:paraId="6B41A94B">
      <w:pPr>
        <w:pStyle w:val="8"/>
        <w:rPr>
          <w:rFonts w:cs="宋体" w:asciiTheme="minorEastAsia" w:hAnsiTheme="minorEastAsia"/>
          <w:kern w:val="0"/>
          <w:sz w:val="24"/>
          <w:szCs w:val="28"/>
        </w:rPr>
      </w:pPr>
    </w:p>
    <w:p w14:paraId="297179DC">
      <w:pPr>
        <w:pStyle w:val="8"/>
        <w:rPr>
          <w:rFonts w:cs="宋体" w:asciiTheme="minorEastAsia" w:hAnsiTheme="minorEastAsia"/>
          <w:kern w:val="0"/>
          <w:sz w:val="24"/>
          <w:szCs w:val="28"/>
        </w:rPr>
      </w:pPr>
    </w:p>
    <w:p w14:paraId="6B430767">
      <w:pPr>
        <w:pStyle w:val="8"/>
        <w:rPr>
          <w:rFonts w:cs="宋体" w:asciiTheme="minorEastAsia" w:hAnsiTheme="minorEastAsia"/>
          <w:kern w:val="0"/>
          <w:sz w:val="24"/>
          <w:szCs w:val="28"/>
        </w:rPr>
      </w:pPr>
    </w:p>
    <w:p w14:paraId="30847BEE">
      <w:pPr>
        <w:pStyle w:val="8"/>
        <w:rPr>
          <w:rFonts w:cs="宋体" w:asciiTheme="minorEastAsia" w:hAnsiTheme="minorEastAsia"/>
          <w:kern w:val="0"/>
          <w:sz w:val="24"/>
          <w:szCs w:val="28"/>
        </w:rPr>
      </w:pPr>
    </w:p>
    <w:p w14:paraId="1F57C2C5">
      <w:pPr>
        <w:pStyle w:val="8"/>
        <w:rPr>
          <w:rFonts w:cs="宋体" w:asciiTheme="minorEastAsia" w:hAnsiTheme="minorEastAsia"/>
          <w:kern w:val="0"/>
          <w:sz w:val="24"/>
          <w:szCs w:val="28"/>
        </w:rPr>
      </w:pPr>
    </w:p>
    <w:p w14:paraId="49F6DFA5">
      <w:pPr>
        <w:pStyle w:val="8"/>
        <w:rPr>
          <w:rFonts w:cs="宋体" w:asciiTheme="minorEastAsia" w:hAnsiTheme="minorEastAsia"/>
          <w:kern w:val="0"/>
          <w:sz w:val="24"/>
          <w:szCs w:val="28"/>
        </w:rPr>
      </w:pPr>
    </w:p>
    <w:p w14:paraId="1AA38E48">
      <w:pPr>
        <w:pStyle w:val="8"/>
        <w:rPr>
          <w:rFonts w:cs="宋体" w:asciiTheme="minorEastAsia" w:hAnsiTheme="minorEastAsia"/>
          <w:kern w:val="0"/>
          <w:sz w:val="24"/>
          <w:szCs w:val="28"/>
        </w:rPr>
      </w:pPr>
    </w:p>
    <w:p w14:paraId="0219BFFB">
      <w:pPr>
        <w:pStyle w:val="8"/>
        <w:rPr>
          <w:rFonts w:cs="宋体" w:asciiTheme="minorEastAsia" w:hAnsiTheme="minorEastAsia"/>
          <w:kern w:val="0"/>
          <w:sz w:val="24"/>
          <w:szCs w:val="28"/>
        </w:rPr>
      </w:pPr>
    </w:p>
    <w:p w14:paraId="17250A0A">
      <w:pPr>
        <w:pStyle w:val="8"/>
        <w:rPr>
          <w:rFonts w:cs="宋体" w:asciiTheme="minorEastAsia" w:hAnsiTheme="minorEastAsia"/>
          <w:kern w:val="0"/>
          <w:sz w:val="24"/>
          <w:szCs w:val="28"/>
        </w:rPr>
      </w:pPr>
    </w:p>
    <w:p w14:paraId="72C53FAA">
      <w:pPr>
        <w:pStyle w:val="8"/>
        <w:rPr>
          <w:rFonts w:cs="宋体" w:asciiTheme="minorEastAsia" w:hAnsiTheme="minorEastAsia"/>
          <w:kern w:val="0"/>
          <w:sz w:val="24"/>
          <w:szCs w:val="28"/>
        </w:rPr>
      </w:pPr>
    </w:p>
    <w:p w14:paraId="2C47D24B">
      <w:pPr>
        <w:pStyle w:val="8"/>
        <w:rPr>
          <w:rFonts w:cs="宋体" w:asciiTheme="minorEastAsia" w:hAnsiTheme="minorEastAsia"/>
          <w:kern w:val="0"/>
          <w:sz w:val="24"/>
          <w:szCs w:val="28"/>
        </w:rPr>
      </w:pPr>
    </w:p>
    <w:p w14:paraId="77AE68E7">
      <w:pPr>
        <w:pStyle w:val="8"/>
        <w:rPr>
          <w:rFonts w:cs="宋体" w:asciiTheme="minorEastAsia" w:hAnsiTheme="minorEastAsia"/>
          <w:kern w:val="0"/>
          <w:sz w:val="24"/>
          <w:szCs w:val="28"/>
        </w:rPr>
      </w:pPr>
    </w:p>
    <w:p w14:paraId="1449334D">
      <w:pPr>
        <w:pStyle w:val="8"/>
        <w:rPr>
          <w:rFonts w:cs="宋体" w:asciiTheme="minorEastAsia" w:hAnsiTheme="minorEastAsia"/>
          <w:kern w:val="0"/>
          <w:sz w:val="24"/>
          <w:szCs w:val="28"/>
        </w:rPr>
      </w:pPr>
    </w:p>
    <w:p w14:paraId="4BDFB446">
      <w:pPr>
        <w:pStyle w:val="8"/>
        <w:rPr>
          <w:rFonts w:cs="宋体" w:asciiTheme="minorEastAsia" w:hAnsiTheme="minorEastAsia"/>
          <w:kern w:val="0"/>
          <w:sz w:val="24"/>
          <w:szCs w:val="28"/>
        </w:rPr>
      </w:pPr>
    </w:p>
    <w:p w14:paraId="0422E672">
      <w:pPr>
        <w:pStyle w:val="8"/>
        <w:rPr>
          <w:rFonts w:cs="宋体" w:asciiTheme="minorEastAsia" w:hAnsiTheme="minorEastAsia"/>
          <w:kern w:val="0"/>
          <w:sz w:val="24"/>
          <w:szCs w:val="28"/>
        </w:rPr>
      </w:pPr>
    </w:p>
    <w:p w14:paraId="59FCFE67">
      <w:pPr>
        <w:pStyle w:val="8"/>
        <w:rPr>
          <w:rFonts w:cs="宋体" w:asciiTheme="minorEastAsia" w:hAnsiTheme="minorEastAsia"/>
          <w:kern w:val="0"/>
          <w:sz w:val="24"/>
          <w:szCs w:val="28"/>
        </w:rPr>
      </w:pPr>
    </w:p>
    <w:p w14:paraId="346C4393">
      <w:pPr>
        <w:numPr>
          <w:ilvl w:val="0"/>
          <w:numId w:val="0"/>
        </w:numPr>
        <w:jc w:val="center"/>
        <w:outlineLvl w:val="0"/>
        <w:rPr>
          <w:b/>
          <w:bCs/>
          <w:color w:val="000000"/>
          <w:kern w:val="0"/>
          <w:sz w:val="28"/>
          <w:szCs w:val="28"/>
        </w:rPr>
      </w:pPr>
      <w:bookmarkStart w:id="54" w:name="_Toc3128"/>
      <w:bookmarkStart w:id="55" w:name="_Toc5899"/>
      <w:bookmarkStart w:id="56" w:name="_Toc12099"/>
      <w:bookmarkStart w:id="57" w:name="_Toc28493"/>
      <w:bookmarkStart w:id="58" w:name="_Toc7403"/>
      <w:bookmarkStart w:id="59" w:name="_Toc26967"/>
      <w:bookmarkStart w:id="60" w:name="_Toc88488434"/>
      <w:bookmarkStart w:id="61" w:name="_Toc25217"/>
      <w:r>
        <w:rPr>
          <w:rFonts w:hint="eastAsia"/>
          <w:b/>
          <w:bCs/>
          <w:color w:val="000000"/>
          <w:kern w:val="0"/>
          <w:sz w:val="28"/>
          <w:szCs w:val="28"/>
          <w:lang w:val="en-US" w:eastAsia="zh-CN"/>
        </w:rPr>
        <w:t xml:space="preserve">第二部分 </w:t>
      </w:r>
      <w:r>
        <w:rPr>
          <w:rFonts w:hint="eastAsia"/>
          <w:b/>
          <w:bCs/>
          <w:color w:val="000000"/>
          <w:kern w:val="0"/>
          <w:sz w:val="28"/>
          <w:szCs w:val="28"/>
          <w:lang w:eastAsia="zh-CN"/>
        </w:rPr>
        <w:t>采购</w:t>
      </w:r>
      <w:r>
        <w:rPr>
          <w:rFonts w:hint="eastAsia"/>
          <w:b/>
          <w:bCs/>
          <w:color w:val="000000"/>
          <w:kern w:val="0"/>
          <w:sz w:val="28"/>
          <w:szCs w:val="28"/>
        </w:rPr>
        <w:t>需求</w:t>
      </w:r>
      <w:bookmarkEnd w:id="54"/>
      <w:bookmarkEnd w:id="55"/>
      <w:bookmarkEnd w:id="56"/>
      <w:bookmarkEnd w:id="57"/>
      <w:bookmarkEnd w:id="58"/>
      <w:bookmarkEnd w:id="59"/>
      <w:bookmarkEnd w:id="60"/>
      <w:bookmarkEnd w:id="61"/>
      <w:bookmarkStart w:id="62" w:name="_Toc40346211"/>
      <w:bookmarkStart w:id="63" w:name="_Toc40776106"/>
    </w:p>
    <w:p w14:paraId="33049C48">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14:paraId="1AD39062">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一、项目基本情况</w:t>
      </w:r>
    </w:p>
    <w:p w14:paraId="0CAB5BAE">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（一）项目名称：</w:t>
      </w:r>
      <w:r>
        <w:rPr>
          <w:rFonts w:hint="eastAsia" w:asciiTheme="minorEastAsia" w:hAnsiTheme="minorEastAsia" w:eastAsiaTheme="minorEastAsia" w:cstheme="minorEastAsia"/>
          <w:color w:val="auto"/>
          <w:sz w:val="21"/>
          <w:szCs w:val="21"/>
        </w:rPr>
        <w:t>南方医科大学第五附属医院院内遴选采购代理机构项目</w:t>
      </w:r>
    </w:p>
    <w:p w14:paraId="5B25532C">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（二）项目编号：</w:t>
      </w:r>
      <w:r>
        <w:rPr>
          <w:rFonts w:hint="eastAsia" w:asciiTheme="minorEastAsia" w:hAnsiTheme="minorEastAsia" w:eastAsiaTheme="minorEastAsia" w:cstheme="minorEastAsia"/>
          <w:color w:val="auto"/>
          <w:sz w:val="21"/>
          <w:szCs w:val="21"/>
        </w:rPr>
        <w:t>NYWYF20240023</w:t>
      </w:r>
    </w:p>
    <w:p w14:paraId="6A6CF161">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（三）项目概况</w:t>
      </w:r>
    </w:p>
    <w:p w14:paraId="73854A9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采购人拟通过</w:t>
      </w:r>
      <w:r>
        <w:rPr>
          <w:rFonts w:hint="eastAsia" w:asciiTheme="minorEastAsia" w:hAnsiTheme="minorEastAsia" w:eastAsiaTheme="minorEastAsia" w:cstheme="minorEastAsia"/>
          <w:color w:val="auto"/>
          <w:sz w:val="21"/>
          <w:szCs w:val="21"/>
          <w:lang w:eastAsia="zh-CN"/>
        </w:rPr>
        <w:t>院内</w:t>
      </w:r>
      <w:r>
        <w:rPr>
          <w:rFonts w:hint="eastAsia" w:asciiTheme="minorEastAsia" w:hAnsiTheme="minorEastAsia" w:eastAsiaTheme="minorEastAsia" w:cstheme="minorEastAsia"/>
          <w:color w:val="auto"/>
          <w:sz w:val="21"/>
          <w:szCs w:val="21"/>
        </w:rPr>
        <w:t>公开遴选方式，采用综合评分法择优选择3家综合实力强的采购代理服务机</w:t>
      </w:r>
      <w:r>
        <w:rPr>
          <w:rFonts w:hint="eastAsia" w:asciiTheme="minorEastAsia" w:hAnsiTheme="minorEastAsia" w:eastAsiaTheme="minorEastAsia" w:cstheme="minorEastAsia"/>
          <w:color w:val="auto"/>
          <w:sz w:val="21"/>
          <w:szCs w:val="21"/>
          <w:highlight w:val="none"/>
        </w:rPr>
        <w:t>构，</w:t>
      </w:r>
      <w:r>
        <w:rPr>
          <w:rFonts w:hint="eastAsia" w:asciiTheme="minorEastAsia" w:hAnsiTheme="minorEastAsia" w:eastAsiaTheme="minorEastAsia" w:cstheme="minorEastAsia"/>
          <w:color w:val="auto"/>
          <w:sz w:val="21"/>
          <w:szCs w:val="21"/>
          <w:highlight w:val="none"/>
          <w:lang w:eastAsia="zh-CN"/>
        </w:rPr>
        <w:t>负责</w:t>
      </w:r>
      <w:r>
        <w:rPr>
          <w:rFonts w:hint="eastAsia" w:asciiTheme="minorEastAsia" w:hAnsiTheme="minorEastAsia" w:eastAsiaTheme="minorEastAsia" w:cstheme="minorEastAsia"/>
          <w:color w:val="auto"/>
          <w:sz w:val="21"/>
          <w:szCs w:val="21"/>
          <w:highlight w:val="none"/>
        </w:rPr>
        <w:t>采购人委托的货物、服务、工程采购项目</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采购代理</w:t>
      </w:r>
      <w:r>
        <w:rPr>
          <w:rFonts w:hint="eastAsia" w:asciiTheme="minorEastAsia" w:hAnsiTheme="minorEastAsia" w:eastAsiaTheme="minorEastAsia" w:cstheme="minorEastAsia"/>
          <w:color w:val="auto"/>
          <w:sz w:val="21"/>
          <w:szCs w:val="21"/>
          <w:highlight w:val="none"/>
          <w:lang w:eastAsia="zh-CN"/>
        </w:rPr>
        <w:t>工作</w:t>
      </w:r>
      <w:r>
        <w:rPr>
          <w:rFonts w:hint="eastAsia" w:asciiTheme="minorEastAsia" w:hAnsiTheme="minorEastAsia" w:eastAsiaTheme="minorEastAsia" w:cstheme="minorEastAsia"/>
          <w:color w:val="auto"/>
          <w:sz w:val="21"/>
          <w:szCs w:val="21"/>
          <w:highlight w:val="none"/>
        </w:rPr>
        <w:t>。采购人对所委托项目数量和金额不作</w:t>
      </w:r>
      <w:r>
        <w:rPr>
          <w:rFonts w:hint="eastAsia" w:asciiTheme="minorEastAsia" w:hAnsiTheme="minorEastAsia" w:eastAsiaTheme="minorEastAsia" w:cstheme="minorEastAsia"/>
          <w:color w:val="auto"/>
          <w:sz w:val="21"/>
          <w:szCs w:val="21"/>
        </w:rPr>
        <w:t>承诺。</w:t>
      </w:r>
    </w:p>
    <w:p w14:paraId="00D256F8">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服务范围</w:t>
      </w:r>
    </w:p>
    <w:p w14:paraId="1CC92D8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1.采购人根据各采购代理机构在综合评审中获得成交候选人排名先后顺序，分别录选负责（1）医疗设备及其相关服务项目；（2）</w:t>
      </w:r>
      <w:r>
        <w:rPr>
          <w:rFonts w:hint="eastAsia" w:asciiTheme="minorEastAsia" w:hAnsiTheme="minorEastAsia" w:eastAsiaTheme="minorEastAsia" w:cstheme="minorEastAsia"/>
          <w:color w:val="auto"/>
          <w:sz w:val="21"/>
          <w:szCs w:val="21"/>
          <w:lang w:val="en-US" w:eastAsia="zh-CN"/>
        </w:rPr>
        <w:t>工程类和信息类项目</w:t>
      </w: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普通货物和服务类项目（除医疗设备、工程和信息类以外项目）</w:t>
      </w:r>
      <w:r>
        <w:rPr>
          <w:rFonts w:hint="eastAsia" w:asciiTheme="minorEastAsia" w:hAnsiTheme="minorEastAsia" w:eastAsiaTheme="minorEastAsia" w:cstheme="minorEastAsia"/>
          <w:color w:val="auto"/>
          <w:sz w:val="21"/>
          <w:szCs w:val="21"/>
        </w:rPr>
        <w:t>。</w:t>
      </w:r>
    </w:p>
    <w:tbl>
      <w:tblPr>
        <w:tblStyle w:val="18"/>
        <w:tblW w:w="9574" w:type="dxa"/>
        <w:jc w:val="center"/>
        <w:shd w:val="clear" w:color="auto" w:fill="FFFFFF"/>
        <w:tblLayout w:type="autofit"/>
        <w:tblCellMar>
          <w:top w:w="0" w:type="dxa"/>
          <w:left w:w="0" w:type="dxa"/>
          <w:bottom w:w="0" w:type="dxa"/>
          <w:right w:w="0" w:type="dxa"/>
        </w:tblCellMar>
      </w:tblPr>
      <w:tblGrid>
        <w:gridCol w:w="643"/>
        <w:gridCol w:w="3507"/>
        <w:gridCol w:w="4697"/>
        <w:gridCol w:w="727"/>
      </w:tblGrid>
      <w:tr w14:paraId="79346594">
        <w:tblPrEx>
          <w:shd w:val="clear" w:color="auto" w:fill="FFFFFF"/>
          <w:tblCellMar>
            <w:top w:w="0" w:type="dxa"/>
            <w:left w:w="0" w:type="dxa"/>
            <w:bottom w:w="0" w:type="dxa"/>
            <w:right w:w="0" w:type="dxa"/>
          </w:tblCellMar>
        </w:tblPrEx>
        <w:trPr>
          <w:trHeight w:val="453" w:hRule="atLeast"/>
          <w:jc w:val="center"/>
        </w:trPr>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2836A">
            <w:pPr>
              <w:keepNext w:val="0"/>
              <w:keepLines w:val="0"/>
              <w:pageBreakBefore w:val="0"/>
              <w:widowControl/>
              <w:kinsoku/>
              <w:wordWrap/>
              <w:overflowPunct/>
              <w:topLinePunct w:val="0"/>
              <w:autoSpaceDE/>
              <w:autoSpaceDN/>
              <w:bidi w:val="0"/>
              <w:adjustRightInd/>
              <w:snapToGrid/>
              <w:spacing w:line="360" w:lineRule="exact"/>
              <w:ind w:right="1"/>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507" w:type="dxa"/>
            <w:tcBorders>
              <w:top w:val="single" w:color="000000" w:sz="8" w:space="0"/>
              <w:left w:val="nil"/>
              <w:bottom w:val="single" w:color="000000" w:sz="8" w:space="0"/>
              <w:right w:val="single" w:color="000000" w:sz="8" w:space="0"/>
            </w:tcBorders>
            <w:shd w:val="clear" w:color="auto" w:fill="auto"/>
            <w:vAlign w:val="center"/>
          </w:tcPr>
          <w:p w14:paraId="23C00E4A">
            <w:pPr>
              <w:keepNext w:val="0"/>
              <w:keepLines w:val="0"/>
              <w:pageBreakBefore w:val="0"/>
              <w:widowControl/>
              <w:kinsoku/>
              <w:wordWrap/>
              <w:overflowPunct/>
              <w:topLinePunct w:val="0"/>
              <w:autoSpaceDE/>
              <w:autoSpaceDN/>
              <w:bidi w:val="0"/>
              <w:adjustRightInd/>
              <w:snapToGrid/>
              <w:spacing w:line="360" w:lineRule="exact"/>
              <w:ind w:right="1"/>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服务项目</w:t>
            </w:r>
          </w:p>
        </w:tc>
        <w:tc>
          <w:tcPr>
            <w:tcW w:w="4697" w:type="dxa"/>
            <w:tcBorders>
              <w:top w:val="single" w:color="000000" w:sz="8" w:space="0"/>
              <w:left w:val="nil"/>
              <w:bottom w:val="single" w:color="000000" w:sz="8" w:space="0"/>
              <w:right w:val="single" w:color="000000" w:sz="8" w:space="0"/>
            </w:tcBorders>
            <w:shd w:val="clear" w:color="auto" w:fill="auto"/>
            <w:vAlign w:val="center"/>
          </w:tcPr>
          <w:p w14:paraId="566C77A3">
            <w:pPr>
              <w:keepNext w:val="0"/>
              <w:keepLines w:val="0"/>
              <w:pageBreakBefore w:val="0"/>
              <w:widowControl/>
              <w:kinsoku/>
              <w:wordWrap/>
              <w:overflowPunct/>
              <w:topLinePunct w:val="0"/>
              <w:autoSpaceDE/>
              <w:autoSpaceDN/>
              <w:bidi w:val="0"/>
              <w:adjustRightInd/>
              <w:snapToGrid/>
              <w:spacing w:line="360" w:lineRule="exact"/>
              <w:ind w:right="1"/>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涉及范围</w:t>
            </w:r>
          </w:p>
        </w:tc>
        <w:tc>
          <w:tcPr>
            <w:tcW w:w="727" w:type="dxa"/>
            <w:tcBorders>
              <w:top w:val="single" w:color="000000" w:sz="8" w:space="0"/>
              <w:left w:val="nil"/>
              <w:bottom w:val="single" w:color="000000" w:sz="8" w:space="0"/>
              <w:right w:val="single" w:color="000000" w:sz="8" w:space="0"/>
            </w:tcBorders>
            <w:shd w:val="clear" w:color="auto" w:fill="auto"/>
            <w:vAlign w:val="center"/>
          </w:tcPr>
          <w:p w14:paraId="5B55CB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数量</w:t>
            </w:r>
          </w:p>
        </w:tc>
      </w:tr>
      <w:tr w14:paraId="15DC6F67">
        <w:tblPrEx>
          <w:tblCellMar>
            <w:top w:w="0" w:type="dxa"/>
            <w:left w:w="0" w:type="dxa"/>
            <w:bottom w:w="0" w:type="dxa"/>
            <w:right w:w="0" w:type="dxa"/>
          </w:tblCellMar>
        </w:tblPrEx>
        <w:trPr>
          <w:trHeight w:val="467" w:hRule="atLeast"/>
          <w:jc w:val="center"/>
        </w:trPr>
        <w:tc>
          <w:tcPr>
            <w:tcW w:w="643" w:type="dxa"/>
            <w:tcBorders>
              <w:top w:val="nil"/>
              <w:left w:val="single" w:color="000000" w:sz="8" w:space="0"/>
              <w:bottom w:val="single" w:color="000000" w:sz="8" w:space="0"/>
              <w:right w:val="single" w:color="000000" w:sz="8" w:space="0"/>
            </w:tcBorders>
            <w:shd w:val="clear" w:color="auto" w:fill="auto"/>
            <w:vAlign w:val="center"/>
          </w:tcPr>
          <w:p w14:paraId="218AA8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3507" w:type="dxa"/>
            <w:tcBorders>
              <w:top w:val="nil"/>
              <w:left w:val="nil"/>
              <w:bottom w:val="single" w:color="000000" w:sz="8" w:space="0"/>
              <w:right w:val="single" w:color="000000" w:sz="8" w:space="0"/>
            </w:tcBorders>
            <w:shd w:val="clear" w:color="auto" w:fill="auto"/>
            <w:vAlign w:val="center"/>
          </w:tcPr>
          <w:p w14:paraId="7971F7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医疗设备及其相关服务项目</w:t>
            </w:r>
          </w:p>
        </w:tc>
        <w:tc>
          <w:tcPr>
            <w:tcW w:w="4697" w:type="dxa"/>
            <w:tcBorders>
              <w:top w:val="nil"/>
              <w:left w:val="nil"/>
              <w:bottom w:val="single" w:color="000000" w:sz="8" w:space="0"/>
              <w:right w:val="single" w:color="000000" w:sz="8" w:space="0"/>
            </w:tcBorders>
            <w:shd w:val="clear" w:color="auto" w:fill="auto"/>
            <w:vAlign w:val="center"/>
          </w:tcPr>
          <w:p w14:paraId="13453F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负责医疗设备、医疗设备维护保养等项目。</w:t>
            </w:r>
          </w:p>
        </w:tc>
        <w:tc>
          <w:tcPr>
            <w:tcW w:w="727" w:type="dxa"/>
            <w:tcBorders>
              <w:top w:val="nil"/>
              <w:left w:val="nil"/>
              <w:bottom w:val="single" w:color="000000" w:sz="8" w:space="0"/>
              <w:right w:val="single" w:color="000000" w:sz="8" w:space="0"/>
            </w:tcBorders>
            <w:shd w:val="clear" w:color="auto" w:fill="auto"/>
            <w:vAlign w:val="center"/>
          </w:tcPr>
          <w:p w14:paraId="0240D9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1家</w:t>
            </w:r>
          </w:p>
        </w:tc>
      </w:tr>
      <w:tr w14:paraId="57A2D9AE">
        <w:tblPrEx>
          <w:tblCellMar>
            <w:top w:w="0" w:type="dxa"/>
            <w:left w:w="0" w:type="dxa"/>
            <w:bottom w:w="0" w:type="dxa"/>
            <w:right w:w="0" w:type="dxa"/>
          </w:tblCellMar>
        </w:tblPrEx>
        <w:trPr>
          <w:trHeight w:val="484" w:hRule="atLeast"/>
          <w:jc w:val="center"/>
        </w:trPr>
        <w:tc>
          <w:tcPr>
            <w:tcW w:w="643" w:type="dxa"/>
            <w:tcBorders>
              <w:top w:val="nil"/>
              <w:left w:val="single" w:color="000000" w:sz="8" w:space="0"/>
              <w:bottom w:val="single" w:color="000000" w:sz="8" w:space="0"/>
              <w:right w:val="single" w:color="000000" w:sz="8" w:space="0"/>
            </w:tcBorders>
            <w:shd w:val="clear" w:color="auto" w:fill="auto"/>
            <w:vAlign w:val="center"/>
          </w:tcPr>
          <w:p w14:paraId="4C5DE2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3507" w:type="dxa"/>
            <w:tcBorders>
              <w:top w:val="nil"/>
              <w:left w:val="nil"/>
              <w:bottom w:val="single" w:color="000000" w:sz="8" w:space="0"/>
              <w:right w:val="single" w:color="000000" w:sz="8" w:space="0"/>
            </w:tcBorders>
            <w:shd w:val="clear" w:color="auto" w:fill="auto"/>
            <w:vAlign w:val="center"/>
          </w:tcPr>
          <w:p w14:paraId="15CBC8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工程类和信息类项目</w:t>
            </w:r>
          </w:p>
        </w:tc>
        <w:tc>
          <w:tcPr>
            <w:tcW w:w="4697" w:type="dxa"/>
            <w:tcBorders>
              <w:top w:val="nil"/>
              <w:left w:val="nil"/>
              <w:bottom w:val="single" w:color="000000" w:sz="8" w:space="0"/>
              <w:right w:val="single" w:color="000000" w:sz="8" w:space="0"/>
            </w:tcBorders>
            <w:shd w:val="clear" w:color="auto" w:fill="auto"/>
            <w:vAlign w:val="center"/>
          </w:tcPr>
          <w:p w14:paraId="079E0E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负责信息化技术服务类、硬件建设项目、工程施工类、管理服务及相关货物项目、安防类工程、设备及相关服务等项目。</w:t>
            </w:r>
          </w:p>
        </w:tc>
        <w:tc>
          <w:tcPr>
            <w:tcW w:w="727" w:type="dxa"/>
            <w:tcBorders>
              <w:top w:val="nil"/>
              <w:left w:val="nil"/>
              <w:bottom w:val="single" w:color="000000" w:sz="8" w:space="0"/>
              <w:right w:val="single" w:color="000000" w:sz="8" w:space="0"/>
            </w:tcBorders>
            <w:shd w:val="clear" w:color="auto" w:fill="auto"/>
            <w:vAlign w:val="center"/>
          </w:tcPr>
          <w:p w14:paraId="1D42D7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1家</w:t>
            </w:r>
          </w:p>
        </w:tc>
      </w:tr>
      <w:tr w14:paraId="5A178FCA">
        <w:tblPrEx>
          <w:shd w:val="clear" w:color="auto" w:fill="FFFFFF"/>
          <w:tblCellMar>
            <w:top w:w="0" w:type="dxa"/>
            <w:left w:w="0" w:type="dxa"/>
            <w:bottom w:w="0" w:type="dxa"/>
            <w:right w:w="0" w:type="dxa"/>
          </w:tblCellMar>
        </w:tblPrEx>
        <w:trPr>
          <w:trHeight w:val="920" w:hRule="atLeast"/>
          <w:jc w:val="center"/>
        </w:trPr>
        <w:tc>
          <w:tcPr>
            <w:tcW w:w="643" w:type="dxa"/>
            <w:tcBorders>
              <w:top w:val="nil"/>
              <w:left w:val="single" w:color="000000" w:sz="8" w:space="0"/>
              <w:bottom w:val="single" w:color="000000" w:sz="8" w:space="0"/>
              <w:right w:val="single" w:color="000000" w:sz="8" w:space="0"/>
            </w:tcBorders>
            <w:shd w:val="clear" w:color="auto" w:fill="auto"/>
            <w:vAlign w:val="center"/>
          </w:tcPr>
          <w:p w14:paraId="5F5849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3507" w:type="dxa"/>
            <w:tcBorders>
              <w:top w:val="nil"/>
              <w:left w:val="nil"/>
              <w:bottom w:val="single" w:color="000000" w:sz="8" w:space="0"/>
              <w:right w:val="single" w:color="000000" w:sz="8" w:space="0"/>
            </w:tcBorders>
            <w:shd w:val="clear" w:color="auto" w:fill="auto"/>
            <w:vAlign w:val="center"/>
          </w:tcPr>
          <w:p w14:paraId="315C4DD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普通货物和服务类项目（除医疗设备、工程和信息类以外项目）</w:t>
            </w:r>
          </w:p>
        </w:tc>
        <w:tc>
          <w:tcPr>
            <w:tcW w:w="4697" w:type="dxa"/>
            <w:tcBorders>
              <w:top w:val="nil"/>
              <w:left w:val="nil"/>
              <w:bottom w:val="single" w:color="000000" w:sz="8" w:space="0"/>
              <w:right w:val="single" w:color="000000" w:sz="8" w:space="0"/>
            </w:tcBorders>
            <w:shd w:val="clear" w:color="auto" w:fill="auto"/>
            <w:vAlign w:val="center"/>
          </w:tcPr>
          <w:p w14:paraId="477F12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负责除序号1、2以外的货物、服务项目，如保安、医疗外送、医疗洗涤等项目。</w:t>
            </w:r>
          </w:p>
        </w:tc>
        <w:tc>
          <w:tcPr>
            <w:tcW w:w="727" w:type="dxa"/>
            <w:tcBorders>
              <w:top w:val="nil"/>
              <w:left w:val="nil"/>
              <w:bottom w:val="single" w:color="000000" w:sz="8" w:space="0"/>
              <w:right w:val="single" w:color="000000" w:sz="8" w:space="0"/>
            </w:tcBorders>
            <w:shd w:val="clear" w:color="auto" w:fill="auto"/>
            <w:vAlign w:val="center"/>
          </w:tcPr>
          <w:p w14:paraId="0581F8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1家</w:t>
            </w:r>
          </w:p>
        </w:tc>
      </w:tr>
    </w:tbl>
    <w:p w14:paraId="2E87994B">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rPr>
      </w:pPr>
    </w:p>
    <w:p w14:paraId="0462E50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本项目各服务项目涉及范围为初步确定的委托服务内容。采购人不确保将具体某个采购项目委托给特定的采购代理机构，采购代理机构也不得主动要求获得某个采购项目的代理委托，采购项目的委托代理完全取决于采购人自主决定。委托采购的额度按采购人采购制度或规定执行。采购人不保证协议期间其一定取得具体项目的招标代理，采购代理机构不能据此要求采购人承担任何责任。</w:t>
      </w:r>
      <w:r>
        <w:rPr>
          <w:rFonts w:hint="eastAsia" w:asciiTheme="minorEastAsia" w:hAnsiTheme="minorEastAsia" w:eastAsiaTheme="minorEastAsia" w:cstheme="minorEastAsia"/>
          <w:b/>
          <w:bCs/>
          <w:color w:val="auto"/>
          <w:sz w:val="21"/>
          <w:szCs w:val="21"/>
        </w:rPr>
        <w:t>（提供承诺函，格式自拟，并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p>
    <w:p w14:paraId="7DE173E1">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二、服务要求</w:t>
      </w:r>
    </w:p>
    <w:p w14:paraId="52C41BC0">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（一）服务能力要求</w:t>
      </w:r>
    </w:p>
    <w:p w14:paraId="5D0BADC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1.具有完善的政府采购内部监督管理制度，通过企业质量管理认证（ISO认证）</w:t>
      </w:r>
      <w:r>
        <w:rPr>
          <w:rFonts w:hint="eastAsia" w:asciiTheme="minorEastAsia" w:hAnsiTheme="minorEastAsia" w:eastAsiaTheme="minorEastAsia" w:cstheme="minorEastAsia"/>
          <w:b/>
          <w:bCs/>
          <w:color w:val="auto"/>
          <w:sz w:val="21"/>
          <w:szCs w:val="21"/>
        </w:rPr>
        <w:t>(提供有效期内的ISO认证证书复印件，并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p>
    <w:p w14:paraId="264F421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2.具有履行合同所必须的设备和专业技术能力，在广州市设有合乎规定标准的固定的办公及开评标场所</w:t>
      </w:r>
      <w:r>
        <w:rPr>
          <w:rFonts w:hint="eastAsia" w:asciiTheme="minorEastAsia" w:hAnsiTheme="minorEastAsia" w:eastAsiaTheme="minorEastAsia" w:cstheme="minorEastAsia"/>
          <w:b/>
          <w:bCs/>
          <w:color w:val="auto"/>
          <w:sz w:val="21"/>
          <w:szCs w:val="21"/>
        </w:rPr>
        <w:t>(提供办公场所的房屋产权证明或房屋租赁合同复印件，并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w:t>
      </w:r>
    </w:p>
    <w:p w14:paraId="0DE0709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3.采购代理服务机构信誉良好，行业内评价高</w:t>
      </w:r>
      <w:r>
        <w:rPr>
          <w:rFonts w:hint="eastAsia" w:asciiTheme="minorEastAsia" w:hAnsiTheme="minorEastAsia" w:eastAsiaTheme="minorEastAsia" w:cstheme="minorEastAsia"/>
          <w:b/>
          <w:bCs/>
          <w:color w:val="auto"/>
          <w:sz w:val="21"/>
          <w:szCs w:val="21"/>
        </w:rPr>
        <w:t>(提供行业获奖情况说明，并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w:t>
      </w:r>
    </w:p>
    <w:p w14:paraId="2531766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4.具有电子招标平台</w:t>
      </w:r>
      <w:r>
        <w:rPr>
          <w:rFonts w:hint="eastAsia" w:asciiTheme="minorEastAsia" w:hAnsiTheme="minorEastAsia" w:eastAsiaTheme="minorEastAsia" w:cstheme="minorEastAsia"/>
          <w:b/>
          <w:bCs/>
          <w:color w:val="auto"/>
          <w:sz w:val="21"/>
          <w:szCs w:val="21"/>
        </w:rPr>
        <w:t>（提供相关证明材料，</w:t>
      </w:r>
      <w:r>
        <w:rPr>
          <w:rFonts w:hint="eastAsia" w:asciiTheme="minorEastAsia" w:hAnsiTheme="minorEastAsia" w:eastAsiaTheme="minorEastAsia" w:cstheme="minorEastAsia"/>
          <w:b/>
          <w:bCs/>
          <w:color w:val="auto"/>
          <w:sz w:val="21"/>
          <w:szCs w:val="21"/>
          <w:lang w:val="en-US" w:eastAsia="zh-CN"/>
        </w:rPr>
        <w:t>格式自拟，</w:t>
      </w:r>
      <w:r>
        <w:rPr>
          <w:rFonts w:hint="eastAsia" w:asciiTheme="minorEastAsia" w:hAnsiTheme="minorEastAsia" w:eastAsiaTheme="minorEastAsia" w:cstheme="minorEastAsia"/>
          <w:b/>
          <w:bCs/>
          <w:color w:val="auto"/>
          <w:sz w:val="21"/>
          <w:szCs w:val="21"/>
        </w:rPr>
        <w:t>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w:t>
      </w:r>
    </w:p>
    <w:p w14:paraId="175BD95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5.具有丰富的从事医疗卫生领域的政府采购和招标</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代理的经验，能及时合理处理</w:t>
      </w:r>
      <w:r>
        <w:rPr>
          <w:rFonts w:hint="eastAsia" w:asciiTheme="minorEastAsia" w:hAnsiTheme="minorEastAsia" w:eastAsiaTheme="minorEastAsia" w:cstheme="minorEastAsia"/>
          <w:strike w:val="0"/>
          <w:dstrike w:val="0"/>
          <w:color w:val="auto"/>
          <w:sz w:val="21"/>
          <w:szCs w:val="21"/>
        </w:rPr>
        <w:t>招标</w:t>
      </w:r>
      <w:r>
        <w:rPr>
          <w:rFonts w:hint="eastAsia" w:asciiTheme="minorEastAsia" w:hAnsiTheme="minorEastAsia" w:eastAsiaTheme="minorEastAsia" w:cstheme="minorEastAsia"/>
          <w:strike w:val="0"/>
          <w:dstrike w:val="0"/>
          <w:color w:val="auto"/>
          <w:sz w:val="21"/>
          <w:szCs w:val="21"/>
          <w:lang w:val="en-US" w:eastAsia="zh-CN"/>
        </w:rPr>
        <w:t>采购</w:t>
      </w:r>
      <w:r>
        <w:rPr>
          <w:rFonts w:hint="eastAsia" w:asciiTheme="minorEastAsia" w:hAnsiTheme="minorEastAsia" w:eastAsiaTheme="minorEastAsia" w:cstheme="minorEastAsia"/>
          <w:color w:val="auto"/>
          <w:sz w:val="21"/>
          <w:szCs w:val="21"/>
        </w:rPr>
        <w:t>质疑和投诉</w:t>
      </w:r>
      <w:r>
        <w:rPr>
          <w:rFonts w:hint="eastAsia" w:asciiTheme="minorEastAsia" w:hAnsiTheme="minorEastAsia" w:eastAsiaTheme="minorEastAsia" w:cstheme="minorEastAsia"/>
          <w:b/>
          <w:bCs/>
          <w:color w:val="auto"/>
          <w:sz w:val="21"/>
          <w:szCs w:val="21"/>
        </w:rPr>
        <w:t>(提供202</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年至今年代理医疗卫生领域货物、工程、服务</w:t>
      </w:r>
      <w:r>
        <w:rPr>
          <w:rFonts w:hint="eastAsia" w:asciiTheme="minorEastAsia" w:hAnsiTheme="minorEastAsia" w:eastAsiaTheme="minorEastAsia" w:cstheme="minorEastAsia"/>
          <w:b/>
          <w:bCs/>
          <w:strike w:val="0"/>
          <w:dstrike w:val="0"/>
          <w:color w:val="auto"/>
          <w:sz w:val="21"/>
          <w:szCs w:val="21"/>
        </w:rPr>
        <w:t>招标</w:t>
      </w:r>
      <w:r>
        <w:rPr>
          <w:rFonts w:hint="eastAsia" w:asciiTheme="minorEastAsia" w:hAnsiTheme="minorEastAsia" w:eastAsiaTheme="minorEastAsia" w:cstheme="minorEastAsia"/>
          <w:b/>
          <w:bCs/>
          <w:strike w:val="0"/>
          <w:dstrike w:val="0"/>
          <w:color w:val="auto"/>
          <w:sz w:val="21"/>
          <w:szCs w:val="21"/>
          <w:lang w:val="en-US" w:eastAsia="zh-CN"/>
        </w:rPr>
        <w:t>采购</w:t>
      </w:r>
      <w:r>
        <w:rPr>
          <w:rFonts w:hint="eastAsia" w:asciiTheme="minorEastAsia" w:hAnsiTheme="minorEastAsia" w:eastAsiaTheme="minorEastAsia" w:cstheme="minorEastAsia"/>
          <w:b/>
          <w:bCs/>
          <w:strike w:val="0"/>
          <w:color w:val="auto"/>
          <w:sz w:val="21"/>
          <w:szCs w:val="21"/>
        </w:rPr>
        <w:t>项</w:t>
      </w:r>
      <w:r>
        <w:rPr>
          <w:rFonts w:hint="eastAsia" w:asciiTheme="minorEastAsia" w:hAnsiTheme="minorEastAsia" w:eastAsiaTheme="minorEastAsia" w:cstheme="minorEastAsia"/>
          <w:b/>
          <w:bCs/>
          <w:color w:val="auto"/>
          <w:sz w:val="21"/>
          <w:szCs w:val="21"/>
        </w:rPr>
        <w:t>目的项目清单，并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w:t>
      </w:r>
    </w:p>
    <w:p w14:paraId="2CD013E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设有涵盖医疗卫生领域的成熟的专家库，要求库中专家应为医疗领域不同专业分类的主任专家或职称人员等，能为采购人不同领域项目的用户需求参数提供技术咨询、进口论证、招标文件论证、采购需求调查及编制等工作提供足够数量的称职专家</w:t>
      </w:r>
      <w:r>
        <w:rPr>
          <w:rFonts w:hint="eastAsia" w:asciiTheme="minorEastAsia" w:hAnsiTheme="minorEastAsia" w:eastAsiaTheme="minorEastAsia" w:cstheme="minorEastAsia"/>
          <w:b/>
          <w:bCs/>
          <w:color w:val="auto"/>
          <w:sz w:val="21"/>
          <w:szCs w:val="21"/>
        </w:rPr>
        <w:t>(提供专家库的系统截图，并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w:t>
      </w:r>
    </w:p>
    <w:p w14:paraId="511B658B">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（二）服务内容</w:t>
      </w:r>
    </w:p>
    <w:p w14:paraId="514628C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成交采购代理机构依据《政府采购法》《招标投标法》等相关法律法规、政策要求以及采购人的</w:t>
      </w:r>
      <w:r>
        <w:rPr>
          <w:rFonts w:hint="eastAsia" w:asciiTheme="minorEastAsia" w:hAnsiTheme="minorEastAsia" w:eastAsiaTheme="minorEastAsia" w:cstheme="minorEastAsia"/>
          <w:strike w:val="0"/>
          <w:dstrike w:val="0"/>
          <w:color w:val="auto"/>
          <w:sz w:val="21"/>
          <w:szCs w:val="21"/>
        </w:rPr>
        <w:t>招标</w:t>
      </w:r>
      <w:r>
        <w:rPr>
          <w:rFonts w:hint="eastAsia" w:asciiTheme="minorEastAsia" w:hAnsiTheme="minorEastAsia" w:eastAsiaTheme="minorEastAsia" w:cstheme="minorEastAsia"/>
          <w:color w:val="auto"/>
          <w:sz w:val="21"/>
          <w:szCs w:val="21"/>
        </w:rPr>
        <w:t>采购管理制度，结合采购人项目要求为采购人提供采购代理服务，具体包括但不限于如下内容：</w:t>
      </w:r>
    </w:p>
    <w:p w14:paraId="7318670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1.采购咨询（采购政策、采购需求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市场价格</w:t>
      </w:r>
      <w:r>
        <w:rPr>
          <w:rFonts w:hint="eastAsia" w:asciiTheme="minorEastAsia" w:hAnsiTheme="minorEastAsia" w:eastAsiaTheme="minorEastAsia" w:cstheme="minorEastAsia"/>
          <w:color w:val="auto"/>
          <w:sz w:val="21"/>
          <w:szCs w:val="21"/>
        </w:rPr>
        <w:t>等咨询），采购代理机构</w:t>
      </w:r>
      <w:r>
        <w:rPr>
          <w:rFonts w:hint="eastAsia" w:asciiTheme="minorEastAsia" w:hAnsiTheme="minorEastAsia" w:eastAsiaTheme="minorEastAsia" w:cstheme="minorEastAsia"/>
          <w:color w:val="auto"/>
          <w:sz w:val="21"/>
          <w:szCs w:val="21"/>
          <w:lang w:val="en-US" w:eastAsia="zh-CN"/>
        </w:rPr>
        <w:t>应对委托项目向采购人归口管理科室充分了解项目背景、概况、资料、技术要求、服务及商务要求等,并</w:t>
      </w:r>
      <w:r>
        <w:rPr>
          <w:rFonts w:hint="eastAsia" w:asciiTheme="minorEastAsia" w:hAnsiTheme="minorEastAsia" w:eastAsiaTheme="minorEastAsia" w:cstheme="minorEastAsia"/>
          <w:color w:val="auto"/>
          <w:sz w:val="21"/>
          <w:szCs w:val="21"/>
        </w:rPr>
        <w:t>对采购人的咨询提出修改意见及可选的合理化建议；</w:t>
      </w:r>
    </w:p>
    <w:p w14:paraId="44B410C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2.协助采购人完成进口产品论证和申报工作、办理招标文件论证或备案（如需要）、需求调查和编制等（如需要）；</w:t>
      </w:r>
      <w:r>
        <w:rPr>
          <w:rFonts w:hint="eastAsia" w:asciiTheme="minorEastAsia" w:hAnsiTheme="minorEastAsia" w:eastAsiaTheme="minorEastAsia" w:cstheme="minorEastAsia"/>
          <w:color w:val="auto"/>
          <w:sz w:val="21"/>
          <w:szCs w:val="21"/>
          <w:lang w:val="en-US" w:eastAsia="zh-CN"/>
        </w:rPr>
        <w:t xml:space="preserve"> </w:t>
      </w:r>
    </w:p>
    <w:p w14:paraId="198AD19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根据法规和主管部门及</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实际要求组织项目采购文件的专家论证工作，并将专家意见返回给</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确认。</w:t>
      </w:r>
    </w:p>
    <w:p w14:paraId="4030027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根据项目需要向有关主管部门呈送规定的相关文件，并协助</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办理有关审批手续。</w:t>
      </w:r>
    </w:p>
    <w:p w14:paraId="15D7320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5.可提供驻场服务，协助采购人完成院内采购项目开评标工作；</w:t>
      </w:r>
    </w:p>
    <w:p w14:paraId="5ED0EDD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.编制、发售、解释、组织论证招标（采购）文件，对名称、功能、技术指标等进行实质性检查及完善；</w:t>
      </w:r>
    </w:p>
    <w:p w14:paraId="3659E11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.在政府采购监督管理部门或其他法定媒体以及采购人指定媒体上发布招标采购公告、澄清（变更）公告、评审结果公示、中标（成交）公告等；</w:t>
      </w:r>
    </w:p>
    <w:p w14:paraId="48F13C8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发售招标（采购）文件，接受潜在供应商报名（包括接受投标文件及代收、代退投标保证金）；对出现报名供应商数量不足不满足开标条件、供应商数量刚好达到开标条件但有供应商可能存在不符合投标资格，应及时</w:t>
      </w:r>
      <w:r>
        <w:rPr>
          <w:rFonts w:hint="eastAsia" w:asciiTheme="minorEastAsia" w:hAnsiTheme="minorEastAsia" w:eastAsiaTheme="minorEastAsia" w:cstheme="minorEastAsia"/>
          <w:color w:val="auto"/>
          <w:sz w:val="21"/>
          <w:szCs w:val="21"/>
          <w:lang w:val="en-US" w:eastAsia="zh-CN"/>
        </w:rPr>
        <w:t>（在投标报名截止前2个工作日内）向采购人反馈</w:t>
      </w:r>
      <w:r>
        <w:rPr>
          <w:rFonts w:hint="eastAsia" w:asciiTheme="minorEastAsia" w:hAnsiTheme="minorEastAsia" w:eastAsiaTheme="minorEastAsia" w:cstheme="minorEastAsia"/>
          <w:color w:val="auto"/>
          <w:sz w:val="21"/>
          <w:szCs w:val="21"/>
        </w:rPr>
        <w:t>并向采购人提出延长报名时间等合理建议</w:t>
      </w:r>
      <w:r>
        <w:rPr>
          <w:rFonts w:hint="eastAsia" w:asciiTheme="minorEastAsia" w:hAnsiTheme="minorEastAsia" w:eastAsiaTheme="minorEastAsia" w:cstheme="minorEastAsia"/>
          <w:color w:val="auto"/>
          <w:sz w:val="21"/>
          <w:szCs w:val="21"/>
          <w:highlight w:val="none"/>
        </w:rPr>
        <w:t>；</w:t>
      </w:r>
    </w:p>
    <w:p w14:paraId="601CECF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.编制澄清和修改文件，组织必要的现场踏勘、答疑会（如需要）；制定评审方法、步骤、标准，依法依规或根据招标（采购）文件规定组建评审委员会；</w:t>
      </w:r>
    </w:p>
    <w:p w14:paraId="7CA9C78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.接收投标（响应）文件，组织开标（唱价）会议；</w:t>
      </w:r>
    </w:p>
    <w:p w14:paraId="62890BD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负责对供应商资格条件、资质、信息信息、关联情况等进行严格审查，对应标供应商疑似围标、串标等影响公平公正的情形，及时组织评审（评标）委员会讨论审议；</w:t>
      </w:r>
    </w:p>
    <w:p w14:paraId="2F9F6C0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依法依规组织评审会议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编制评审报告</w:t>
      </w:r>
      <w:r>
        <w:rPr>
          <w:rFonts w:hint="eastAsia" w:asciiTheme="minorEastAsia" w:hAnsiTheme="minorEastAsia" w:eastAsiaTheme="minorEastAsia" w:cstheme="minorEastAsia"/>
          <w:color w:val="auto"/>
          <w:sz w:val="21"/>
          <w:szCs w:val="21"/>
          <w:highlight w:val="none"/>
        </w:rPr>
        <w:t>；</w:t>
      </w:r>
    </w:p>
    <w:p w14:paraId="5F605A7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.评审过程中如发现参与项目投标的供应商报价明显高于或低于市场价格且不合理的情形，采购代理机构需及时组织评审委员会讨论审议；</w:t>
      </w:r>
    </w:p>
    <w:p w14:paraId="530D2212">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.在开评标过程中如有异常情况需告知采购人或确认的，及时沟通协调处理；</w:t>
      </w:r>
    </w:p>
    <w:p w14:paraId="46B5401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.发布评审公示或公告，向中标（成交）供应商发送《中标（成交）通知书》；</w:t>
      </w:r>
    </w:p>
    <w:p w14:paraId="5041BC6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.处理涉及项目的询问、质疑、投诉等，并将有关质疑资料报送监管部门（如需要）；</w:t>
      </w:r>
    </w:p>
    <w:p w14:paraId="40DD690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.按采购人要求编制归档资料文件（含电子档案）；</w:t>
      </w:r>
    </w:p>
    <w:p w14:paraId="14B23919">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.为采购人委派的业主代表提供专车接送、停车或者交通费用报销等服务；</w:t>
      </w:r>
    </w:p>
    <w:p w14:paraId="7F51161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.针对项目开展年度培训，案例讲解分析培训至少1次；</w:t>
      </w:r>
    </w:p>
    <w:p w14:paraId="1F275B8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.向采购人提供政府采购有关的年度政策汇编（如有）；</w:t>
      </w:r>
    </w:p>
    <w:p w14:paraId="4FD59EFC">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承担以上采购人工作内容所涉及的费用，包括采购需求调查及编制（如有）、产品论证、招标（采购）文件论证、发布招标（采购）公告费用、编制招标（采购）文件的相关工本、资料费、招标（采购）文件审核费、开标费用、评审会务费、资料费、专家交通及差旅费（如有）及劳务费、处理质疑投诉费用</w:t>
      </w:r>
      <w:r>
        <w:rPr>
          <w:rFonts w:hint="eastAsia" w:asciiTheme="minorEastAsia" w:hAnsiTheme="minorEastAsia" w:eastAsiaTheme="minorEastAsia" w:cstheme="minorEastAsia"/>
          <w:color w:val="auto"/>
          <w:sz w:val="21"/>
          <w:szCs w:val="21"/>
          <w:lang w:eastAsia="zh-CN"/>
        </w:rPr>
        <w:t>、驻点发生的费用（如有）</w:t>
      </w:r>
      <w:r>
        <w:rPr>
          <w:rFonts w:hint="eastAsia" w:asciiTheme="minorEastAsia" w:hAnsiTheme="minorEastAsia" w:eastAsiaTheme="minorEastAsia" w:cstheme="minorEastAsia"/>
          <w:color w:val="auto"/>
          <w:sz w:val="21"/>
          <w:szCs w:val="21"/>
        </w:rPr>
        <w:t>等；采购人不承担任何费用。</w:t>
      </w:r>
    </w:p>
    <w:p w14:paraId="2F4BA4B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.配合采购人对招标（采购）项目的检查或调取、补漏相关资料；</w:t>
      </w:r>
    </w:p>
    <w:p w14:paraId="4E99EA0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.应在招标（采购）项目完成后将招标（采购）过程的有关资料装订成册或电子档案资料交采购人存档。</w:t>
      </w:r>
    </w:p>
    <w:p w14:paraId="3F5E32C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.当政府主管部门进行相关检查工作，协助采购人提供相关招投标资料，</w:t>
      </w:r>
    </w:p>
    <w:p w14:paraId="0899869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.要求投标采购代理机构具有固定的较大规模面积的资料存放管理库，保证资料长期保管、及时供应</w:t>
      </w:r>
      <w:r>
        <w:rPr>
          <w:rFonts w:hint="eastAsia" w:asciiTheme="minorEastAsia" w:hAnsiTheme="minorEastAsia" w:eastAsiaTheme="minorEastAsia" w:cstheme="minorEastAsia"/>
          <w:b/>
          <w:bCs/>
          <w:color w:val="auto"/>
          <w:sz w:val="21"/>
          <w:szCs w:val="21"/>
        </w:rPr>
        <w:t>(需提供资料库地址、存放档案资料的档案库现场图片，并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。涉及采购人商业秘密的档案，应严格执行国家相关保密要求。</w:t>
      </w:r>
    </w:p>
    <w:p w14:paraId="7351FAF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.协助处理在合同签订阶段出现的纠纷。</w:t>
      </w:r>
    </w:p>
    <w:p w14:paraId="6120944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.协助采购人查询所需类别的货物、服务等的成交价格。</w:t>
      </w:r>
    </w:p>
    <w:p w14:paraId="5FE4320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.采购代理机构需接受采购人对其工作的满意度评价及年度履约评价。</w:t>
      </w:r>
    </w:p>
    <w:p w14:paraId="57F0E2CD">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.成交采购代理机构应配合采购人进行年度质量评估等工作。每年度1月31日前向采购人提交上一年度采购人代理服务分析报告并提合理化建议等。</w:t>
      </w:r>
    </w:p>
    <w:p w14:paraId="2E21429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采购代理机构需严格按法规要求，加强对向投标人/供应商收取招标/釆购代理服务费及投标保证金行为的管理并承担所致的一切法律责任。</w:t>
      </w:r>
    </w:p>
    <w:p w14:paraId="7B1F762A">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rPr>
        <w:t>办理与采购工作有关的其他事宜。</w:t>
      </w:r>
    </w:p>
    <w:p w14:paraId="4451254B">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r>
        <w:rPr>
          <w:rFonts w:hint="eastAsia" w:asciiTheme="minorEastAsia" w:hAnsiTheme="minorEastAsia" w:eastAsiaTheme="minorEastAsia" w:cstheme="minorEastAsia"/>
          <w:color w:val="auto"/>
          <w:sz w:val="21"/>
          <w:szCs w:val="21"/>
          <w:lang w:eastAsia="zh-CN"/>
        </w:rPr>
        <w:t>其他增殖服务。</w:t>
      </w:r>
    </w:p>
    <w:p w14:paraId="3DE3625C">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（三）服务响应时间</w:t>
      </w:r>
    </w:p>
    <w:p w14:paraId="15C97F0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1.承接委托阶段：成交采购代理机构接到采购人委托后，应在2小时内响应，定专人负责与采购人的对接及协调工作；</w:t>
      </w:r>
    </w:p>
    <w:p w14:paraId="2E5FECD4">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招标（采购）文件编制阶段：采购代理机构自接到项目委托后，应在3个工作日内拟定完毕第一稿招标（采购）文件并传回采购人（双方另有约定的除外），如采购人有特殊需求或紧急项目，1个工作日内完成第一稿，采购代理机构可提供现场沟通及编制招标（采购）文件服务（含提供招标（采购）文件模板等）。经采购人相关部门审查确认招标（采购）文件后，采购代理机构应</w:t>
      </w: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highlight w:val="none"/>
          <w:lang w:val="en-US" w:eastAsia="zh-CN"/>
        </w:rPr>
        <w:t>1个工作日内</w:t>
      </w:r>
      <w:r>
        <w:rPr>
          <w:rFonts w:hint="eastAsia" w:asciiTheme="minorEastAsia" w:hAnsiTheme="minorEastAsia" w:eastAsiaTheme="minorEastAsia" w:cstheme="minorEastAsia"/>
          <w:strike w:val="0"/>
          <w:color w:val="auto"/>
          <w:sz w:val="21"/>
          <w:szCs w:val="21"/>
          <w:highlight w:val="none"/>
        </w:rPr>
        <w:t>发布招标（采购）公告</w:t>
      </w:r>
      <w:r>
        <w:rPr>
          <w:rFonts w:hint="eastAsia" w:asciiTheme="minorEastAsia" w:hAnsiTheme="minorEastAsia" w:eastAsiaTheme="minorEastAsia" w:cstheme="minorEastAsia"/>
          <w:strike w:val="0"/>
          <w:color w:val="auto"/>
          <w:sz w:val="21"/>
          <w:szCs w:val="21"/>
          <w:highlight w:val="none"/>
          <w:lang w:eastAsia="zh-CN"/>
        </w:rPr>
        <w:t>，</w:t>
      </w:r>
      <w:r>
        <w:rPr>
          <w:rFonts w:hint="eastAsia" w:asciiTheme="minorEastAsia" w:hAnsiTheme="minorEastAsia" w:eastAsiaTheme="minorEastAsia" w:cstheme="minorEastAsia"/>
          <w:color w:val="auto"/>
          <w:sz w:val="21"/>
          <w:szCs w:val="21"/>
        </w:rPr>
        <w:t>并按采购人要求的时间安排组织开评标工作。</w:t>
      </w:r>
    </w:p>
    <w:p w14:paraId="2A9EDBF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3.答疑澄清阶段：采购代理机构应在规定时间内及时回复供应商的询问，在收到供应商质疑后1个工作日内以书面形式向采购人反馈并在规定时间内组织质疑回复（答疑）、发布澄清等程序；</w:t>
      </w:r>
    </w:p>
    <w:p w14:paraId="6335F42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评审结果公告（公示）阶段：采购代理机构应在采购人确认采购结果后1个工作日内发布中标结果公示或中标（成交）公告，同时向采购人发出采购结果通知。机电产品国际招标项目应在采购人确认采购结果后1个工作日内发布评标结果公示；</w:t>
      </w:r>
    </w:p>
    <w:p w14:paraId="4CE6EB2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5.档案移交阶段：采购代理机构应在发出中标（成交）通知书后15个工作日内按采购人要求整理并移交相关资料；</w:t>
      </w:r>
    </w:p>
    <w:p w14:paraId="047881F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6.对于咨询或修改文件等事宜，应于当天响应并及时办理；收到采购人出具的修改意见后1个工作日完成修改并整理好招标（采购）文件，提交纸质版/电子版定稿招标（采购）文件给采购人确认。</w:t>
      </w:r>
    </w:p>
    <w:p w14:paraId="5671DD03">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采购人委托项目后，采购代理机构不能在规定时限内拟定招标（采购）文件第一稿并回传给采购人的，采购人有权将项目重新委托。连续3次不能在规定时限内拟定招标（采购）文件第一稿并回传给采购人的，暂停项目委托2个月。</w:t>
      </w:r>
      <w:r>
        <w:rPr>
          <w:rFonts w:hint="eastAsia" w:asciiTheme="minorEastAsia" w:hAnsiTheme="minorEastAsia" w:eastAsiaTheme="minorEastAsia" w:cstheme="minorEastAsia"/>
          <w:b/>
          <w:bCs/>
          <w:color w:val="auto"/>
          <w:sz w:val="21"/>
          <w:szCs w:val="21"/>
        </w:rPr>
        <w:t>（提供承诺函，格式自拟，并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p>
    <w:p w14:paraId="3E33D9CF">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★8.采购代理机构放弃代理权或出现被采购人暂停项目委托等须暂停项目委托情形的，采购人在已录选的采购代理机构中，通过抽签方式重新确定采购代理机构以完成项目委托采购。</w:t>
      </w:r>
      <w:r>
        <w:rPr>
          <w:rFonts w:hint="eastAsia" w:asciiTheme="minorEastAsia" w:hAnsiTheme="minorEastAsia" w:eastAsiaTheme="minorEastAsia" w:cstheme="minorEastAsia"/>
          <w:b/>
          <w:bCs/>
          <w:color w:val="auto"/>
          <w:sz w:val="21"/>
          <w:szCs w:val="21"/>
        </w:rPr>
        <w:t>（提供承诺函，格式自拟，并</w:t>
      </w:r>
      <w:r>
        <w:rPr>
          <w:rFonts w:hint="eastAsia" w:asciiTheme="minorEastAsia" w:hAnsiTheme="minorEastAsia" w:eastAsiaTheme="minorEastAsia" w:cstheme="minorEastAsia"/>
          <w:b/>
          <w:bCs/>
          <w:color w:val="auto"/>
          <w:sz w:val="21"/>
          <w:szCs w:val="21"/>
          <w:lang w:eastAsia="zh-CN"/>
        </w:rPr>
        <w:t>加盖供应商公章</w:t>
      </w:r>
      <w:r>
        <w:rPr>
          <w:rFonts w:hint="eastAsia" w:asciiTheme="minorEastAsia" w:hAnsiTheme="minorEastAsia" w:eastAsiaTheme="minorEastAsia" w:cstheme="minorEastAsia"/>
          <w:b/>
          <w:bCs/>
          <w:color w:val="auto"/>
          <w:sz w:val="21"/>
          <w:szCs w:val="21"/>
        </w:rPr>
        <w:t>）</w:t>
      </w:r>
    </w:p>
    <w:p w14:paraId="0D7860D4">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（四）服务人员要求</w:t>
      </w:r>
    </w:p>
    <w:p w14:paraId="05A8D75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1.成交采购代理机构应指定专人负责与采购人的对接及总协调。组建项目实施小组。货物、服务、工程类采购代理机构人员专业配置合理；</w:t>
      </w:r>
    </w:p>
    <w:p w14:paraId="38989DB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2.在合同期内如无特殊原因，非经采购人同意，项目负责人和项目经办人不得更换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否则，</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人有权暂停其代理服务资格。如确需变更的，应当在变更前30日内通知采购人，向采购人报备经同意后进行更换，其资质应不低于</w:t>
      </w:r>
      <w:r>
        <w:rPr>
          <w:rFonts w:hint="eastAsia" w:asciiTheme="minorEastAsia" w:hAnsiTheme="minorEastAsia" w:eastAsiaTheme="minorEastAsia" w:cstheme="minorEastAsia"/>
          <w:color w:val="auto"/>
          <w:sz w:val="21"/>
          <w:szCs w:val="21"/>
          <w:highlight w:val="none"/>
        </w:rPr>
        <w:t>遴选文</w:t>
      </w:r>
      <w:r>
        <w:rPr>
          <w:rFonts w:hint="eastAsia" w:asciiTheme="minorEastAsia" w:hAnsiTheme="minorEastAsia" w:eastAsiaTheme="minorEastAsia" w:cstheme="minorEastAsia"/>
          <w:color w:val="auto"/>
          <w:sz w:val="21"/>
          <w:szCs w:val="21"/>
        </w:rPr>
        <w:t>件规定的资质要求；</w:t>
      </w:r>
    </w:p>
    <w:p w14:paraId="370C327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3.成交采购代理机构安排的团队成员应为熟悉招标采购法律法规、具备编制采购文件和组织采购活动等相应能力的专职从业人员；</w:t>
      </w:r>
    </w:p>
    <w:p w14:paraId="524B96A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4.成交采购代理机构派驻工作人员到采购人办公地点负责指导、协助完善采购需求及采购文件的编制</w:t>
      </w:r>
      <w:r>
        <w:rPr>
          <w:rFonts w:hint="eastAsia" w:asciiTheme="minorEastAsia" w:hAnsiTheme="minorEastAsia" w:eastAsiaTheme="minorEastAsia" w:cstheme="minorEastAsia"/>
          <w:color w:val="auto"/>
          <w:sz w:val="21"/>
          <w:szCs w:val="21"/>
          <w:lang w:eastAsia="zh-CN"/>
        </w:rPr>
        <w:t>和协助院内采购项目开评标工作</w:t>
      </w:r>
      <w:r>
        <w:rPr>
          <w:rFonts w:hint="eastAsia" w:asciiTheme="minorEastAsia" w:hAnsiTheme="minorEastAsia" w:eastAsiaTheme="minorEastAsia" w:cstheme="minorEastAsia"/>
          <w:color w:val="auto"/>
          <w:sz w:val="21"/>
          <w:szCs w:val="21"/>
        </w:rPr>
        <w:t>等（如有需要）。</w:t>
      </w:r>
    </w:p>
    <w:p w14:paraId="2A1A6967">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备注：以上成员需为成交采购代理机构合法的正式员工，相关项目团队成员身份及资质证明复印件均需交由采购人备案；</w:t>
      </w:r>
    </w:p>
    <w:p w14:paraId="5AA9359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5.采购代理机构工作人员专业素质高，需指定经验丰富、专业素质高、相对固定的技术人员与采购人对接，如未能满足采购人的合理要求，采购人可更换项目经办人，直到采购人满意为止。</w:t>
      </w:r>
    </w:p>
    <w:p w14:paraId="16A09E07">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备注：采购代理机构提供以上人员社保部门出具的由供应商缴纳的近3个月（具体是指2024年9月至11月）任意一个月社保证明文件（加盖供应商公章），如采购代理机构为新成立企业且成立时间不足一个月可提供</w:t>
      </w:r>
      <w:r>
        <w:rPr>
          <w:rFonts w:hint="eastAsia" w:asciiTheme="minorEastAsia" w:hAnsiTheme="minorEastAsia" w:eastAsiaTheme="minorEastAsia" w:cstheme="minorEastAsia"/>
          <w:b/>
          <w:bCs w:val="0"/>
          <w:color w:val="auto"/>
          <w:sz w:val="21"/>
          <w:szCs w:val="21"/>
          <w:lang w:eastAsia="zh-CN"/>
        </w:rPr>
        <w:t>加盖供应商公章</w:t>
      </w:r>
      <w:r>
        <w:rPr>
          <w:rFonts w:hint="eastAsia" w:asciiTheme="minorEastAsia" w:hAnsiTheme="minorEastAsia" w:eastAsiaTheme="minorEastAsia" w:cstheme="minorEastAsia"/>
          <w:b/>
          <w:bCs w:val="0"/>
          <w:color w:val="auto"/>
          <w:sz w:val="21"/>
          <w:szCs w:val="21"/>
        </w:rPr>
        <w:t>的情况说明或者证明材料亦视为符合。</w:t>
      </w:r>
    </w:p>
    <w:p w14:paraId="2C7F5773">
      <w:pPr>
        <w:keepNext w:val="0"/>
        <w:keepLines w:val="0"/>
        <w:pageBreakBefore w:val="0"/>
        <w:kinsoku/>
        <w:wordWrap/>
        <w:overflowPunct/>
        <w:topLinePunct w:val="0"/>
        <w:autoSpaceDE/>
        <w:autoSpaceDN/>
        <w:bidi w:val="0"/>
        <w:adjustRightInd/>
        <w:snapToGrid/>
        <w:spacing w:line="360" w:lineRule="exact"/>
        <w:ind w:firstLine="211" w:firstLineChars="1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（五）内控制度</w:t>
      </w:r>
    </w:p>
    <w:p w14:paraId="570CEDB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采购代理机构应具有健全的企业运作模式、组织机构及完善的内部管理和控制制度。熟悉国家有关政府采购方面的法律、法规和政策。财务制度规范健全，依法纳税。</w:t>
      </w:r>
    </w:p>
    <w:p w14:paraId="50F1C30B">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val="0"/>
          <w:color w:val="auto"/>
          <w:sz w:val="21"/>
          <w:szCs w:val="21"/>
          <w:highlight w:val="none"/>
        </w:rPr>
        <w:t>（六）规范廉洁</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提供承诺</w:t>
      </w:r>
      <w:r>
        <w:rPr>
          <w:rFonts w:hint="eastAsia" w:asciiTheme="minorEastAsia" w:hAnsiTheme="minorEastAsia" w:eastAsiaTheme="minorEastAsia" w:cstheme="minorEastAsia"/>
          <w:b/>
          <w:bCs w:val="0"/>
          <w:color w:val="auto"/>
          <w:sz w:val="21"/>
          <w:szCs w:val="21"/>
          <w:highlight w:val="none"/>
          <w:lang w:eastAsia="zh-CN"/>
        </w:rPr>
        <w:t>函，格式自拟，</w:t>
      </w:r>
      <w:r>
        <w:rPr>
          <w:rFonts w:hint="eastAsia" w:asciiTheme="minorEastAsia" w:hAnsiTheme="minorEastAsia" w:eastAsiaTheme="minorEastAsia" w:cstheme="minorEastAsia"/>
          <w:b/>
          <w:bCs w:val="0"/>
          <w:color w:val="auto"/>
          <w:sz w:val="21"/>
          <w:szCs w:val="21"/>
          <w:highlight w:val="none"/>
          <w:lang w:val="en-US" w:eastAsia="zh-CN"/>
        </w:rPr>
        <w:t>并加盖供应商公章</w:t>
      </w:r>
      <w:r>
        <w:rPr>
          <w:rFonts w:hint="eastAsia" w:asciiTheme="minorEastAsia" w:hAnsiTheme="minorEastAsia" w:eastAsiaTheme="minorEastAsia" w:cstheme="minorEastAsia"/>
          <w:b/>
          <w:bCs w:val="0"/>
          <w:color w:val="auto"/>
          <w:sz w:val="21"/>
          <w:szCs w:val="21"/>
          <w:highlight w:val="none"/>
          <w:lang w:eastAsia="zh-CN"/>
        </w:rPr>
        <w:t>）</w:t>
      </w:r>
    </w:p>
    <w:p w14:paraId="3DDDC67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1.采购代理机构应针对招标（采购）过程中的保密要求制定可行合理的保密措施； </w:t>
      </w:r>
    </w:p>
    <w:p w14:paraId="385CC9B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采购代理机构应具有良好的执业记录、职业道德记录和社会声誉，在合同期内出现经查实的不良征信记录，采购人有权根据对合同执行的影响程度决定是否解除合同，并根据受影响情况要求采购代理机构承担违约责任及赔偿损失。</w:t>
      </w:r>
    </w:p>
    <w:p w14:paraId="02A25B3C">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三、商务要求</w:t>
      </w:r>
    </w:p>
    <w:p w14:paraId="3672C2BE">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color w:val="auto"/>
          <w:sz w:val="21"/>
          <w:szCs w:val="21"/>
        </w:rPr>
        <w:t>（一）服务期</w:t>
      </w:r>
    </w:p>
    <w:p w14:paraId="3C825E2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三年，若服务期结束，尚有服务未完成的，根据项目实际情况，服务期直至项目完成为止。</w:t>
      </w:r>
    </w:p>
    <w:p w14:paraId="615B7F36">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strike w:val="0"/>
          <w:color w:val="auto"/>
          <w:sz w:val="21"/>
          <w:szCs w:val="21"/>
        </w:rPr>
      </w:pPr>
      <w:r>
        <w:rPr>
          <w:rFonts w:hint="eastAsia" w:asciiTheme="minorEastAsia" w:hAnsiTheme="minorEastAsia" w:eastAsiaTheme="minorEastAsia" w:cstheme="minorEastAsia"/>
          <w:b/>
          <w:strike w:val="0"/>
          <w:color w:val="auto"/>
          <w:sz w:val="21"/>
          <w:szCs w:val="21"/>
        </w:rPr>
        <w:t>（二）项目完成时效</w:t>
      </w:r>
    </w:p>
    <w:p w14:paraId="56EA1E8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1.采购代理机构自接到项目委托后，应在3个工作日内完成招标（采购）文件第一稿的工作，如采购人有特殊需求或紧急项目，1个工作日内完成第一稿，采购代理服务机构可提供现场沟通及编制招标（采购）文件服务（含提供招标（采购）文件模板等）；</w:t>
      </w:r>
    </w:p>
    <w:p w14:paraId="0CA653C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bCs/>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2.采购人确认招标（采购）文件后，</w:t>
      </w:r>
      <w:r>
        <w:rPr>
          <w:rFonts w:hint="eastAsia" w:asciiTheme="minorEastAsia" w:hAnsiTheme="minorEastAsia" w:eastAsiaTheme="minorEastAsia" w:cstheme="minorEastAsia"/>
          <w:strike w:val="0"/>
          <w:color w:val="auto"/>
          <w:sz w:val="21"/>
          <w:szCs w:val="21"/>
          <w:highlight w:val="none"/>
          <w:lang w:val="en-US" w:eastAsia="zh-CN"/>
        </w:rPr>
        <w:t>1个工作日内</w:t>
      </w:r>
      <w:r>
        <w:rPr>
          <w:rFonts w:hint="eastAsia" w:asciiTheme="minorEastAsia" w:hAnsiTheme="minorEastAsia" w:eastAsiaTheme="minorEastAsia" w:cstheme="minorEastAsia"/>
          <w:strike w:val="0"/>
          <w:color w:val="auto"/>
          <w:sz w:val="21"/>
          <w:szCs w:val="21"/>
          <w:highlight w:val="none"/>
        </w:rPr>
        <w:t>安排发布招标（采购）公告，并按采购人要求的时间安排组织开评标工作。</w:t>
      </w:r>
    </w:p>
    <w:p w14:paraId="597F3EF1">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三</w:t>
      </w:r>
      <w:r>
        <w:rPr>
          <w:rFonts w:hint="eastAsia" w:asciiTheme="minorEastAsia" w:hAnsiTheme="minorEastAsia" w:eastAsiaTheme="minorEastAsia" w:cstheme="minorEastAsia"/>
          <w:b/>
          <w:color w:val="auto"/>
          <w:sz w:val="21"/>
          <w:szCs w:val="21"/>
        </w:rPr>
        <w:t>）报价要求（提供承诺函，格式自拟，并加盖供应商公章）</w:t>
      </w:r>
    </w:p>
    <w:p w14:paraId="7DA67ED9">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代理费用</w:t>
      </w:r>
      <w:r>
        <w:rPr>
          <w:rFonts w:hint="eastAsia" w:asciiTheme="minorEastAsia" w:hAnsiTheme="minorEastAsia" w:eastAsiaTheme="minorEastAsia" w:cstheme="minorEastAsia"/>
          <w:color w:val="auto"/>
          <w:sz w:val="21"/>
          <w:szCs w:val="21"/>
          <w:lang w:eastAsia="zh-CN"/>
        </w:rPr>
        <w:t>报</w:t>
      </w:r>
      <w:r>
        <w:rPr>
          <w:rFonts w:hint="eastAsia" w:asciiTheme="minorEastAsia" w:hAnsiTheme="minorEastAsia" w:eastAsiaTheme="minorEastAsia" w:cstheme="minorEastAsia"/>
          <w:color w:val="auto"/>
          <w:sz w:val="21"/>
          <w:szCs w:val="21"/>
        </w:rPr>
        <w:t>价必须是完成采购人</w:t>
      </w:r>
      <w:r>
        <w:rPr>
          <w:rFonts w:hint="eastAsia" w:asciiTheme="minorEastAsia" w:hAnsiTheme="minorEastAsia" w:eastAsiaTheme="minorEastAsia" w:cstheme="minorEastAsia"/>
          <w:color w:val="auto"/>
          <w:sz w:val="21"/>
          <w:szCs w:val="21"/>
          <w:lang w:eastAsia="zh-CN"/>
        </w:rPr>
        <w:t>采购</w:t>
      </w:r>
      <w:r>
        <w:rPr>
          <w:rFonts w:hint="eastAsia" w:asciiTheme="minorEastAsia" w:hAnsiTheme="minorEastAsia" w:eastAsiaTheme="minorEastAsia" w:cstheme="minorEastAsia"/>
          <w:color w:val="auto"/>
          <w:sz w:val="21"/>
          <w:szCs w:val="21"/>
        </w:rPr>
        <w:t>项目工作内容所涉及的一切费用总和，</w:t>
      </w:r>
      <w:r>
        <w:rPr>
          <w:rFonts w:hint="eastAsia" w:asciiTheme="minorEastAsia" w:hAnsiTheme="minorEastAsia" w:eastAsiaTheme="minorEastAsia" w:cstheme="minorEastAsia"/>
          <w:color w:val="auto"/>
          <w:sz w:val="21"/>
          <w:szCs w:val="21"/>
          <w:lang w:eastAsia="zh-CN"/>
        </w:rPr>
        <w:t>采购人不承担任何费用。</w:t>
      </w:r>
    </w:p>
    <w:p w14:paraId="4545B7D5">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2.代理费用报价超出预算，或者项目报价表中单个采购预算条目报价超过对应的预算的，投标将被否决。</w:t>
      </w:r>
    </w:p>
    <w:p w14:paraId="6BB7A6D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3.本项目采用多轮次报价，各供应商现场再次统一填写报价表。</w:t>
      </w:r>
    </w:p>
    <w:p w14:paraId="354E03C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代理服务费包含了承担招标/采购工作所产生的所有费用（包括但不限于评标场地使用费、专家评审/招标文件论证费用、专家及甲方人员交通、食宿等费用），处理质疑投诉等费用。乙方不得向甲方收取任何招标采购服务费用。</w:t>
      </w:r>
    </w:p>
    <w:p w14:paraId="64EAFD14">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四</w:t>
      </w:r>
      <w:r>
        <w:rPr>
          <w:rFonts w:hint="eastAsia" w:asciiTheme="minorEastAsia" w:hAnsiTheme="minorEastAsia" w:eastAsiaTheme="minorEastAsia" w:cstheme="minorEastAsia"/>
          <w:b/>
          <w:color w:val="auto"/>
          <w:sz w:val="21"/>
          <w:szCs w:val="21"/>
        </w:rPr>
        <w:t>）招标代理服务费用收取标准</w:t>
      </w:r>
    </w:p>
    <w:p w14:paraId="6A40DBA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1.采购代理机构向项目的中标人/成交供应商收取代理服务费；不向采购人收取任何费用。服务费用标准，以中标（成交）金额为计费基数，按照《招标代理服务收费管理暂行办法》（计价格［2002］1980号）及国家发改委关于降低部分建设项目收费标准规范收费行为等有关问题的通知(发改价格[2011]534号)收费标准的基础上报</w:t>
      </w:r>
      <w:r>
        <w:rPr>
          <w:rFonts w:hint="eastAsia" w:asciiTheme="minorEastAsia" w:hAnsiTheme="minorEastAsia" w:eastAsiaTheme="minorEastAsia" w:cstheme="minorEastAsia"/>
          <w:color w:val="auto"/>
          <w:sz w:val="21"/>
          <w:szCs w:val="21"/>
          <w:lang w:val="en-US" w:eastAsia="zh-CN"/>
        </w:rPr>
        <w:t>下浮率</w:t>
      </w:r>
      <w:r>
        <w:rPr>
          <w:rFonts w:hint="eastAsia" w:asciiTheme="minorEastAsia" w:hAnsiTheme="minorEastAsia" w:eastAsiaTheme="minorEastAsia" w:cstheme="minorEastAsia"/>
          <w:color w:val="auto"/>
          <w:sz w:val="21"/>
          <w:szCs w:val="21"/>
          <w:highlight w:val="none"/>
        </w:rPr>
        <w:t>。</w:t>
      </w:r>
    </w:p>
    <w:p w14:paraId="0C3B826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按照《招标代理服务收费管理暂行办法》（计价格［2002］1980号）及国家发改委关于降低部分建设项目收费标准规范收费行为等有关问题的通知(发改价格[2011]534号)收费标准的基础上计算的代理费用金额，按供应商报的</w:t>
      </w:r>
      <w:r>
        <w:rPr>
          <w:rFonts w:hint="eastAsia" w:asciiTheme="minorEastAsia" w:hAnsiTheme="minorEastAsia" w:eastAsiaTheme="minorEastAsia" w:cstheme="minorEastAsia"/>
          <w:color w:val="auto"/>
          <w:sz w:val="21"/>
          <w:szCs w:val="21"/>
          <w:lang w:val="en-US" w:eastAsia="zh-CN"/>
        </w:rPr>
        <w:t>下浮</w:t>
      </w:r>
      <w:r>
        <w:rPr>
          <w:rFonts w:hint="eastAsia" w:asciiTheme="minorEastAsia" w:hAnsiTheme="minorEastAsia" w:eastAsiaTheme="minorEastAsia" w:cstheme="minorEastAsia"/>
          <w:color w:val="auto"/>
          <w:sz w:val="21"/>
          <w:szCs w:val="21"/>
        </w:rPr>
        <w:t>后不足5000元，按5000元/项目计收。</w:t>
      </w:r>
    </w:p>
    <w:p w14:paraId="272CC26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3.供应商的报名费（购买采购文件费用）不得高于400元/份。</w:t>
      </w:r>
    </w:p>
    <w:p w14:paraId="3E5121E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4.在履约过程中如有新的计费收费标准，按新标准执行</w:t>
      </w:r>
      <w:r>
        <w:rPr>
          <w:rFonts w:hint="eastAsia" w:asciiTheme="minorEastAsia" w:hAnsiTheme="minorEastAsia" w:eastAsiaTheme="minorEastAsia" w:cstheme="minorEastAsia"/>
          <w:color w:val="auto"/>
          <w:sz w:val="21"/>
          <w:szCs w:val="21"/>
          <w:lang w:eastAsia="zh-CN"/>
        </w:rPr>
        <w:t>但</w:t>
      </w:r>
      <w:r>
        <w:rPr>
          <w:rFonts w:hint="eastAsia" w:asciiTheme="minorEastAsia" w:hAnsiTheme="minorEastAsia" w:eastAsiaTheme="minorEastAsia" w:cstheme="minorEastAsia"/>
          <w:color w:val="auto"/>
          <w:sz w:val="21"/>
          <w:szCs w:val="21"/>
          <w:lang w:val="en-US" w:eastAsia="zh-CN"/>
        </w:rPr>
        <w:t>下浮</w:t>
      </w:r>
      <w:r>
        <w:rPr>
          <w:rFonts w:hint="eastAsia" w:asciiTheme="minorEastAsia" w:hAnsiTheme="minorEastAsia" w:eastAsiaTheme="minorEastAsia" w:cstheme="minorEastAsia"/>
          <w:color w:val="auto"/>
          <w:sz w:val="21"/>
          <w:szCs w:val="21"/>
        </w:rPr>
        <w:t>比例不变。</w:t>
      </w:r>
    </w:p>
    <w:p w14:paraId="0AA9DD64">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color w:val="auto"/>
          <w:sz w:val="21"/>
          <w:szCs w:val="21"/>
        </w:rPr>
        <w:t>）其他要求</w:t>
      </w:r>
    </w:p>
    <w:p w14:paraId="7BF6229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1.严格遵守招标代理企业的业务操作规程，所出具的招标公告、招标（采购）文件、合同文件等应达到规定或达到国家或行业规范要求。</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采购代理机构对项目的代理工作负责并承担相应的责任。</w:t>
      </w:r>
    </w:p>
    <w:p w14:paraId="7D42B59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2.严格执行国家、地方有关招投标的法律、法规、文件，不得与招标</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项目的投标单位串通从事围标等违背法律、法规和损害采购人利益的活动，一经发现，采购人有权无条件终止代理业务并追究其经济和法律责任。</w:t>
      </w:r>
    </w:p>
    <w:p w14:paraId="390C49B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采购代理机构代理采购人的委托项目，如外审出现问题，采购代理机构须承担全部责任，采购人有权无条件终止其所有代理业务。</w:t>
      </w:r>
    </w:p>
    <w:p w14:paraId="542FC9A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4.入选的采购代理机构须与采购人签订委托协议，不同的采购项目按一项目一签再次签订委托代理服务协议。</w:t>
      </w:r>
    </w:p>
    <w:p w14:paraId="2B8C030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5.出现下列情况的，采购人有权无条件终止协议，并将入选采购代理机构列入黑名单：</w:t>
      </w:r>
    </w:p>
    <w:p w14:paraId="1F7D8B7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（1）累计2次不接受采购人的代理业务的；</w:t>
      </w:r>
    </w:p>
    <w:p w14:paraId="50ED40F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（2）应当采用公开招标方式而擅自采用其他方式采购的；</w:t>
      </w:r>
    </w:p>
    <w:p w14:paraId="7801386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（3）违反委托代理协议泄露与采购代理业务有关的情况和资料的；</w:t>
      </w:r>
    </w:p>
    <w:p w14:paraId="0802AC0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（4）以不合理的条件对供应商实行差别待遇或者歧视待遇的；</w:t>
      </w:r>
    </w:p>
    <w:p w14:paraId="421E041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（5）与供应商或采购人恶意串通的；</w:t>
      </w:r>
    </w:p>
    <w:p w14:paraId="5F41DBF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（6）在采购过程中接受贿赂或者获取其他不正当利益的；</w:t>
      </w:r>
    </w:p>
    <w:p w14:paraId="10B15E1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（7）开标前泄露已获取招标文件的潜在投标人的名称、数量或者其他可能影响公平竞争的有关招标投标情况的；</w:t>
      </w:r>
    </w:p>
    <w:p w14:paraId="7C96509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（8）擅自修改采购文件或者评审结果的；</w:t>
      </w:r>
    </w:p>
    <w:p w14:paraId="41E44FF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（9）拒绝有关部门依法实施监督检查的；</w:t>
      </w:r>
    </w:p>
    <w:p w14:paraId="529A878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（10）被监督管理部门通报处理的；</w:t>
      </w:r>
    </w:p>
    <w:p w14:paraId="046E723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（11）法律、法规、规章规定的其他违法行为。</w:t>
      </w:r>
    </w:p>
    <w:p w14:paraId="397063B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6.采购人有权以任何形式对投标文件内容及采购人认为有必要的相关资料的真实性和有效性进行审查、验证。</w:t>
      </w:r>
      <w:r>
        <w:rPr>
          <w:rFonts w:hint="eastAsia" w:asciiTheme="minorEastAsia" w:hAnsiTheme="minorEastAsia" w:eastAsiaTheme="minorEastAsia" w:cstheme="minorEastAsia"/>
          <w:color w:val="auto"/>
          <w:sz w:val="21"/>
          <w:szCs w:val="21"/>
          <w:highlight w:val="none"/>
          <w:lang w:val="en-US" w:eastAsia="zh-CN"/>
        </w:rPr>
        <w:t>如存在弄虚作假的情况，取消响应采购代理机构投标资格并纳入采购人不诚信名单。</w:t>
      </w:r>
    </w:p>
    <w:p w14:paraId="43C6E27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7.响应采购代理机构应承担其参加本项目所涉及的一切费用，不管遴选结果如何，采购人对所发生费用不负任何责任。</w:t>
      </w:r>
    </w:p>
    <w:p w14:paraId="7FA15C74">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）违约责任</w:t>
      </w:r>
    </w:p>
    <w:p w14:paraId="23CDD25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1.在监督管理过程中查实采购代理机构存在以下情形的，纳入黑名单：</w:t>
      </w:r>
    </w:p>
    <w:p w14:paraId="5D264E5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（1）与供应商或者评审专家串通；</w:t>
      </w:r>
    </w:p>
    <w:p w14:paraId="09FE366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（2）在采购过程中弄虚作假；</w:t>
      </w:r>
    </w:p>
    <w:p w14:paraId="7002431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（3）违法泄露有关资料；</w:t>
      </w:r>
    </w:p>
    <w:p w14:paraId="59F6D06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（4）允许他人以自己的名义承接代理业务或者转让代理业务；</w:t>
      </w:r>
    </w:p>
    <w:p w14:paraId="4A72D1A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（5）采用不正当竞争手段获取招标代理业务；</w:t>
      </w:r>
    </w:p>
    <w:p w14:paraId="5876CA2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（6）对监督部门依法责令改正的事项拒不整改；</w:t>
      </w:r>
    </w:p>
    <w:p w14:paraId="07C4691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（7）与其代理项目的投标供应商有隶属关系等利害关系不回避；</w:t>
      </w:r>
    </w:p>
    <w:p w14:paraId="526B803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（8）其他法律、法规禁止的行为。</w:t>
      </w:r>
    </w:p>
    <w:p w14:paraId="2398DA0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2.采购代理机构发生下列情形之一的，给予警示，采购人认为情节严重的，停止三至六个月的新委托代理业务，代理机构须承担违约责任，同时赔偿因此给采购人造成的损失：</w:t>
      </w:r>
    </w:p>
    <w:p w14:paraId="575B66A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（1）未在规定的平台上发布政府采购信息的；</w:t>
      </w:r>
    </w:p>
    <w:p w14:paraId="61EDE5D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（2）未经批准擅自改变采购方式的；</w:t>
      </w:r>
    </w:p>
    <w:p w14:paraId="73963DD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（3）未在规定时间内对供应商质疑进行答复的；</w:t>
      </w:r>
    </w:p>
    <w:p w14:paraId="5B6DA5E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（4）超标准收取代理费或招标文件成本费的；</w:t>
      </w:r>
    </w:p>
    <w:p w14:paraId="2E7612D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由于工作人员失误导致项目出现质疑、投诉，影响项目进度的；</w:t>
      </w:r>
      <w:r>
        <w:rPr>
          <w:rFonts w:hint="eastAsia" w:asciiTheme="minorEastAsia" w:hAnsiTheme="minorEastAsia" w:eastAsiaTheme="minorEastAsia" w:cstheme="minorEastAsia"/>
          <w:color w:val="auto"/>
          <w:sz w:val="21"/>
          <w:szCs w:val="21"/>
          <w:highlight w:val="none"/>
          <w:lang w:val="en-US" w:eastAsia="zh-CN"/>
        </w:rPr>
        <w:t xml:space="preserve"> </w:t>
      </w:r>
    </w:p>
    <w:p w14:paraId="51DDF36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违反主管部门其他规定的。</w:t>
      </w:r>
    </w:p>
    <w:p w14:paraId="6B7A62D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采购代理机构有下列情形之一的，可终止其在办项目的代理委托，重新确定采购代理机构：</w:t>
      </w:r>
    </w:p>
    <w:p w14:paraId="313EF0F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（1）采购代理机构被行政处罚；</w:t>
      </w:r>
    </w:p>
    <w:p w14:paraId="7EC24D4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（2）采购代理机构被相关行政主管部门取消从业资格；</w:t>
      </w:r>
    </w:p>
    <w:p w14:paraId="751D912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（3）其他严重违反相关法律法规规定的情形。</w:t>
      </w:r>
    </w:p>
    <w:p w14:paraId="417C97B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如发生上述情形，采购代理机构有义务第一时间通知采购人。因上述情形给采购人造成的损失，采购代理机构应当承担赔偿责任。</w:t>
      </w:r>
    </w:p>
    <w:p w14:paraId="183097F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4.如受到财政部门禁止代理政府采购业务处罚的采购代理机构，应当及时停止代理业务，已经委托的项目，按下列情况分别处理：</w:t>
      </w:r>
    </w:p>
    <w:p w14:paraId="798A033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（1）尚未开始执行的项目，应当及时终止委托；</w:t>
      </w:r>
    </w:p>
    <w:p w14:paraId="0939787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（2）已经开始执行的项目，可以终止的应当及时终止，确因客观原因无法终止的应当妥善做好善后工作。</w:t>
      </w:r>
    </w:p>
    <w:p w14:paraId="3FAC594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5.采购代理机构及其工作人员有下列情形之一的，终止其代理委托协议；涉嫌犯罪的，依法移送司法机关处理，采购代理机构须承担违约责任同时赔偿因此给采购人造成的损失：</w:t>
      </w:r>
    </w:p>
    <w:p w14:paraId="3E5705B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（1）隐匿、销毁应当保存的采购项目资料或者伪造、变造采购项目资料；</w:t>
      </w:r>
    </w:p>
    <w:p w14:paraId="6715E5E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（2）索取、收受贿赂或其他不正当利益的；</w:t>
      </w:r>
    </w:p>
    <w:p w14:paraId="49A9FDE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（3）与其他采购参加人串通，内定中标或者成交供应商的；</w:t>
      </w:r>
    </w:p>
    <w:p w14:paraId="6DEB9E5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（4）在有关部门依法实施监督检查中提供虚假情况的或者拒绝监督检查的；</w:t>
      </w:r>
    </w:p>
    <w:p w14:paraId="05F2AD2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（5）由于工作失误，给采购人、供应商造成重大经济损失或不良影响的；</w:t>
      </w:r>
    </w:p>
    <w:p w14:paraId="04F81FA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（6）其他违反法律法规规定的行为。</w:t>
      </w:r>
    </w:p>
    <w:p w14:paraId="770E1A8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6.出现下列情况的，采购人有权无条件终止协议，并将入选采购代理机构列入黑名单，因此给甲方造成损失的，还应承担损失赔偿责任：</w:t>
      </w:r>
    </w:p>
    <w:p w14:paraId="663618D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（1）累计2次不接受采购人的代理业务的；</w:t>
      </w:r>
    </w:p>
    <w:p w14:paraId="4F67546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（2）应当采用公开招标方式而擅自采用其他方式采购的；</w:t>
      </w:r>
    </w:p>
    <w:p w14:paraId="3CC29DB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（3）违反委托代理协议泄露与采购代理业务有关的情况和资料的；</w:t>
      </w:r>
    </w:p>
    <w:p w14:paraId="66EDBA4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（4）以不合理的条件对供应商实行差别待遇或者歧视待遇的；</w:t>
      </w:r>
    </w:p>
    <w:p w14:paraId="2FF2D0C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（5）与供应商或采购机构恶意串通围标的；</w:t>
      </w:r>
    </w:p>
    <w:p w14:paraId="2DDAA7A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（6）提供虚假材料谋取中标、成交的；</w:t>
      </w:r>
    </w:p>
    <w:p w14:paraId="5C71B33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（7）采取不正当手段诋毁、排挤其它供应商的；</w:t>
      </w:r>
    </w:p>
    <w:p w14:paraId="7FB5FDF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（8）一年内有一次以上投诉查无实据、捏造事实或者提供虚假投诉材料的；</w:t>
      </w:r>
    </w:p>
    <w:p w14:paraId="6DDDBD6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（9）在采购过程中接受贿赂或者获取其他不正当利益的；</w:t>
      </w:r>
    </w:p>
    <w:p w14:paraId="6845B52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（10）中标/成交后，采购代理机构擅自将采购合同转包或分包给其他供应商的；</w:t>
      </w:r>
    </w:p>
    <w:p w14:paraId="73F4D65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（11）开标前泄露已获取招标文件的潜在投标人的名称、数量或者其他可能影响公平竞争的有关招标投标情况的；</w:t>
      </w:r>
    </w:p>
    <w:p w14:paraId="6999B56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（12）擅自修改采购文件或者评审结果的；</w:t>
      </w:r>
    </w:p>
    <w:p w14:paraId="760228F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（13）拒绝有关部门依法实施监督检查的；</w:t>
      </w:r>
    </w:p>
    <w:p w14:paraId="716CAB7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（14）被监督管理部门通报处理的；</w:t>
      </w:r>
    </w:p>
    <w:p w14:paraId="163B262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（15）法律、法规、规章规定的其他违法行为。</w:t>
      </w:r>
    </w:p>
    <w:p w14:paraId="3252A99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7.采购人每个委托项目结束后的“满意度调查”结果为”不满意”的，按该项目代理服务费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0%作为支付采购人的违约金进行扣</w:t>
      </w:r>
      <w:r>
        <w:rPr>
          <w:rFonts w:hint="eastAsia" w:asciiTheme="minorEastAsia" w:hAnsiTheme="minorEastAsia" w:eastAsiaTheme="minorEastAsia" w:cstheme="minorEastAsia"/>
          <w:color w:val="auto"/>
          <w:sz w:val="21"/>
          <w:szCs w:val="21"/>
          <w:lang w:eastAsia="zh-CN"/>
        </w:rPr>
        <w:t>罚</w:t>
      </w:r>
      <w:r>
        <w:rPr>
          <w:rFonts w:hint="eastAsia" w:asciiTheme="minorEastAsia" w:hAnsiTheme="minorEastAsia" w:eastAsiaTheme="minorEastAsia" w:cstheme="minorEastAsia"/>
          <w:color w:val="auto"/>
          <w:sz w:val="21"/>
          <w:szCs w:val="21"/>
        </w:rPr>
        <w:t>，累计达3次“不满意”的，</w:t>
      </w:r>
      <w:r>
        <w:rPr>
          <w:rFonts w:hint="eastAsia" w:asciiTheme="minorEastAsia" w:hAnsiTheme="minorEastAsia" w:eastAsiaTheme="minorEastAsia" w:cstheme="minorEastAsia"/>
          <w:color w:val="auto"/>
          <w:sz w:val="21"/>
          <w:szCs w:val="21"/>
          <w:lang w:val="en-US" w:eastAsia="zh-CN"/>
        </w:rPr>
        <w:t>采购人有权</w:t>
      </w:r>
      <w:r>
        <w:rPr>
          <w:rFonts w:hint="eastAsia" w:asciiTheme="minorEastAsia" w:hAnsiTheme="minorEastAsia" w:eastAsiaTheme="minorEastAsia" w:cstheme="minorEastAsia"/>
          <w:color w:val="auto"/>
          <w:sz w:val="21"/>
          <w:szCs w:val="21"/>
        </w:rPr>
        <w:t>终止</w:t>
      </w:r>
      <w:r>
        <w:rPr>
          <w:rFonts w:hint="eastAsia" w:asciiTheme="minorEastAsia" w:hAnsiTheme="minorEastAsia" w:eastAsiaTheme="minorEastAsia" w:cstheme="minorEastAsia"/>
          <w:color w:val="auto"/>
          <w:sz w:val="21"/>
          <w:szCs w:val="21"/>
          <w:lang w:val="en-US" w:eastAsia="zh-CN"/>
        </w:rPr>
        <w:t>合作</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并不负任何违约责任</w:t>
      </w:r>
      <w:r>
        <w:rPr>
          <w:rFonts w:hint="eastAsia" w:asciiTheme="minorEastAsia" w:hAnsiTheme="minorEastAsia" w:eastAsiaTheme="minorEastAsia" w:cstheme="minorEastAsia"/>
          <w:color w:val="auto"/>
          <w:sz w:val="21"/>
          <w:szCs w:val="21"/>
        </w:rPr>
        <w:t>。</w:t>
      </w:r>
    </w:p>
    <w:p w14:paraId="38E1AF0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8.成交采购代理机构的年度履约评价结果</w:t>
      </w:r>
      <w:r>
        <w:rPr>
          <w:rFonts w:hint="eastAsia" w:asciiTheme="minorEastAsia" w:hAnsiTheme="minorEastAsia" w:eastAsiaTheme="minorEastAsia" w:cstheme="minorEastAsia"/>
          <w:color w:val="auto"/>
          <w:sz w:val="21"/>
          <w:szCs w:val="21"/>
          <w:lang w:eastAsia="zh-CN"/>
        </w:rPr>
        <w:t>可能</w:t>
      </w:r>
      <w:r>
        <w:rPr>
          <w:rFonts w:hint="eastAsia" w:asciiTheme="minorEastAsia" w:hAnsiTheme="minorEastAsia" w:eastAsiaTheme="minorEastAsia" w:cstheme="minorEastAsia"/>
          <w:color w:val="auto"/>
          <w:sz w:val="21"/>
          <w:szCs w:val="21"/>
        </w:rPr>
        <w:t>影响下一年度的项目委托数量</w:t>
      </w:r>
      <w:r>
        <w:rPr>
          <w:rFonts w:hint="eastAsia" w:asciiTheme="minorEastAsia" w:hAnsiTheme="minorEastAsia" w:eastAsiaTheme="minorEastAsia" w:cstheme="minorEastAsia"/>
          <w:color w:val="auto"/>
          <w:sz w:val="21"/>
          <w:szCs w:val="21"/>
          <w:lang w:eastAsia="zh-CN"/>
        </w:rPr>
        <w:t>，如出现“不合格”，采购人有权无条件终止协议</w:t>
      </w:r>
      <w:r>
        <w:rPr>
          <w:rFonts w:hint="eastAsia" w:asciiTheme="minorEastAsia" w:hAnsiTheme="minorEastAsia" w:eastAsiaTheme="minorEastAsia" w:cstheme="minorEastAsia"/>
          <w:color w:val="auto"/>
          <w:sz w:val="21"/>
          <w:szCs w:val="21"/>
        </w:rPr>
        <w:t>。</w:t>
      </w:r>
    </w:p>
    <w:p w14:paraId="007972B2">
      <w:pPr>
        <w:keepNext w:val="0"/>
        <w:keepLines w:val="0"/>
        <w:pageBreakBefore w:val="0"/>
        <w:widowControl/>
        <w:kinsoku/>
        <w:wordWrap/>
        <w:overflowPunct/>
        <w:topLinePunct w:val="0"/>
        <w:autoSpaceDE/>
        <w:autoSpaceDN/>
        <w:bidi w:val="0"/>
        <w:adjustRightInd/>
        <w:snapToGrid/>
        <w:spacing w:line="360" w:lineRule="exact"/>
        <w:ind w:firstLine="50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七</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保密要求</w:t>
      </w:r>
    </w:p>
    <w:p w14:paraId="109025E4">
      <w:pPr>
        <w:keepNext w:val="0"/>
        <w:keepLines w:val="0"/>
        <w:pageBreakBefore w:val="0"/>
        <w:widowControl/>
        <w:kinsoku/>
        <w:wordWrap/>
        <w:overflowPunct/>
        <w:topLinePunct w:val="0"/>
        <w:autoSpaceDE/>
        <w:autoSpaceDN/>
        <w:bidi w:val="0"/>
        <w:adjustRightInd/>
        <w:snapToGrid/>
        <w:spacing w:line="360" w:lineRule="exact"/>
        <w:ind w:firstLine="5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双方</w:t>
      </w:r>
      <w:r>
        <w:rPr>
          <w:rFonts w:hint="eastAsia" w:asciiTheme="minorEastAsia" w:hAnsiTheme="minorEastAsia" w:eastAsiaTheme="minorEastAsia" w:cstheme="minorEastAsia"/>
          <w:color w:val="auto"/>
          <w:sz w:val="21"/>
          <w:szCs w:val="21"/>
        </w:rPr>
        <w:t>应自觉遵守保密约定，以维护招标采购公正、公平，保证招标采购正常进行和完成。</w:t>
      </w:r>
    </w:p>
    <w:p w14:paraId="7D64D228">
      <w:pPr>
        <w:keepNext w:val="0"/>
        <w:keepLines w:val="0"/>
        <w:pageBreakBefore w:val="0"/>
        <w:widowControl/>
        <w:kinsoku/>
        <w:wordWrap/>
        <w:overflowPunct/>
        <w:topLinePunct w:val="0"/>
        <w:autoSpaceDE/>
        <w:autoSpaceDN/>
        <w:bidi w:val="0"/>
        <w:adjustRightInd/>
        <w:snapToGrid/>
        <w:spacing w:line="360" w:lineRule="exact"/>
        <w:ind w:firstLine="5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2.在招标采购期间，各方不得向无关人员透露招标采购信息，尤其是透露招标采购工作的内部秘密，如：投标人/供应商名称、人数以及与招投标有关的情况。</w:t>
      </w:r>
    </w:p>
    <w:p w14:paraId="61EF8DEE">
      <w:pPr>
        <w:keepNext w:val="0"/>
        <w:keepLines w:val="0"/>
        <w:pageBreakBefore w:val="0"/>
        <w:widowControl/>
        <w:kinsoku/>
        <w:wordWrap/>
        <w:overflowPunct/>
        <w:topLinePunct w:val="0"/>
        <w:autoSpaceDE/>
        <w:autoSpaceDN/>
        <w:bidi w:val="0"/>
        <w:adjustRightInd/>
        <w:snapToGrid/>
        <w:spacing w:line="360" w:lineRule="exact"/>
        <w:ind w:firstLine="5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3.任何一方不应私自与投标人/供应商就招标采购内容进行单方接触或谈判。因工作需要或业务目的的任何对外活动均应事前会知对方并做好沟通工作，以便工作协调。</w:t>
      </w:r>
    </w:p>
    <w:p w14:paraId="22E4890A">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八</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履约考评</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项目实施过程中，</w:t>
      </w:r>
      <w:r>
        <w:rPr>
          <w:rFonts w:hint="eastAsia" w:asciiTheme="minorEastAsia" w:hAnsiTheme="minorEastAsia" w:eastAsiaTheme="minorEastAsia" w:cstheme="minorEastAsia"/>
          <w:b/>
          <w:bCs/>
          <w:color w:val="auto"/>
          <w:sz w:val="21"/>
          <w:szCs w:val="21"/>
          <w:highlight w:val="none"/>
          <w:lang w:eastAsia="zh-CN"/>
        </w:rPr>
        <w:t>采购人有权调整</w:t>
      </w:r>
      <w:r>
        <w:rPr>
          <w:rFonts w:hint="eastAsia" w:asciiTheme="minorEastAsia" w:hAnsiTheme="minorEastAsia" w:eastAsiaTheme="minorEastAsia" w:cstheme="minorEastAsia"/>
          <w:b/>
          <w:bCs/>
          <w:color w:val="auto"/>
          <w:sz w:val="21"/>
          <w:szCs w:val="21"/>
          <w:highlight w:val="none"/>
          <w:lang w:val="en-US" w:eastAsia="zh-CN"/>
        </w:rPr>
        <w:t>和细化</w:t>
      </w:r>
      <w:r>
        <w:rPr>
          <w:rFonts w:hint="eastAsia" w:asciiTheme="minorEastAsia" w:hAnsiTheme="minorEastAsia" w:eastAsiaTheme="minorEastAsia" w:cstheme="minorEastAsia"/>
          <w:b/>
          <w:bCs/>
          <w:color w:val="auto"/>
          <w:sz w:val="21"/>
          <w:szCs w:val="21"/>
          <w:highlight w:val="none"/>
          <w:lang w:eastAsia="zh-CN"/>
        </w:rPr>
        <w:t>考评内容）</w:t>
      </w:r>
    </w:p>
    <w:p w14:paraId="7311F004">
      <w:pPr>
        <w:keepNext w:val="0"/>
        <w:keepLines w:val="0"/>
        <w:pageBreakBefore w:val="0"/>
        <w:kinsoku/>
        <w:wordWrap/>
        <w:overflowPunct/>
        <w:topLinePunct w:val="0"/>
        <w:autoSpaceDE/>
        <w:autoSpaceDN/>
        <w:bidi w:val="0"/>
        <w:adjustRightInd/>
        <w:snapToGrid/>
        <w:spacing w:line="360" w:lineRule="exact"/>
        <w:ind w:firstLine="632" w:firstLineChars="3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满意度调查内容</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详见下表。</w:t>
      </w:r>
    </w:p>
    <w:p w14:paraId="3B016E2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p w14:paraId="4B0ADF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招标代理服务满意度调查表</w:t>
      </w:r>
    </w:p>
    <w:p w14:paraId="2A2588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sz w:val="21"/>
          <w:szCs w:val="21"/>
        </w:rPr>
      </w:pPr>
    </w:p>
    <w:tbl>
      <w:tblPr>
        <w:tblStyle w:val="18"/>
        <w:tblW w:w="97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2923"/>
        <w:gridCol w:w="905"/>
        <w:gridCol w:w="695"/>
        <w:gridCol w:w="2808"/>
      </w:tblGrid>
      <w:tr w14:paraId="2089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376" w:type="dxa"/>
            <w:vAlign w:val="center"/>
          </w:tcPr>
          <w:p w14:paraId="572905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2923" w:type="dxa"/>
            <w:vAlign w:val="center"/>
          </w:tcPr>
          <w:p w14:paraId="5FE8892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1600" w:type="dxa"/>
            <w:gridSpan w:val="2"/>
            <w:vAlign w:val="center"/>
          </w:tcPr>
          <w:p w14:paraId="6DE473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预算金额</w:t>
            </w:r>
          </w:p>
        </w:tc>
        <w:tc>
          <w:tcPr>
            <w:tcW w:w="2808" w:type="dxa"/>
            <w:vAlign w:val="center"/>
          </w:tcPr>
          <w:p w14:paraId="1DB7CA00">
            <w:pPr>
              <w:keepNext w:val="0"/>
              <w:keepLines w:val="0"/>
              <w:pageBreakBefore w:val="0"/>
              <w:tabs>
                <w:tab w:val="left" w:pos="851"/>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r>
      <w:tr w14:paraId="0FA0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2376" w:type="dxa"/>
            <w:vAlign w:val="center"/>
          </w:tcPr>
          <w:p w14:paraId="167F91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归口管理部门/职能科室</w:t>
            </w:r>
          </w:p>
        </w:tc>
        <w:tc>
          <w:tcPr>
            <w:tcW w:w="2923" w:type="dxa"/>
            <w:vAlign w:val="center"/>
          </w:tcPr>
          <w:p w14:paraId="561CF8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1600" w:type="dxa"/>
            <w:gridSpan w:val="2"/>
            <w:vAlign w:val="center"/>
          </w:tcPr>
          <w:p w14:paraId="1732F0F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招标代理机构</w:t>
            </w:r>
          </w:p>
        </w:tc>
        <w:tc>
          <w:tcPr>
            <w:tcW w:w="2808" w:type="dxa"/>
            <w:vAlign w:val="center"/>
          </w:tcPr>
          <w:p w14:paraId="3104DED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r>
      <w:tr w14:paraId="69C0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29CC96B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考评项目</w:t>
            </w:r>
          </w:p>
        </w:tc>
        <w:tc>
          <w:tcPr>
            <w:tcW w:w="3828" w:type="dxa"/>
            <w:gridSpan w:val="2"/>
            <w:vAlign w:val="center"/>
          </w:tcPr>
          <w:p w14:paraId="371F2B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采购项目管理部门/职能科室</w:t>
            </w:r>
          </w:p>
        </w:tc>
        <w:tc>
          <w:tcPr>
            <w:tcW w:w="3503" w:type="dxa"/>
            <w:gridSpan w:val="2"/>
            <w:vAlign w:val="center"/>
          </w:tcPr>
          <w:p w14:paraId="4AA05F1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招标采购办公室</w:t>
            </w:r>
          </w:p>
        </w:tc>
      </w:tr>
      <w:tr w14:paraId="66607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5E41C07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招标文件编制水平</w:t>
            </w:r>
          </w:p>
        </w:tc>
        <w:tc>
          <w:tcPr>
            <w:tcW w:w="3828" w:type="dxa"/>
            <w:gridSpan w:val="2"/>
            <w:vAlign w:val="center"/>
          </w:tcPr>
          <w:p w14:paraId="3BB22D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优  □良  □中  □一般  □差</w:t>
            </w:r>
          </w:p>
        </w:tc>
        <w:tc>
          <w:tcPr>
            <w:tcW w:w="3503" w:type="dxa"/>
            <w:gridSpan w:val="2"/>
            <w:vAlign w:val="center"/>
          </w:tcPr>
          <w:p w14:paraId="14C752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47D71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0F0AFD4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招标项目响应及时性</w:t>
            </w:r>
          </w:p>
        </w:tc>
        <w:tc>
          <w:tcPr>
            <w:tcW w:w="3828" w:type="dxa"/>
            <w:gridSpan w:val="2"/>
            <w:vAlign w:val="center"/>
          </w:tcPr>
          <w:p w14:paraId="69A32C2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503" w:type="dxa"/>
            <w:gridSpan w:val="2"/>
            <w:vAlign w:val="center"/>
          </w:tcPr>
          <w:p w14:paraId="5DB625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41DD6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2A8DFC3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评标/评审现场有序性</w:t>
            </w:r>
          </w:p>
        </w:tc>
        <w:tc>
          <w:tcPr>
            <w:tcW w:w="3828" w:type="dxa"/>
            <w:gridSpan w:val="2"/>
            <w:vAlign w:val="center"/>
          </w:tcPr>
          <w:p w14:paraId="0891CC9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c>
          <w:tcPr>
            <w:tcW w:w="3503" w:type="dxa"/>
            <w:gridSpan w:val="2"/>
            <w:vAlign w:val="center"/>
          </w:tcPr>
          <w:p w14:paraId="060CA75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3520E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5627F49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评标/评审专家专业性</w:t>
            </w:r>
          </w:p>
        </w:tc>
        <w:tc>
          <w:tcPr>
            <w:tcW w:w="3828" w:type="dxa"/>
            <w:gridSpan w:val="2"/>
            <w:vAlign w:val="center"/>
          </w:tcPr>
          <w:p w14:paraId="3908D65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c>
          <w:tcPr>
            <w:tcW w:w="3503" w:type="dxa"/>
            <w:gridSpan w:val="2"/>
            <w:vAlign w:val="center"/>
          </w:tcPr>
          <w:p w14:paraId="2158C05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14F86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471920F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招标及评标/评审手续规范性</w:t>
            </w:r>
          </w:p>
        </w:tc>
        <w:tc>
          <w:tcPr>
            <w:tcW w:w="3828" w:type="dxa"/>
            <w:gridSpan w:val="2"/>
            <w:vAlign w:val="center"/>
          </w:tcPr>
          <w:p w14:paraId="069A691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c>
          <w:tcPr>
            <w:tcW w:w="3503" w:type="dxa"/>
            <w:gridSpan w:val="2"/>
            <w:vAlign w:val="center"/>
          </w:tcPr>
          <w:p w14:paraId="0BB8154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4E38D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6DD535F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招标资料整理移交</w:t>
            </w:r>
          </w:p>
        </w:tc>
        <w:tc>
          <w:tcPr>
            <w:tcW w:w="3828" w:type="dxa"/>
            <w:gridSpan w:val="2"/>
            <w:vAlign w:val="center"/>
          </w:tcPr>
          <w:p w14:paraId="30A17D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503" w:type="dxa"/>
            <w:gridSpan w:val="2"/>
            <w:vAlign w:val="center"/>
          </w:tcPr>
          <w:p w14:paraId="03BF751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6F7B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142179B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代理人员专业水平</w:t>
            </w:r>
          </w:p>
        </w:tc>
        <w:tc>
          <w:tcPr>
            <w:tcW w:w="3828" w:type="dxa"/>
            <w:gridSpan w:val="2"/>
            <w:vAlign w:val="center"/>
          </w:tcPr>
          <w:p w14:paraId="21A6937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503" w:type="dxa"/>
            <w:gridSpan w:val="2"/>
            <w:vAlign w:val="center"/>
          </w:tcPr>
          <w:p w14:paraId="195FB12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6DC95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2B518E2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代理人员沟通服务</w:t>
            </w:r>
          </w:p>
        </w:tc>
        <w:tc>
          <w:tcPr>
            <w:tcW w:w="3828" w:type="dxa"/>
            <w:gridSpan w:val="2"/>
            <w:vAlign w:val="center"/>
          </w:tcPr>
          <w:p w14:paraId="5E91A4C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503" w:type="dxa"/>
            <w:gridSpan w:val="2"/>
            <w:vAlign w:val="center"/>
          </w:tcPr>
          <w:p w14:paraId="3D40049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7938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6749F4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代理人员廉洁性</w:t>
            </w:r>
          </w:p>
        </w:tc>
        <w:tc>
          <w:tcPr>
            <w:tcW w:w="3828" w:type="dxa"/>
            <w:gridSpan w:val="2"/>
            <w:vAlign w:val="center"/>
          </w:tcPr>
          <w:p w14:paraId="612EC2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503" w:type="dxa"/>
            <w:gridSpan w:val="2"/>
            <w:vAlign w:val="center"/>
          </w:tcPr>
          <w:p w14:paraId="3DD831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  □良  □中  □一般  □差</w:t>
            </w:r>
          </w:p>
        </w:tc>
      </w:tr>
      <w:tr w14:paraId="77CC7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376" w:type="dxa"/>
            <w:vAlign w:val="center"/>
          </w:tcPr>
          <w:p w14:paraId="1DE180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综合服务评价</w:t>
            </w:r>
          </w:p>
        </w:tc>
        <w:tc>
          <w:tcPr>
            <w:tcW w:w="3828" w:type="dxa"/>
            <w:gridSpan w:val="2"/>
            <w:vAlign w:val="center"/>
          </w:tcPr>
          <w:p w14:paraId="12AF81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503" w:type="dxa"/>
            <w:gridSpan w:val="2"/>
            <w:vAlign w:val="center"/>
          </w:tcPr>
          <w:p w14:paraId="7AAA315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r>
      <w:tr w14:paraId="01EE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jc w:val="center"/>
        </w:trPr>
        <w:tc>
          <w:tcPr>
            <w:tcW w:w="2376" w:type="dxa"/>
            <w:vAlign w:val="center"/>
          </w:tcPr>
          <w:p w14:paraId="2DEA9CE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评价意见或</w:t>
            </w:r>
          </w:p>
          <w:p w14:paraId="50653A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代理工作建议</w:t>
            </w:r>
          </w:p>
        </w:tc>
        <w:tc>
          <w:tcPr>
            <w:tcW w:w="3828" w:type="dxa"/>
            <w:gridSpan w:val="2"/>
            <w:vAlign w:val="center"/>
          </w:tcPr>
          <w:p w14:paraId="57059A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503" w:type="dxa"/>
            <w:gridSpan w:val="2"/>
            <w:vAlign w:val="center"/>
          </w:tcPr>
          <w:p w14:paraId="34A7F3D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r>
      <w:tr w14:paraId="0243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376" w:type="dxa"/>
            <w:vAlign w:val="center"/>
          </w:tcPr>
          <w:p w14:paraId="12D614C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tc>
        <w:tc>
          <w:tcPr>
            <w:tcW w:w="3828" w:type="dxa"/>
            <w:gridSpan w:val="2"/>
            <w:vAlign w:val="center"/>
          </w:tcPr>
          <w:p w14:paraId="28E6D9A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经办人：             </w:t>
            </w:r>
          </w:p>
          <w:p w14:paraId="225C3DD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日  期：            </w:t>
            </w:r>
          </w:p>
        </w:tc>
        <w:tc>
          <w:tcPr>
            <w:tcW w:w="3503" w:type="dxa"/>
            <w:gridSpan w:val="2"/>
            <w:vAlign w:val="center"/>
          </w:tcPr>
          <w:p w14:paraId="2166B8C8">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经办人：             </w:t>
            </w:r>
          </w:p>
          <w:p w14:paraId="4985212E">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日  期：                  </w:t>
            </w:r>
          </w:p>
        </w:tc>
      </w:tr>
    </w:tbl>
    <w:p w14:paraId="12C64F7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14:paraId="2BD7773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优：90分以上；良85-89分，中：75-84分，一般：65-74分；合格60-64分；不合格：59分以下。</w:t>
      </w:r>
    </w:p>
    <w:p w14:paraId="005970F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年度考核得分以各代理机构在本服务年度内的项目质量评价总得分除以其受托项目数计算。</w:t>
      </w:r>
    </w:p>
    <w:p w14:paraId="4D7A95E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lang w:val="en-US" w:eastAsia="zh-CN"/>
        </w:rPr>
      </w:pPr>
    </w:p>
    <w:p w14:paraId="0E29748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年度履约评价内容</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详见下表</w:t>
      </w:r>
    </w:p>
    <w:p w14:paraId="4DCC4274">
      <w:pPr>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 xml:space="preserve"> </w:t>
      </w:r>
      <w:bookmarkStart w:id="64" w:name="_Toc1487"/>
      <w:bookmarkStart w:id="65" w:name="_Toc7655"/>
      <w:bookmarkStart w:id="66" w:name="_Toc30797"/>
      <w:r>
        <w:rPr>
          <w:rFonts w:hint="eastAsia" w:asciiTheme="minorEastAsia" w:hAnsiTheme="minorEastAsia" w:eastAsiaTheme="minorEastAsia" w:cstheme="minorEastAsia"/>
          <w:b/>
          <w:color w:val="auto"/>
          <w:sz w:val="21"/>
          <w:szCs w:val="21"/>
        </w:rPr>
        <w:t>采购代理机构履约评价表</w:t>
      </w:r>
      <w:bookmarkEnd w:id="64"/>
      <w:bookmarkEnd w:id="65"/>
      <w:bookmarkEnd w:id="66"/>
    </w:p>
    <w:tbl>
      <w:tblPr>
        <w:tblStyle w:val="19"/>
        <w:tblpPr w:leftFromText="180" w:rightFromText="180" w:vertAnchor="text" w:horzAnchor="page" w:tblpX="1123" w:tblpY="175"/>
        <w:tblOverlap w:val="never"/>
        <w:tblW w:w="10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8"/>
        <w:gridCol w:w="6236"/>
      </w:tblGrid>
      <w:tr w14:paraId="26DC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02330BC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采购代理机构名称</w:t>
            </w:r>
          </w:p>
        </w:tc>
        <w:tc>
          <w:tcPr>
            <w:tcW w:w="6236" w:type="dxa"/>
            <w:vAlign w:val="center"/>
          </w:tcPr>
          <w:p w14:paraId="54FEB4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kern w:val="0"/>
                <w:sz w:val="21"/>
                <w:szCs w:val="21"/>
              </w:rPr>
            </w:pPr>
          </w:p>
        </w:tc>
      </w:tr>
      <w:tr w14:paraId="409D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5D8A2BC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负责采购项目</w:t>
            </w:r>
          </w:p>
        </w:tc>
        <w:tc>
          <w:tcPr>
            <w:tcW w:w="6236" w:type="dxa"/>
            <w:vAlign w:val="center"/>
          </w:tcPr>
          <w:p w14:paraId="7B3AA6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color w:val="auto"/>
                <w:kern w:val="0"/>
                <w:sz w:val="21"/>
                <w:szCs w:val="21"/>
              </w:rPr>
            </w:pPr>
          </w:p>
        </w:tc>
      </w:tr>
      <w:tr w14:paraId="5FE3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398C328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考评内容</w:t>
            </w:r>
          </w:p>
        </w:tc>
        <w:tc>
          <w:tcPr>
            <w:tcW w:w="6236" w:type="dxa"/>
            <w:vAlign w:val="center"/>
          </w:tcPr>
          <w:p w14:paraId="0FF07BB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考评情况</w:t>
            </w:r>
          </w:p>
        </w:tc>
      </w:tr>
      <w:tr w14:paraId="5FD8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1E3D6F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采购项目对接响应及时性</w:t>
            </w:r>
          </w:p>
        </w:tc>
        <w:tc>
          <w:tcPr>
            <w:tcW w:w="6236" w:type="dxa"/>
            <w:vAlign w:val="center"/>
          </w:tcPr>
          <w:p w14:paraId="025D84C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0D77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50D691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采购文件按规定编制</w:t>
            </w:r>
          </w:p>
        </w:tc>
        <w:tc>
          <w:tcPr>
            <w:tcW w:w="6236" w:type="dxa"/>
            <w:vAlign w:val="center"/>
          </w:tcPr>
          <w:p w14:paraId="195901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73C7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7FBEDD5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签订采购项目委托协议</w:t>
            </w:r>
          </w:p>
        </w:tc>
        <w:tc>
          <w:tcPr>
            <w:tcW w:w="6236" w:type="dxa"/>
            <w:vAlign w:val="center"/>
          </w:tcPr>
          <w:p w14:paraId="410A532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6F43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40DBEB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信息按规定公告发布</w:t>
            </w:r>
          </w:p>
        </w:tc>
        <w:tc>
          <w:tcPr>
            <w:tcW w:w="6236" w:type="dxa"/>
            <w:vAlign w:val="center"/>
          </w:tcPr>
          <w:p w14:paraId="0703C8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71DD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369A10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评标/评审专家按规定抽取</w:t>
            </w:r>
          </w:p>
        </w:tc>
        <w:tc>
          <w:tcPr>
            <w:tcW w:w="6236" w:type="dxa"/>
            <w:vAlign w:val="center"/>
          </w:tcPr>
          <w:p w14:paraId="7B1A7E7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1528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357B435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组织开标/评标/评审有序</w:t>
            </w:r>
          </w:p>
        </w:tc>
        <w:tc>
          <w:tcPr>
            <w:tcW w:w="6236" w:type="dxa"/>
            <w:vAlign w:val="center"/>
          </w:tcPr>
          <w:p w14:paraId="049D227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6BCF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637911A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评标/评审报告及时送达</w:t>
            </w:r>
          </w:p>
        </w:tc>
        <w:tc>
          <w:tcPr>
            <w:tcW w:w="6236" w:type="dxa"/>
            <w:vAlign w:val="center"/>
          </w:tcPr>
          <w:p w14:paraId="73E7E6D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4719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0A7CF4D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采购资料整体移交</w:t>
            </w:r>
          </w:p>
        </w:tc>
        <w:tc>
          <w:tcPr>
            <w:tcW w:w="6236" w:type="dxa"/>
            <w:vAlign w:val="center"/>
          </w:tcPr>
          <w:p w14:paraId="74548F7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458E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693A29B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保证金收取/退还</w:t>
            </w:r>
          </w:p>
        </w:tc>
        <w:tc>
          <w:tcPr>
            <w:tcW w:w="6236" w:type="dxa"/>
            <w:vAlign w:val="center"/>
          </w:tcPr>
          <w:p w14:paraId="2CB4881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0717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4F59D7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受理质疑、配合处理投诉</w:t>
            </w:r>
          </w:p>
        </w:tc>
        <w:tc>
          <w:tcPr>
            <w:tcW w:w="6236" w:type="dxa"/>
            <w:vAlign w:val="center"/>
          </w:tcPr>
          <w:p w14:paraId="0C6B42B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4B07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14BF7A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代理人员专业水平</w:t>
            </w:r>
          </w:p>
        </w:tc>
        <w:tc>
          <w:tcPr>
            <w:tcW w:w="6236" w:type="dxa"/>
            <w:vAlign w:val="center"/>
          </w:tcPr>
          <w:p w14:paraId="43A9112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02B5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7D0D8B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代理人员沟通服务</w:t>
            </w:r>
          </w:p>
        </w:tc>
        <w:tc>
          <w:tcPr>
            <w:tcW w:w="6236" w:type="dxa"/>
            <w:vAlign w:val="center"/>
          </w:tcPr>
          <w:p w14:paraId="0DEE11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5A3B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3712EA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代理人员廉洁情况</w:t>
            </w:r>
          </w:p>
        </w:tc>
        <w:tc>
          <w:tcPr>
            <w:tcW w:w="6236" w:type="dxa"/>
            <w:vAlign w:val="center"/>
          </w:tcPr>
          <w:p w14:paraId="31AB210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  □良  □中  □一般  □差</w:t>
            </w:r>
          </w:p>
        </w:tc>
      </w:tr>
      <w:tr w14:paraId="7D20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4803F8C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综合评价</w:t>
            </w:r>
          </w:p>
        </w:tc>
        <w:tc>
          <w:tcPr>
            <w:tcW w:w="6236" w:type="dxa"/>
            <w:vAlign w:val="center"/>
          </w:tcPr>
          <w:p w14:paraId="79360CD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□优秀  □良好   □中  □合格  □不合格</w:t>
            </w:r>
          </w:p>
        </w:tc>
      </w:tr>
      <w:tr w14:paraId="213F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079C407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评价人员</w:t>
            </w:r>
          </w:p>
        </w:tc>
        <w:tc>
          <w:tcPr>
            <w:tcW w:w="6236" w:type="dxa"/>
            <w:vAlign w:val="center"/>
          </w:tcPr>
          <w:p w14:paraId="05FF84B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p>
        </w:tc>
      </w:tr>
      <w:tr w14:paraId="0E63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8" w:type="dxa"/>
            <w:vAlign w:val="center"/>
          </w:tcPr>
          <w:p w14:paraId="74A76C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评价日期</w:t>
            </w:r>
          </w:p>
        </w:tc>
        <w:tc>
          <w:tcPr>
            <w:tcW w:w="6236" w:type="dxa"/>
            <w:vAlign w:val="center"/>
          </w:tcPr>
          <w:p w14:paraId="1DDD4B8E">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年      月     日</w:t>
            </w:r>
          </w:p>
        </w:tc>
      </w:tr>
    </w:tbl>
    <w:p w14:paraId="110966F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w:t>
      </w:r>
    </w:p>
    <w:p w14:paraId="6ED1514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1.标有“★”的条款均为必须完全满足指标，报价人须进行实质性响应，报价人若有一项带“★”的条款未响应或不满足，将按无效投标处理。</w:t>
      </w:r>
    </w:p>
    <w:p w14:paraId="6AAC38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2.标有“▲”的条款均为评审的重要评分指标，报价人若有部分“▲”条款未响应或不满足，将导致其响应性评审严重扣分。</w:t>
      </w:r>
    </w:p>
    <w:p w14:paraId="310853E1">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3.成交原则：按综合评分法进行评审，按评审总得分由高到低顺序</w:t>
      </w:r>
      <w:r>
        <w:rPr>
          <w:rFonts w:hint="eastAsia" w:asciiTheme="minorEastAsia" w:hAnsiTheme="minorEastAsia" w:eastAsiaTheme="minorEastAsia" w:cstheme="minorEastAsia"/>
          <w:color w:val="auto"/>
          <w:sz w:val="21"/>
          <w:szCs w:val="21"/>
          <w:lang w:eastAsia="zh-CN"/>
        </w:rPr>
        <w:t>按采购文件要求推荐</w:t>
      </w:r>
      <w:r>
        <w:rPr>
          <w:rFonts w:hint="eastAsia" w:asciiTheme="minorEastAsia" w:hAnsiTheme="minorEastAsia" w:eastAsiaTheme="minorEastAsia" w:cstheme="minorEastAsia"/>
          <w:color w:val="auto"/>
          <w:sz w:val="21"/>
          <w:szCs w:val="21"/>
        </w:rPr>
        <w:t>成交候选人。</w:t>
      </w:r>
      <w:r>
        <w:rPr>
          <w:rFonts w:hint="eastAsia" w:asciiTheme="minorEastAsia" w:hAnsiTheme="minorEastAsia" w:eastAsiaTheme="minorEastAsia" w:cstheme="minorEastAsia"/>
          <w:color w:val="auto"/>
          <w:sz w:val="21"/>
          <w:szCs w:val="21"/>
          <w:highlight w:val="yellow"/>
          <w:lang w:eastAsia="zh-CN"/>
        </w:rPr>
        <w:t>推荐的</w:t>
      </w:r>
      <w:r>
        <w:rPr>
          <w:rFonts w:hint="eastAsia" w:asciiTheme="minorEastAsia" w:hAnsiTheme="minorEastAsia" w:eastAsiaTheme="minorEastAsia" w:cstheme="minorEastAsia"/>
          <w:color w:val="auto"/>
          <w:sz w:val="21"/>
          <w:szCs w:val="21"/>
          <w:highlight w:val="yellow"/>
        </w:rPr>
        <w:t>成交候选人</w:t>
      </w:r>
      <w:r>
        <w:rPr>
          <w:rFonts w:hint="eastAsia" w:asciiTheme="minorEastAsia" w:hAnsiTheme="minorEastAsia" w:eastAsiaTheme="minorEastAsia" w:cstheme="minorEastAsia"/>
          <w:color w:val="auto"/>
          <w:sz w:val="21"/>
          <w:szCs w:val="21"/>
          <w:highlight w:val="yellow"/>
          <w:lang w:eastAsia="zh-CN"/>
        </w:rPr>
        <w:t>报医院同意后在医院官网公示成交结果。</w:t>
      </w:r>
    </w:p>
    <w:p w14:paraId="74936F11">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4.报价要求：本项目采用多轮次报价，各供应商现场再次统一填写报价表。</w:t>
      </w:r>
    </w:p>
    <w:p w14:paraId="4301E01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5.供应商有下列情形之一的，将列入我院黑名单管理，在此后的三年内不得参与我院任何采买活动：</w:t>
      </w:r>
    </w:p>
    <w:p w14:paraId="76FFAB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（1）提供虚假材料谋取中标、成交的；</w:t>
      </w:r>
    </w:p>
    <w:p w14:paraId="6A9BC9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（2）采取不正当手段诋毁、排挤其它供应商的；</w:t>
      </w:r>
    </w:p>
    <w:p w14:paraId="370CC0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（3）与其他供应商或者采购机构恶意串通围标的；</w:t>
      </w:r>
    </w:p>
    <w:p w14:paraId="7DA1BFD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（4）随意申请撤换或放弃中标/成交结果的；</w:t>
      </w:r>
    </w:p>
    <w:p w14:paraId="52FD9D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（5）中标、成交后无正当理由拒绝或迟迟不签订采购合同的；</w:t>
      </w:r>
    </w:p>
    <w:p w14:paraId="3D710B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（6）无正当理由拒绝履行合同和有关承诺，或擅自变更、中止（终止）采购合同的；</w:t>
      </w:r>
    </w:p>
    <w:p w14:paraId="13287C8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（7）一年内有一次以上投诉查无实据、捏造事实或者提供虚假投诉材料的；</w:t>
      </w:r>
    </w:p>
    <w:p w14:paraId="65B310B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（8）实际提供的有关产品性能指标和技术服务能力明显低于采购响应文件或磋商、询价时的承诺的或提供假冒伪劣产品的；</w:t>
      </w:r>
    </w:p>
    <w:p w14:paraId="69336AB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（9）中标/成交后，擅自将采购合同转包或分包给其他供应商的；</w:t>
      </w:r>
    </w:p>
    <w:p w14:paraId="0C114A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（10）向采购人、采购机构行贿或者提供其它不正当利益的；</w:t>
      </w:r>
    </w:p>
    <w:p w14:paraId="651EF9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kern w:val="2"/>
          <w:sz w:val="21"/>
          <w:szCs w:val="21"/>
          <w:lang w:val="en-US" w:eastAsia="zh-CN" w:bidi="ar-SA"/>
        </w:rPr>
        <w:t>拒绝有关部门监督检查或者提供虚假情况的。</w:t>
      </w:r>
    </w:p>
    <w:p w14:paraId="77B958DC">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p>
    <w:p w14:paraId="49A55BC6">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color w:val="auto"/>
          <w:kern w:val="0"/>
          <w:sz w:val="21"/>
          <w:szCs w:val="21"/>
        </w:rPr>
      </w:pPr>
      <w:bookmarkStart w:id="67" w:name="_Toc2432"/>
    </w:p>
    <w:p w14:paraId="23B7DFD7">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color w:val="auto"/>
          <w:kern w:val="0"/>
          <w:sz w:val="21"/>
          <w:szCs w:val="21"/>
        </w:rPr>
      </w:pPr>
      <w:bookmarkStart w:id="68" w:name="_Toc7008"/>
    </w:p>
    <w:p w14:paraId="69FBEF1E">
      <w:pPr>
        <w:jc w:val="center"/>
        <w:outlineLvl w:val="9"/>
        <w:rPr>
          <w:rFonts w:hint="eastAsia"/>
          <w:b/>
          <w:bCs/>
          <w:kern w:val="0"/>
          <w:sz w:val="32"/>
          <w:szCs w:val="36"/>
        </w:rPr>
      </w:pPr>
    </w:p>
    <w:p w14:paraId="1264B874">
      <w:pPr>
        <w:jc w:val="center"/>
        <w:outlineLvl w:val="9"/>
        <w:rPr>
          <w:rFonts w:hint="eastAsia"/>
          <w:b/>
          <w:bCs/>
          <w:kern w:val="0"/>
          <w:sz w:val="32"/>
          <w:szCs w:val="36"/>
        </w:rPr>
      </w:pPr>
    </w:p>
    <w:p w14:paraId="5DC415AB">
      <w:pPr>
        <w:jc w:val="center"/>
        <w:outlineLvl w:val="9"/>
        <w:rPr>
          <w:rFonts w:hint="eastAsia"/>
          <w:b/>
          <w:bCs/>
          <w:kern w:val="0"/>
          <w:sz w:val="32"/>
          <w:szCs w:val="36"/>
        </w:rPr>
      </w:pPr>
    </w:p>
    <w:p w14:paraId="3113DA6C">
      <w:pPr>
        <w:jc w:val="center"/>
        <w:outlineLvl w:val="9"/>
        <w:rPr>
          <w:rFonts w:hint="eastAsia"/>
          <w:b/>
          <w:bCs/>
          <w:kern w:val="0"/>
          <w:sz w:val="32"/>
          <w:szCs w:val="36"/>
        </w:rPr>
      </w:pPr>
    </w:p>
    <w:p w14:paraId="22145940">
      <w:pPr>
        <w:jc w:val="center"/>
        <w:outlineLvl w:val="9"/>
        <w:rPr>
          <w:rFonts w:hint="eastAsia"/>
          <w:b/>
          <w:bCs/>
          <w:kern w:val="0"/>
          <w:sz w:val="32"/>
          <w:szCs w:val="36"/>
        </w:rPr>
      </w:pPr>
    </w:p>
    <w:p w14:paraId="4561EEB2">
      <w:pPr>
        <w:jc w:val="center"/>
        <w:outlineLvl w:val="0"/>
        <w:rPr>
          <w:rFonts w:ascii="宋体" w:hAnsi="宋体"/>
          <w:sz w:val="28"/>
          <w:szCs w:val="28"/>
        </w:rPr>
      </w:pPr>
      <w:bookmarkStart w:id="69" w:name="_Toc10907"/>
      <w:bookmarkStart w:id="70" w:name="_Toc18247"/>
      <w:r>
        <w:rPr>
          <w:rFonts w:hint="eastAsia"/>
          <w:b/>
          <w:bCs/>
          <w:kern w:val="0"/>
          <w:sz w:val="28"/>
          <w:szCs w:val="28"/>
        </w:rPr>
        <w:t xml:space="preserve">第三部分  </w:t>
      </w:r>
      <w:bookmarkStart w:id="71" w:name="_Toc270"/>
      <w:r>
        <w:rPr>
          <w:rFonts w:hint="eastAsia"/>
          <w:b/>
          <w:bCs/>
          <w:kern w:val="0"/>
          <w:sz w:val="28"/>
          <w:szCs w:val="28"/>
        </w:rPr>
        <w:t>资料整理注意事项</w:t>
      </w:r>
      <w:bookmarkEnd w:id="67"/>
      <w:bookmarkEnd w:id="68"/>
      <w:bookmarkEnd w:id="69"/>
      <w:bookmarkEnd w:id="70"/>
      <w:bookmarkEnd w:id="71"/>
    </w:p>
    <w:p w14:paraId="4B52DA3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sz w:val="21"/>
          <w:szCs w:val="21"/>
        </w:rPr>
      </w:pPr>
    </w:p>
    <w:p w14:paraId="7EE37466">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3340CF45">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14:paraId="059907E2">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val="en-US" w:eastAsia="zh-CN"/>
        </w:rPr>
        <w:t>六</w:t>
      </w:r>
      <w:r>
        <w:rPr>
          <w:rFonts w:hint="eastAsia" w:ascii="宋体" w:hAnsi="宋体"/>
          <w:sz w:val="21"/>
          <w:szCs w:val="21"/>
        </w:rPr>
        <w:t>副共</w:t>
      </w:r>
      <w:r>
        <w:rPr>
          <w:rFonts w:hint="eastAsia" w:ascii="宋体" w:hAnsi="宋体"/>
          <w:sz w:val="21"/>
          <w:szCs w:val="21"/>
          <w:lang w:val="en-US" w:eastAsia="zh-CN"/>
        </w:rPr>
        <w:t>7</w:t>
      </w:r>
      <w:r>
        <w:rPr>
          <w:rFonts w:hint="eastAsia" w:ascii="宋体" w:hAnsi="宋体"/>
          <w:sz w:val="21"/>
          <w:szCs w:val="21"/>
        </w:rPr>
        <w:t>份</w:t>
      </w:r>
      <w:r>
        <w:rPr>
          <w:rFonts w:hint="eastAsia" w:ascii="宋体" w:hAnsi="宋体"/>
          <w:sz w:val="21"/>
          <w:szCs w:val="21"/>
          <w:lang w:eastAsia="zh-CN"/>
        </w:rPr>
        <w:t>（响应文件份数具体以后面通知为准）</w:t>
      </w:r>
      <w:r>
        <w:rPr>
          <w:rFonts w:hint="eastAsia" w:ascii="宋体" w:hAnsi="宋体"/>
          <w:sz w:val="21"/>
          <w:szCs w:val="21"/>
        </w:rPr>
        <w:t>，封面应注明“正本”、“副本”字样并</w:t>
      </w:r>
      <w:r>
        <w:rPr>
          <w:rFonts w:hint="eastAsia" w:ascii="宋体" w:hAnsi="宋体"/>
          <w:sz w:val="21"/>
          <w:szCs w:val="21"/>
          <w:lang w:eastAsia="zh-CN"/>
        </w:rPr>
        <w:t>加盖供应商公章</w:t>
      </w:r>
      <w:r>
        <w:rPr>
          <w:rFonts w:hint="eastAsia" w:ascii="宋体" w:hAnsi="宋体"/>
          <w:sz w:val="21"/>
          <w:szCs w:val="21"/>
        </w:rPr>
        <w:t>、装订成册，副本可用正本复印并在封面上</w:t>
      </w:r>
      <w:r>
        <w:rPr>
          <w:rFonts w:hint="eastAsia" w:ascii="宋体" w:hAnsi="宋体"/>
          <w:sz w:val="21"/>
          <w:szCs w:val="21"/>
          <w:lang w:eastAsia="zh-CN"/>
        </w:rPr>
        <w:t>加盖供应商公章</w:t>
      </w:r>
      <w:r>
        <w:rPr>
          <w:rFonts w:hint="eastAsia" w:ascii="宋体" w:hAnsi="宋体"/>
          <w:sz w:val="21"/>
          <w:szCs w:val="21"/>
        </w:rPr>
        <w:t>。</w:t>
      </w:r>
    </w:p>
    <w:p w14:paraId="31627F0F">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w:t>
      </w:r>
      <w:r>
        <w:rPr>
          <w:rFonts w:hint="eastAsia" w:ascii="宋体" w:hAnsi="宋体"/>
          <w:sz w:val="21"/>
          <w:szCs w:val="21"/>
          <w:lang w:eastAsia="zh-CN"/>
        </w:rPr>
        <w:t>加盖供应商公章</w:t>
      </w:r>
      <w:r>
        <w:rPr>
          <w:rFonts w:hint="eastAsia" w:ascii="宋体" w:hAnsi="宋体"/>
          <w:sz w:val="21"/>
          <w:szCs w:val="21"/>
        </w:rPr>
        <w:t>，如因响应文件未密封导致不能进入磋商环节者，一切后果由供应商自负。</w:t>
      </w:r>
    </w:p>
    <w:p w14:paraId="4F8EB065">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14:paraId="5420F7C1">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p>
    <w:p w14:paraId="2B7D0E65">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7B045817">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rPr>
      </w:pPr>
      <w:r>
        <w:rPr>
          <w:rFonts w:hint="eastAsia" w:ascii="宋体" w:hAnsi="宋体"/>
          <w:sz w:val="21"/>
          <w:szCs w:val="21"/>
        </w:rPr>
        <w:t>8.各供应商需认真阅读以上注意事项，不按要求提供响应文件者后果自负。</w:t>
      </w:r>
    </w:p>
    <w:p w14:paraId="368BC2BF">
      <w:pPr>
        <w:pStyle w:val="2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sz w:val="21"/>
          <w:szCs w:val="21"/>
        </w:rPr>
      </w:pPr>
    </w:p>
    <w:p w14:paraId="75C30394">
      <w:pPr>
        <w:pStyle w:val="2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sz w:val="21"/>
          <w:szCs w:val="21"/>
        </w:rPr>
      </w:pPr>
    </w:p>
    <w:p w14:paraId="3F60E0EC">
      <w:pPr>
        <w:pStyle w:val="25"/>
        <w:spacing w:line="360" w:lineRule="auto"/>
        <w:ind w:firstLine="480" w:firstLineChars="200"/>
        <w:rPr>
          <w:rFonts w:ascii="宋体" w:hAnsi="宋体" w:cs="宋体"/>
          <w:sz w:val="24"/>
        </w:rPr>
      </w:pPr>
    </w:p>
    <w:p w14:paraId="62D01099">
      <w:pPr>
        <w:pStyle w:val="25"/>
        <w:spacing w:line="360" w:lineRule="auto"/>
        <w:ind w:firstLine="480" w:firstLineChars="200"/>
        <w:rPr>
          <w:rFonts w:ascii="宋体" w:hAnsi="宋体" w:cs="宋体"/>
          <w:sz w:val="24"/>
        </w:rPr>
      </w:pPr>
    </w:p>
    <w:p w14:paraId="155A76A3">
      <w:pPr>
        <w:pStyle w:val="25"/>
        <w:spacing w:line="360" w:lineRule="auto"/>
        <w:ind w:firstLine="480" w:firstLineChars="200"/>
        <w:rPr>
          <w:rFonts w:ascii="宋体" w:hAnsi="宋体" w:cs="宋体"/>
          <w:sz w:val="24"/>
        </w:rPr>
      </w:pPr>
    </w:p>
    <w:p w14:paraId="17FF24F9">
      <w:pPr>
        <w:pStyle w:val="25"/>
        <w:spacing w:line="360" w:lineRule="auto"/>
        <w:ind w:firstLine="480" w:firstLineChars="200"/>
        <w:rPr>
          <w:rFonts w:ascii="宋体" w:hAnsi="宋体" w:cs="宋体"/>
          <w:sz w:val="24"/>
        </w:rPr>
      </w:pPr>
    </w:p>
    <w:p w14:paraId="58E455F6">
      <w:pPr>
        <w:pStyle w:val="25"/>
        <w:spacing w:line="360" w:lineRule="auto"/>
        <w:ind w:firstLine="480" w:firstLineChars="200"/>
        <w:rPr>
          <w:rFonts w:ascii="宋体" w:hAnsi="宋体" w:cs="宋体"/>
          <w:sz w:val="24"/>
        </w:rPr>
      </w:pPr>
    </w:p>
    <w:p w14:paraId="14145822">
      <w:pPr>
        <w:pStyle w:val="25"/>
        <w:spacing w:line="360" w:lineRule="auto"/>
        <w:ind w:firstLine="480" w:firstLineChars="200"/>
        <w:rPr>
          <w:rFonts w:ascii="宋体" w:hAnsi="宋体" w:cs="宋体"/>
          <w:sz w:val="24"/>
        </w:rPr>
      </w:pPr>
    </w:p>
    <w:p w14:paraId="7A76C0C1">
      <w:pPr>
        <w:pStyle w:val="25"/>
        <w:spacing w:line="360" w:lineRule="auto"/>
        <w:ind w:firstLine="480" w:firstLineChars="200"/>
        <w:rPr>
          <w:rFonts w:ascii="宋体" w:hAnsi="宋体" w:cs="宋体"/>
          <w:sz w:val="24"/>
        </w:rPr>
      </w:pPr>
    </w:p>
    <w:p w14:paraId="1E2BE59D">
      <w:pPr>
        <w:pStyle w:val="25"/>
        <w:spacing w:line="360" w:lineRule="auto"/>
        <w:ind w:firstLine="480" w:firstLineChars="200"/>
        <w:rPr>
          <w:rFonts w:ascii="宋体" w:hAnsi="宋体" w:cs="宋体"/>
          <w:sz w:val="24"/>
        </w:rPr>
      </w:pPr>
    </w:p>
    <w:p w14:paraId="14A89507">
      <w:pPr>
        <w:pStyle w:val="25"/>
        <w:spacing w:line="360" w:lineRule="auto"/>
        <w:ind w:firstLine="480" w:firstLineChars="200"/>
        <w:rPr>
          <w:rFonts w:ascii="宋体" w:hAnsi="宋体" w:cs="宋体"/>
          <w:sz w:val="24"/>
        </w:rPr>
      </w:pPr>
    </w:p>
    <w:p w14:paraId="7EC35772">
      <w:pPr>
        <w:pStyle w:val="25"/>
        <w:spacing w:line="360" w:lineRule="auto"/>
        <w:ind w:firstLine="480" w:firstLineChars="200"/>
        <w:rPr>
          <w:rFonts w:ascii="宋体" w:hAnsi="宋体" w:cs="宋体"/>
          <w:sz w:val="24"/>
        </w:rPr>
      </w:pPr>
    </w:p>
    <w:p w14:paraId="4FA7BB28">
      <w:pPr>
        <w:pStyle w:val="25"/>
        <w:spacing w:line="360" w:lineRule="auto"/>
        <w:ind w:firstLine="480" w:firstLineChars="200"/>
        <w:rPr>
          <w:rFonts w:ascii="宋体" w:hAnsi="宋体" w:cs="宋体"/>
          <w:sz w:val="24"/>
        </w:rPr>
      </w:pPr>
    </w:p>
    <w:p w14:paraId="3DDFF4E7">
      <w:pPr>
        <w:pStyle w:val="25"/>
        <w:spacing w:line="360" w:lineRule="auto"/>
        <w:ind w:firstLine="480" w:firstLineChars="200"/>
        <w:rPr>
          <w:rFonts w:ascii="宋体" w:hAnsi="宋体" w:cs="宋体"/>
          <w:sz w:val="24"/>
        </w:rPr>
      </w:pPr>
    </w:p>
    <w:p w14:paraId="6AD03716">
      <w:pPr>
        <w:pStyle w:val="25"/>
        <w:spacing w:line="360" w:lineRule="auto"/>
        <w:ind w:firstLine="480" w:firstLineChars="200"/>
        <w:rPr>
          <w:rFonts w:ascii="宋体" w:hAnsi="宋体" w:cs="宋体"/>
          <w:sz w:val="24"/>
        </w:rPr>
      </w:pPr>
    </w:p>
    <w:p w14:paraId="6BE4CA9F">
      <w:pPr>
        <w:pStyle w:val="25"/>
        <w:spacing w:line="360" w:lineRule="auto"/>
        <w:ind w:firstLine="480" w:firstLineChars="200"/>
        <w:rPr>
          <w:rFonts w:ascii="宋体" w:hAnsi="宋体" w:cs="宋体"/>
          <w:sz w:val="24"/>
        </w:rPr>
      </w:pPr>
    </w:p>
    <w:p w14:paraId="5FA6D79E">
      <w:pPr>
        <w:pStyle w:val="25"/>
        <w:spacing w:line="360" w:lineRule="auto"/>
        <w:rPr>
          <w:rFonts w:ascii="宋体" w:hAnsi="宋体" w:cs="宋体"/>
          <w:sz w:val="24"/>
        </w:rPr>
      </w:pPr>
    </w:p>
    <w:p w14:paraId="45472808">
      <w:pPr>
        <w:pStyle w:val="25"/>
        <w:spacing w:line="360" w:lineRule="auto"/>
        <w:rPr>
          <w:rFonts w:ascii="宋体" w:hAnsi="宋体" w:cs="宋体"/>
          <w:sz w:val="24"/>
        </w:rPr>
      </w:pPr>
    </w:p>
    <w:p w14:paraId="15495065">
      <w:pPr>
        <w:pStyle w:val="25"/>
        <w:spacing w:line="360" w:lineRule="auto"/>
        <w:rPr>
          <w:rFonts w:ascii="宋体" w:hAnsi="宋体" w:cs="宋体"/>
          <w:sz w:val="24"/>
        </w:rPr>
      </w:pPr>
    </w:p>
    <w:bookmarkEnd w:id="62"/>
    <w:bookmarkEnd w:id="63"/>
    <w:p w14:paraId="7E55C1D2">
      <w:pPr>
        <w:numPr>
          <w:ilvl w:val="0"/>
          <w:numId w:val="0"/>
        </w:numPr>
        <w:ind w:leftChars="0"/>
        <w:jc w:val="left"/>
        <w:outlineLvl w:val="0"/>
        <w:rPr>
          <w:rFonts w:hint="default"/>
          <w:b/>
          <w:bCs/>
          <w:kern w:val="0"/>
          <w:sz w:val="28"/>
          <w:szCs w:val="28"/>
          <w:lang w:val="en-US" w:eastAsia="zh-CN"/>
        </w:rPr>
      </w:pPr>
      <w:bookmarkStart w:id="72" w:name="_Toc15142"/>
      <w:bookmarkStart w:id="73" w:name="_Toc15011"/>
      <w:bookmarkStart w:id="74" w:name="_Toc88488439"/>
      <w:bookmarkStart w:id="75" w:name="_Toc27752"/>
      <w:r>
        <w:rPr>
          <w:rFonts w:hint="eastAsia"/>
          <w:b/>
          <w:bCs/>
          <w:kern w:val="0"/>
          <w:sz w:val="28"/>
          <w:szCs w:val="28"/>
          <w:lang w:val="en-US" w:eastAsia="zh-CN"/>
        </w:rPr>
        <w:t>第四部分  评分标准</w:t>
      </w:r>
      <w:bookmarkEnd w:id="72"/>
      <w:bookmarkEnd w:id="73"/>
    </w:p>
    <w:p w14:paraId="232524FA">
      <w:pPr>
        <w:adjustRightInd w:val="0"/>
        <w:snapToGrid w:val="0"/>
        <w:spacing w:line="400" w:lineRule="exact"/>
        <w:jc w:val="center"/>
        <w:rPr>
          <w:rFonts w:hint="eastAsia" w:ascii="宋体" w:hAnsi="宋体" w:cs="Times New Roman"/>
          <w:b/>
          <w:bCs/>
          <w:sz w:val="21"/>
          <w:szCs w:val="21"/>
          <w:lang w:val="en-US" w:eastAsia="zh-CN"/>
        </w:rPr>
      </w:pPr>
      <w:bookmarkStart w:id="76" w:name="_Toc413415710"/>
      <w:r>
        <w:rPr>
          <w:rFonts w:hint="eastAsia" w:ascii="宋体" w:hAnsi="宋体" w:cs="Times New Roman"/>
          <w:b/>
          <w:bCs/>
          <w:sz w:val="21"/>
          <w:szCs w:val="21"/>
          <w:lang w:val="en-US" w:eastAsia="zh-CN"/>
        </w:rPr>
        <w:t xml:space="preserve">   </w:t>
      </w:r>
    </w:p>
    <w:p w14:paraId="46F532BF">
      <w:pPr>
        <w:adjustRightInd w:val="0"/>
        <w:snapToGrid w:val="0"/>
        <w:spacing w:line="400" w:lineRule="exact"/>
        <w:jc w:val="center"/>
        <w:rPr>
          <w:rFonts w:hint="eastAsia" w:ascii="宋体" w:hAnsi="宋体" w:cs="Times New Roman"/>
          <w:b/>
          <w:bCs/>
          <w:sz w:val="28"/>
          <w:szCs w:val="28"/>
          <w:lang w:val="en-US" w:eastAsia="zh-CN"/>
        </w:rPr>
      </w:pPr>
      <w:r>
        <w:rPr>
          <w:rFonts w:hint="eastAsia" w:ascii="宋体" w:hAnsi="宋体" w:eastAsia="宋体" w:cs="Times New Roman"/>
          <w:b/>
          <w:bCs/>
          <w:sz w:val="28"/>
          <w:szCs w:val="28"/>
        </w:rPr>
        <w:t>南方医科大学第五附属医院</w:t>
      </w:r>
      <w:bookmarkEnd w:id="76"/>
      <w:r>
        <w:rPr>
          <w:rFonts w:hint="eastAsia" w:ascii="宋体" w:hAnsi="宋体" w:eastAsia="宋体" w:cs="Times New Roman"/>
          <w:b/>
          <w:bCs/>
          <w:sz w:val="28"/>
          <w:szCs w:val="28"/>
        </w:rPr>
        <w:t>院内遴选采购代理机构项目评分</w:t>
      </w:r>
      <w:r>
        <w:rPr>
          <w:rFonts w:hint="eastAsia" w:ascii="宋体" w:hAnsi="宋体" w:cs="Times New Roman"/>
          <w:b/>
          <w:bCs/>
          <w:sz w:val="28"/>
          <w:szCs w:val="28"/>
          <w:lang w:val="en-US" w:eastAsia="zh-CN"/>
        </w:rPr>
        <w:t>标准</w:t>
      </w:r>
    </w:p>
    <w:p w14:paraId="2C27220B">
      <w:pPr>
        <w:adjustRightInd w:val="0"/>
        <w:snapToGrid w:val="0"/>
        <w:spacing w:line="400" w:lineRule="exact"/>
        <w:jc w:val="center"/>
        <w:rPr>
          <w:rFonts w:hint="eastAsia" w:ascii="宋体" w:hAnsi="宋体" w:cs="Times New Roman"/>
          <w:b/>
          <w:bCs/>
          <w:sz w:val="13"/>
          <w:szCs w:val="13"/>
          <w:lang w:val="en-US" w:eastAsia="zh-CN"/>
        </w:rPr>
      </w:pPr>
    </w:p>
    <w:tbl>
      <w:tblPr>
        <w:tblStyle w:val="18"/>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236"/>
        <w:gridCol w:w="7339"/>
        <w:gridCol w:w="763"/>
      </w:tblGrid>
      <w:tr w14:paraId="53DE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FE87585">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 xml:space="preserve">序号 </w:t>
            </w:r>
          </w:p>
        </w:tc>
        <w:tc>
          <w:tcPr>
            <w:tcW w:w="1236" w:type="dxa"/>
            <w:noWrap w:val="0"/>
            <w:vAlign w:val="center"/>
          </w:tcPr>
          <w:p w14:paraId="28C38E09">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评审内容</w:t>
            </w:r>
          </w:p>
        </w:tc>
        <w:tc>
          <w:tcPr>
            <w:tcW w:w="7339" w:type="dxa"/>
            <w:noWrap w:val="0"/>
            <w:vAlign w:val="center"/>
          </w:tcPr>
          <w:p w14:paraId="6D4A89D0">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评审细则</w:t>
            </w:r>
          </w:p>
        </w:tc>
        <w:tc>
          <w:tcPr>
            <w:tcW w:w="763" w:type="dxa"/>
            <w:noWrap w:val="0"/>
            <w:vAlign w:val="center"/>
          </w:tcPr>
          <w:p w14:paraId="7FAE43BC">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分值</w:t>
            </w:r>
          </w:p>
        </w:tc>
      </w:tr>
      <w:tr w14:paraId="7F2C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12" w:type="dxa"/>
            <w:vMerge w:val="restart"/>
            <w:noWrap w:val="0"/>
            <w:vAlign w:val="center"/>
          </w:tcPr>
          <w:p w14:paraId="6A1C925F">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236" w:type="dxa"/>
            <w:vMerge w:val="restart"/>
            <w:noWrap w:val="0"/>
            <w:vAlign w:val="center"/>
          </w:tcPr>
          <w:p w14:paraId="2467C4BA">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工程、货物、服务类别相关</w:t>
            </w:r>
            <w:r>
              <w:rPr>
                <w:rFonts w:hint="eastAsia" w:ascii="宋体" w:hAnsi="宋体" w:eastAsia="宋体" w:cs="宋体"/>
                <w:b/>
                <w:bCs/>
                <w:color w:val="auto"/>
                <w:sz w:val="21"/>
                <w:szCs w:val="21"/>
                <w:highlight w:val="none"/>
              </w:rPr>
              <w:t>业绩</w:t>
            </w:r>
          </w:p>
          <w:p w14:paraId="37DABA6A">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color w:val="auto"/>
                <w:sz w:val="21"/>
                <w:szCs w:val="21"/>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25分）</w:t>
            </w:r>
          </w:p>
        </w:tc>
        <w:tc>
          <w:tcPr>
            <w:tcW w:w="7339" w:type="dxa"/>
            <w:noWrap w:val="0"/>
            <w:vAlign w:val="top"/>
          </w:tcPr>
          <w:p w14:paraId="7C505F45">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各供应商在2021年1月1日起到本项目报名截止时间止：</w:t>
            </w:r>
          </w:p>
          <w:p w14:paraId="7E0F209A">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（1）代理过医疗设备及其相关服务项目的，每提供1个得0.5分，本小项最高得6分；</w:t>
            </w:r>
          </w:p>
          <w:p w14:paraId="67F42211">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（2）代理过工程类和信息类项目的，每提供1个得0.5分，本小项最高得6分；</w:t>
            </w:r>
          </w:p>
          <w:p w14:paraId="0D630364">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（3）代理过普通货物和服务类项目的（除医疗设备、工程和信息类以外项目），每提供1个得0.5分，本小项最高得6分。</w:t>
            </w:r>
          </w:p>
          <w:p w14:paraId="31178EDC">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val="en-US" w:eastAsia="zh-CN"/>
              </w:rPr>
              <w:t>注：本项累计得24分，同一采购单位的业绩只计分1次，不重复得分。需提供完整的项目委托代理协议复印件或中标通知书，并加盖供应商公章。未提供</w:t>
            </w:r>
            <w:r>
              <w:rPr>
                <w:rFonts w:hint="eastAsia" w:ascii="宋体" w:hAnsi="宋体" w:eastAsia="宋体" w:cs="宋体"/>
                <w:b/>
                <w:bCs/>
                <w:color w:val="auto"/>
                <w:kern w:val="2"/>
                <w:sz w:val="21"/>
                <w:szCs w:val="21"/>
                <w:highlight w:val="none"/>
                <w:lang w:val="zh-CN" w:eastAsia="zh-CN" w:bidi="ar-SA"/>
              </w:rPr>
              <w:t>或</w:t>
            </w:r>
            <w:r>
              <w:rPr>
                <w:rFonts w:hint="eastAsia" w:ascii="宋体" w:hAnsi="宋体" w:eastAsia="宋体" w:cs="宋体"/>
                <w:b/>
                <w:bCs/>
                <w:color w:val="auto"/>
                <w:kern w:val="2"/>
                <w:sz w:val="21"/>
                <w:szCs w:val="21"/>
                <w:highlight w:val="none"/>
                <w:lang w:val="en-US" w:eastAsia="zh-CN" w:bidi="ar-SA"/>
              </w:rPr>
              <w:t>不清晰导致</w:t>
            </w:r>
            <w:r>
              <w:rPr>
                <w:rFonts w:hint="eastAsia" w:ascii="宋体" w:hAnsi="宋体" w:eastAsia="宋体" w:cs="宋体"/>
                <w:b/>
                <w:bCs/>
                <w:color w:val="auto"/>
                <w:kern w:val="2"/>
                <w:sz w:val="21"/>
                <w:szCs w:val="21"/>
                <w:highlight w:val="none"/>
                <w:lang w:val="zh-CN" w:eastAsia="zh-CN" w:bidi="ar-SA"/>
              </w:rPr>
              <w:t>专家无法判断是否得分的业绩，一律作不得分处理，</w:t>
            </w:r>
            <w:r>
              <w:rPr>
                <w:rFonts w:hint="eastAsia" w:ascii="宋体" w:hAnsi="宋体" w:eastAsia="宋体" w:cs="宋体"/>
                <w:b/>
                <w:bCs/>
                <w:color w:val="auto"/>
                <w:kern w:val="2"/>
                <w:sz w:val="21"/>
                <w:szCs w:val="21"/>
                <w:highlight w:val="none"/>
                <w:lang w:val="en-US" w:eastAsia="zh-CN" w:bidi="ar-SA"/>
              </w:rPr>
              <w:t>未提供不得分</w:t>
            </w:r>
            <w:r>
              <w:rPr>
                <w:rFonts w:hint="eastAsia" w:ascii="宋体" w:hAnsi="宋体" w:eastAsia="宋体" w:cs="宋体"/>
                <w:b/>
                <w:bCs/>
                <w:color w:val="auto"/>
                <w:kern w:val="2"/>
                <w:sz w:val="21"/>
                <w:szCs w:val="21"/>
                <w:highlight w:val="none"/>
                <w:lang w:val="zh-CN" w:eastAsia="zh-CN" w:bidi="ar-SA"/>
              </w:rPr>
              <w:t>。</w:t>
            </w:r>
          </w:p>
        </w:tc>
        <w:tc>
          <w:tcPr>
            <w:tcW w:w="763" w:type="dxa"/>
            <w:noWrap w:val="0"/>
            <w:vAlign w:val="center"/>
          </w:tcPr>
          <w:p w14:paraId="28F892DE">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18</w:t>
            </w:r>
            <w:r>
              <w:rPr>
                <w:rFonts w:hint="eastAsia" w:ascii="宋体" w:hAnsi="宋体" w:eastAsia="宋体" w:cs="宋体"/>
                <w:color w:val="auto"/>
                <w:sz w:val="21"/>
                <w:szCs w:val="21"/>
                <w:lang w:bidi="ar"/>
              </w:rPr>
              <w:t>分</w:t>
            </w:r>
          </w:p>
        </w:tc>
      </w:tr>
      <w:tr w14:paraId="70F3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12" w:type="dxa"/>
            <w:vMerge w:val="continue"/>
            <w:noWrap w:val="0"/>
            <w:vAlign w:val="center"/>
          </w:tcPr>
          <w:p w14:paraId="6364B5B6">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p>
        </w:tc>
        <w:tc>
          <w:tcPr>
            <w:tcW w:w="1236" w:type="dxa"/>
            <w:vMerge w:val="continue"/>
            <w:noWrap w:val="0"/>
            <w:vAlign w:val="center"/>
          </w:tcPr>
          <w:p w14:paraId="67AC0616">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color w:val="auto"/>
                <w:sz w:val="21"/>
                <w:szCs w:val="21"/>
                <w:lang w:bidi="ar"/>
              </w:rPr>
            </w:pPr>
          </w:p>
        </w:tc>
        <w:tc>
          <w:tcPr>
            <w:tcW w:w="7339" w:type="dxa"/>
            <w:noWrap w:val="0"/>
            <w:vAlign w:val="top"/>
          </w:tcPr>
          <w:p w14:paraId="427949F7">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市场需求调查业绩：</w:t>
            </w:r>
          </w:p>
          <w:p w14:paraId="60341F8B">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（1）单个市场需求调查业绩，预估金额≥5000万元，每个得1分，满分4分；</w:t>
            </w:r>
          </w:p>
          <w:p w14:paraId="4F1B100A">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（2）单个市场需求调查业绩，1000万元≤预估金额＜5000万元，每个得0.5分；满分3分。</w:t>
            </w:r>
          </w:p>
          <w:p w14:paraId="29AEF5AE">
            <w:pPr>
              <w:pStyle w:val="27"/>
              <w:keepNext w:val="0"/>
              <w:keepLines w:val="0"/>
              <w:pageBreakBefore w:val="0"/>
              <w:numPr>
                <w:ilvl w:val="0"/>
                <w:numId w:val="0"/>
              </w:numPr>
              <w:kinsoku/>
              <w:wordWrap/>
              <w:overflowPunct/>
              <w:topLinePunct w:val="0"/>
              <w:autoSpaceDN/>
              <w:bidi w:val="0"/>
              <w:adjustRightInd/>
              <w:snapToGrid/>
              <w:spacing w:line="240" w:lineRule="exact"/>
              <w:ind w:leftChars="0"/>
              <w:textAlignment w:val="auto"/>
              <w:rPr>
                <w:rFonts w:hint="eastAsia" w:ascii="宋体" w:hAnsi="宋体" w:eastAsia="宋体" w:cs="宋体"/>
                <w:b w:val="0"/>
                <w:bCs w:val="0"/>
                <w:color w:val="auto"/>
                <w:sz w:val="21"/>
                <w:szCs w:val="21"/>
                <w:lang w:bidi="ar"/>
              </w:rPr>
            </w:pPr>
            <w:r>
              <w:rPr>
                <w:rFonts w:hint="eastAsia" w:ascii="宋体" w:hAnsi="宋体" w:eastAsia="宋体" w:cs="宋体"/>
                <w:b/>
                <w:bCs/>
                <w:color w:val="auto"/>
                <w:kern w:val="0"/>
                <w:sz w:val="21"/>
                <w:szCs w:val="21"/>
                <w:lang w:eastAsia="zh-CN"/>
              </w:rPr>
              <w:t>注：</w:t>
            </w:r>
            <w:r>
              <w:rPr>
                <w:rFonts w:hint="eastAsia" w:ascii="宋体" w:hAnsi="宋体" w:eastAsia="宋体" w:cs="宋体"/>
                <w:b/>
                <w:bCs/>
                <w:color w:val="auto"/>
                <w:kern w:val="0"/>
                <w:sz w:val="21"/>
                <w:szCs w:val="21"/>
              </w:rPr>
              <w:t>市场需求调查的数量和预估金额以其所代理项目调查公告为准，若调查公告上未标明预估金额，则以合同或由业主出具的有效证明资料为准。</w:t>
            </w:r>
            <w:r>
              <w:rPr>
                <w:rFonts w:hint="eastAsia" w:ascii="宋体" w:hAnsi="宋体" w:eastAsia="宋体" w:cs="宋体"/>
                <w:b/>
                <w:bCs/>
                <w:color w:val="auto"/>
                <w:kern w:val="0"/>
                <w:sz w:val="21"/>
                <w:szCs w:val="21"/>
                <w:lang w:eastAsia="zh-CN"/>
              </w:rPr>
              <w:t>提供相关证明文件作为评审依据。</w:t>
            </w:r>
          </w:p>
        </w:tc>
        <w:tc>
          <w:tcPr>
            <w:tcW w:w="763" w:type="dxa"/>
            <w:noWrap w:val="0"/>
            <w:vAlign w:val="center"/>
          </w:tcPr>
          <w:p w14:paraId="434A2F2D">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7分</w:t>
            </w:r>
          </w:p>
        </w:tc>
      </w:tr>
      <w:tr w14:paraId="3C67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12" w:type="dxa"/>
            <w:vMerge w:val="restart"/>
            <w:noWrap w:val="0"/>
            <w:vAlign w:val="center"/>
          </w:tcPr>
          <w:p w14:paraId="11030FCA">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236" w:type="dxa"/>
            <w:vMerge w:val="restart"/>
            <w:noWrap w:val="0"/>
            <w:vAlign w:val="center"/>
          </w:tcPr>
          <w:p w14:paraId="75CCE70D">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企业实力</w:t>
            </w:r>
          </w:p>
          <w:p w14:paraId="13BC36CC">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（5分）</w:t>
            </w:r>
          </w:p>
        </w:tc>
        <w:tc>
          <w:tcPr>
            <w:tcW w:w="7339" w:type="dxa"/>
            <w:noWrap w:val="0"/>
            <w:vAlign w:val="top"/>
          </w:tcPr>
          <w:p w14:paraId="44DB87D0">
            <w:pPr>
              <w:keepNext w:val="0"/>
              <w:keepLines w:val="0"/>
              <w:pageBreakBefore w:val="0"/>
              <w:kinsoku/>
              <w:wordWrap/>
              <w:overflowPunct/>
              <w:topLinePunct w:val="0"/>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具有在</w:t>
            </w:r>
            <w:r>
              <w:rPr>
                <w:rFonts w:hint="eastAsia" w:ascii="宋体" w:hAnsi="宋体" w:eastAsia="宋体" w:cs="宋体"/>
                <w:color w:val="auto"/>
                <w:sz w:val="21"/>
                <w:szCs w:val="21"/>
                <w:highlight w:val="none"/>
                <w:lang w:val="en-US" w:eastAsia="zh-CN"/>
              </w:rPr>
              <w:t>有效期内的ISO质量管理体系认证证书、环境管理体系认证证书、职业健康安全管理体系认证证书，每提供1份得1分，最高得3分，不提供不得分。</w:t>
            </w:r>
          </w:p>
          <w:p w14:paraId="3C2C7C6A">
            <w:pPr>
              <w:keepNext w:val="0"/>
              <w:keepLines w:val="0"/>
              <w:pageBreakBefore w:val="0"/>
              <w:kinsoku/>
              <w:wordWrap/>
              <w:overflowPunct/>
              <w:topLinePunct w:val="0"/>
              <w:autoSpaceDN/>
              <w:bidi w:val="0"/>
              <w:adjustRightInd/>
              <w:snapToGrid/>
              <w:spacing w:line="240" w:lineRule="exact"/>
              <w:jc w:val="left"/>
              <w:textAlignment w:val="auto"/>
              <w:rPr>
                <w:rFonts w:hint="eastAsia" w:ascii="宋体" w:hAnsi="宋体" w:eastAsia="宋体" w:cs="宋体"/>
                <w:b w:val="0"/>
                <w:bCs/>
                <w:color w:val="auto"/>
                <w:sz w:val="21"/>
                <w:szCs w:val="21"/>
                <w:lang w:bidi="ar"/>
              </w:rPr>
            </w:pPr>
            <w:r>
              <w:rPr>
                <w:rFonts w:hint="eastAsia" w:ascii="宋体" w:hAnsi="宋体" w:eastAsia="宋体" w:cs="宋体"/>
                <w:b/>
                <w:bCs/>
                <w:color w:val="auto"/>
                <w:sz w:val="21"/>
                <w:szCs w:val="21"/>
                <w:highlight w:val="none"/>
                <w:lang w:val="en-US" w:eastAsia="zh-CN"/>
              </w:rPr>
              <w:t>注：须同时提供</w:t>
            </w:r>
            <w:r>
              <w:rPr>
                <w:rFonts w:hint="eastAsia" w:ascii="宋体" w:hAnsi="宋体" w:eastAsia="宋体" w:cs="宋体"/>
                <w:b/>
                <w:bCs/>
                <w:color w:val="auto"/>
                <w:sz w:val="21"/>
                <w:szCs w:val="21"/>
              </w:rPr>
              <w:t>认证</w:t>
            </w:r>
            <w:r>
              <w:rPr>
                <w:rFonts w:hint="eastAsia" w:ascii="宋体" w:hAnsi="宋体" w:eastAsia="宋体" w:cs="宋体"/>
                <w:b/>
                <w:color w:val="auto"/>
                <w:sz w:val="21"/>
                <w:szCs w:val="21"/>
              </w:rPr>
              <w:t>证书复印件和打印网站公布的链接信息资料【网址以http：//www.cnca.gov.cn/网站公布为准】。</w:t>
            </w:r>
          </w:p>
        </w:tc>
        <w:tc>
          <w:tcPr>
            <w:tcW w:w="763" w:type="dxa"/>
            <w:noWrap w:val="0"/>
            <w:vAlign w:val="center"/>
          </w:tcPr>
          <w:p w14:paraId="4BD7BE33">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3分</w:t>
            </w:r>
          </w:p>
        </w:tc>
      </w:tr>
      <w:tr w14:paraId="2BD8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12" w:type="dxa"/>
            <w:vMerge w:val="continue"/>
            <w:noWrap w:val="0"/>
            <w:vAlign w:val="center"/>
          </w:tcPr>
          <w:p w14:paraId="6BBB30C1">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p>
        </w:tc>
        <w:tc>
          <w:tcPr>
            <w:tcW w:w="1236" w:type="dxa"/>
            <w:vMerge w:val="continue"/>
            <w:noWrap w:val="0"/>
            <w:vAlign w:val="center"/>
          </w:tcPr>
          <w:p w14:paraId="249AEAB6">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p>
        </w:tc>
        <w:tc>
          <w:tcPr>
            <w:tcW w:w="7339" w:type="dxa"/>
            <w:noWrap w:val="0"/>
            <w:vAlign w:val="top"/>
          </w:tcPr>
          <w:p w14:paraId="74D790F3">
            <w:pPr>
              <w:keepNext w:val="0"/>
              <w:keepLines w:val="0"/>
              <w:pageBreakBefore w:val="0"/>
              <w:kinsoku/>
              <w:wordWrap/>
              <w:overflowPunct/>
              <w:topLinePunct w:val="0"/>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具</w:t>
            </w:r>
            <w:r>
              <w:rPr>
                <w:rFonts w:hint="eastAsia" w:ascii="宋体" w:hAnsi="宋体" w:eastAsia="宋体" w:cs="宋体"/>
                <w:color w:val="auto"/>
                <w:sz w:val="21"/>
                <w:szCs w:val="21"/>
                <w:highlight w:val="none"/>
                <w:lang w:val="en-US" w:eastAsia="zh-CN"/>
              </w:rPr>
              <w:t>备电子评标系统且已投入使用，得2分，没有不得分。</w:t>
            </w:r>
          </w:p>
          <w:p w14:paraId="2AE34D91">
            <w:pPr>
              <w:keepNext w:val="0"/>
              <w:keepLines w:val="0"/>
              <w:pageBreakBefore w:val="0"/>
              <w:kinsoku/>
              <w:wordWrap/>
              <w:overflowPunct/>
              <w:topLinePunct w:val="0"/>
              <w:autoSpaceDN/>
              <w:bidi w:val="0"/>
              <w:adjustRightInd/>
              <w:snapToGrid/>
              <w:spacing w:line="240" w:lineRule="exact"/>
              <w:jc w:val="left"/>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sz w:val="21"/>
                <w:szCs w:val="21"/>
                <w:highlight w:val="none"/>
                <w:lang w:val="en-US" w:eastAsia="zh-CN"/>
              </w:rPr>
              <w:t>注：提供任意一个采用综合评分法评审的项目评审过程的评委个人评分及汇总界面的截屏，否则不得分。</w:t>
            </w:r>
          </w:p>
        </w:tc>
        <w:tc>
          <w:tcPr>
            <w:tcW w:w="763" w:type="dxa"/>
            <w:noWrap w:val="0"/>
            <w:vAlign w:val="center"/>
          </w:tcPr>
          <w:p w14:paraId="364C5DB8">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2分</w:t>
            </w:r>
          </w:p>
        </w:tc>
      </w:tr>
      <w:tr w14:paraId="4DC2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noWrap w:val="0"/>
            <w:vAlign w:val="center"/>
          </w:tcPr>
          <w:p w14:paraId="281E31BB">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sz w:val="21"/>
                <w:szCs w:val="21"/>
                <w:lang w:eastAsia="zh-CN" w:bidi="ar"/>
              </w:rPr>
            </w:pPr>
            <w:r>
              <w:rPr>
                <w:rFonts w:hint="eastAsia" w:ascii="宋体" w:hAnsi="宋体" w:eastAsia="宋体" w:cs="宋体"/>
                <w:b/>
                <w:sz w:val="21"/>
                <w:szCs w:val="21"/>
                <w:lang w:val="en-US" w:eastAsia="zh-CN" w:bidi="ar"/>
              </w:rPr>
              <w:t>3</w:t>
            </w:r>
          </w:p>
        </w:tc>
        <w:tc>
          <w:tcPr>
            <w:tcW w:w="1236" w:type="dxa"/>
            <w:noWrap w:val="0"/>
            <w:vAlign w:val="center"/>
          </w:tcPr>
          <w:p w14:paraId="5A17EE2D">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需求响应情况</w:t>
            </w:r>
          </w:p>
          <w:p w14:paraId="52465499">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（15分）</w:t>
            </w:r>
          </w:p>
        </w:tc>
        <w:tc>
          <w:tcPr>
            <w:tcW w:w="7339" w:type="dxa"/>
            <w:noWrap w:val="0"/>
            <w:vAlign w:val="center"/>
          </w:tcPr>
          <w:p w14:paraId="3A34B786">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根据供应商“用户需求偏离表”中对本项目需求响应情况进行评价：</w:t>
            </w:r>
          </w:p>
          <w:p w14:paraId="1C7DDFAA">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优：对采购文件中各条款的响应非常全面，优于采购文件要求的，得15分；</w:t>
            </w:r>
          </w:p>
          <w:p w14:paraId="44E1379E">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良：对采购文件中各条款的响应全面，符合采购文件要求的，得10分；</w:t>
            </w:r>
          </w:p>
          <w:p w14:paraId="3377AF51">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中：对采购文件中各条款的响应较全面，基本满足采购文件要求的，得5分；</w:t>
            </w:r>
          </w:p>
          <w:p w14:paraId="05C353FE">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差：对采购文件中各条款的响应较差，只有部分满足采购文件要求的，得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6890D485">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注：不填写用户需求偏离表的或填写不完整的视为不响应采购文件要求，不得分。</w:t>
            </w:r>
          </w:p>
        </w:tc>
        <w:tc>
          <w:tcPr>
            <w:tcW w:w="763" w:type="dxa"/>
            <w:noWrap w:val="0"/>
            <w:vAlign w:val="center"/>
          </w:tcPr>
          <w:p w14:paraId="6B8FFE7C">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bidi="ar"/>
              </w:rPr>
              <w:t>分</w:t>
            </w:r>
          </w:p>
        </w:tc>
      </w:tr>
      <w:tr w14:paraId="494F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2" w:type="dxa"/>
            <w:noWrap w:val="0"/>
            <w:vAlign w:val="center"/>
          </w:tcPr>
          <w:p w14:paraId="766DF570">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236" w:type="dxa"/>
            <w:noWrap w:val="0"/>
            <w:vAlign w:val="center"/>
          </w:tcPr>
          <w:p w14:paraId="7F9AF500">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服务措施</w:t>
            </w:r>
          </w:p>
          <w:p w14:paraId="20DFEDE4">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（18分）</w:t>
            </w:r>
          </w:p>
        </w:tc>
        <w:tc>
          <w:tcPr>
            <w:tcW w:w="7339" w:type="dxa"/>
            <w:noWrap w:val="0"/>
            <w:vAlign w:val="center"/>
          </w:tcPr>
          <w:p w14:paraId="28A56E32">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供应商提供的质量保证措施、进度控制措施及风险控制措施、异常情况处理措施、全程保密措施、档案管理、增殖服务、对降低采购人采购成本、</w:t>
            </w:r>
            <w:r>
              <w:rPr>
                <w:rFonts w:hint="eastAsia" w:ascii="宋体" w:hAnsi="宋体" w:eastAsia="宋体" w:cs="宋体"/>
                <w:sz w:val="21"/>
                <w:szCs w:val="21"/>
                <w:highlight w:val="none"/>
                <w:lang w:val="zh-CN"/>
              </w:rPr>
              <w:t>提高采购人采购效率和减少采购人事务性工作</w:t>
            </w:r>
            <w:r>
              <w:rPr>
                <w:rFonts w:hint="eastAsia" w:ascii="宋体" w:hAnsi="宋体" w:eastAsia="宋体" w:cs="宋体"/>
                <w:sz w:val="21"/>
                <w:szCs w:val="21"/>
                <w:highlight w:val="none"/>
              </w:rPr>
              <w:t>提出建设性方案等服务方案进行综合评价：</w:t>
            </w:r>
          </w:p>
          <w:p w14:paraId="79FC962C">
            <w:pPr>
              <w:keepNext w:val="0"/>
              <w:keepLines w:val="0"/>
              <w:pageBreakBefore w:val="0"/>
              <w:numPr>
                <w:ilvl w:val="0"/>
                <w:numId w:val="0"/>
              </w:numPr>
              <w:kinsoku/>
              <w:wordWrap/>
              <w:overflowPunct/>
              <w:topLinePunct w:val="0"/>
              <w:autoSpaceDN/>
              <w:bidi w:val="0"/>
              <w:adjustRightInd/>
              <w:snapToGrid/>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优：充分理解项目要求，服务措施完整，针对性强，措施具体操作性强的得18分；</w:t>
            </w:r>
          </w:p>
          <w:p w14:paraId="33D26FE2">
            <w:pPr>
              <w:keepNext w:val="0"/>
              <w:keepLines w:val="0"/>
              <w:pageBreakBefore w:val="0"/>
              <w:numPr>
                <w:ilvl w:val="0"/>
                <w:numId w:val="0"/>
              </w:numPr>
              <w:kinsoku/>
              <w:wordWrap/>
              <w:overflowPunct/>
              <w:topLinePunct w:val="0"/>
              <w:autoSpaceDN/>
              <w:bidi w:val="0"/>
              <w:adjustRightInd/>
              <w:snapToGrid/>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良：较好理解项目要求，服务措施针对性较强，措施较具体操作性较强的得11分；</w:t>
            </w:r>
          </w:p>
          <w:p w14:paraId="0C237F77">
            <w:pPr>
              <w:keepNext w:val="0"/>
              <w:keepLines w:val="0"/>
              <w:pageBreakBefore w:val="0"/>
              <w:numPr>
                <w:ilvl w:val="0"/>
                <w:numId w:val="0"/>
              </w:numPr>
              <w:kinsoku/>
              <w:wordWrap/>
              <w:overflowPunct/>
              <w:topLinePunct w:val="0"/>
              <w:autoSpaceDN/>
              <w:bidi w:val="0"/>
              <w:adjustRightInd/>
              <w:snapToGrid/>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中：对项目要求的基本理解，服务措施针对性一般，措施不具体操作性不强的得4分；</w:t>
            </w:r>
          </w:p>
          <w:p w14:paraId="1FF359A1">
            <w:pPr>
              <w:pStyle w:val="25"/>
              <w:keepNext w:val="0"/>
              <w:keepLines w:val="0"/>
              <w:pageBreakBefore w:val="0"/>
              <w:kinsoku/>
              <w:wordWrap/>
              <w:overflowPunct/>
              <w:topLinePunct w:val="0"/>
              <w:autoSpaceDN/>
              <w:bidi w:val="0"/>
              <w:adjustRightInd/>
              <w:snapToGrid/>
              <w:spacing w:line="24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highlight w:val="none"/>
                <w:lang w:val="en-US" w:eastAsia="zh-CN"/>
              </w:rPr>
              <w:t>差：对项目要求的理解欠缺，服务措施差无操作性或未提供方案不得分。</w:t>
            </w:r>
          </w:p>
        </w:tc>
        <w:tc>
          <w:tcPr>
            <w:tcW w:w="763" w:type="dxa"/>
            <w:noWrap w:val="0"/>
            <w:vAlign w:val="center"/>
          </w:tcPr>
          <w:p w14:paraId="07D1C686">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18分</w:t>
            </w:r>
          </w:p>
        </w:tc>
      </w:tr>
      <w:tr w14:paraId="2B63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2" w:type="dxa"/>
            <w:noWrap w:val="0"/>
            <w:vAlign w:val="center"/>
          </w:tcPr>
          <w:p w14:paraId="55E26D5C">
            <w:pPr>
              <w:pStyle w:val="35"/>
              <w:keepNext w:val="0"/>
              <w:keepLines w:val="0"/>
              <w:pageBreakBefore w:val="0"/>
              <w:widowControl w:val="0"/>
              <w:kinsoku/>
              <w:wordWrap/>
              <w:overflowPunct/>
              <w:topLinePunct w:val="0"/>
              <w:autoSpaceDN/>
              <w:bidi w:val="0"/>
              <w:adjustRightInd/>
              <w:snapToGrid/>
              <w:spacing w:line="240" w:lineRule="exact"/>
              <w:jc w:val="center"/>
              <w:rPr>
                <w:rFonts w:hint="default" w:ascii="宋体" w:hAnsi="宋体" w:eastAsia="宋体" w:cs="宋体"/>
                <w:b/>
                <w:sz w:val="21"/>
                <w:szCs w:val="21"/>
                <w:lang w:val="en-US" w:eastAsia="zh-CN"/>
              </w:rPr>
            </w:pPr>
            <w:r>
              <w:rPr>
                <w:rFonts w:hint="eastAsia" w:ascii="宋体" w:eastAsia="宋体" w:cs="宋体"/>
                <w:b/>
                <w:sz w:val="21"/>
                <w:szCs w:val="21"/>
                <w:lang w:val="en-US" w:eastAsia="zh-CN"/>
              </w:rPr>
              <w:t>5</w:t>
            </w:r>
          </w:p>
        </w:tc>
        <w:tc>
          <w:tcPr>
            <w:tcW w:w="1236" w:type="dxa"/>
            <w:noWrap w:val="0"/>
            <w:vAlign w:val="center"/>
          </w:tcPr>
          <w:p w14:paraId="5094FA5B">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法律保障能力</w:t>
            </w:r>
          </w:p>
          <w:p w14:paraId="75D6AA19">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（2分）</w:t>
            </w:r>
          </w:p>
        </w:tc>
        <w:tc>
          <w:tcPr>
            <w:tcW w:w="7339" w:type="dxa"/>
            <w:noWrap w:val="0"/>
            <w:vAlign w:val="center"/>
          </w:tcPr>
          <w:p w14:paraId="2973C77B">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1.企业具有法律专业执业资格人员或常年聘任律师事务所法律顾问的，得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7D3C87AC">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注：①具有法律专业的职业资格人员的需提供相关资格证书及报名时间截止前3个月内任意1个月本单位社保证明等相关证明材料并加盖公章。</w:t>
            </w:r>
          </w:p>
          <w:p w14:paraId="458C88B0">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②聘任律师事务所法律顾问（提供企业与律师事务所签订的合同关键页及其营业执照复印件等相关证明材料并加盖公章</w:t>
            </w:r>
          </w:p>
        </w:tc>
        <w:tc>
          <w:tcPr>
            <w:tcW w:w="763" w:type="dxa"/>
            <w:noWrap w:val="0"/>
            <w:vAlign w:val="center"/>
          </w:tcPr>
          <w:p w14:paraId="46D914E1">
            <w:pPr>
              <w:keepNext w:val="0"/>
              <w:keepLines w:val="0"/>
              <w:pageBreakBefore w:val="0"/>
              <w:widowControl/>
              <w:kinsoku/>
              <w:wordWrap/>
              <w:overflowPunct/>
              <w:topLinePunct w:val="0"/>
              <w:autoSpaceDN/>
              <w:bidi w:val="0"/>
              <w:adjustRightInd/>
              <w:snapToGrid/>
              <w:spacing w:line="240" w:lineRule="exact"/>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2分</w:t>
            </w:r>
          </w:p>
        </w:tc>
      </w:tr>
      <w:tr w14:paraId="4860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2" w:type="dxa"/>
            <w:noWrap w:val="0"/>
            <w:vAlign w:val="center"/>
          </w:tcPr>
          <w:p w14:paraId="39D48D65">
            <w:pPr>
              <w:pStyle w:val="35"/>
              <w:keepNext w:val="0"/>
              <w:keepLines w:val="0"/>
              <w:pageBreakBefore w:val="0"/>
              <w:widowControl w:val="0"/>
              <w:kinsoku/>
              <w:wordWrap/>
              <w:overflowPunct/>
              <w:topLinePunct w:val="0"/>
              <w:autoSpaceDN/>
              <w:bidi w:val="0"/>
              <w:adjustRightInd/>
              <w:snapToGrid/>
              <w:spacing w:line="240" w:lineRule="exact"/>
              <w:jc w:val="center"/>
              <w:rPr>
                <w:rFonts w:hint="default" w:ascii="宋体" w:hAnsi="宋体" w:eastAsia="宋体" w:cs="宋体"/>
                <w:b/>
                <w:sz w:val="21"/>
                <w:szCs w:val="21"/>
                <w:lang w:val="en-US" w:eastAsia="zh-CN"/>
              </w:rPr>
            </w:pPr>
            <w:r>
              <w:rPr>
                <w:rFonts w:hint="eastAsia" w:ascii="宋体" w:eastAsia="宋体" w:cs="宋体"/>
                <w:b/>
                <w:sz w:val="21"/>
                <w:szCs w:val="21"/>
                <w:lang w:val="en-US" w:eastAsia="zh-CN"/>
              </w:rPr>
              <w:t>6</w:t>
            </w:r>
          </w:p>
        </w:tc>
        <w:tc>
          <w:tcPr>
            <w:tcW w:w="1236" w:type="dxa"/>
            <w:noWrap w:val="0"/>
            <w:vAlign w:val="center"/>
          </w:tcPr>
          <w:p w14:paraId="7C161B82">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项目服务方案</w:t>
            </w:r>
          </w:p>
          <w:p w14:paraId="633E1DC2">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（12分）</w:t>
            </w:r>
          </w:p>
        </w:tc>
        <w:tc>
          <w:tcPr>
            <w:tcW w:w="7339" w:type="dxa"/>
            <w:noWrap w:val="0"/>
            <w:vAlign w:val="center"/>
          </w:tcPr>
          <w:p w14:paraId="51055496">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根据内部管理能力结合采购人实际情况制定的项目服务方案（包括但不限于对采购人项目理解、项目开展流程、项目进度控制措施、风险管控措施等），根据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项目服务方案进行综合评价：</w:t>
            </w:r>
          </w:p>
          <w:p w14:paraId="2502DBE8">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优：</w:t>
            </w:r>
            <w:r>
              <w:rPr>
                <w:rFonts w:hint="eastAsia" w:ascii="宋体" w:hAnsi="宋体" w:eastAsia="宋体" w:cs="宋体"/>
                <w:sz w:val="21"/>
                <w:szCs w:val="21"/>
                <w:highlight w:val="none"/>
              </w:rPr>
              <w:t>项目理解到位、项目开展流程清晰、项目进度控制措施得当、风险管控措施有力，得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p w14:paraId="1F7A43B6">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良：</w:t>
            </w:r>
            <w:r>
              <w:rPr>
                <w:rFonts w:hint="eastAsia" w:ascii="宋体" w:hAnsi="宋体" w:eastAsia="宋体" w:cs="宋体"/>
                <w:sz w:val="21"/>
                <w:szCs w:val="21"/>
                <w:highlight w:val="none"/>
              </w:rPr>
              <w:t>项目理解较到位、项目开展流程较清晰、项目进度控制措施较得当、风险管控措施较有力，得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3A12206A">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项目理解一般到位、项目开展流程一般清晰、项目进度控制措施一般得当、风险管控措施一般，得2分；</w:t>
            </w:r>
          </w:p>
          <w:p w14:paraId="4C222C21">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rPr>
              <w:t>项目理解不到位、项目开展流程不清晰、项目进度控制措施不得当、风险管控措施差，得0分；</w:t>
            </w:r>
          </w:p>
        </w:tc>
        <w:tc>
          <w:tcPr>
            <w:tcW w:w="763" w:type="dxa"/>
            <w:noWrap w:val="0"/>
            <w:vAlign w:val="center"/>
          </w:tcPr>
          <w:p w14:paraId="333E1C1E">
            <w:pPr>
              <w:keepNext w:val="0"/>
              <w:keepLines w:val="0"/>
              <w:pageBreakBefore w:val="0"/>
              <w:widowControl/>
              <w:kinsoku/>
              <w:wordWrap/>
              <w:overflowPunct/>
              <w:topLinePunct w:val="0"/>
              <w:autoSpaceDN/>
              <w:bidi w:val="0"/>
              <w:adjustRightInd/>
              <w:snapToGrid/>
              <w:spacing w:line="240" w:lineRule="exact"/>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12分</w:t>
            </w:r>
          </w:p>
        </w:tc>
      </w:tr>
      <w:tr w14:paraId="3F93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2" w:type="dxa"/>
            <w:noWrap w:val="0"/>
            <w:vAlign w:val="center"/>
          </w:tcPr>
          <w:p w14:paraId="751AA0B3">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eastAsia="zh-CN"/>
              </w:rPr>
            </w:pPr>
            <w:r>
              <w:rPr>
                <w:rFonts w:hint="eastAsia" w:ascii="宋体" w:eastAsia="宋体" w:cs="宋体"/>
                <w:b/>
                <w:sz w:val="21"/>
                <w:szCs w:val="21"/>
                <w:lang w:val="en-US" w:eastAsia="zh-CN"/>
              </w:rPr>
              <w:t>7</w:t>
            </w:r>
          </w:p>
        </w:tc>
        <w:tc>
          <w:tcPr>
            <w:tcW w:w="1236" w:type="dxa"/>
            <w:noWrap w:val="0"/>
            <w:vAlign w:val="center"/>
          </w:tcPr>
          <w:p w14:paraId="5825CE39">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拟安排对接的项目负责人</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（3分）</w:t>
            </w:r>
          </w:p>
        </w:tc>
        <w:tc>
          <w:tcPr>
            <w:tcW w:w="7339" w:type="dxa"/>
            <w:noWrap w:val="0"/>
            <w:vAlign w:val="center"/>
          </w:tcPr>
          <w:p w14:paraId="642B9AC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根据各供应商为本项目配备的项目负责人具备政府采购招标工作经验的，满8年得1分，工作经验每增加1年加1分，最高3分。</w:t>
            </w:r>
          </w:p>
          <w:p w14:paraId="45FB6522">
            <w:pPr>
              <w:pStyle w:val="25"/>
              <w:keepNext w:val="0"/>
              <w:keepLines w:val="0"/>
              <w:pageBreakBefore w:val="0"/>
              <w:kinsoku/>
              <w:wordWrap/>
              <w:overflowPunct/>
              <w:topLinePunct w:val="0"/>
              <w:autoSpaceDN/>
              <w:bidi w:val="0"/>
              <w:adjustRightInd/>
              <w:snapToGrid/>
              <w:spacing w:line="240" w:lineRule="exact"/>
              <w:rPr>
                <w:rFonts w:hint="eastAsia" w:ascii="宋体" w:hAnsi="宋体" w:eastAsia="宋体" w:cs="宋体"/>
                <w:color w:val="auto"/>
                <w:sz w:val="21"/>
                <w:szCs w:val="21"/>
                <w:lang w:bidi="ar"/>
              </w:rPr>
            </w:pPr>
            <w:r>
              <w:rPr>
                <w:rFonts w:hint="eastAsia" w:ascii="宋体" w:hAnsi="宋体" w:eastAsia="宋体" w:cs="宋体"/>
                <w:b/>
                <w:bCs/>
                <w:color w:val="auto"/>
                <w:kern w:val="2"/>
                <w:sz w:val="21"/>
                <w:szCs w:val="21"/>
                <w:highlight w:val="none"/>
                <w:lang w:val="en-US" w:eastAsia="zh-CN" w:bidi="ar-SA"/>
              </w:rPr>
              <w:t>注：提供项目负责人简历、工作经验证明等（如果符合工作经验评审得分的，注意提供符合工作经验年限要求的社保证明）等证明材料，不具备的不得分。</w:t>
            </w:r>
          </w:p>
        </w:tc>
        <w:tc>
          <w:tcPr>
            <w:tcW w:w="763" w:type="dxa"/>
            <w:noWrap w:val="0"/>
            <w:vAlign w:val="center"/>
          </w:tcPr>
          <w:p w14:paraId="17F9F6EE">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分</w:t>
            </w:r>
          </w:p>
        </w:tc>
      </w:tr>
      <w:tr w14:paraId="4DF0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2" w:type="dxa"/>
            <w:noWrap w:val="0"/>
            <w:vAlign w:val="center"/>
          </w:tcPr>
          <w:p w14:paraId="04F9E4FF">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eastAsia="宋体" w:cs="宋体"/>
                <w:b/>
                <w:sz w:val="21"/>
                <w:szCs w:val="21"/>
                <w:lang w:val="en-US" w:eastAsia="zh-CN"/>
              </w:rPr>
              <w:t>8</w:t>
            </w:r>
          </w:p>
        </w:tc>
        <w:tc>
          <w:tcPr>
            <w:tcW w:w="1236" w:type="dxa"/>
            <w:noWrap w:val="0"/>
            <w:vAlign w:val="center"/>
          </w:tcPr>
          <w:p w14:paraId="6D26EE0D">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拟安排对接的项目团队（不含项目负责人）</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（5分）</w:t>
            </w:r>
          </w:p>
        </w:tc>
        <w:tc>
          <w:tcPr>
            <w:tcW w:w="7339" w:type="dxa"/>
            <w:noWrap w:val="0"/>
            <w:vAlign w:val="center"/>
          </w:tcPr>
          <w:p w14:paraId="4E6955E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根据各供应商拟安排于本项目的项目团队成员（项目负责人除外）具备政府采购招标2年或以上工作经验的，每提供1人得1分，该项最高得5分。</w:t>
            </w:r>
          </w:p>
          <w:p w14:paraId="058FC04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kern w:val="2"/>
                <w:sz w:val="21"/>
                <w:szCs w:val="21"/>
                <w:highlight w:val="none"/>
                <w:lang w:val="en-US" w:eastAsia="zh-CN" w:bidi="ar-SA"/>
              </w:rPr>
              <w:t>注：提供项目团队成员简历、学历证书复印件、社保证明复印件（如果符合工作经验评审得分的，注意提供符合工作经验年限要求的社保证明）等证明材料，不具备的不得分。</w:t>
            </w:r>
          </w:p>
        </w:tc>
        <w:tc>
          <w:tcPr>
            <w:tcW w:w="763" w:type="dxa"/>
            <w:noWrap w:val="0"/>
            <w:vAlign w:val="center"/>
          </w:tcPr>
          <w:p w14:paraId="47E1C147">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5分</w:t>
            </w:r>
          </w:p>
        </w:tc>
      </w:tr>
      <w:tr w14:paraId="4A7B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712" w:type="dxa"/>
            <w:noWrap w:val="0"/>
            <w:vAlign w:val="center"/>
          </w:tcPr>
          <w:p w14:paraId="66C00C34">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eastAsia="宋体" w:cs="宋体"/>
                <w:b/>
                <w:sz w:val="21"/>
                <w:szCs w:val="21"/>
                <w:lang w:val="en-US" w:eastAsia="zh-CN"/>
              </w:rPr>
              <w:t>9</w:t>
            </w:r>
          </w:p>
        </w:tc>
        <w:tc>
          <w:tcPr>
            <w:tcW w:w="1236" w:type="dxa"/>
            <w:noWrap w:val="0"/>
            <w:vAlign w:val="center"/>
          </w:tcPr>
          <w:p w14:paraId="05A350DA">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开评标房间数量、设备设施完备情况</w:t>
            </w:r>
          </w:p>
          <w:p w14:paraId="2A886EED">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（5分）</w:t>
            </w:r>
          </w:p>
        </w:tc>
        <w:tc>
          <w:tcPr>
            <w:tcW w:w="7339" w:type="dxa"/>
            <w:noWrap w:val="0"/>
            <w:vAlign w:val="center"/>
          </w:tcPr>
          <w:p w14:paraId="57CC82E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考核各供应商的开评标区域与办公区域是否有效相互独立，开标区与评标区域是否能有效相互物理隔离，是否具备独立的专家集中室，是否在开评标区域(包含专家集中点)安装视频监控，满足全区域、全过程、无死角监控，确保政府采购当事人活动全过程监控，杜绝无监控的小黑屋，</w:t>
            </w:r>
            <w:r>
              <w:rPr>
                <w:rFonts w:hint="eastAsia" w:ascii="宋体" w:hAnsi="宋体" w:eastAsia="宋体" w:cs="宋体"/>
                <w:color w:val="auto"/>
                <w:kern w:val="2"/>
                <w:sz w:val="21"/>
                <w:szCs w:val="21"/>
                <w:highlight w:val="none"/>
                <w:lang w:val="en-US" w:eastAsia="zh-CN" w:bidi="ar-SA"/>
              </w:rPr>
              <w:t>开评标房间数量、</w:t>
            </w:r>
            <w:r>
              <w:rPr>
                <w:rFonts w:hint="eastAsia" w:ascii="宋体" w:hAnsi="宋体" w:eastAsia="宋体" w:cs="宋体"/>
                <w:b w:val="0"/>
                <w:bCs w:val="0"/>
                <w:color w:val="auto"/>
                <w:kern w:val="2"/>
                <w:sz w:val="21"/>
                <w:szCs w:val="21"/>
                <w:highlight w:val="none"/>
                <w:lang w:val="en-US" w:eastAsia="zh-CN" w:bidi="ar-SA"/>
              </w:rPr>
              <w:t>确保开评标活动有效进行等进行综合评分：</w:t>
            </w:r>
          </w:p>
          <w:p w14:paraId="2D10734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优：各个功能区域划分合理，能完全隔离，视频监控能全过程、无死角，能确保评审专家进入评审区域不受干扰，得5分；</w:t>
            </w:r>
          </w:p>
          <w:p w14:paraId="7FFEDCC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良：各个功能区域划分较合理，能较好隔离，视频监控能全过程，无死角，较好能确保评审专家进入评审区域不受干扰，得3分</w:t>
            </w:r>
          </w:p>
          <w:p w14:paraId="565FAC4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中：各个功能区域划分基本合理，基本能隔离，视频监控能全过程，无死角，基本能确保评审专家进入评审区域不受干扰，得1分</w:t>
            </w:r>
          </w:p>
          <w:p w14:paraId="1F07FE1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差：各个功能区域混合，不能隔离，视频监控不能全过程、有死角，不能确保评审专家进入评审区域不受干扰，得0分；</w:t>
            </w:r>
          </w:p>
          <w:p w14:paraId="6019CBD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注：1.提供房屋所有权证或房屋租赁合同复印件，并加盖公章，未提供不得分。</w:t>
            </w:r>
          </w:p>
          <w:p w14:paraId="2CDCC0AA">
            <w:pPr>
              <w:keepNext w:val="0"/>
              <w:keepLines w:val="0"/>
              <w:pageBreakBefore w:val="0"/>
              <w:kinsoku/>
              <w:wordWrap/>
              <w:overflowPunct/>
              <w:topLinePunct w:val="0"/>
              <w:autoSpaceDN/>
              <w:bidi w:val="0"/>
              <w:adjustRightInd/>
              <w:snapToGrid/>
              <w:spacing w:line="240" w:lineRule="exact"/>
              <w:rPr>
                <w:rFonts w:hint="eastAsia" w:ascii="宋体" w:hAnsi="宋体" w:eastAsia="宋体" w:cs="宋体"/>
                <w:color w:val="auto"/>
                <w:sz w:val="21"/>
                <w:szCs w:val="21"/>
                <w:lang w:val="en-US"/>
              </w:rPr>
            </w:pPr>
            <w:r>
              <w:rPr>
                <w:rFonts w:hint="eastAsia" w:ascii="宋体" w:hAnsi="宋体" w:eastAsia="宋体" w:cs="宋体"/>
                <w:b/>
                <w:bCs/>
                <w:color w:val="auto"/>
                <w:kern w:val="2"/>
                <w:sz w:val="21"/>
                <w:szCs w:val="21"/>
                <w:highlight w:val="none"/>
                <w:lang w:val="en-US" w:eastAsia="zh-CN" w:bidi="ar-SA"/>
              </w:rPr>
              <w:t>2.提供开评标场所现场照片（照片中需体现监控及录音录像、办公设备设施）。未提供不得分。</w:t>
            </w:r>
          </w:p>
        </w:tc>
        <w:tc>
          <w:tcPr>
            <w:tcW w:w="763" w:type="dxa"/>
            <w:noWrap w:val="0"/>
            <w:vAlign w:val="center"/>
          </w:tcPr>
          <w:p w14:paraId="30681E2D">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5分</w:t>
            </w:r>
          </w:p>
        </w:tc>
      </w:tr>
      <w:tr w14:paraId="18C9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12" w:type="dxa"/>
            <w:noWrap w:val="0"/>
            <w:vAlign w:val="center"/>
          </w:tcPr>
          <w:p w14:paraId="5E99BA57">
            <w:pPr>
              <w:keepNext w:val="0"/>
              <w:keepLines w:val="0"/>
              <w:pageBreakBefore w:val="0"/>
              <w:kinsoku/>
              <w:wordWrap/>
              <w:overflowPunct/>
              <w:topLinePunct w:val="0"/>
              <w:autoSpaceDN/>
              <w:bidi w:val="0"/>
              <w:adjustRightInd/>
              <w:snapToGrid/>
              <w:spacing w:line="240" w:lineRule="exact"/>
              <w:jc w:val="center"/>
              <w:textAlignment w:val="center"/>
              <w:rPr>
                <w:rFonts w:hint="default"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10</w:t>
            </w:r>
          </w:p>
        </w:tc>
        <w:tc>
          <w:tcPr>
            <w:tcW w:w="1236" w:type="dxa"/>
            <w:noWrap w:val="0"/>
            <w:vAlign w:val="center"/>
          </w:tcPr>
          <w:p w14:paraId="78383BEF">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p w14:paraId="0F35FF89">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（10分）</w:t>
            </w:r>
          </w:p>
        </w:tc>
        <w:tc>
          <w:tcPr>
            <w:tcW w:w="7339" w:type="dxa"/>
            <w:noWrap w:val="0"/>
            <w:vAlign w:val="center"/>
          </w:tcPr>
          <w:p w14:paraId="58A87FB7">
            <w:pPr>
              <w:pStyle w:val="4"/>
              <w:keepNext w:val="0"/>
              <w:keepLines w:val="0"/>
              <w:pageBreakBefore w:val="0"/>
              <w:kinsoku/>
              <w:wordWrap/>
              <w:overflowPunct/>
              <w:topLinePunct w:val="0"/>
              <w:autoSpaceDN/>
              <w:bidi w:val="0"/>
              <w:adjustRightInd/>
              <w:snapToGrid/>
              <w:spacing w:line="240" w:lineRule="exact"/>
              <w:ind w:firstLine="0"/>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通过本项目审查且报价最低的报价为评审基准价，其价格分为满分。报价得分 = （评审基准价/最终报价）×价格分值</w:t>
            </w:r>
          </w:p>
        </w:tc>
        <w:tc>
          <w:tcPr>
            <w:tcW w:w="763" w:type="dxa"/>
            <w:noWrap w:val="0"/>
            <w:vAlign w:val="center"/>
          </w:tcPr>
          <w:p w14:paraId="468E2243">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10</w:t>
            </w:r>
            <w:r>
              <w:rPr>
                <w:rFonts w:hint="eastAsia" w:ascii="宋体" w:hAnsi="宋体" w:eastAsia="宋体" w:cs="宋体"/>
                <w:color w:val="auto"/>
                <w:sz w:val="21"/>
                <w:szCs w:val="21"/>
                <w:lang w:bidi="ar"/>
              </w:rPr>
              <w:t>分</w:t>
            </w:r>
          </w:p>
        </w:tc>
      </w:tr>
      <w:tr w14:paraId="0DC6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287" w:type="dxa"/>
            <w:gridSpan w:val="3"/>
            <w:noWrap w:val="0"/>
            <w:vAlign w:val="center"/>
          </w:tcPr>
          <w:p w14:paraId="663C2535">
            <w:pPr>
              <w:pStyle w:val="4"/>
              <w:keepNext w:val="0"/>
              <w:keepLines w:val="0"/>
              <w:pageBreakBefore w:val="0"/>
              <w:kinsoku/>
              <w:wordWrap/>
              <w:overflowPunct/>
              <w:topLinePunct w:val="0"/>
              <w:autoSpaceDN/>
              <w:bidi w:val="0"/>
              <w:adjustRightInd/>
              <w:snapToGrid/>
              <w:spacing w:line="240" w:lineRule="exact"/>
              <w:ind w:firstLine="0"/>
              <w:jc w:val="center"/>
              <w:rPr>
                <w:rFonts w:hint="eastAsia" w:ascii="宋体" w:hAnsi="宋体" w:eastAsia="宋体" w:cs="宋体"/>
                <w:color w:val="auto"/>
                <w:sz w:val="21"/>
                <w:szCs w:val="21"/>
                <w:lang w:bidi="ar"/>
              </w:rPr>
            </w:pPr>
            <w:r>
              <w:rPr>
                <w:rFonts w:hint="eastAsia" w:ascii="宋体" w:hAnsi="宋体" w:eastAsia="宋体" w:cs="宋体"/>
                <w:b/>
                <w:color w:val="auto"/>
                <w:sz w:val="21"/>
                <w:szCs w:val="21"/>
                <w:lang w:bidi="ar"/>
              </w:rPr>
              <w:t>合计</w:t>
            </w:r>
          </w:p>
        </w:tc>
        <w:tc>
          <w:tcPr>
            <w:tcW w:w="763" w:type="dxa"/>
            <w:noWrap w:val="0"/>
            <w:vAlign w:val="center"/>
          </w:tcPr>
          <w:p w14:paraId="2B2FE3AC">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100</w:t>
            </w:r>
          </w:p>
        </w:tc>
      </w:tr>
    </w:tbl>
    <w:p w14:paraId="3451D2B5">
      <w:pPr>
        <w:numPr>
          <w:ilvl w:val="0"/>
          <w:numId w:val="0"/>
        </w:numPr>
        <w:ind w:leftChars="0"/>
        <w:jc w:val="left"/>
        <w:outlineLvl w:val="9"/>
        <w:rPr>
          <w:rFonts w:hint="eastAsia"/>
          <w:b/>
          <w:bCs/>
          <w:kern w:val="0"/>
          <w:sz w:val="21"/>
          <w:szCs w:val="21"/>
          <w:lang w:val="en-US" w:eastAsia="zh-CN"/>
        </w:rPr>
      </w:pPr>
    </w:p>
    <w:p w14:paraId="2A886653">
      <w:pPr>
        <w:numPr>
          <w:ilvl w:val="0"/>
          <w:numId w:val="0"/>
        </w:numPr>
        <w:ind w:leftChars="0"/>
        <w:jc w:val="left"/>
        <w:outlineLvl w:val="9"/>
        <w:rPr>
          <w:rFonts w:hint="eastAsia"/>
          <w:b/>
          <w:bCs/>
          <w:kern w:val="0"/>
          <w:sz w:val="32"/>
          <w:szCs w:val="36"/>
          <w:lang w:val="en-US" w:eastAsia="zh-CN"/>
        </w:rPr>
      </w:pPr>
    </w:p>
    <w:p w14:paraId="5AA1C9D7">
      <w:pPr>
        <w:numPr>
          <w:ilvl w:val="0"/>
          <w:numId w:val="0"/>
        </w:numPr>
        <w:ind w:leftChars="0"/>
        <w:jc w:val="left"/>
        <w:outlineLvl w:val="9"/>
        <w:rPr>
          <w:rFonts w:hint="eastAsia"/>
          <w:b/>
          <w:bCs/>
          <w:kern w:val="0"/>
          <w:sz w:val="32"/>
          <w:szCs w:val="36"/>
          <w:lang w:val="en-US" w:eastAsia="zh-CN"/>
        </w:rPr>
      </w:pPr>
    </w:p>
    <w:p w14:paraId="567DFC85">
      <w:pPr>
        <w:numPr>
          <w:ilvl w:val="0"/>
          <w:numId w:val="0"/>
        </w:numPr>
        <w:ind w:leftChars="0"/>
        <w:jc w:val="left"/>
        <w:outlineLvl w:val="9"/>
        <w:rPr>
          <w:rFonts w:hint="eastAsia"/>
          <w:b/>
          <w:bCs/>
          <w:kern w:val="0"/>
          <w:sz w:val="32"/>
          <w:szCs w:val="36"/>
          <w:lang w:val="en-US" w:eastAsia="zh-CN"/>
        </w:rPr>
      </w:pPr>
    </w:p>
    <w:p w14:paraId="5D14120F">
      <w:pPr>
        <w:numPr>
          <w:ilvl w:val="0"/>
          <w:numId w:val="0"/>
        </w:numPr>
        <w:ind w:leftChars="0"/>
        <w:jc w:val="left"/>
        <w:outlineLvl w:val="9"/>
        <w:rPr>
          <w:rFonts w:hint="eastAsia"/>
          <w:b/>
          <w:bCs/>
          <w:kern w:val="0"/>
          <w:sz w:val="32"/>
          <w:szCs w:val="36"/>
          <w:lang w:val="en-US" w:eastAsia="zh-CN"/>
        </w:rPr>
      </w:pPr>
    </w:p>
    <w:p w14:paraId="5650C7F0">
      <w:pPr>
        <w:numPr>
          <w:ilvl w:val="0"/>
          <w:numId w:val="0"/>
        </w:numPr>
        <w:ind w:leftChars="0"/>
        <w:jc w:val="left"/>
        <w:outlineLvl w:val="9"/>
        <w:rPr>
          <w:rFonts w:hint="eastAsia"/>
          <w:b/>
          <w:bCs/>
          <w:kern w:val="0"/>
          <w:sz w:val="32"/>
          <w:szCs w:val="36"/>
          <w:lang w:val="en-US" w:eastAsia="zh-CN"/>
        </w:rPr>
      </w:pPr>
    </w:p>
    <w:p w14:paraId="682820EF">
      <w:pPr>
        <w:numPr>
          <w:ilvl w:val="0"/>
          <w:numId w:val="0"/>
        </w:numPr>
        <w:ind w:leftChars="0"/>
        <w:jc w:val="left"/>
        <w:outlineLvl w:val="9"/>
        <w:rPr>
          <w:rFonts w:hint="eastAsia"/>
          <w:b/>
          <w:bCs/>
          <w:kern w:val="0"/>
          <w:sz w:val="32"/>
          <w:szCs w:val="36"/>
          <w:lang w:val="en-US" w:eastAsia="zh-CN"/>
        </w:rPr>
      </w:pPr>
    </w:p>
    <w:p w14:paraId="1F583E89">
      <w:pPr>
        <w:numPr>
          <w:ilvl w:val="0"/>
          <w:numId w:val="0"/>
        </w:numPr>
        <w:ind w:leftChars="0"/>
        <w:jc w:val="left"/>
        <w:outlineLvl w:val="9"/>
        <w:rPr>
          <w:rFonts w:hint="eastAsia"/>
          <w:b/>
          <w:bCs/>
          <w:kern w:val="0"/>
          <w:sz w:val="32"/>
          <w:szCs w:val="36"/>
          <w:lang w:val="en-US" w:eastAsia="zh-CN"/>
        </w:rPr>
      </w:pPr>
    </w:p>
    <w:p w14:paraId="68F2639C">
      <w:pPr>
        <w:numPr>
          <w:ilvl w:val="0"/>
          <w:numId w:val="0"/>
        </w:numPr>
        <w:ind w:leftChars="0"/>
        <w:jc w:val="left"/>
        <w:outlineLvl w:val="9"/>
        <w:rPr>
          <w:rFonts w:hint="eastAsia"/>
          <w:b/>
          <w:bCs/>
          <w:kern w:val="0"/>
          <w:sz w:val="32"/>
          <w:szCs w:val="36"/>
          <w:lang w:val="en-US" w:eastAsia="zh-CN"/>
        </w:rPr>
      </w:pPr>
    </w:p>
    <w:p w14:paraId="0AB99E0E">
      <w:pPr>
        <w:numPr>
          <w:ilvl w:val="0"/>
          <w:numId w:val="0"/>
        </w:numPr>
        <w:ind w:leftChars="0"/>
        <w:jc w:val="left"/>
        <w:outlineLvl w:val="9"/>
        <w:rPr>
          <w:rFonts w:hint="eastAsia"/>
          <w:b/>
          <w:bCs/>
          <w:kern w:val="0"/>
          <w:sz w:val="32"/>
          <w:szCs w:val="36"/>
          <w:lang w:val="en-US" w:eastAsia="zh-CN"/>
        </w:rPr>
      </w:pPr>
    </w:p>
    <w:p w14:paraId="6E7FCC8D">
      <w:pPr>
        <w:numPr>
          <w:ilvl w:val="0"/>
          <w:numId w:val="0"/>
        </w:numPr>
        <w:ind w:leftChars="0"/>
        <w:jc w:val="left"/>
        <w:outlineLvl w:val="0"/>
        <w:rPr>
          <w:rFonts w:hint="eastAsia"/>
          <w:b/>
          <w:bCs/>
          <w:kern w:val="0"/>
          <w:sz w:val="28"/>
          <w:szCs w:val="28"/>
          <w:lang w:val="en-US" w:eastAsia="zh-CN"/>
        </w:rPr>
      </w:pPr>
      <w:bookmarkStart w:id="77" w:name="_Toc26661"/>
      <w:bookmarkStart w:id="78" w:name="_Toc28839"/>
    </w:p>
    <w:p w14:paraId="3714BC16">
      <w:pPr>
        <w:numPr>
          <w:ilvl w:val="0"/>
          <w:numId w:val="0"/>
        </w:numPr>
        <w:ind w:leftChars="0"/>
        <w:jc w:val="left"/>
        <w:outlineLvl w:val="0"/>
        <w:rPr>
          <w:rFonts w:hint="eastAsia"/>
          <w:b/>
          <w:bCs/>
          <w:kern w:val="0"/>
          <w:sz w:val="28"/>
          <w:szCs w:val="28"/>
          <w:lang w:val="en-US" w:eastAsia="zh-CN"/>
        </w:rPr>
      </w:pPr>
    </w:p>
    <w:p w14:paraId="2BF979B6">
      <w:pPr>
        <w:numPr>
          <w:ilvl w:val="0"/>
          <w:numId w:val="0"/>
        </w:numPr>
        <w:ind w:leftChars="0"/>
        <w:jc w:val="left"/>
        <w:outlineLvl w:val="0"/>
        <w:rPr>
          <w:rFonts w:hint="eastAsia"/>
          <w:b/>
          <w:bCs/>
          <w:kern w:val="0"/>
          <w:sz w:val="28"/>
          <w:szCs w:val="28"/>
          <w:lang w:val="en-US" w:eastAsia="zh-CN"/>
        </w:rPr>
      </w:pPr>
    </w:p>
    <w:p w14:paraId="543CA834">
      <w:pPr>
        <w:numPr>
          <w:ilvl w:val="0"/>
          <w:numId w:val="0"/>
        </w:numPr>
        <w:ind w:leftChars="0"/>
        <w:jc w:val="left"/>
        <w:outlineLvl w:val="0"/>
        <w:rPr>
          <w:rFonts w:hint="eastAsia"/>
          <w:b/>
          <w:bCs/>
          <w:kern w:val="0"/>
          <w:sz w:val="28"/>
          <w:szCs w:val="28"/>
          <w:lang w:val="en-US" w:eastAsia="zh-CN"/>
        </w:rPr>
      </w:pPr>
    </w:p>
    <w:p w14:paraId="35702FE5">
      <w:pPr>
        <w:numPr>
          <w:ilvl w:val="0"/>
          <w:numId w:val="0"/>
        </w:numPr>
        <w:ind w:leftChars="0"/>
        <w:jc w:val="left"/>
        <w:outlineLvl w:val="0"/>
        <w:rPr>
          <w:rFonts w:hint="eastAsia"/>
          <w:b/>
          <w:bCs/>
          <w:kern w:val="0"/>
          <w:sz w:val="28"/>
          <w:szCs w:val="28"/>
          <w:lang w:val="en-US" w:eastAsia="zh-CN"/>
        </w:rPr>
      </w:pPr>
    </w:p>
    <w:p w14:paraId="2CF79B7D">
      <w:pPr>
        <w:numPr>
          <w:ilvl w:val="0"/>
          <w:numId w:val="0"/>
        </w:numPr>
        <w:ind w:leftChars="0"/>
        <w:jc w:val="left"/>
        <w:outlineLvl w:val="0"/>
        <w:rPr>
          <w:rFonts w:hint="eastAsia"/>
          <w:b/>
          <w:bCs/>
          <w:kern w:val="0"/>
          <w:sz w:val="28"/>
          <w:szCs w:val="28"/>
          <w:lang w:val="en-US" w:eastAsia="zh-CN"/>
        </w:rPr>
      </w:pPr>
    </w:p>
    <w:p w14:paraId="635193A3">
      <w:pPr>
        <w:numPr>
          <w:ilvl w:val="0"/>
          <w:numId w:val="0"/>
        </w:numPr>
        <w:ind w:leftChars="0"/>
        <w:jc w:val="left"/>
        <w:outlineLvl w:val="0"/>
        <w:rPr>
          <w:rFonts w:hint="eastAsia"/>
          <w:b/>
          <w:bCs/>
          <w:kern w:val="0"/>
          <w:sz w:val="28"/>
          <w:szCs w:val="28"/>
        </w:rPr>
      </w:pPr>
      <w:r>
        <w:rPr>
          <w:rFonts w:hint="eastAsia"/>
          <w:b/>
          <w:bCs/>
          <w:kern w:val="0"/>
          <w:sz w:val="28"/>
          <w:szCs w:val="28"/>
          <w:lang w:val="en-US" w:eastAsia="zh-CN"/>
        </w:rPr>
        <w:t xml:space="preserve">第五部分 </w:t>
      </w:r>
      <w:r>
        <w:rPr>
          <w:rFonts w:hint="eastAsia"/>
          <w:b/>
          <w:bCs/>
          <w:kern w:val="0"/>
          <w:sz w:val="28"/>
          <w:szCs w:val="28"/>
        </w:rPr>
        <w:t>相关格式模板</w:t>
      </w:r>
      <w:bookmarkEnd w:id="74"/>
      <w:bookmarkEnd w:id="75"/>
      <w:bookmarkEnd w:id="77"/>
      <w:bookmarkEnd w:id="78"/>
    </w:p>
    <w:p w14:paraId="49370AD2">
      <w:pPr>
        <w:jc w:val="center"/>
        <w:rPr>
          <w:rFonts w:hint="eastAsia" w:ascii="宋体" w:hAnsi="宋体" w:cs="宋体"/>
          <w:b/>
          <w:kern w:val="0"/>
          <w:sz w:val="52"/>
          <w:szCs w:val="52"/>
        </w:rPr>
      </w:pPr>
    </w:p>
    <w:p w14:paraId="4E8F2BDD">
      <w:pPr>
        <w:jc w:val="center"/>
        <w:rPr>
          <w:rFonts w:hint="eastAsia" w:ascii="宋体" w:hAnsi="宋体" w:cs="宋体"/>
          <w:b/>
          <w:kern w:val="0"/>
          <w:sz w:val="52"/>
          <w:szCs w:val="52"/>
        </w:rPr>
      </w:pPr>
    </w:p>
    <w:p w14:paraId="2FB8DE80">
      <w:pPr>
        <w:jc w:val="center"/>
        <w:rPr>
          <w:rFonts w:hint="eastAsia" w:ascii="宋体" w:hAnsi="宋体" w:cs="宋体"/>
          <w:b/>
          <w:kern w:val="0"/>
          <w:sz w:val="52"/>
          <w:szCs w:val="52"/>
        </w:rPr>
      </w:pPr>
    </w:p>
    <w:p w14:paraId="18A98539">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2C4DFF76">
      <w:pPr>
        <w:jc w:val="center"/>
        <w:rPr>
          <w:rFonts w:ascii="宋体" w:hAnsi="宋体" w:cs="宋体"/>
          <w:b/>
          <w:kern w:val="0"/>
          <w:sz w:val="28"/>
          <w:szCs w:val="28"/>
        </w:rPr>
      </w:pPr>
    </w:p>
    <w:p w14:paraId="6A726255">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5630CBBA">
      <w:pPr>
        <w:spacing w:line="480" w:lineRule="auto"/>
        <w:jc w:val="center"/>
        <w:rPr>
          <w:rFonts w:ascii="宋体" w:hAnsi="宋体"/>
          <w:b/>
          <w:bCs/>
          <w:sz w:val="28"/>
          <w:szCs w:val="28"/>
        </w:rPr>
      </w:pPr>
    </w:p>
    <w:p w14:paraId="2EC6EA0A">
      <w:pPr>
        <w:spacing w:line="480" w:lineRule="auto"/>
        <w:jc w:val="center"/>
        <w:rPr>
          <w:rFonts w:ascii="宋体" w:hAnsi="宋体"/>
          <w:b/>
          <w:bCs/>
          <w:sz w:val="72"/>
          <w:szCs w:val="72"/>
        </w:rPr>
      </w:pPr>
    </w:p>
    <w:p w14:paraId="12353328">
      <w:pPr>
        <w:spacing w:line="480" w:lineRule="auto"/>
        <w:jc w:val="center"/>
        <w:rPr>
          <w:rFonts w:ascii="宋体" w:hAnsi="宋体"/>
          <w:b/>
          <w:bCs/>
          <w:sz w:val="72"/>
          <w:szCs w:val="72"/>
        </w:rPr>
      </w:pPr>
      <w:r>
        <w:rPr>
          <w:rFonts w:hint="eastAsia" w:ascii="宋体" w:hAnsi="宋体"/>
          <w:b/>
          <w:bCs/>
          <w:sz w:val="72"/>
          <w:szCs w:val="72"/>
        </w:rPr>
        <w:t>响应文件</w:t>
      </w:r>
    </w:p>
    <w:p w14:paraId="0C63550C">
      <w:pPr>
        <w:widowControl/>
        <w:spacing w:line="360" w:lineRule="auto"/>
        <w:ind w:firstLine="600"/>
        <w:rPr>
          <w:rFonts w:ascii="宋体" w:hAnsi="宋体" w:cs="宋体"/>
          <w:kern w:val="0"/>
          <w:sz w:val="30"/>
          <w:szCs w:val="30"/>
        </w:rPr>
      </w:pPr>
      <w:bookmarkStart w:id="79" w:name="_Toc40346216"/>
      <w:bookmarkStart w:id="80" w:name="_Toc11075"/>
      <w:bookmarkStart w:id="81" w:name="_Toc15870"/>
      <w:bookmarkStart w:id="82" w:name="_Toc29113"/>
      <w:bookmarkStart w:id="83" w:name="_Toc12520"/>
      <w:bookmarkStart w:id="84" w:name="_Toc7291"/>
      <w:bookmarkStart w:id="85" w:name="_Toc3471"/>
      <w:bookmarkStart w:id="86" w:name="_Toc8364"/>
      <w:bookmarkStart w:id="87" w:name="_Toc21249"/>
      <w:bookmarkStart w:id="88" w:name="_Toc26267"/>
      <w:bookmarkStart w:id="89" w:name="_Toc28703"/>
      <w:bookmarkStart w:id="90" w:name="_Toc40776111"/>
      <w:bookmarkStart w:id="91" w:name="_Toc6547"/>
      <w:bookmarkStart w:id="92" w:name="_Toc435"/>
      <w:bookmarkStart w:id="93" w:name="_Toc1994"/>
      <w:bookmarkStart w:id="94" w:name="_Toc11305"/>
      <w:bookmarkStart w:id="95" w:name="_Toc40346375"/>
    </w:p>
    <w:p w14:paraId="24A70F4A">
      <w:pPr>
        <w:widowControl/>
        <w:spacing w:line="360" w:lineRule="auto"/>
        <w:ind w:firstLine="600"/>
        <w:outlineLvl w:val="0"/>
      </w:pPr>
      <w:bookmarkStart w:id="96" w:name="_Toc3966"/>
      <w:bookmarkStart w:id="97" w:name="_Toc4769"/>
      <w:bookmarkStart w:id="98" w:name="_Toc3114"/>
      <w:bookmarkStart w:id="99" w:name="_Toc12024"/>
      <w:r>
        <w:rPr>
          <w:rFonts w:ascii="宋体" w:hAnsi="宋体" w:cs="宋体"/>
          <w:kern w:val="0"/>
          <w:sz w:val="30"/>
          <w:szCs w:val="30"/>
        </w:rPr>
        <w:t>项目编号：</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Start w:id="100" w:name="_Toc40346217"/>
      <w:bookmarkStart w:id="101" w:name="_Toc2916"/>
      <w:bookmarkStart w:id="102" w:name="_Toc1743"/>
      <w:bookmarkStart w:id="103" w:name="_Toc17709"/>
      <w:bookmarkStart w:id="104" w:name="_Toc40776112"/>
      <w:bookmarkStart w:id="105" w:name="_Toc27997"/>
      <w:bookmarkStart w:id="106" w:name="_Toc20884"/>
      <w:bookmarkStart w:id="107" w:name="_Toc40346376"/>
    </w:p>
    <w:p w14:paraId="7F56EBDA">
      <w:pPr>
        <w:widowControl/>
        <w:spacing w:line="360" w:lineRule="auto"/>
        <w:ind w:firstLine="600"/>
        <w:outlineLvl w:val="0"/>
        <w:rPr>
          <w:rFonts w:cs="宋体"/>
          <w:kern w:val="0"/>
          <w:sz w:val="30"/>
          <w:szCs w:val="30"/>
        </w:rPr>
      </w:pPr>
      <w:bookmarkStart w:id="108" w:name="_Toc31538"/>
      <w:bookmarkStart w:id="109" w:name="_Toc26309"/>
      <w:bookmarkStart w:id="110" w:name="_Toc24827"/>
      <w:bookmarkStart w:id="111" w:name="_Toc5238"/>
      <w:bookmarkStart w:id="112" w:name="_Toc23992"/>
      <w:bookmarkStart w:id="113" w:name="_Toc2029"/>
      <w:bookmarkStart w:id="114" w:name="_Toc19699"/>
      <w:bookmarkStart w:id="115" w:name="_Toc2012"/>
      <w:bookmarkStart w:id="116" w:name="_Toc11485"/>
      <w:bookmarkStart w:id="117" w:name="_Toc30979"/>
      <w:bookmarkStart w:id="118" w:name="_Toc23097"/>
      <w:bookmarkStart w:id="119" w:name="_Toc28610"/>
      <w:bookmarkStart w:id="120" w:name="_Toc29102"/>
      <w:r>
        <w:rPr>
          <w:rFonts w:ascii="宋体" w:hAnsi="宋体" w:cs="宋体"/>
          <w:kern w:val="0"/>
          <w:sz w:val="30"/>
          <w:szCs w:val="30"/>
        </w:rPr>
        <w:t>公司名称：</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D51D998">
      <w:pPr>
        <w:widowControl/>
        <w:spacing w:line="360" w:lineRule="auto"/>
        <w:ind w:firstLine="600"/>
        <w:outlineLvl w:val="0"/>
        <w:rPr>
          <w:rFonts w:cs="宋体"/>
          <w:kern w:val="0"/>
          <w:sz w:val="30"/>
          <w:szCs w:val="30"/>
        </w:rPr>
      </w:pPr>
      <w:bookmarkStart w:id="121" w:name="_Toc27867"/>
      <w:bookmarkStart w:id="122" w:name="_Toc14824"/>
      <w:bookmarkStart w:id="123" w:name="_Toc29767"/>
      <w:bookmarkStart w:id="124" w:name="_Toc16794"/>
      <w:bookmarkStart w:id="125" w:name="_Toc17930"/>
      <w:bookmarkStart w:id="126" w:name="_Toc21483"/>
      <w:bookmarkStart w:id="127" w:name="_Toc11141"/>
      <w:bookmarkStart w:id="128" w:name="_Toc4013"/>
      <w:bookmarkStart w:id="129" w:name="_Toc12645"/>
      <w:bookmarkStart w:id="130" w:name="_Toc28064"/>
      <w:bookmarkStart w:id="131" w:name="_Toc40776113"/>
      <w:bookmarkStart w:id="132" w:name="_Toc11558"/>
      <w:bookmarkStart w:id="133" w:name="_Toc4604"/>
      <w:bookmarkStart w:id="134" w:name="_Toc24763"/>
      <w:bookmarkStart w:id="135" w:name="_Toc12113"/>
      <w:bookmarkStart w:id="136" w:name="_Toc10177"/>
      <w:bookmarkStart w:id="137" w:name="_Toc23102"/>
      <w:bookmarkStart w:id="138" w:name="_Toc40346218"/>
      <w:bookmarkStart w:id="139" w:name="_Toc7052"/>
      <w:bookmarkStart w:id="140" w:name="_Toc40346377"/>
      <w:bookmarkStart w:id="141" w:name="_Toc31993"/>
      <w:r>
        <w:rPr>
          <w:rFonts w:ascii="宋体" w:hAnsi="宋体" w:cs="宋体"/>
          <w:kern w:val="0"/>
          <w:sz w:val="30"/>
          <w:szCs w:val="30"/>
        </w:rPr>
        <w:t>业务代表：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DF30617">
      <w:pPr>
        <w:widowControl/>
        <w:spacing w:line="360" w:lineRule="auto"/>
        <w:ind w:firstLine="600"/>
        <w:outlineLvl w:val="0"/>
        <w:rPr>
          <w:rFonts w:cs="宋体"/>
          <w:kern w:val="0"/>
          <w:sz w:val="30"/>
          <w:szCs w:val="30"/>
        </w:rPr>
      </w:pPr>
      <w:bookmarkStart w:id="142" w:name="_Toc6438"/>
      <w:bookmarkStart w:id="143" w:name="_Toc14287"/>
      <w:bookmarkStart w:id="144" w:name="_Toc4591"/>
      <w:bookmarkStart w:id="145" w:name="_Toc17537"/>
      <w:bookmarkStart w:id="146" w:name="_Toc40346378"/>
      <w:bookmarkStart w:id="147" w:name="_Toc25370"/>
      <w:bookmarkStart w:id="148" w:name="_Toc26029"/>
      <w:bookmarkStart w:id="149" w:name="_Toc24651"/>
      <w:bookmarkStart w:id="150" w:name="_Toc40346219"/>
      <w:bookmarkStart w:id="151" w:name="_Toc11334"/>
      <w:bookmarkStart w:id="152" w:name="_Toc27771"/>
      <w:bookmarkStart w:id="153" w:name="_Toc40776114"/>
      <w:bookmarkStart w:id="154" w:name="_Toc4563"/>
      <w:bookmarkStart w:id="155" w:name="_Toc31197"/>
      <w:bookmarkStart w:id="156" w:name="_Toc3686"/>
      <w:bookmarkStart w:id="157" w:name="_Toc1324"/>
      <w:bookmarkStart w:id="158" w:name="_Toc32709"/>
      <w:bookmarkStart w:id="159" w:name="_Toc9883"/>
      <w:bookmarkStart w:id="160" w:name="_Toc16813"/>
      <w:bookmarkStart w:id="161" w:name="_Toc25902"/>
      <w:bookmarkStart w:id="162" w:name="_Toc19831"/>
      <w:r>
        <w:rPr>
          <w:rFonts w:ascii="宋体" w:hAnsi="宋体" w:cs="宋体"/>
          <w:kern w:val="0"/>
          <w:sz w:val="30"/>
          <w:szCs w:val="30"/>
        </w:rPr>
        <w:t>联系电话：</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3A10DD1">
      <w:pPr>
        <w:widowControl/>
        <w:spacing w:line="360" w:lineRule="auto"/>
        <w:ind w:firstLine="600"/>
        <w:outlineLvl w:val="0"/>
        <w:rPr>
          <w:rFonts w:cs="宋体"/>
          <w:kern w:val="0"/>
          <w:sz w:val="30"/>
          <w:szCs w:val="30"/>
        </w:rPr>
      </w:pPr>
      <w:bookmarkStart w:id="163" w:name="_Toc40776115"/>
      <w:bookmarkStart w:id="164" w:name="_Toc22810"/>
      <w:bookmarkStart w:id="165" w:name="_Toc27206"/>
      <w:bookmarkStart w:id="166" w:name="_Toc14586"/>
      <w:bookmarkStart w:id="167" w:name="_Toc13222"/>
      <w:bookmarkStart w:id="168" w:name="_Toc6984"/>
      <w:bookmarkStart w:id="169" w:name="_Toc30336"/>
      <w:bookmarkStart w:id="170" w:name="_Toc20994"/>
      <w:bookmarkStart w:id="171" w:name="_Toc5634"/>
      <w:bookmarkStart w:id="172" w:name="_Toc17483"/>
      <w:bookmarkStart w:id="173" w:name="_Toc21940"/>
      <w:bookmarkStart w:id="174" w:name="_Toc40346220"/>
      <w:bookmarkStart w:id="175" w:name="_Toc19057"/>
      <w:bookmarkStart w:id="176" w:name="_Toc21686"/>
      <w:bookmarkStart w:id="177" w:name="_Toc5189"/>
      <w:bookmarkStart w:id="178" w:name="_Toc27868"/>
      <w:bookmarkStart w:id="179" w:name="_Toc12650"/>
      <w:bookmarkStart w:id="180" w:name="_Toc3895"/>
      <w:bookmarkStart w:id="181" w:name="_Toc40346379"/>
      <w:bookmarkStart w:id="182" w:name="_Toc5833"/>
      <w:bookmarkStart w:id="183" w:name="_Toc18353"/>
      <w:r>
        <w:rPr>
          <w:rFonts w:ascii="宋体" w:hAnsi="宋体" w:cs="宋体"/>
          <w:kern w:val="0"/>
          <w:sz w:val="30"/>
          <w:szCs w:val="30"/>
        </w:rPr>
        <w:t>联系邮箱：</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52B597E">
      <w:pPr>
        <w:widowControl/>
        <w:spacing w:line="360" w:lineRule="auto"/>
        <w:ind w:firstLine="600"/>
        <w:outlineLvl w:val="0"/>
        <w:rPr>
          <w:rFonts w:cs="宋体"/>
          <w:kern w:val="0"/>
          <w:sz w:val="30"/>
          <w:szCs w:val="30"/>
        </w:rPr>
      </w:pPr>
      <w:bookmarkStart w:id="184" w:name="_Toc9282"/>
      <w:bookmarkStart w:id="185" w:name="_Toc5220"/>
      <w:bookmarkStart w:id="186" w:name="_Toc32371"/>
      <w:bookmarkStart w:id="187" w:name="_Toc30904"/>
      <w:bookmarkStart w:id="188" w:name="_Toc10454"/>
      <w:bookmarkStart w:id="189" w:name="_Toc11547"/>
      <w:bookmarkStart w:id="190" w:name="_Toc40346380"/>
      <w:bookmarkStart w:id="191" w:name="_Toc27009"/>
      <w:bookmarkStart w:id="192" w:name="_Toc27646"/>
      <w:bookmarkStart w:id="193" w:name="_Toc3498"/>
      <w:bookmarkStart w:id="194" w:name="_Toc20477"/>
      <w:bookmarkStart w:id="195" w:name="_Toc40776116"/>
      <w:bookmarkStart w:id="196" w:name="_Toc21449"/>
      <w:bookmarkStart w:id="197" w:name="_Toc12127"/>
      <w:bookmarkStart w:id="198" w:name="_Toc22276"/>
      <w:bookmarkStart w:id="199" w:name="_Toc40346221"/>
      <w:bookmarkStart w:id="200" w:name="_Toc30856"/>
      <w:bookmarkStart w:id="201" w:name="_Toc28395"/>
      <w:bookmarkStart w:id="202" w:name="_Toc8030"/>
      <w:bookmarkStart w:id="203" w:name="_Toc8526"/>
      <w:bookmarkStart w:id="204" w:name="_Toc14462"/>
      <w:r>
        <w:rPr>
          <w:rFonts w:ascii="宋体" w:hAnsi="宋体" w:cs="宋体"/>
          <w:kern w:val="0"/>
          <w:sz w:val="30"/>
          <w:szCs w:val="30"/>
        </w:rPr>
        <w:t>日    期：</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B48348E">
      <w:pPr>
        <w:spacing w:line="360" w:lineRule="auto"/>
        <w:ind w:left="556" w:leftChars="150" w:hanging="241" w:hangingChars="100"/>
        <w:rPr>
          <w:rFonts w:ascii="仿宋" w:hAnsi="仿宋" w:eastAsia="仿宋" w:cs="宋体"/>
          <w:b/>
          <w:kern w:val="0"/>
          <w:sz w:val="24"/>
          <w:szCs w:val="32"/>
        </w:rPr>
      </w:pPr>
    </w:p>
    <w:p w14:paraId="02190C35">
      <w:pPr>
        <w:spacing w:line="360" w:lineRule="auto"/>
        <w:ind w:left="556" w:leftChars="150" w:hanging="241" w:hangingChars="100"/>
        <w:rPr>
          <w:rFonts w:ascii="仿宋" w:hAnsi="仿宋" w:eastAsia="仿宋" w:cs="宋体"/>
          <w:b/>
          <w:kern w:val="0"/>
          <w:sz w:val="24"/>
          <w:szCs w:val="32"/>
        </w:rPr>
      </w:pPr>
    </w:p>
    <w:p w14:paraId="59E389F0">
      <w:pPr>
        <w:spacing w:line="360" w:lineRule="auto"/>
        <w:ind w:left="556" w:leftChars="150" w:hanging="241" w:hangingChars="100"/>
        <w:rPr>
          <w:rFonts w:ascii="仿宋" w:hAnsi="仿宋" w:eastAsia="仿宋" w:cs="宋体"/>
          <w:b/>
          <w:kern w:val="0"/>
          <w:sz w:val="24"/>
          <w:szCs w:val="32"/>
        </w:rPr>
      </w:pPr>
    </w:p>
    <w:p w14:paraId="492F769B">
      <w:pPr>
        <w:spacing w:line="360" w:lineRule="auto"/>
        <w:ind w:left="556" w:leftChars="150" w:hanging="241" w:hangingChars="100"/>
        <w:rPr>
          <w:rFonts w:ascii="仿宋" w:hAnsi="仿宋" w:eastAsia="仿宋" w:cs="宋体"/>
          <w:b/>
          <w:kern w:val="0"/>
          <w:sz w:val="24"/>
          <w:szCs w:val="32"/>
        </w:rPr>
      </w:pPr>
    </w:p>
    <w:p w14:paraId="50C35B53">
      <w:pPr>
        <w:pStyle w:val="25"/>
        <w:jc w:val="center"/>
        <w:rPr>
          <w:b/>
          <w:bCs/>
          <w:sz w:val="30"/>
          <w:szCs w:val="30"/>
        </w:rPr>
      </w:pPr>
      <w:bookmarkStart w:id="205" w:name="_Toc24584"/>
      <w:bookmarkStart w:id="206" w:name="_Toc31006"/>
      <w:bookmarkStart w:id="207" w:name="_Toc27920"/>
      <w:bookmarkStart w:id="208" w:name="_Toc6985"/>
      <w:r>
        <w:rPr>
          <w:rFonts w:hint="eastAsia"/>
          <w:b/>
          <w:bCs/>
          <w:sz w:val="30"/>
          <w:szCs w:val="30"/>
        </w:rPr>
        <w:t>目  录</w:t>
      </w:r>
      <w:bookmarkEnd w:id="205"/>
      <w:bookmarkEnd w:id="206"/>
      <w:bookmarkEnd w:id="207"/>
      <w:bookmarkEnd w:id="208"/>
    </w:p>
    <w:tbl>
      <w:tblPr>
        <w:tblStyle w:val="18"/>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1349281E">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BF6ADB">
            <w:pPr>
              <w:widowControl/>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14:paraId="04CC93D3">
            <w:pPr>
              <w:widowControl/>
              <w:spacing w:line="360" w:lineRule="auto"/>
              <w:ind w:left="21"/>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6BD85548">
            <w:pPr>
              <w:widowControl/>
              <w:spacing w:line="360" w:lineRule="auto"/>
              <w:ind w:left="21"/>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页码范围</w:t>
            </w:r>
          </w:p>
        </w:tc>
      </w:tr>
      <w:tr w14:paraId="72076C5D">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4A601AD">
            <w:pPr>
              <w:widowControl/>
              <w:spacing w:line="360" w:lineRule="auto"/>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1493C80C">
            <w:pPr>
              <w:pStyle w:val="27"/>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4375DF31">
            <w:pPr>
              <w:widowControl/>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r>
      <w:tr w14:paraId="699C7373">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EFE5DA4">
            <w:pPr>
              <w:widowControl/>
              <w:spacing w:line="360" w:lineRule="auto"/>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2D86B1FC">
            <w:pPr>
              <w:pStyle w:val="27"/>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28514579">
            <w:pPr>
              <w:widowControl/>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r>
      <w:tr w14:paraId="6ACFA022">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4EC0EE">
            <w:pPr>
              <w:widowControl/>
              <w:spacing w:line="360" w:lineRule="auto"/>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372CFC87">
            <w:pPr>
              <w:pStyle w:val="27"/>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评分自查表 （</w:t>
            </w:r>
            <w:r>
              <w:rPr>
                <w:rFonts w:hint="eastAsia" w:asciiTheme="minorEastAsia" w:hAnsiTheme="minorEastAsia" w:eastAsiaTheme="minorEastAsia" w:cstheme="minorEastAsia"/>
                <w:color w:val="auto"/>
                <w:sz w:val="21"/>
                <w:szCs w:val="21"/>
                <w:lang w:eastAsia="zh-CN"/>
              </w:rPr>
              <w:t>报名成功后获得</w:t>
            </w:r>
            <w:r>
              <w:rPr>
                <w:rFonts w:hint="eastAsia" w:asciiTheme="minorEastAsia" w:hAnsiTheme="minorEastAsia" w:eastAsiaTheme="minorEastAsia" w:cstheme="minorEastAsia"/>
                <w:color w:val="auto"/>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0141E69A">
            <w:pPr>
              <w:widowControl/>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08EC18E0">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893244D">
            <w:pPr>
              <w:widowControl/>
              <w:spacing w:line="360" w:lineRule="auto"/>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61F79859">
            <w:pPr>
              <w:pStyle w:val="27"/>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0FDFE39A">
            <w:pPr>
              <w:widowControl/>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43C4CF19">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C3425CB">
            <w:pPr>
              <w:widowControl/>
              <w:spacing w:line="360" w:lineRule="auto"/>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78C7CBB8">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trike w:val="0"/>
                <w:dstrike w:val="0"/>
                <w:color w:val="auto"/>
                <w:sz w:val="21"/>
                <w:szCs w:val="21"/>
              </w:rPr>
              <w:t>供应商营业执照</w:t>
            </w:r>
            <w:r>
              <w:rPr>
                <w:rFonts w:hint="eastAsia" w:asciiTheme="minorEastAsia" w:hAnsiTheme="minorEastAsia" w:eastAsiaTheme="minorEastAsia" w:cstheme="minorEastAsia"/>
                <w:b/>
                <w:bCs/>
                <w:color w:val="auto"/>
                <w:kern w:val="2"/>
                <w:sz w:val="21"/>
                <w:szCs w:val="21"/>
                <w:lang w:val="en-US" w:eastAsia="zh-CN" w:bidi="ar-SA"/>
              </w:rPr>
              <w:t>（</w:t>
            </w:r>
            <w:r>
              <w:rPr>
                <w:rFonts w:hint="eastAsia" w:asciiTheme="minorEastAsia" w:hAnsiTheme="minorEastAsia" w:eastAsiaTheme="minorEastAsia" w:cstheme="minorEastAsia"/>
                <w:b w:val="0"/>
                <w:bCs w:val="0"/>
                <w:color w:val="auto"/>
                <w:sz w:val="21"/>
                <w:szCs w:val="21"/>
                <w:lang w:val="en-US" w:eastAsia="zh-CN"/>
              </w:rPr>
              <w:t>具有独立承担民事责任的能力：必须是中华人民共和国境内注册的独立法人，持有有效的企业法人营业执照。</w:t>
            </w:r>
            <w:r>
              <w:rPr>
                <w:rFonts w:hint="eastAsia" w:asciiTheme="minorEastAsia" w:hAnsiTheme="minorEastAsia" w:eastAsiaTheme="minorEastAsia" w:cstheme="minorEastAsia"/>
                <w:b/>
                <w:bCs/>
                <w:color w:val="auto"/>
                <w:sz w:val="21"/>
                <w:szCs w:val="21"/>
                <w:lang w:val="en-US" w:eastAsia="zh-CN"/>
              </w:rPr>
              <w:t>提交有效的营业执照或事业法人登记证或身份证等相关证明副本复印件并加盖供应商公章。分支机构参与响应的，须提供总公司和分公司营业执照副本复印件，总公司出具给分支机构的授权书，并加盖供应商公章</w:t>
            </w:r>
            <w:r>
              <w:rPr>
                <w:rFonts w:hint="eastAsia" w:asciiTheme="minorEastAsia" w:hAnsiTheme="minorEastAsia" w:eastAsiaTheme="minorEastAsia" w:cstheme="minorEastAsia"/>
                <w:b/>
                <w:bCs/>
                <w:color w:val="auto"/>
                <w:kern w:val="2"/>
                <w:sz w:val="21"/>
                <w:szCs w:val="21"/>
                <w:lang w:val="en-US" w:eastAsia="zh-CN" w:bidi="ar-SA"/>
              </w:rPr>
              <w:t>）</w:t>
            </w:r>
          </w:p>
        </w:tc>
        <w:tc>
          <w:tcPr>
            <w:tcW w:w="1824" w:type="dxa"/>
            <w:tcBorders>
              <w:top w:val="single" w:color="000000" w:sz="4" w:space="0"/>
              <w:left w:val="nil"/>
              <w:bottom w:val="single" w:color="000000" w:sz="4" w:space="0"/>
              <w:right w:val="single" w:color="000000" w:sz="4" w:space="0"/>
            </w:tcBorders>
            <w:vAlign w:val="center"/>
          </w:tcPr>
          <w:p w14:paraId="2851C0FF">
            <w:pPr>
              <w:widowControl/>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4921D190">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51C4442">
            <w:pPr>
              <w:widowControl/>
              <w:spacing w:line="360" w:lineRule="auto"/>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7F0F3AEB">
            <w:pPr>
              <w:pStyle w:val="27"/>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9DBEFCD">
            <w:pPr>
              <w:widowControl/>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7A7E3B09">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80B034">
            <w:pPr>
              <w:widowControl/>
              <w:spacing w:line="360" w:lineRule="auto"/>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74D94F60">
            <w:pPr>
              <w:pStyle w:val="27"/>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1C33994B">
            <w:pPr>
              <w:widowControl/>
              <w:ind w:left="21"/>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24AB8FB4">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BC89507">
            <w:pPr>
              <w:pStyle w:val="27"/>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14:paraId="2E6885A1">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有依法缴纳税收和社会保障资金的良好记录。</w:t>
            </w:r>
            <w:r>
              <w:rPr>
                <w:rFonts w:hint="eastAsia" w:asciiTheme="minorEastAsia" w:hAnsiTheme="minorEastAsia" w:eastAsiaTheme="minorEastAsia" w:cstheme="minorEastAsia"/>
                <w:b/>
                <w:bCs/>
                <w:color w:val="auto"/>
                <w:sz w:val="21"/>
                <w:szCs w:val="21"/>
                <w:lang w:val="en-US" w:eastAsia="zh-CN"/>
              </w:rPr>
              <w:t>(提供采购截止日前6个月内任意1个月依法缴纳税收和社会保障资金的相关材料。如依法免税或不需要缴纳社会保障资金的， 提供相应证明材料，并加盖供应商公章）</w:t>
            </w:r>
          </w:p>
        </w:tc>
        <w:tc>
          <w:tcPr>
            <w:tcW w:w="1824" w:type="dxa"/>
            <w:tcBorders>
              <w:top w:val="single" w:color="000000" w:sz="4" w:space="0"/>
              <w:left w:val="nil"/>
              <w:bottom w:val="single" w:color="000000" w:sz="4" w:space="0"/>
              <w:right w:val="single" w:color="000000" w:sz="4" w:space="0"/>
            </w:tcBorders>
            <w:vAlign w:val="center"/>
          </w:tcPr>
          <w:p w14:paraId="426E42FB">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55D654E4">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DA3A29A">
            <w:pPr>
              <w:pStyle w:val="27"/>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7BE59FDD">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近三年在采购代理的经营活动中没有违法行为。</w:t>
            </w:r>
            <w:r>
              <w:rPr>
                <w:rFonts w:hint="eastAsia" w:asciiTheme="minorEastAsia" w:hAnsiTheme="minorEastAsia" w:eastAsiaTheme="minorEastAsia" w:cstheme="minorEastAsia"/>
                <w:b/>
                <w:bCs/>
                <w:color w:val="auto"/>
                <w:sz w:val="21"/>
                <w:szCs w:val="21"/>
                <w:lang w:val="en-US" w:eastAsia="zh-CN"/>
              </w:rPr>
              <w:t>(提供书面声明函，格式自拟，并加盖供应商公章)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39FD3FDC">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5913AAE4">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9F062C9">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10</w:t>
            </w:r>
          </w:p>
        </w:tc>
        <w:tc>
          <w:tcPr>
            <w:tcW w:w="8272" w:type="dxa"/>
            <w:tcBorders>
              <w:top w:val="single" w:color="000000" w:sz="4" w:space="0"/>
              <w:left w:val="nil"/>
              <w:bottom w:val="single" w:color="000000" w:sz="4" w:space="0"/>
              <w:right w:val="single" w:color="000000" w:sz="4" w:space="0"/>
            </w:tcBorders>
            <w:vAlign w:val="center"/>
          </w:tcPr>
          <w:p w14:paraId="4F9B4C56">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r>
              <w:rPr>
                <w:rFonts w:hint="eastAsia" w:asciiTheme="minorEastAsia" w:hAnsiTheme="minorEastAsia" w:eastAsiaTheme="minorEastAsia" w:cstheme="minorEastAsia"/>
                <w:b/>
                <w:bCs/>
                <w:color w:val="auto"/>
                <w:sz w:val="21"/>
                <w:szCs w:val="21"/>
                <w:lang w:val="en-US" w:eastAsia="zh-CN"/>
              </w:rPr>
              <w:t>（提</w:t>
            </w:r>
            <w:r>
              <w:rPr>
                <w:rFonts w:hint="eastAsia" w:asciiTheme="minorEastAsia" w:hAnsiTheme="minorEastAsia" w:eastAsiaTheme="minorEastAsia" w:cstheme="minorEastAsia"/>
                <w:b/>
                <w:bCs/>
                <w:color w:val="auto"/>
                <w:sz w:val="21"/>
                <w:szCs w:val="21"/>
                <w:highlight w:val="none"/>
                <w:lang w:val="en-US" w:eastAsia="zh-CN"/>
              </w:rPr>
              <w:t>供打印在</w:t>
            </w:r>
            <w:r>
              <w:rPr>
                <w:rFonts w:hint="eastAsia" w:asciiTheme="minorEastAsia" w:hAnsiTheme="minorEastAsia" w:eastAsiaTheme="minorEastAsia" w:cstheme="minorEastAsia"/>
                <w:b/>
                <w:bCs/>
                <w:color w:val="auto"/>
                <w:sz w:val="21"/>
                <w:szCs w:val="21"/>
                <w:lang w:val="en-US" w:eastAsia="zh-CN"/>
              </w:rPr>
              <w:t>“信用中国”和“中国政府采购网”的查询结果加盖供应商公章，并提供查询网址）</w:t>
            </w:r>
          </w:p>
        </w:tc>
        <w:tc>
          <w:tcPr>
            <w:tcW w:w="1824" w:type="dxa"/>
            <w:tcBorders>
              <w:top w:val="single" w:color="000000" w:sz="4" w:space="0"/>
              <w:left w:val="nil"/>
              <w:bottom w:val="single" w:color="000000" w:sz="4" w:space="0"/>
              <w:right w:val="single" w:color="000000" w:sz="4" w:space="0"/>
            </w:tcBorders>
            <w:vAlign w:val="center"/>
          </w:tcPr>
          <w:p w14:paraId="69F5E704">
            <w:pPr>
              <w:widowControl/>
              <w:ind w:left="21" w:left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第(       )页</w:t>
            </w:r>
          </w:p>
        </w:tc>
      </w:tr>
      <w:tr w14:paraId="2793DFE4">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B68CF7">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11</w:t>
            </w:r>
          </w:p>
        </w:tc>
        <w:tc>
          <w:tcPr>
            <w:tcW w:w="8272" w:type="dxa"/>
            <w:tcBorders>
              <w:top w:val="single" w:color="000000" w:sz="4" w:space="0"/>
              <w:left w:val="nil"/>
              <w:bottom w:val="single" w:color="000000" w:sz="4" w:space="0"/>
              <w:right w:val="single" w:color="000000" w:sz="4" w:space="0"/>
            </w:tcBorders>
            <w:vAlign w:val="center"/>
          </w:tcPr>
          <w:p w14:paraId="14CA5C39">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法定代表人或单位负责人为同一人或者存在直接控股、管理关系的不同响应单位，不得参加同一合同项下的采购活动。</w:t>
            </w:r>
            <w:r>
              <w:rPr>
                <w:rFonts w:hint="eastAsia" w:asciiTheme="minorEastAsia" w:hAnsiTheme="minorEastAsia" w:eastAsiaTheme="minorEastAsia" w:cstheme="minorEastAsia"/>
                <w:b/>
                <w:bCs/>
                <w:color w:val="auto"/>
                <w:sz w:val="21"/>
                <w:szCs w:val="21"/>
                <w:lang w:val="en-US" w:eastAsia="zh-CN"/>
              </w:rPr>
              <w:t>（提供声明函，格式自拟，并加盖供应商公章）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1307BBB6">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117ED344">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8CE154">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12</w:t>
            </w:r>
          </w:p>
        </w:tc>
        <w:tc>
          <w:tcPr>
            <w:tcW w:w="8272" w:type="dxa"/>
            <w:tcBorders>
              <w:top w:val="single" w:color="000000" w:sz="4" w:space="0"/>
              <w:left w:val="nil"/>
              <w:bottom w:val="single" w:color="000000" w:sz="4" w:space="0"/>
              <w:right w:val="single" w:color="000000" w:sz="4" w:space="0"/>
            </w:tcBorders>
            <w:vAlign w:val="center"/>
          </w:tcPr>
          <w:p w14:paraId="7B3B12E4">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本项目不允许联合体投标。不允许分包转包。</w:t>
            </w:r>
            <w:r>
              <w:rPr>
                <w:rFonts w:hint="eastAsia" w:asciiTheme="minorEastAsia" w:hAnsiTheme="minorEastAsia" w:eastAsiaTheme="minorEastAsia" w:cstheme="minorEastAsia"/>
                <w:b/>
                <w:bCs/>
                <w:color w:val="auto"/>
                <w:sz w:val="21"/>
                <w:szCs w:val="21"/>
                <w:lang w:val="en-US" w:eastAsia="zh-CN"/>
              </w:rPr>
              <w:t>（提供声明函，格式自拟，并加盖供应商公章）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7E67C291">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5A50D700">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F8F0665">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13</w:t>
            </w:r>
          </w:p>
        </w:tc>
        <w:tc>
          <w:tcPr>
            <w:tcW w:w="8272" w:type="dxa"/>
            <w:tcBorders>
              <w:top w:val="single" w:color="000000" w:sz="4" w:space="0"/>
              <w:left w:val="nil"/>
              <w:bottom w:val="single" w:color="000000" w:sz="4" w:space="0"/>
              <w:right w:val="single" w:color="000000" w:sz="4" w:space="0"/>
            </w:tcBorders>
            <w:vAlign w:val="center"/>
          </w:tcPr>
          <w:p w14:paraId="31FE7212">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在近三年内采购代理服务机构、法定代表人以及拟委任的项目负责人没有行贿（受贿）犯罪行为的，没有弄虚作假骗取中标/围标串标行为，不存在法院生效判决书或行政主管部门书面认定的以上行为。</w:t>
            </w:r>
            <w:r>
              <w:rPr>
                <w:rFonts w:hint="eastAsia" w:asciiTheme="minorEastAsia" w:hAnsiTheme="minorEastAsia" w:eastAsiaTheme="minorEastAsia" w:cstheme="minorEastAsia"/>
                <w:b/>
                <w:bCs/>
                <w:color w:val="auto"/>
                <w:sz w:val="21"/>
                <w:szCs w:val="21"/>
                <w:lang w:val="en-US" w:eastAsia="zh-CN"/>
              </w:rPr>
              <w:t>(提供书面声明函，格式自拟，并加盖供应商公章)。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4659486C">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37B195A0">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4ABA79A">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14</w:t>
            </w:r>
          </w:p>
        </w:tc>
        <w:tc>
          <w:tcPr>
            <w:tcW w:w="8272" w:type="dxa"/>
            <w:tcBorders>
              <w:top w:val="single" w:color="000000" w:sz="4" w:space="0"/>
              <w:left w:val="nil"/>
              <w:bottom w:val="single" w:color="000000" w:sz="4" w:space="0"/>
              <w:right w:val="single" w:color="000000" w:sz="4" w:space="0"/>
            </w:tcBorders>
            <w:vAlign w:val="center"/>
          </w:tcPr>
          <w:p w14:paraId="4642E66C">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采购代理服务机构已在广东省政府采购网（https://gdgpo.czt.gd.gov.cn/）、广州公共资源交易中心网站（http://www.gzzb.gd.cn）和中国国际招标网（http://www.chinabidding.com）登记备案</w:t>
            </w:r>
            <w:r>
              <w:rPr>
                <w:rFonts w:hint="eastAsia" w:asciiTheme="minorEastAsia" w:hAnsiTheme="minorEastAsia" w:eastAsiaTheme="minorEastAsia" w:cstheme="minorEastAsia"/>
                <w:b/>
                <w:bCs/>
                <w:color w:val="auto"/>
                <w:sz w:val="21"/>
                <w:szCs w:val="21"/>
                <w:lang w:val="en-US" w:eastAsia="zh-CN"/>
              </w:rPr>
              <w:t>（需提供相关证明材料或提供网页截图，格式自拟，并加盖供应商公章）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63575646">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4CC537E4">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8D20062">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15</w:t>
            </w:r>
          </w:p>
        </w:tc>
        <w:tc>
          <w:tcPr>
            <w:tcW w:w="8272" w:type="dxa"/>
            <w:tcBorders>
              <w:top w:val="single" w:color="000000" w:sz="4" w:space="0"/>
              <w:left w:val="nil"/>
              <w:bottom w:val="single" w:color="000000" w:sz="4" w:space="0"/>
              <w:right w:val="single" w:color="000000" w:sz="4" w:space="0"/>
            </w:tcBorders>
            <w:vAlign w:val="center"/>
          </w:tcPr>
          <w:p w14:paraId="24C3DCFB">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具有中国招标投标公共服务平台（http://www.cebpubservice.com）发布信息权限，并且开通系统操作账户。</w:t>
            </w:r>
            <w:r>
              <w:rPr>
                <w:rFonts w:hint="eastAsia" w:asciiTheme="minorEastAsia" w:hAnsiTheme="minorEastAsia" w:eastAsiaTheme="minorEastAsia" w:cstheme="minorEastAsia"/>
                <w:b/>
                <w:bCs/>
                <w:color w:val="auto"/>
                <w:sz w:val="21"/>
                <w:szCs w:val="21"/>
                <w:lang w:val="en-US" w:eastAsia="zh-CN"/>
              </w:rPr>
              <w:t>（需提供相关证明材料，格式自拟，并加盖供应商公章）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4095B941">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79CCE78A">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310436">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13</w:t>
            </w:r>
          </w:p>
        </w:tc>
        <w:tc>
          <w:tcPr>
            <w:tcW w:w="8272" w:type="dxa"/>
            <w:tcBorders>
              <w:top w:val="single" w:color="000000" w:sz="4" w:space="0"/>
              <w:left w:val="nil"/>
              <w:bottom w:val="single" w:color="000000" w:sz="4" w:space="0"/>
              <w:right w:val="single" w:color="000000" w:sz="4" w:space="0"/>
            </w:tcBorders>
            <w:vAlign w:val="center"/>
          </w:tcPr>
          <w:p w14:paraId="3786394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条款响应情况（提供承诺函，格式自拟，并加盖供应商公章）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7EAA6C90">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32D8A0AD">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4F87D21">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14</w:t>
            </w:r>
          </w:p>
        </w:tc>
        <w:tc>
          <w:tcPr>
            <w:tcW w:w="8272" w:type="dxa"/>
            <w:tcBorders>
              <w:top w:val="single" w:color="000000" w:sz="4" w:space="0"/>
              <w:left w:val="nil"/>
              <w:bottom w:val="single" w:color="000000" w:sz="4" w:space="0"/>
              <w:right w:val="single" w:color="000000" w:sz="4" w:space="0"/>
            </w:tcBorders>
            <w:vAlign w:val="center"/>
          </w:tcPr>
          <w:p w14:paraId="340CD8A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条款响应情况（格式自拟，并加盖供应商公章）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13F0B7E5">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73EBB796">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8905843">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15</w:t>
            </w:r>
          </w:p>
        </w:tc>
        <w:tc>
          <w:tcPr>
            <w:tcW w:w="8272" w:type="dxa"/>
            <w:tcBorders>
              <w:top w:val="single" w:color="000000" w:sz="4" w:space="0"/>
              <w:left w:val="nil"/>
              <w:bottom w:val="single" w:color="000000" w:sz="4" w:space="0"/>
              <w:right w:val="single" w:color="000000" w:sz="4" w:space="0"/>
            </w:tcBorders>
            <w:vAlign w:val="center"/>
          </w:tcPr>
          <w:p w14:paraId="5EAF0E0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auto"/>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14:paraId="13C74FAC">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165A8B12">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8D53FFA">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16</w:t>
            </w:r>
          </w:p>
        </w:tc>
        <w:tc>
          <w:tcPr>
            <w:tcW w:w="8272" w:type="dxa"/>
            <w:tcBorders>
              <w:top w:val="single" w:color="000000" w:sz="4" w:space="0"/>
              <w:left w:val="nil"/>
              <w:bottom w:val="single" w:color="000000" w:sz="4" w:space="0"/>
              <w:right w:val="single" w:color="000000" w:sz="4" w:space="0"/>
            </w:tcBorders>
            <w:vAlign w:val="center"/>
          </w:tcPr>
          <w:p w14:paraId="0A64E285">
            <w:pPr>
              <w:keepNext w:val="0"/>
              <w:keepLines w:val="0"/>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auto"/>
                <w:sz w:val="21"/>
                <w:szCs w:val="21"/>
                <w:lang w:eastAsia="zh-CN"/>
              </w:rPr>
              <w:t>供应商情况</w:t>
            </w:r>
            <w:r>
              <w:rPr>
                <w:rFonts w:hint="eastAsia" w:asciiTheme="minorEastAsia" w:hAnsiTheme="minorEastAsia" w:eastAsiaTheme="minorEastAsia" w:cstheme="minorEastAsia"/>
                <w:color w:val="auto"/>
                <w:sz w:val="21"/>
                <w:szCs w:val="21"/>
              </w:rPr>
              <w:t>简介（格式自拟）</w:t>
            </w:r>
          </w:p>
        </w:tc>
        <w:tc>
          <w:tcPr>
            <w:tcW w:w="1824" w:type="dxa"/>
            <w:tcBorders>
              <w:top w:val="single" w:color="000000" w:sz="4" w:space="0"/>
              <w:left w:val="nil"/>
              <w:bottom w:val="single" w:color="000000" w:sz="4" w:space="0"/>
              <w:right w:val="single" w:color="000000" w:sz="4" w:space="0"/>
            </w:tcBorders>
            <w:vAlign w:val="center"/>
          </w:tcPr>
          <w:p w14:paraId="2395538E">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4540454C">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7A80D61">
            <w:pPr>
              <w:pStyle w:val="27"/>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17</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5A8CBCA4">
            <w:pPr>
              <w:keepNext w:val="0"/>
              <w:keepLines w:val="0"/>
              <w:pageBreakBefore w:val="0"/>
              <w:widowControl w:val="0"/>
              <w:numPr>
                <w:ilvl w:val="0"/>
                <w:numId w:val="0"/>
              </w:numPr>
              <w:tabs>
                <w:tab w:val="left" w:pos="0"/>
              </w:tabs>
              <w:kinsoku/>
              <w:wordWrap/>
              <w:overflowPunct/>
              <w:topLinePunct w:val="0"/>
              <w:autoSpaceDE/>
              <w:autoSpaceDN/>
              <w:bidi w:val="0"/>
              <w:spacing w:line="300" w:lineRule="exact"/>
              <w:ind w:left="0" w:leftChars="0" w:firstLine="0" w:firstLine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zh-CN" w:eastAsia="zh-CN" w:bidi="ar-SA"/>
              </w:rPr>
              <w:t>20</w:t>
            </w:r>
            <w:r>
              <w:rPr>
                <w:rFonts w:hint="eastAsia" w:asciiTheme="minorEastAsia" w:hAnsiTheme="minorEastAsia" w:eastAsiaTheme="minorEastAsia" w:cstheme="minorEastAsia"/>
                <w:color w:val="auto"/>
                <w:kern w:val="2"/>
                <w:sz w:val="21"/>
                <w:szCs w:val="21"/>
                <w:lang w:val="en-US" w:eastAsia="zh-CN" w:bidi="ar-SA"/>
              </w:rPr>
              <w:t>21</w:t>
            </w:r>
            <w:r>
              <w:rPr>
                <w:rFonts w:hint="eastAsia" w:asciiTheme="minorEastAsia" w:hAnsiTheme="minorEastAsia" w:eastAsiaTheme="minorEastAsia" w:cstheme="minorEastAsia"/>
                <w:color w:val="auto"/>
                <w:kern w:val="2"/>
                <w:sz w:val="21"/>
                <w:szCs w:val="21"/>
                <w:lang w:val="zh-CN" w:eastAsia="zh-CN" w:bidi="ar-SA"/>
              </w:rPr>
              <w:t>年1月1日</w:t>
            </w:r>
            <w:r>
              <w:rPr>
                <w:rFonts w:hint="eastAsia" w:asciiTheme="minorEastAsia" w:hAnsiTheme="minorEastAsia" w:eastAsiaTheme="minorEastAsia" w:cstheme="minorEastAsia"/>
                <w:color w:val="auto"/>
                <w:kern w:val="2"/>
                <w:sz w:val="21"/>
                <w:szCs w:val="21"/>
                <w:lang w:val="en-US" w:eastAsia="zh-CN" w:bidi="ar-SA"/>
              </w:rPr>
              <w:t>至今货物、服务、工程类同类项目业绩清单及证明材料</w:t>
            </w:r>
            <w:r>
              <w:rPr>
                <w:rFonts w:hint="eastAsia" w:asciiTheme="minorEastAsia" w:hAnsiTheme="minorEastAsia" w:eastAsiaTheme="minorEastAsia" w:cstheme="minorEastAsia"/>
                <w:color w:val="auto"/>
                <w:kern w:val="2"/>
                <w:sz w:val="21"/>
                <w:szCs w:val="21"/>
                <w:lang w:val="zh-CN" w:eastAsia="zh-CN" w:bidi="ar-SA"/>
              </w:rPr>
              <w:t>（需提供完整的项目委托代理协议复印件或中标通知书，并加盖</w:t>
            </w:r>
            <w:r>
              <w:rPr>
                <w:rFonts w:hint="eastAsia" w:asciiTheme="minorEastAsia" w:hAnsiTheme="minorEastAsia" w:eastAsiaTheme="minorEastAsia" w:cstheme="minorEastAsia"/>
                <w:color w:val="auto"/>
                <w:kern w:val="2"/>
                <w:sz w:val="21"/>
                <w:szCs w:val="21"/>
                <w:lang w:val="en-US" w:eastAsia="zh-CN" w:bidi="ar-SA"/>
              </w:rPr>
              <w:t>单位</w:t>
            </w:r>
            <w:r>
              <w:rPr>
                <w:rFonts w:hint="eastAsia" w:asciiTheme="minorEastAsia" w:hAnsiTheme="minorEastAsia" w:eastAsiaTheme="minorEastAsia" w:cstheme="minorEastAsia"/>
                <w:color w:val="auto"/>
                <w:kern w:val="2"/>
                <w:sz w:val="21"/>
                <w:szCs w:val="21"/>
                <w:lang w:val="zh-CN" w:eastAsia="zh-CN" w:bidi="ar-SA"/>
              </w:rPr>
              <w:t>公章）</w:t>
            </w:r>
          </w:p>
        </w:tc>
        <w:tc>
          <w:tcPr>
            <w:tcW w:w="1824" w:type="dxa"/>
            <w:tcBorders>
              <w:top w:val="single" w:color="000000" w:sz="4" w:space="0"/>
              <w:left w:val="nil"/>
              <w:bottom w:val="single" w:color="000000" w:sz="4" w:space="0"/>
              <w:right w:val="single" w:color="000000" w:sz="4" w:space="0"/>
            </w:tcBorders>
            <w:vAlign w:val="center"/>
          </w:tcPr>
          <w:p w14:paraId="2C81DE5A">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r w14:paraId="1493A9A5">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B83FFF7">
            <w:pPr>
              <w:pStyle w:val="27"/>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18</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580DF481">
            <w:pPr>
              <w:pStyle w:val="27"/>
              <w:ind w:firstLine="0" w:firstLineChars="0"/>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2824EB73">
            <w:pPr>
              <w:widowControl/>
              <w:ind w:left="21" w:left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第(       )页</w:t>
            </w:r>
          </w:p>
        </w:tc>
      </w:tr>
      <w:tr w14:paraId="7F8DF0CF">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AF8709A">
            <w:pPr>
              <w:pStyle w:val="27"/>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19</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06D5CC0F">
            <w:pPr>
              <w:pStyle w:val="27"/>
              <w:ind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27877FF3">
            <w:pPr>
              <w:widowControl/>
              <w:ind w:left="21" w:left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第(       )页</w:t>
            </w:r>
          </w:p>
        </w:tc>
      </w:tr>
      <w:tr w14:paraId="533F5419">
        <w:tblPrEx>
          <w:tblCellMar>
            <w:top w:w="0" w:type="dxa"/>
            <w:left w:w="108" w:type="dxa"/>
            <w:bottom w:w="0" w:type="dxa"/>
            <w:right w:w="108" w:type="dxa"/>
          </w:tblCellMar>
        </w:tblPrEx>
        <w:trPr>
          <w:trHeight w:val="34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FD44F98">
            <w:pPr>
              <w:pStyle w:val="27"/>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20</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7AB40E56">
            <w:pPr>
              <w:pStyle w:val="27"/>
              <w:ind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yellow"/>
                <w:lang w:eastAsia="zh-CN"/>
              </w:rPr>
              <w:t>供应商根据采购文件内容</w:t>
            </w:r>
            <w:r>
              <w:rPr>
                <w:rFonts w:hint="eastAsia" w:asciiTheme="minorEastAsia" w:hAnsiTheme="minorEastAsia" w:eastAsiaTheme="minorEastAsia" w:cstheme="minorEastAsia"/>
                <w:color w:val="auto"/>
                <w:sz w:val="21"/>
                <w:szCs w:val="21"/>
                <w:highlight w:val="yellow"/>
              </w:rPr>
              <w:t>认为需补充的相关</w:t>
            </w:r>
            <w:r>
              <w:rPr>
                <w:rFonts w:hint="eastAsia" w:asciiTheme="minorEastAsia" w:hAnsiTheme="minorEastAsia" w:eastAsiaTheme="minorEastAsia" w:cstheme="minorEastAsia"/>
                <w:color w:val="auto"/>
                <w:sz w:val="21"/>
                <w:szCs w:val="21"/>
                <w:highlight w:val="yellow"/>
                <w:lang w:eastAsia="zh-CN"/>
              </w:rPr>
              <w:t>资料（</w:t>
            </w:r>
            <w:r>
              <w:rPr>
                <w:rFonts w:hint="eastAsia" w:asciiTheme="minorEastAsia" w:hAnsiTheme="minorEastAsia" w:eastAsiaTheme="minorEastAsia" w:cstheme="minorEastAsia"/>
                <w:color w:val="auto"/>
                <w:sz w:val="21"/>
                <w:szCs w:val="21"/>
                <w:highlight w:val="yellow"/>
              </w:rPr>
              <w:t>格式自拟</w:t>
            </w:r>
            <w:r>
              <w:rPr>
                <w:rFonts w:hint="eastAsia" w:asciiTheme="minorEastAsia" w:hAnsiTheme="minorEastAsia" w:eastAsiaTheme="minorEastAsia" w:cstheme="minorEastAsia"/>
                <w:color w:val="auto"/>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01DB6960">
            <w:pPr>
              <w:widowControl/>
              <w:ind w:left="21" w:left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第(       )页</w:t>
            </w:r>
          </w:p>
        </w:tc>
      </w:tr>
    </w:tbl>
    <w:p w14:paraId="11B4D290">
      <w:pPr>
        <w:widowControl/>
        <w:spacing w:line="360" w:lineRule="auto"/>
        <w:jc w:val="left"/>
        <w:rPr>
          <w:rFonts w:ascii="仿宋" w:hAnsi="仿宋" w:eastAsia="仿宋" w:cs="宋体"/>
          <w:b/>
          <w:kern w:val="0"/>
          <w:sz w:val="24"/>
          <w:szCs w:val="32"/>
        </w:rPr>
      </w:pPr>
      <w:bookmarkStart w:id="209" w:name="_Toc562"/>
      <w:bookmarkStart w:id="210" w:name="_Toc21936"/>
      <w:bookmarkStart w:id="211" w:name="_Toc24508"/>
      <w:bookmarkStart w:id="212" w:name="_Toc11232"/>
    </w:p>
    <w:bookmarkEnd w:id="209"/>
    <w:bookmarkEnd w:id="210"/>
    <w:bookmarkEnd w:id="211"/>
    <w:bookmarkEnd w:id="212"/>
    <w:p w14:paraId="5F7182F1">
      <w:pPr>
        <w:spacing w:line="400" w:lineRule="exact"/>
        <w:ind w:firstLine="527"/>
        <w:rPr>
          <w:rFonts w:ascii="宋体" w:hAnsi="宋体"/>
          <w:b/>
          <w:szCs w:val="21"/>
        </w:rPr>
      </w:pPr>
      <w:bookmarkStart w:id="213" w:name="_Toc19066"/>
      <w:r>
        <w:rPr>
          <w:rFonts w:hint="eastAsia" w:ascii="宋体" w:hAnsi="宋体"/>
          <w:b/>
          <w:szCs w:val="21"/>
        </w:rPr>
        <w:t>▲供应商应根据所投产品/服务的情况逐项如实填写“用户需求响应偏离表”。如不按所投产品/服务实际响应情况填写</w:t>
      </w:r>
      <w:r>
        <w:rPr>
          <w:rFonts w:hint="eastAsia" w:ascii="宋体" w:hAnsi="宋体"/>
          <w:b/>
          <w:color w:val="0000FF"/>
          <w:szCs w:val="21"/>
        </w:rPr>
        <w:t>或不填写</w:t>
      </w:r>
      <w:r>
        <w:rPr>
          <w:rFonts w:hint="eastAsia" w:ascii="宋体" w:hAnsi="宋体"/>
          <w:b/>
          <w:color w:val="0000FF"/>
          <w:szCs w:val="21"/>
          <w:lang w:eastAsia="zh-CN"/>
        </w:rPr>
        <w:t>或参数不满足</w:t>
      </w:r>
      <w:r>
        <w:rPr>
          <w:rFonts w:hint="eastAsia" w:ascii="宋体" w:hAnsi="宋体"/>
          <w:b/>
          <w:color w:val="0000FF"/>
          <w:szCs w:val="21"/>
        </w:rPr>
        <w:t>，视为</w:t>
      </w:r>
      <w:r>
        <w:rPr>
          <w:rFonts w:hint="eastAsia" w:ascii="宋体" w:hAnsi="宋体"/>
          <w:b/>
          <w:color w:val="0000FF"/>
          <w:szCs w:val="21"/>
          <w:lang w:eastAsia="zh-CN"/>
        </w:rPr>
        <w:t>负偏离。</w:t>
      </w:r>
      <w:r>
        <w:rPr>
          <w:rFonts w:hint="eastAsia" w:ascii="宋体" w:hAnsi="宋体"/>
          <w:b/>
          <w:szCs w:val="21"/>
        </w:rPr>
        <w:t>由此产生的不良后果由供应商自行负责。</w:t>
      </w:r>
    </w:p>
    <w:p w14:paraId="76C2BFC5">
      <w:pPr>
        <w:spacing w:line="400" w:lineRule="exact"/>
        <w:ind w:firstLine="527"/>
        <w:rPr>
          <w:rFonts w:ascii="宋体" w:hAnsi="宋体"/>
          <w:b/>
          <w:szCs w:val="21"/>
        </w:rPr>
      </w:pPr>
      <w:r>
        <w:rPr>
          <w:rFonts w:hint="eastAsia" w:ascii="宋体" w:hAnsi="宋体"/>
          <w:b/>
          <w:szCs w:val="21"/>
        </w:rPr>
        <w:t>无偏离：所投产品/服务响应采购文件需求；</w:t>
      </w:r>
    </w:p>
    <w:p w14:paraId="3F383E89">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35BDEFE7">
      <w:pPr>
        <w:spacing w:line="400" w:lineRule="exact"/>
        <w:ind w:firstLine="527"/>
        <w:rPr>
          <w:b/>
          <w:bCs/>
        </w:rPr>
      </w:pPr>
      <w:r>
        <w:rPr>
          <w:rFonts w:hint="eastAsia" w:ascii="宋体" w:hAnsi="宋体"/>
          <w:b/>
          <w:szCs w:val="21"/>
        </w:rPr>
        <w:t>负偏离：所投产品/服务不符合采购文件需求。</w:t>
      </w:r>
    </w:p>
    <w:p w14:paraId="1C2671AD">
      <w:pPr>
        <w:pStyle w:val="28"/>
        <w:tabs>
          <w:tab w:val="left" w:pos="1050"/>
          <w:tab w:val="center" w:pos="4535"/>
        </w:tabs>
        <w:jc w:val="center"/>
        <w:outlineLvl w:val="0"/>
        <w:rPr>
          <w:b/>
          <w:bCs/>
          <w:szCs w:val="21"/>
        </w:rPr>
      </w:pPr>
      <w:bookmarkStart w:id="214" w:name="_Toc28958"/>
      <w:bookmarkStart w:id="215" w:name="_Toc16287"/>
      <w:bookmarkStart w:id="216" w:name="_Toc10871"/>
      <w:bookmarkStart w:id="217" w:name="_Toc27955"/>
      <w:bookmarkStart w:id="218" w:name="_Toc13869"/>
      <w:r>
        <w:rPr>
          <w:rFonts w:hint="eastAsia"/>
          <w:b/>
          <w:bCs/>
        </w:rPr>
        <w:t>用户需求偏离表</w:t>
      </w:r>
      <w:bookmarkEnd w:id="214"/>
      <w:bookmarkEnd w:id="215"/>
      <w:bookmarkEnd w:id="216"/>
      <w:bookmarkEnd w:id="217"/>
      <w:bookmarkEnd w:id="218"/>
    </w:p>
    <w:p w14:paraId="313B145E">
      <w:pPr>
        <w:spacing w:line="300" w:lineRule="auto"/>
        <w:ind w:firstLine="632" w:firstLineChars="300"/>
        <w:outlineLvl w:val="1"/>
        <w:rPr>
          <w:rFonts w:hint="eastAsia" w:ascii="宋体" w:hAnsi="宋体"/>
          <w:b/>
          <w:bCs/>
          <w:szCs w:val="21"/>
          <w:lang w:eastAsia="zh-CN"/>
        </w:rPr>
      </w:pPr>
      <w:r>
        <w:rPr>
          <w:rFonts w:hint="eastAsia" w:ascii="宋体" w:hAnsi="宋体"/>
          <w:b/>
          <w:bCs/>
          <w:szCs w:val="21"/>
        </w:rPr>
        <w:t>一、</w:t>
      </w:r>
      <w:r>
        <w:rPr>
          <w:rFonts w:hint="eastAsia" w:ascii="宋体" w:hAnsi="宋体"/>
          <w:b/>
          <w:bCs/>
          <w:szCs w:val="21"/>
          <w:lang w:eastAsia="zh-CN"/>
        </w:rPr>
        <w:t>“★”条款响应情况</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14:paraId="439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B85651">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BFC09AA">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14:paraId="4791E130">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14:paraId="70BCC32D">
            <w:pPr>
              <w:jc w:val="center"/>
              <w:rPr>
                <w:rFonts w:ascii="宋体" w:hAnsi="宋体" w:cs="宋体"/>
                <w:bCs/>
                <w:szCs w:val="21"/>
              </w:rPr>
            </w:pPr>
            <w:r>
              <w:rPr>
                <w:rFonts w:ascii="宋体" w:hAnsi="宋体" w:cs="宋体"/>
                <w:bCs/>
                <w:szCs w:val="21"/>
              </w:rPr>
              <w:t>是否偏离</w:t>
            </w:r>
          </w:p>
          <w:p w14:paraId="59A7AB06">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305763C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CC710BA">
            <w:pPr>
              <w:jc w:val="center"/>
              <w:rPr>
                <w:rFonts w:ascii="宋体" w:hAnsi="宋体" w:cs="宋体"/>
                <w:bCs/>
                <w:szCs w:val="21"/>
              </w:rPr>
            </w:pPr>
            <w:r>
              <w:rPr>
                <w:rFonts w:ascii="宋体" w:hAnsi="宋体" w:cs="宋体"/>
                <w:bCs/>
                <w:szCs w:val="21"/>
              </w:rPr>
              <w:t>备注</w:t>
            </w:r>
          </w:p>
        </w:tc>
      </w:tr>
      <w:tr w14:paraId="383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26670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77FE1C77">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0B13028">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08E20A98">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A7E968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FF970D8">
            <w:pPr>
              <w:jc w:val="center"/>
              <w:rPr>
                <w:rFonts w:ascii="宋体" w:hAnsi="宋体" w:cs="宋体"/>
                <w:bCs/>
                <w:szCs w:val="21"/>
              </w:rPr>
            </w:pPr>
          </w:p>
        </w:tc>
      </w:tr>
      <w:tr w14:paraId="4B4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805626">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156282D0">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9156CCF">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086A8B1">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43B529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53F9541">
            <w:pPr>
              <w:jc w:val="center"/>
              <w:rPr>
                <w:rFonts w:ascii="宋体" w:hAnsi="宋体" w:cs="宋体"/>
                <w:bCs/>
                <w:szCs w:val="21"/>
              </w:rPr>
            </w:pPr>
          </w:p>
        </w:tc>
      </w:tr>
      <w:tr w14:paraId="280B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F18B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551C4ACB">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18F6854">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B9299D0">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2D9B0FE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06FBF0">
            <w:pPr>
              <w:jc w:val="center"/>
              <w:rPr>
                <w:rFonts w:ascii="宋体" w:hAnsi="宋体" w:cs="宋体"/>
                <w:bCs/>
                <w:szCs w:val="21"/>
              </w:rPr>
            </w:pPr>
          </w:p>
        </w:tc>
      </w:tr>
    </w:tbl>
    <w:p w14:paraId="6E615A92">
      <w:pPr>
        <w:spacing w:line="300" w:lineRule="auto"/>
        <w:ind w:firstLine="422" w:firstLineChars="200"/>
        <w:rPr>
          <w:rFonts w:ascii="宋体" w:hAnsi="宋体"/>
          <w:b/>
          <w:bCs/>
          <w:szCs w:val="21"/>
        </w:rPr>
      </w:pPr>
    </w:p>
    <w:p w14:paraId="3EA90E86">
      <w:pPr>
        <w:spacing w:line="300" w:lineRule="auto"/>
        <w:ind w:firstLine="632" w:firstLineChars="300"/>
        <w:outlineLvl w:val="0"/>
        <w:rPr>
          <w:rFonts w:hint="eastAsia" w:ascii="宋体" w:hAnsi="宋体" w:eastAsia="宋体"/>
          <w:b/>
          <w:bCs/>
          <w:szCs w:val="21"/>
          <w:lang w:eastAsia="zh-CN"/>
        </w:rPr>
      </w:pPr>
      <w:bookmarkStart w:id="219" w:name="_Toc22541"/>
      <w:bookmarkStart w:id="220" w:name="_Toc7153"/>
      <w:bookmarkStart w:id="221" w:name="_Toc20788"/>
      <w:bookmarkStart w:id="222" w:name="_Toc14912"/>
      <w:bookmarkStart w:id="223" w:name="_Toc9779"/>
      <w:r>
        <w:rPr>
          <w:rFonts w:hint="eastAsia" w:ascii="宋体" w:hAnsi="宋体"/>
          <w:b/>
          <w:bCs/>
          <w:szCs w:val="21"/>
        </w:rPr>
        <w:t>二、</w:t>
      </w:r>
      <w:bookmarkEnd w:id="219"/>
      <w:bookmarkEnd w:id="220"/>
      <w:r>
        <w:rPr>
          <w:rFonts w:hint="eastAsia" w:ascii="宋体" w:hAnsi="宋体"/>
          <w:b/>
          <w:bCs/>
          <w:szCs w:val="21"/>
          <w:lang w:eastAsia="zh-CN"/>
        </w:rPr>
        <w:t>“▲”条款响应情况</w:t>
      </w:r>
      <w:bookmarkEnd w:id="221"/>
      <w:bookmarkEnd w:id="222"/>
      <w:bookmarkEnd w:id="223"/>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14:paraId="159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CBB60A">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0917249">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14:paraId="39D277B2">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14:paraId="41596FC5">
            <w:pPr>
              <w:jc w:val="center"/>
              <w:rPr>
                <w:rFonts w:ascii="宋体" w:hAnsi="宋体" w:cs="宋体"/>
                <w:bCs/>
                <w:szCs w:val="21"/>
              </w:rPr>
            </w:pPr>
            <w:r>
              <w:rPr>
                <w:rFonts w:ascii="宋体" w:hAnsi="宋体" w:cs="宋体"/>
                <w:bCs/>
                <w:szCs w:val="21"/>
              </w:rPr>
              <w:t>是否偏离</w:t>
            </w:r>
          </w:p>
          <w:p w14:paraId="1845638E">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14:paraId="1287483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E961E73">
            <w:pPr>
              <w:jc w:val="center"/>
              <w:rPr>
                <w:rFonts w:ascii="宋体" w:hAnsi="宋体" w:cs="宋体"/>
                <w:bCs/>
                <w:szCs w:val="21"/>
              </w:rPr>
            </w:pPr>
            <w:r>
              <w:rPr>
                <w:rFonts w:ascii="宋体" w:hAnsi="宋体" w:cs="宋体"/>
                <w:bCs/>
                <w:szCs w:val="21"/>
              </w:rPr>
              <w:t>备注</w:t>
            </w:r>
          </w:p>
        </w:tc>
      </w:tr>
      <w:tr w14:paraId="10E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D3B09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02747D16">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621A73ED">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0369A46">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7FC7ED4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6E68434">
            <w:pPr>
              <w:jc w:val="center"/>
              <w:rPr>
                <w:rFonts w:ascii="宋体" w:hAnsi="宋体" w:cs="宋体"/>
                <w:bCs/>
                <w:szCs w:val="21"/>
              </w:rPr>
            </w:pPr>
          </w:p>
        </w:tc>
      </w:tr>
      <w:tr w14:paraId="039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2CA40BD">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08693715">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3954CE41">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4B67CF9">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1DD9350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0EFEDB0">
            <w:pPr>
              <w:jc w:val="center"/>
              <w:rPr>
                <w:rFonts w:ascii="宋体" w:hAnsi="宋体" w:cs="宋体"/>
                <w:bCs/>
                <w:szCs w:val="21"/>
              </w:rPr>
            </w:pPr>
          </w:p>
        </w:tc>
      </w:tr>
      <w:tr w14:paraId="62EF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184899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3F2BEC67">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0F181D3F">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442C3DBA">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33ADB0C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1B449C6">
            <w:pPr>
              <w:jc w:val="center"/>
              <w:rPr>
                <w:rFonts w:ascii="宋体" w:hAnsi="宋体" w:cs="宋体"/>
                <w:bCs/>
                <w:szCs w:val="21"/>
              </w:rPr>
            </w:pPr>
          </w:p>
        </w:tc>
      </w:tr>
    </w:tbl>
    <w:p w14:paraId="405FD962">
      <w:pPr>
        <w:tabs>
          <w:tab w:val="left" w:pos="284"/>
          <w:tab w:val="left" w:pos="426"/>
        </w:tabs>
        <w:spacing w:line="276" w:lineRule="auto"/>
        <w:rPr>
          <w:rFonts w:ascii="宋体" w:hAnsi="宋体"/>
          <w:b/>
          <w:bCs/>
          <w:szCs w:val="21"/>
        </w:rPr>
      </w:pPr>
    </w:p>
    <w:p w14:paraId="7FD95C5B">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lang w:eastAsia="zh-CN"/>
        </w:rPr>
        <w:t>三</w:t>
      </w:r>
      <w:r>
        <w:rPr>
          <w:rFonts w:hint="eastAsia" w:ascii="宋体" w:hAnsi="宋体"/>
          <w:b/>
          <w:bCs/>
          <w:szCs w:val="21"/>
        </w:rPr>
        <w:t>、</w:t>
      </w:r>
      <w:r>
        <w:rPr>
          <w:rFonts w:hint="eastAsia" w:ascii="宋体" w:hAnsi="宋体"/>
          <w:b/>
          <w:bCs/>
          <w:szCs w:val="21"/>
          <w:lang w:eastAsia="zh-CN"/>
        </w:rPr>
        <w:t>服务</w:t>
      </w:r>
      <w:r>
        <w:rPr>
          <w:rFonts w:hint="eastAsia" w:ascii="宋体" w:hAnsi="宋体"/>
          <w:b/>
          <w:bCs/>
          <w:szCs w:val="21"/>
          <w:lang w:val="en-US" w:eastAsia="zh-CN"/>
        </w:rPr>
        <w:t>范围</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C26AB00">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B0EA32F">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6072F65">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FA4BDDC">
            <w:pPr>
              <w:jc w:val="center"/>
              <w:rPr>
                <w:rFonts w:ascii="宋体" w:hAnsi="宋体" w:cs="宋体"/>
                <w:bCs/>
                <w:szCs w:val="21"/>
              </w:rPr>
            </w:pPr>
            <w:r>
              <w:rPr>
                <w:rFonts w:ascii="宋体" w:hAnsi="宋体" w:cs="宋体"/>
                <w:bCs/>
                <w:szCs w:val="21"/>
              </w:rPr>
              <w:t>是否偏离</w:t>
            </w:r>
          </w:p>
          <w:p w14:paraId="51A9F4D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419B0D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4656031">
            <w:pPr>
              <w:jc w:val="center"/>
              <w:rPr>
                <w:rFonts w:ascii="宋体" w:hAnsi="宋体" w:cs="宋体"/>
                <w:bCs/>
                <w:szCs w:val="21"/>
              </w:rPr>
            </w:pPr>
            <w:r>
              <w:rPr>
                <w:rFonts w:ascii="宋体" w:hAnsi="宋体" w:cs="宋体"/>
                <w:bCs/>
                <w:szCs w:val="21"/>
              </w:rPr>
              <w:t>备注</w:t>
            </w:r>
          </w:p>
        </w:tc>
      </w:tr>
      <w:tr w14:paraId="1CD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8C2BFB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C2AC9D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91C5AA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E6396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DA4F71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718F2AE">
            <w:pPr>
              <w:jc w:val="center"/>
              <w:rPr>
                <w:rFonts w:ascii="宋体" w:hAnsi="宋体" w:cs="宋体"/>
                <w:bCs/>
                <w:szCs w:val="21"/>
              </w:rPr>
            </w:pPr>
          </w:p>
        </w:tc>
      </w:tr>
      <w:tr w14:paraId="14B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124019">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1D9518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17AEC8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450B5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97802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44EF9F0">
            <w:pPr>
              <w:jc w:val="center"/>
              <w:rPr>
                <w:rFonts w:ascii="宋体" w:hAnsi="宋体" w:cs="宋体"/>
                <w:bCs/>
                <w:szCs w:val="21"/>
              </w:rPr>
            </w:pPr>
          </w:p>
        </w:tc>
      </w:tr>
      <w:tr w14:paraId="6EE3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BF6425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2A3B521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C4E47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9EC84B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294D07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E196DB">
            <w:pPr>
              <w:jc w:val="center"/>
              <w:rPr>
                <w:rFonts w:ascii="宋体" w:hAnsi="宋体" w:cs="宋体"/>
                <w:bCs/>
                <w:szCs w:val="21"/>
              </w:rPr>
            </w:pPr>
          </w:p>
        </w:tc>
      </w:tr>
    </w:tbl>
    <w:p w14:paraId="7C087476">
      <w:pPr>
        <w:pStyle w:val="4"/>
        <w:ind w:firstLine="0"/>
        <w:rPr>
          <w:rFonts w:ascii="宋体" w:hAnsi="宋体"/>
          <w:b/>
          <w:bCs/>
          <w:szCs w:val="21"/>
        </w:rPr>
      </w:pPr>
    </w:p>
    <w:p w14:paraId="2E481C0A">
      <w:pPr>
        <w:pStyle w:val="4"/>
        <w:ind w:firstLine="632" w:firstLineChars="300"/>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w:t>
      </w:r>
      <w:r>
        <w:rPr>
          <w:rFonts w:hint="eastAsia" w:ascii="宋体" w:hAnsi="宋体" w:cs="Times New Roman"/>
          <w:b/>
          <w:bCs/>
          <w:kern w:val="2"/>
          <w:sz w:val="21"/>
          <w:szCs w:val="21"/>
          <w:lang w:val="en-US" w:eastAsia="zh-CN" w:bidi="ar-SA"/>
        </w:rPr>
        <w:t>服务要求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67C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30C51A">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BD51FAC">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22BB86B8">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B8B03B5">
            <w:pPr>
              <w:jc w:val="center"/>
              <w:rPr>
                <w:rFonts w:ascii="宋体" w:hAnsi="宋体" w:cs="宋体"/>
                <w:bCs/>
                <w:szCs w:val="21"/>
              </w:rPr>
            </w:pPr>
            <w:r>
              <w:rPr>
                <w:rFonts w:ascii="宋体" w:hAnsi="宋体" w:cs="宋体"/>
                <w:bCs/>
                <w:szCs w:val="21"/>
              </w:rPr>
              <w:t>是否偏离</w:t>
            </w:r>
          </w:p>
          <w:p w14:paraId="2C95A48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4798AD">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B3DD48">
            <w:pPr>
              <w:jc w:val="center"/>
              <w:rPr>
                <w:rFonts w:ascii="宋体" w:hAnsi="宋体" w:cs="宋体"/>
                <w:bCs/>
                <w:szCs w:val="21"/>
              </w:rPr>
            </w:pPr>
            <w:r>
              <w:rPr>
                <w:rFonts w:ascii="宋体" w:hAnsi="宋体" w:cs="宋体"/>
                <w:bCs/>
                <w:szCs w:val="21"/>
              </w:rPr>
              <w:t>备注</w:t>
            </w:r>
          </w:p>
        </w:tc>
      </w:tr>
      <w:tr w14:paraId="45D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B864EAC">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11BF64C8">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7980D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CBB463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8F5C7E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6ACD13A">
            <w:pPr>
              <w:jc w:val="center"/>
              <w:rPr>
                <w:rFonts w:ascii="宋体" w:hAnsi="宋体" w:cs="宋体"/>
                <w:bCs/>
                <w:szCs w:val="21"/>
              </w:rPr>
            </w:pPr>
          </w:p>
        </w:tc>
      </w:tr>
      <w:tr w14:paraId="05D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F55305C">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672AE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334ADF">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AA38E3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72925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C981C05">
            <w:pPr>
              <w:jc w:val="center"/>
              <w:rPr>
                <w:rFonts w:ascii="宋体" w:hAnsi="宋体" w:cs="宋体"/>
                <w:bCs/>
                <w:szCs w:val="21"/>
              </w:rPr>
            </w:pPr>
          </w:p>
        </w:tc>
      </w:tr>
      <w:tr w14:paraId="5A34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F2267F">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352207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0E0B7C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E2A61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EB9FA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CFC591">
            <w:pPr>
              <w:jc w:val="center"/>
              <w:rPr>
                <w:rFonts w:ascii="宋体" w:hAnsi="宋体" w:cs="宋体"/>
                <w:bCs/>
                <w:szCs w:val="21"/>
              </w:rPr>
            </w:pPr>
          </w:p>
        </w:tc>
      </w:tr>
    </w:tbl>
    <w:p w14:paraId="1209E67F">
      <w:pPr>
        <w:pStyle w:val="4"/>
        <w:ind w:firstLine="632" w:firstLineChars="300"/>
        <w:rPr>
          <w:rFonts w:ascii="宋体" w:hAnsi="宋体"/>
          <w:b/>
          <w:bCs/>
          <w:szCs w:val="21"/>
        </w:rPr>
      </w:pPr>
    </w:p>
    <w:p w14:paraId="16B1DC66">
      <w:pPr>
        <w:pStyle w:val="4"/>
        <w:numPr>
          <w:ilvl w:val="0"/>
          <w:numId w:val="1"/>
        </w:numPr>
        <w:ind w:firstLine="632" w:firstLineChars="300"/>
        <w:rPr>
          <w:rFonts w:hint="eastAsia" w:ascii="宋体" w:hAnsi="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商务要求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36B2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9E54FB">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BDA58A8">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2D0ECE2E">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EBCCDE8">
            <w:pPr>
              <w:jc w:val="center"/>
              <w:rPr>
                <w:rFonts w:ascii="宋体" w:hAnsi="宋体" w:cs="宋体"/>
                <w:bCs/>
                <w:szCs w:val="21"/>
              </w:rPr>
            </w:pPr>
            <w:r>
              <w:rPr>
                <w:rFonts w:ascii="宋体" w:hAnsi="宋体" w:cs="宋体"/>
                <w:bCs/>
                <w:szCs w:val="21"/>
              </w:rPr>
              <w:t>是否偏离</w:t>
            </w:r>
          </w:p>
          <w:p w14:paraId="69899E8B">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9EBC304">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2129925">
            <w:pPr>
              <w:jc w:val="center"/>
              <w:rPr>
                <w:rFonts w:ascii="宋体" w:hAnsi="宋体" w:cs="宋体"/>
                <w:bCs/>
                <w:szCs w:val="21"/>
              </w:rPr>
            </w:pPr>
            <w:r>
              <w:rPr>
                <w:rFonts w:ascii="宋体" w:hAnsi="宋体" w:cs="宋体"/>
                <w:bCs/>
                <w:szCs w:val="21"/>
              </w:rPr>
              <w:t>备注</w:t>
            </w:r>
          </w:p>
        </w:tc>
      </w:tr>
      <w:tr w14:paraId="3DD2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3D2FA85">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0265523F">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AD65D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1DF9551">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AD14A0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D38C741">
            <w:pPr>
              <w:jc w:val="center"/>
              <w:rPr>
                <w:rFonts w:ascii="宋体" w:hAnsi="宋体" w:cs="宋体"/>
                <w:bCs/>
                <w:szCs w:val="21"/>
              </w:rPr>
            </w:pPr>
          </w:p>
        </w:tc>
      </w:tr>
      <w:tr w14:paraId="095F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0083E5">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235E50A6">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337651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22CF55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45AEAD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03970FA">
            <w:pPr>
              <w:jc w:val="center"/>
              <w:rPr>
                <w:rFonts w:ascii="宋体" w:hAnsi="宋体" w:cs="宋体"/>
                <w:bCs/>
                <w:szCs w:val="21"/>
              </w:rPr>
            </w:pPr>
          </w:p>
        </w:tc>
      </w:tr>
      <w:tr w14:paraId="2AF4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4EB87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875CC9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1DF355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B054FB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B90D99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24B0779">
            <w:pPr>
              <w:jc w:val="center"/>
              <w:rPr>
                <w:rFonts w:ascii="宋体" w:hAnsi="宋体" w:cs="宋体"/>
                <w:bCs/>
                <w:szCs w:val="21"/>
              </w:rPr>
            </w:pPr>
          </w:p>
        </w:tc>
      </w:tr>
    </w:tbl>
    <w:p w14:paraId="6CFD7776">
      <w:pPr>
        <w:pStyle w:val="4"/>
        <w:ind w:left="0" w:leftChars="0" w:firstLine="0" w:firstLineChars="0"/>
        <w:rPr>
          <w:rFonts w:hint="eastAsia" w:ascii="宋体" w:hAnsi="宋体" w:cs="Times New Roman"/>
          <w:b/>
          <w:bCs/>
          <w:kern w:val="2"/>
          <w:sz w:val="21"/>
          <w:szCs w:val="21"/>
          <w:lang w:val="en-US" w:eastAsia="zh-CN" w:bidi="ar-SA"/>
        </w:rPr>
      </w:pPr>
    </w:p>
    <w:p w14:paraId="66D63C2B">
      <w:pPr>
        <w:pStyle w:val="4"/>
        <w:ind w:firstLine="632" w:firstLineChars="3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六、合同条款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1F19599">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4A98986">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0A0790C">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C43AF1B">
            <w:pPr>
              <w:jc w:val="center"/>
              <w:rPr>
                <w:rFonts w:ascii="宋体" w:hAnsi="宋体" w:cs="宋体"/>
                <w:bCs/>
                <w:szCs w:val="21"/>
              </w:rPr>
            </w:pPr>
            <w:r>
              <w:rPr>
                <w:rFonts w:ascii="宋体" w:hAnsi="宋体" w:cs="宋体"/>
                <w:bCs/>
                <w:szCs w:val="21"/>
              </w:rPr>
              <w:t>是否偏离</w:t>
            </w:r>
          </w:p>
          <w:p w14:paraId="72F1F95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2E453C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E820722">
            <w:pPr>
              <w:jc w:val="center"/>
              <w:rPr>
                <w:rFonts w:ascii="宋体" w:hAnsi="宋体" w:cs="宋体"/>
                <w:bCs/>
                <w:szCs w:val="21"/>
              </w:rPr>
            </w:pPr>
            <w:r>
              <w:rPr>
                <w:rFonts w:ascii="宋体" w:hAnsi="宋体" w:cs="宋体"/>
                <w:bCs/>
                <w:szCs w:val="21"/>
              </w:rPr>
              <w:t>备注</w:t>
            </w:r>
          </w:p>
        </w:tc>
      </w:tr>
      <w:tr w14:paraId="3F19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FAFEA0">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AC9D9D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413B9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518A3D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63537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C9B99D">
            <w:pPr>
              <w:jc w:val="center"/>
              <w:rPr>
                <w:rFonts w:ascii="宋体" w:hAnsi="宋体" w:cs="宋体"/>
                <w:bCs/>
                <w:szCs w:val="21"/>
              </w:rPr>
            </w:pPr>
          </w:p>
        </w:tc>
      </w:tr>
      <w:tr w14:paraId="3B0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4EE1E8">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1A67F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5D1B1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B8163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D133B7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F4D251">
            <w:pPr>
              <w:jc w:val="center"/>
              <w:rPr>
                <w:rFonts w:ascii="宋体" w:hAnsi="宋体" w:cs="宋体"/>
                <w:bCs/>
                <w:szCs w:val="21"/>
              </w:rPr>
            </w:pPr>
          </w:p>
        </w:tc>
      </w:tr>
      <w:tr w14:paraId="4A58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588E3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055A54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2C472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E79FBF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98D1CB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1182CE">
            <w:pPr>
              <w:jc w:val="center"/>
              <w:rPr>
                <w:rFonts w:ascii="宋体" w:hAnsi="宋体" w:cs="宋体"/>
                <w:bCs/>
                <w:szCs w:val="21"/>
              </w:rPr>
            </w:pPr>
          </w:p>
        </w:tc>
      </w:tr>
    </w:tbl>
    <w:p w14:paraId="0D3D8E01">
      <w:pPr>
        <w:pStyle w:val="4"/>
        <w:ind w:firstLine="632" w:firstLineChars="300"/>
        <w:rPr>
          <w:rFonts w:hint="eastAsia" w:ascii="宋体" w:hAnsi="宋体"/>
          <w:b/>
          <w:bCs/>
          <w:szCs w:val="21"/>
          <w:lang w:eastAsia="zh-CN"/>
        </w:rPr>
      </w:pPr>
    </w:p>
    <w:p w14:paraId="2EEAD1C7">
      <w:pPr>
        <w:pStyle w:val="4"/>
        <w:ind w:firstLine="632" w:firstLineChars="300"/>
        <w:rPr>
          <w:rFonts w:hint="eastAsia" w:ascii="宋体" w:hAnsi="宋体" w:eastAsia="宋体"/>
          <w:b/>
          <w:bCs/>
          <w:szCs w:val="21"/>
          <w:lang w:eastAsia="zh-CN"/>
        </w:rPr>
      </w:pPr>
      <w:r>
        <w:rPr>
          <w:rFonts w:hint="eastAsia" w:ascii="宋体" w:hAnsi="宋体"/>
          <w:b/>
          <w:bCs/>
          <w:szCs w:val="21"/>
          <w:lang w:val="en-US" w:eastAsia="zh-CN"/>
        </w:rPr>
        <w:t>七</w:t>
      </w:r>
      <w:r>
        <w:rPr>
          <w:rFonts w:hint="eastAsia" w:ascii="宋体" w:hAnsi="宋体"/>
          <w:b/>
          <w:bCs/>
          <w:szCs w:val="21"/>
        </w:rPr>
        <w:t>、</w:t>
      </w:r>
      <w:r>
        <w:rPr>
          <w:rFonts w:hint="eastAsia" w:ascii="宋体" w:hAnsi="宋体"/>
          <w:b/>
          <w:bCs/>
          <w:szCs w:val="21"/>
          <w:lang w:eastAsia="zh-CN"/>
        </w:rPr>
        <w:t>其他</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472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B53548">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8825C5E">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7A7D230">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56EEF6B">
            <w:pPr>
              <w:jc w:val="center"/>
              <w:rPr>
                <w:rFonts w:ascii="宋体" w:hAnsi="宋体" w:cs="宋体"/>
                <w:bCs/>
                <w:szCs w:val="21"/>
              </w:rPr>
            </w:pPr>
            <w:r>
              <w:rPr>
                <w:rFonts w:ascii="宋体" w:hAnsi="宋体" w:cs="宋体"/>
                <w:bCs/>
                <w:szCs w:val="21"/>
              </w:rPr>
              <w:t>是否偏离</w:t>
            </w:r>
          </w:p>
          <w:p w14:paraId="7340B48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D67341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F4FD51D">
            <w:pPr>
              <w:jc w:val="center"/>
              <w:rPr>
                <w:rFonts w:ascii="宋体" w:hAnsi="宋体" w:cs="宋体"/>
                <w:bCs/>
                <w:szCs w:val="21"/>
              </w:rPr>
            </w:pPr>
            <w:r>
              <w:rPr>
                <w:rFonts w:ascii="宋体" w:hAnsi="宋体" w:cs="宋体"/>
                <w:bCs/>
                <w:szCs w:val="21"/>
              </w:rPr>
              <w:t>备注</w:t>
            </w:r>
          </w:p>
        </w:tc>
      </w:tr>
      <w:tr w14:paraId="4C3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7AB01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9D2B90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2A64AB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2A6AEB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E630C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5E8A03">
            <w:pPr>
              <w:jc w:val="center"/>
              <w:rPr>
                <w:rFonts w:ascii="宋体" w:hAnsi="宋体" w:cs="宋体"/>
                <w:bCs/>
                <w:szCs w:val="21"/>
              </w:rPr>
            </w:pPr>
          </w:p>
        </w:tc>
      </w:tr>
      <w:tr w14:paraId="515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9D8A4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87CAB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A6AF1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34549C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0F0E8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8E167C">
            <w:pPr>
              <w:jc w:val="center"/>
              <w:rPr>
                <w:rFonts w:ascii="宋体" w:hAnsi="宋体" w:cs="宋体"/>
                <w:bCs/>
                <w:szCs w:val="21"/>
              </w:rPr>
            </w:pPr>
          </w:p>
        </w:tc>
      </w:tr>
      <w:tr w14:paraId="3F3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15C4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27AB40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B562F4">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35CFE7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F1E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D452DD7">
            <w:pPr>
              <w:jc w:val="center"/>
              <w:rPr>
                <w:rFonts w:ascii="宋体" w:hAnsi="宋体" w:cs="宋体"/>
                <w:bCs/>
                <w:szCs w:val="21"/>
              </w:rPr>
            </w:pPr>
          </w:p>
        </w:tc>
      </w:tr>
    </w:tbl>
    <w:p w14:paraId="5306AF0B"/>
    <w:p w14:paraId="1402B563">
      <w:pPr>
        <w:rPr>
          <w:rFonts w:hint="eastAsia" w:ascii="仿宋" w:hAnsi="仿宋" w:eastAsia="仿宋" w:cs="仿宋"/>
          <w:b/>
          <w:bCs/>
          <w:highlight w:val="yellow"/>
          <w:lang w:val="en-US" w:eastAsia="zh-CN"/>
        </w:rPr>
      </w:pPr>
      <w:r>
        <w:rPr>
          <w:rFonts w:hint="eastAsia" w:ascii="仿宋" w:hAnsi="仿宋" w:eastAsia="仿宋" w:cs="仿宋"/>
          <w:b/>
          <w:bCs/>
          <w:highlight w:val="yellow"/>
          <w:lang w:val="en-US" w:eastAsia="zh-CN"/>
        </w:rPr>
        <w:t xml:space="preserve"> ......</w:t>
      </w:r>
    </w:p>
    <w:p w14:paraId="4F7B6D0D">
      <w:pPr>
        <w:rPr>
          <w:rFonts w:hint="default"/>
          <w:lang w:val="en-US" w:eastAsia="zh-CN"/>
        </w:rPr>
      </w:pPr>
    </w:p>
    <w:p w14:paraId="4486AA33"/>
    <w:p w14:paraId="290A9E20"/>
    <w:p w14:paraId="0052BDD7"/>
    <w:p w14:paraId="62AFB5F8">
      <w:pPr>
        <w:sectPr>
          <w:footerReference r:id="rId9" w:type="default"/>
          <w:pgSz w:w="11906" w:h="16838"/>
          <w:pgMar w:top="1134" w:right="1134" w:bottom="850" w:left="1134" w:header="851" w:footer="992" w:gutter="0"/>
          <w:pgNumType w:fmt="decimal" w:start="1"/>
          <w:cols w:space="720" w:num="1"/>
          <w:docGrid w:linePitch="312" w:charSpace="0"/>
        </w:sectPr>
      </w:pPr>
    </w:p>
    <w:bookmarkEnd w:id="213"/>
    <w:p w14:paraId="3EE31E3B">
      <w:pPr>
        <w:adjustRightInd w:val="0"/>
        <w:snapToGrid w:val="0"/>
        <w:spacing w:line="400" w:lineRule="exact"/>
        <w:ind w:firstLine="562" w:firstLineChars="200"/>
        <w:jc w:val="center"/>
        <w:rPr>
          <w:rFonts w:hint="default" w:ascii="宋体" w:hAnsi="宋体" w:eastAsia="宋体"/>
          <w:b/>
          <w:bCs/>
          <w:sz w:val="24"/>
          <w:szCs w:val="24"/>
          <w:lang w:val="en-US" w:eastAsia="zh-CN"/>
        </w:rPr>
      </w:pPr>
      <w:r>
        <w:rPr>
          <w:rFonts w:hint="eastAsia" w:ascii="宋体" w:hAnsi="宋体" w:eastAsia="宋体" w:cs="Times New Roman"/>
          <w:b/>
          <w:bCs/>
          <w:sz w:val="28"/>
          <w:szCs w:val="28"/>
        </w:rPr>
        <w:t>南方医科大学第五附属医院院内遴选采购代理机构项目评分自查表</w:t>
      </w:r>
    </w:p>
    <w:tbl>
      <w:tblPr>
        <w:tblStyle w:val="18"/>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213"/>
        <w:gridCol w:w="5936"/>
        <w:gridCol w:w="750"/>
        <w:gridCol w:w="755"/>
        <w:gridCol w:w="1103"/>
      </w:tblGrid>
      <w:tr w14:paraId="34E4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noWrap w:val="0"/>
            <w:vAlign w:val="center"/>
          </w:tcPr>
          <w:p w14:paraId="06725D32">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 xml:space="preserve">序号 </w:t>
            </w:r>
          </w:p>
        </w:tc>
        <w:tc>
          <w:tcPr>
            <w:tcW w:w="1213" w:type="dxa"/>
            <w:noWrap w:val="0"/>
            <w:vAlign w:val="center"/>
          </w:tcPr>
          <w:p w14:paraId="51F52D23">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评审内容</w:t>
            </w:r>
          </w:p>
        </w:tc>
        <w:tc>
          <w:tcPr>
            <w:tcW w:w="5936" w:type="dxa"/>
            <w:noWrap w:val="0"/>
            <w:vAlign w:val="center"/>
          </w:tcPr>
          <w:p w14:paraId="5BA99857">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评审细则</w:t>
            </w:r>
          </w:p>
        </w:tc>
        <w:tc>
          <w:tcPr>
            <w:tcW w:w="750" w:type="dxa"/>
            <w:noWrap w:val="0"/>
            <w:vAlign w:val="center"/>
          </w:tcPr>
          <w:p w14:paraId="5169B945">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b/>
                <w:sz w:val="21"/>
                <w:szCs w:val="21"/>
                <w:lang w:bidi="ar"/>
              </w:rPr>
              <w:t>分值</w:t>
            </w:r>
          </w:p>
        </w:tc>
        <w:tc>
          <w:tcPr>
            <w:tcW w:w="755" w:type="dxa"/>
            <w:noWrap w:val="0"/>
            <w:vAlign w:val="center"/>
          </w:tcPr>
          <w:p w14:paraId="1FC09E19">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sz w:val="21"/>
                <w:szCs w:val="21"/>
                <w:lang w:bidi="ar"/>
              </w:rPr>
            </w:pPr>
            <w:r>
              <w:rPr>
                <w:rFonts w:hint="eastAsia" w:ascii="宋体" w:hAnsi="宋体" w:eastAsia="宋体" w:cs="宋体"/>
                <w:b/>
                <w:sz w:val="21"/>
                <w:szCs w:val="21"/>
                <w:lang w:bidi="ar"/>
              </w:rPr>
              <w:t>自评得分</w:t>
            </w:r>
          </w:p>
        </w:tc>
        <w:tc>
          <w:tcPr>
            <w:tcW w:w="1103" w:type="dxa"/>
            <w:noWrap w:val="0"/>
            <w:vAlign w:val="center"/>
          </w:tcPr>
          <w:p w14:paraId="048E2558">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sz w:val="21"/>
                <w:szCs w:val="21"/>
                <w:lang w:bidi="ar"/>
              </w:rPr>
            </w:pPr>
            <w:r>
              <w:rPr>
                <w:rFonts w:hint="eastAsia" w:ascii="宋体" w:hAnsi="宋体" w:eastAsia="宋体" w:cs="宋体"/>
                <w:b/>
                <w:sz w:val="21"/>
                <w:szCs w:val="21"/>
                <w:lang w:bidi="ar"/>
              </w:rPr>
              <w:t>页码</w:t>
            </w:r>
          </w:p>
        </w:tc>
      </w:tr>
      <w:tr w14:paraId="557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446" w:type="dxa"/>
            <w:vMerge w:val="restart"/>
            <w:noWrap w:val="0"/>
            <w:vAlign w:val="center"/>
          </w:tcPr>
          <w:p w14:paraId="5C55E8C3">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213" w:type="dxa"/>
            <w:vMerge w:val="restart"/>
            <w:noWrap w:val="0"/>
            <w:vAlign w:val="center"/>
          </w:tcPr>
          <w:p w14:paraId="2432DDB4">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工程、货物、服务类别相关</w:t>
            </w:r>
            <w:r>
              <w:rPr>
                <w:rFonts w:hint="eastAsia" w:ascii="宋体" w:hAnsi="宋体" w:eastAsia="宋体" w:cs="宋体"/>
                <w:b/>
                <w:bCs/>
                <w:color w:val="auto"/>
                <w:sz w:val="21"/>
                <w:szCs w:val="21"/>
                <w:highlight w:val="none"/>
              </w:rPr>
              <w:t>业绩</w:t>
            </w:r>
          </w:p>
          <w:p w14:paraId="6FE2D803">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color w:val="auto"/>
                <w:sz w:val="21"/>
                <w:szCs w:val="21"/>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25分）</w:t>
            </w:r>
          </w:p>
        </w:tc>
        <w:tc>
          <w:tcPr>
            <w:tcW w:w="5936" w:type="dxa"/>
            <w:noWrap w:val="0"/>
            <w:vAlign w:val="top"/>
          </w:tcPr>
          <w:p w14:paraId="6FD9475F">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各供应商在2021年1月1日起到本项目报名截止时间止：</w:t>
            </w:r>
          </w:p>
          <w:p w14:paraId="76B4D168">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（1）代理过医疗设备及其相关服务项目的，每提供1个得0.5分，本小项最高得6分；</w:t>
            </w:r>
          </w:p>
          <w:p w14:paraId="2E2BF515">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（2）代理过工程类和信息类项目的，每提供1个得0.5分，本小项最高得6分；</w:t>
            </w:r>
          </w:p>
          <w:p w14:paraId="7C081159">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（3）代理过普通货物和服务类项目的（除医疗设备、工程和信息类以外项目），每提供1个得0.5分，本小项最高得6分。</w:t>
            </w:r>
          </w:p>
          <w:p w14:paraId="1399D546">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val="en-US" w:eastAsia="zh-CN"/>
              </w:rPr>
              <w:t>注：本项累计得24分，同一采购单位的业绩只计分1次，不重复得分。需提供完整的项目委托代理协议复印件或中标通知书，并加盖供应商公章。未提供</w:t>
            </w:r>
            <w:r>
              <w:rPr>
                <w:rFonts w:hint="eastAsia" w:ascii="宋体" w:hAnsi="宋体" w:eastAsia="宋体" w:cs="宋体"/>
                <w:b/>
                <w:bCs/>
                <w:color w:val="auto"/>
                <w:kern w:val="2"/>
                <w:sz w:val="21"/>
                <w:szCs w:val="21"/>
                <w:highlight w:val="none"/>
                <w:lang w:val="zh-CN" w:eastAsia="zh-CN" w:bidi="ar-SA"/>
              </w:rPr>
              <w:t>或</w:t>
            </w:r>
            <w:r>
              <w:rPr>
                <w:rFonts w:hint="eastAsia" w:ascii="宋体" w:hAnsi="宋体" w:eastAsia="宋体" w:cs="宋体"/>
                <w:b/>
                <w:bCs/>
                <w:color w:val="auto"/>
                <w:kern w:val="2"/>
                <w:sz w:val="21"/>
                <w:szCs w:val="21"/>
                <w:highlight w:val="none"/>
                <w:lang w:val="en-US" w:eastAsia="zh-CN" w:bidi="ar-SA"/>
              </w:rPr>
              <w:t>不清晰导致</w:t>
            </w:r>
            <w:r>
              <w:rPr>
                <w:rFonts w:hint="eastAsia" w:ascii="宋体" w:hAnsi="宋体" w:eastAsia="宋体" w:cs="宋体"/>
                <w:b/>
                <w:bCs/>
                <w:color w:val="auto"/>
                <w:kern w:val="2"/>
                <w:sz w:val="21"/>
                <w:szCs w:val="21"/>
                <w:highlight w:val="none"/>
                <w:lang w:val="zh-CN" w:eastAsia="zh-CN" w:bidi="ar-SA"/>
              </w:rPr>
              <w:t>专家无法判断是否得分的业绩，一律作不得分处理，</w:t>
            </w:r>
            <w:r>
              <w:rPr>
                <w:rFonts w:hint="eastAsia" w:ascii="宋体" w:hAnsi="宋体" w:eastAsia="宋体" w:cs="宋体"/>
                <w:b/>
                <w:bCs/>
                <w:color w:val="auto"/>
                <w:kern w:val="2"/>
                <w:sz w:val="21"/>
                <w:szCs w:val="21"/>
                <w:highlight w:val="none"/>
                <w:lang w:val="en-US" w:eastAsia="zh-CN" w:bidi="ar-SA"/>
              </w:rPr>
              <w:t>未提供不得分</w:t>
            </w:r>
            <w:r>
              <w:rPr>
                <w:rFonts w:hint="eastAsia" w:ascii="宋体" w:hAnsi="宋体" w:eastAsia="宋体" w:cs="宋体"/>
                <w:b/>
                <w:bCs/>
                <w:color w:val="auto"/>
                <w:kern w:val="2"/>
                <w:sz w:val="21"/>
                <w:szCs w:val="21"/>
                <w:highlight w:val="none"/>
                <w:lang w:val="zh-CN" w:eastAsia="zh-CN" w:bidi="ar-SA"/>
              </w:rPr>
              <w:t>。</w:t>
            </w:r>
          </w:p>
        </w:tc>
        <w:tc>
          <w:tcPr>
            <w:tcW w:w="750" w:type="dxa"/>
            <w:noWrap w:val="0"/>
            <w:vAlign w:val="center"/>
          </w:tcPr>
          <w:p w14:paraId="79BD3F64">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18</w:t>
            </w:r>
            <w:r>
              <w:rPr>
                <w:rFonts w:hint="eastAsia" w:ascii="宋体" w:hAnsi="宋体" w:eastAsia="宋体" w:cs="宋体"/>
                <w:color w:val="auto"/>
                <w:sz w:val="21"/>
                <w:szCs w:val="21"/>
                <w:lang w:bidi="ar"/>
              </w:rPr>
              <w:t>分</w:t>
            </w:r>
          </w:p>
        </w:tc>
        <w:tc>
          <w:tcPr>
            <w:tcW w:w="755" w:type="dxa"/>
            <w:noWrap w:val="0"/>
            <w:vAlign w:val="center"/>
          </w:tcPr>
          <w:p w14:paraId="1765E8EB">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14DD7B80">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7F9D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446" w:type="dxa"/>
            <w:vMerge w:val="continue"/>
            <w:noWrap w:val="0"/>
            <w:vAlign w:val="center"/>
          </w:tcPr>
          <w:p w14:paraId="476693EA">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p>
        </w:tc>
        <w:tc>
          <w:tcPr>
            <w:tcW w:w="1213" w:type="dxa"/>
            <w:vMerge w:val="continue"/>
            <w:noWrap w:val="0"/>
            <w:vAlign w:val="center"/>
          </w:tcPr>
          <w:p w14:paraId="3390DB2A">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color w:val="auto"/>
                <w:sz w:val="21"/>
                <w:szCs w:val="21"/>
                <w:lang w:bidi="ar"/>
              </w:rPr>
            </w:pPr>
          </w:p>
        </w:tc>
        <w:tc>
          <w:tcPr>
            <w:tcW w:w="5936" w:type="dxa"/>
            <w:noWrap w:val="0"/>
            <w:vAlign w:val="top"/>
          </w:tcPr>
          <w:p w14:paraId="0118AE5D">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市场需求调查业绩：</w:t>
            </w:r>
          </w:p>
          <w:p w14:paraId="50E0B2C1">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（1）单个市场需求调查业绩，预估金额≥5000万元，每个得1分，满分4分；</w:t>
            </w:r>
          </w:p>
          <w:p w14:paraId="6A16186E">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（2）单个市场需求调查业绩，1000万元≤预估金额＜5000万元，每个得0.5分；满分3分。</w:t>
            </w:r>
          </w:p>
          <w:p w14:paraId="39CB09C9">
            <w:pPr>
              <w:pStyle w:val="27"/>
              <w:keepNext w:val="0"/>
              <w:keepLines w:val="0"/>
              <w:pageBreakBefore w:val="0"/>
              <w:numPr>
                <w:ilvl w:val="0"/>
                <w:numId w:val="0"/>
              </w:numPr>
              <w:kinsoku/>
              <w:wordWrap/>
              <w:overflowPunct/>
              <w:topLinePunct w:val="0"/>
              <w:autoSpaceDN/>
              <w:bidi w:val="0"/>
              <w:adjustRightInd/>
              <w:snapToGrid/>
              <w:spacing w:line="240" w:lineRule="exact"/>
              <w:ind w:leftChars="0"/>
              <w:textAlignment w:val="auto"/>
              <w:rPr>
                <w:rFonts w:hint="eastAsia" w:ascii="宋体" w:hAnsi="宋体" w:eastAsia="宋体" w:cs="宋体"/>
                <w:b w:val="0"/>
                <w:bCs w:val="0"/>
                <w:color w:val="auto"/>
                <w:sz w:val="21"/>
                <w:szCs w:val="21"/>
                <w:lang w:bidi="ar"/>
              </w:rPr>
            </w:pPr>
            <w:r>
              <w:rPr>
                <w:rFonts w:hint="eastAsia" w:ascii="宋体" w:hAnsi="宋体" w:eastAsia="宋体" w:cs="宋体"/>
                <w:b/>
                <w:bCs/>
                <w:color w:val="auto"/>
                <w:kern w:val="0"/>
                <w:sz w:val="21"/>
                <w:szCs w:val="21"/>
                <w:lang w:eastAsia="zh-CN"/>
              </w:rPr>
              <w:t>注：</w:t>
            </w:r>
            <w:r>
              <w:rPr>
                <w:rFonts w:hint="eastAsia" w:ascii="宋体" w:hAnsi="宋体" w:eastAsia="宋体" w:cs="宋体"/>
                <w:b/>
                <w:bCs/>
                <w:color w:val="auto"/>
                <w:kern w:val="0"/>
                <w:sz w:val="21"/>
                <w:szCs w:val="21"/>
              </w:rPr>
              <w:t>市场需求调查的数量和预估金额以其所代理项目调查公告为准，若调查公告上未标明预估金额，则以合同或由业主出具的有效证明资料为准。</w:t>
            </w:r>
            <w:r>
              <w:rPr>
                <w:rFonts w:hint="eastAsia" w:ascii="宋体" w:hAnsi="宋体" w:eastAsia="宋体" w:cs="宋体"/>
                <w:b/>
                <w:bCs/>
                <w:color w:val="auto"/>
                <w:kern w:val="0"/>
                <w:sz w:val="21"/>
                <w:szCs w:val="21"/>
                <w:lang w:eastAsia="zh-CN"/>
              </w:rPr>
              <w:t>提供相关证明文件作为评审依据。</w:t>
            </w:r>
          </w:p>
        </w:tc>
        <w:tc>
          <w:tcPr>
            <w:tcW w:w="750" w:type="dxa"/>
            <w:noWrap w:val="0"/>
            <w:vAlign w:val="center"/>
          </w:tcPr>
          <w:p w14:paraId="52D85724">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7分</w:t>
            </w:r>
          </w:p>
        </w:tc>
        <w:tc>
          <w:tcPr>
            <w:tcW w:w="755" w:type="dxa"/>
            <w:noWrap w:val="0"/>
            <w:vAlign w:val="center"/>
          </w:tcPr>
          <w:p w14:paraId="540F59B9">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7D3D1D70">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49D3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46" w:type="dxa"/>
            <w:vMerge w:val="restart"/>
            <w:noWrap w:val="0"/>
            <w:vAlign w:val="center"/>
          </w:tcPr>
          <w:p w14:paraId="23A50440">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213" w:type="dxa"/>
            <w:vMerge w:val="restart"/>
            <w:noWrap w:val="0"/>
            <w:vAlign w:val="center"/>
          </w:tcPr>
          <w:p w14:paraId="5F3D47A6">
            <w:pPr>
              <w:pStyle w:val="35"/>
              <w:keepNext w:val="0"/>
              <w:keepLines w:val="0"/>
              <w:pageBreakBefore w:val="0"/>
              <w:widowControl w:val="0"/>
              <w:tabs>
                <w:tab w:val="left" w:pos="219"/>
              </w:tabs>
              <w:kinsoku/>
              <w:wordWrap/>
              <w:overflowPunct/>
              <w:topLinePunct w:val="0"/>
              <w:autoSpaceDN/>
              <w:bidi w:val="0"/>
              <w:adjustRightInd/>
              <w:snapToGrid/>
              <w:spacing w:line="2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企业实力</w:t>
            </w:r>
          </w:p>
          <w:p w14:paraId="083C9463">
            <w:pPr>
              <w:pStyle w:val="35"/>
              <w:keepNext w:val="0"/>
              <w:keepLines w:val="0"/>
              <w:pageBreakBefore w:val="0"/>
              <w:widowControl w:val="0"/>
              <w:tabs>
                <w:tab w:val="left" w:pos="219"/>
              </w:tabs>
              <w:kinsoku/>
              <w:wordWrap/>
              <w:overflowPunct/>
              <w:topLinePunct w:val="0"/>
              <w:autoSpaceDN/>
              <w:bidi w:val="0"/>
              <w:adjustRightInd/>
              <w:snapToGrid/>
              <w:spacing w:line="240" w:lineRule="exact"/>
              <w:jc w:val="center"/>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5分）</w:t>
            </w:r>
          </w:p>
        </w:tc>
        <w:tc>
          <w:tcPr>
            <w:tcW w:w="5936" w:type="dxa"/>
            <w:noWrap w:val="0"/>
            <w:vAlign w:val="top"/>
          </w:tcPr>
          <w:p w14:paraId="32A6A1E9">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具有在有效期内的ISO质量管理体系认证证书、环境管理体系认证证书、职业健康安全管理体系认证证书，每提供1份得1分，最高得3分，不提供不得分。</w:t>
            </w:r>
          </w:p>
          <w:p w14:paraId="59464B9D">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注：须同时提供认证证书复印件和打印网站公布的链接信息资料【网址以http：//www.cnca.gov.cn/网站公布为准】。</w:t>
            </w:r>
          </w:p>
        </w:tc>
        <w:tc>
          <w:tcPr>
            <w:tcW w:w="750" w:type="dxa"/>
            <w:noWrap w:val="0"/>
            <w:vAlign w:val="center"/>
          </w:tcPr>
          <w:p w14:paraId="096895AC">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3分</w:t>
            </w:r>
          </w:p>
        </w:tc>
        <w:tc>
          <w:tcPr>
            <w:tcW w:w="755" w:type="dxa"/>
            <w:noWrap w:val="0"/>
            <w:vAlign w:val="center"/>
          </w:tcPr>
          <w:p w14:paraId="132FB4EF">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4CA83495">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6471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46" w:type="dxa"/>
            <w:vMerge w:val="continue"/>
            <w:noWrap w:val="0"/>
            <w:vAlign w:val="center"/>
          </w:tcPr>
          <w:p w14:paraId="56A7E9FB">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p>
        </w:tc>
        <w:tc>
          <w:tcPr>
            <w:tcW w:w="1213" w:type="dxa"/>
            <w:vMerge w:val="continue"/>
            <w:noWrap w:val="0"/>
            <w:vAlign w:val="center"/>
          </w:tcPr>
          <w:p w14:paraId="47A9877A">
            <w:pPr>
              <w:pStyle w:val="35"/>
              <w:keepNext w:val="0"/>
              <w:keepLines w:val="0"/>
              <w:pageBreakBefore w:val="0"/>
              <w:widowControl w:val="0"/>
              <w:tabs>
                <w:tab w:val="left" w:pos="219"/>
              </w:tabs>
              <w:kinsoku/>
              <w:wordWrap/>
              <w:overflowPunct/>
              <w:topLinePunct w:val="0"/>
              <w:autoSpaceDN/>
              <w:bidi w:val="0"/>
              <w:adjustRightInd/>
              <w:snapToGrid/>
              <w:spacing w:line="240" w:lineRule="exact"/>
              <w:jc w:val="center"/>
              <w:rPr>
                <w:rFonts w:hint="eastAsia" w:ascii="宋体" w:hAnsi="宋体" w:eastAsia="宋体" w:cs="宋体"/>
                <w:b/>
                <w:color w:val="auto"/>
                <w:sz w:val="21"/>
                <w:szCs w:val="21"/>
                <w:lang w:eastAsia="zh-CN"/>
              </w:rPr>
            </w:pPr>
          </w:p>
        </w:tc>
        <w:tc>
          <w:tcPr>
            <w:tcW w:w="5936" w:type="dxa"/>
            <w:noWrap w:val="0"/>
            <w:vAlign w:val="top"/>
          </w:tcPr>
          <w:p w14:paraId="0E0874A6">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具备电子评标系统且已投入使用，得2分，没有不得分。</w:t>
            </w:r>
          </w:p>
          <w:p w14:paraId="144C8DFF">
            <w:pPr>
              <w:keepNext w:val="0"/>
              <w:keepLines w:val="0"/>
              <w:pageBreakBefore w:val="0"/>
              <w:kinsoku/>
              <w:wordWrap/>
              <w:overflowPunct/>
              <w:topLinePunct w:val="0"/>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注：提供任意一个采用综合评分法评审的项目评审过程的评委个人评分及汇总界面的截屏，否则不得分。</w:t>
            </w:r>
          </w:p>
        </w:tc>
        <w:tc>
          <w:tcPr>
            <w:tcW w:w="750" w:type="dxa"/>
            <w:noWrap w:val="0"/>
            <w:vAlign w:val="center"/>
          </w:tcPr>
          <w:p w14:paraId="72CFA372">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2分</w:t>
            </w:r>
          </w:p>
        </w:tc>
        <w:tc>
          <w:tcPr>
            <w:tcW w:w="755" w:type="dxa"/>
            <w:noWrap w:val="0"/>
            <w:vAlign w:val="center"/>
          </w:tcPr>
          <w:p w14:paraId="60E76F4E">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044C06EF">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373D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446" w:type="dxa"/>
            <w:noWrap w:val="0"/>
            <w:vAlign w:val="center"/>
          </w:tcPr>
          <w:p w14:paraId="3EF3BA4D">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sz w:val="21"/>
                <w:szCs w:val="21"/>
                <w:lang w:eastAsia="zh-CN" w:bidi="ar"/>
              </w:rPr>
            </w:pPr>
            <w:r>
              <w:rPr>
                <w:rFonts w:hint="eastAsia" w:ascii="宋体" w:hAnsi="宋体" w:eastAsia="宋体" w:cs="宋体"/>
                <w:b/>
                <w:sz w:val="21"/>
                <w:szCs w:val="21"/>
                <w:lang w:val="en-US" w:eastAsia="zh-CN" w:bidi="ar"/>
              </w:rPr>
              <w:t>3</w:t>
            </w:r>
          </w:p>
        </w:tc>
        <w:tc>
          <w:tcPr>
            <w:tcW w:w="1213" w:type="dxa"/>
            <w:noWrap w:val="0"/>
            <w:vAlign w:val="center"/>
          </w:tcPr>
          <w:p w14:paraId="71CAC180">
            <w:pPr>
              <w:keepNext w:val="0"/>
              <w:keepLines w:val="0"/>
              <w:pageBreakBefore w:val="0"/>
              <w:widowControl/>
              <w:kinsoku/>
              <w:wordWrap/>
              <w:overflowPunct/>
              <w:topLinePunct w:val="0"/>
              <w:autoSpaceDN/>
              <w:bidi w:val="0"/>
              <w:adjustRightInd/>
              <w:snapToGrid/>
              <w:spacing w:line="240" w:lineRule="exact"/>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需求</w:t>
            </w:r>
            <w:r>
              <w:rPr>
                <w:rFonts w:hint="eastAsia" w:ascii="宋体" w:hAnsi="宋体" w:eastAsia="宋体" w:cs="宋体"/>
                <w:b/>
                <w:bCs/>
                <w:color w:val="auto"/>
                <w:kern w:val="0"/>
                <w:sz w:val="21"/>
                <w:szCs w:val="21"/>
                <w:lang w:val="en-US" w:eastAsia="zh-CN"/>
              </w:rPr>
              <w:t>响应情况</w:t>
            </w:r>
          </w:p>
          <w:p w14:paraId="4A627EE7">
            <w:pPr>
              <w:pStyle w:val="25"/>
              <w:keepNext w:val="0"/>
              <w:keepLines w:val="0"/>
              <w:pageBreakBefore w:val="0"/>
              <w:kinsoku/>
              <w:wordWrap/>
              <w:overflowPunct/>
              <w:topLinePunct w:val="0"/>
              <w:autoSpaceDN/>
              <w:bidi w:val="0"/>
              <w:adjustRightInd/>
              <w:snapToGrid/>
              <w:spacing w:line="240" w:lineRule="exact"/>
              <w:jc w:val="center"/>
              <w:rPr>
                <w:rFonts w:hint="eastAsia" w:ascii="宋体" w:hAnsi="宋体" w:eastAsia="宋体" w:cs="宋体"/>
                <w:b/>
                <w:color w:val="auto"/>
                <w:sz w:val="21"/>
                <w:szCs w:val="21"/>
                <w:highlight w:val="none"/>
                <w:lang w:eastAsia="zh-CN" w:bidi="ar"/>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15分）</w:t>
            </w:r>
          </w:p>
        </w:tc>
        <w:tc>
          <w:tcPr>
            <w:tcW w:w="5936" w:type="dxa"/>
            <w:noWrap w:val="0"/>
            <w:vAlign w:val="center"/>
          </w:tcPr>
          <w:p w14:paraId="3D598DD2">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根据供应商“用户需求偏离表”中对本项目需求响应情况进行评价：</w:t>
            </w:r>
          </w:p>
          <w:p w14:paraId="7F8CF14C">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优：对采购文件中各条款的响应非常全面，优于采购文件要求的，得15分；</w:t>
            </w:r>
          </w:p>
          <w:p w14:paraId="211C6007">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良：对采购文件中各条款的响应全面，符合采购文件要求的，得10分；</w:t>
            </w:r>
          </w:p>
          <w:p w14:paraId="3632990C">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中：对采购文件中各条款的响应较全面，基本满足采购文件要求的，得5分；</w:t>
            </w:r>
          </w:p>
          <w:p w14:paraId="67C8D4A2">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差：对采购文件中各条款的响应较差，只有部分满足采购文件要求的，得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493D2972">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注：不填写用户需求偏离表的或填写不完整的视为不响应采购文件要求，不得分。</w:t>
            </w:r>
          </w:p>
        </w:tc>
        <w:tc>
          <w:tcPr>
            <w:tcW w:w="750" w:type="dxa"/>
            <w:noWrap w:val="0"/>
            <w:vAlign w:val="center"/>
          </w:tcPr>
          <w:p w14:paraId="356CF160">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bidi="ar"/>
              </w:rPr>
              <w:t>分</w:t>
            </w:r>
          </w:p>
        </w:tc>
        <w:tc>
          <w:tcPr>
            <w:tcW w:w="755" w:type="dxa"/>
            <w:noWrap w:val="0"/>
            <w:vAlign w:val="center"/>
          </w:tcPr>
          <w:p w14:paraId="13FAE822">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2E181BAA">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49EF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dxa"/>
            <w:noWrap w:val="0"/>
            <w:vAlign w:val="center"/>
          </w:tcPr>
          <w:p w14:paraId="2360722B">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213" w:type="dxa"/>
            <w:noWrap w:val="0"/>
            <w:vAlign w:val="center"/>
          </w:tcPr>
          <w:p w14:paraId="5CFD3764">
            <w:pPr>
              <w:pStyle w:val="16"/>
              <w:keepNext w:val="0"/>
              <w:keepLines w:val="0"/>
              <w:pageBreakBefore w:val="0"/>
              <w:widowControl/>
              <w:kinsoku/>
              <w:wordWrap/>
              <w:overflowPunct/>
              <w:topLinePunct w:val="0"/>
              <w:autoSpaceDE w:val="0"/>
              <w:autoSpaceDN/>
              <w:bidi w:val="0"/>
              <w:adjustRightInd/>
              <w:snapToGrid/>
              <w:spacing w:line="24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服务措施</w:t>
            </w:r>
          </w:p>
          <w:p w14:paraId="3AB2EDE0">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bCs/>
                <w:color w:val="auto"/>
                <w:kern w:val="2"/>
                <w:sz w:val="21"/>
                <w:szCs w:val="21"/>
                <w:highlight w:val="none"/>
                <w:lang w:val="en-US" w:eastAsia="zh-CN" w:bidi="ar-SA"/>
              </w:rPr>
              <w:t>（18分）</w:t>
            </w:r>
          </w:p>
        </w:tc>
        <w:tc>
          <w:tcPr>
            <w:tcW w:w="5936" w:type="dxa"/>
            <w:noWrap w:val="0"/>
            <w:vAlign w:val="center"/>
          </w:tcPr>
          <w:p w14:paraId="406C8539">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供应商提供的质量保证措施、进度控制措施及风险控制措施、异常情况处理措施、全程保密措施、档案管理、增殖服务、对降低采购人采购成本、</w:t>
            </w:r>
            <w:r>
              <w:rPr>
                <w:rFonts w:hint="eastAsia" w:ascii="宋体" w:hAnsi="宋体" w:eastAsia="宋体" w:cs="宋体"/>
                <w:sz w:val="21"/>
                <w:szCs w:val="21"/>
                <w:highlight w:val="none"/>
                <w:lang w:val="zh-CN"/>
              </w:rPr>
              <w:t>提高采购人采购效率和减少采购人事务性工作</w:t>
            </w:r>
            <w:r>
              <w:rPr>
                <w:rFonts w:hint="eastAsia" w:ascii="宋体" w:hAnsi="宋体" w:eastAsia="宋体" w:cs="宋体"/>
                <w:sz w:val="21"/>
                <w:szCs w:val="21"/>
                <w:highlight w:val="none"/>
              </w:rPr>
              <w:t>提出建设性方案等服务方案进行综合评价：</w:t>
            </w:r>
          </w:p>
          <w:p w14:paraId="11E20478">
            <w:pPr>
              <w:keepNext w:val="0"/>
              <w:keepLines w:val="0"/>
              <w:pageBreakBefore w:val="0"/>
              <w:numPr>
                <w:ilvl w:val="0"/>
                <w:numId w:val="0"/>
              </w:numPr>
              <w:kinsoku/>
              <w:wordWrap/>
              <w:overflowPunct/>
              <w:topLinePunct w:val="0"/>
              <w:autoSpaceDN/>
              <w:bidi w:val="0"/>
              <w:adjustRightInd/>
              <w:snapToGrid/>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优：充分理解项目要求，服务措施完整，针对性强，措施具体操作性强的得18分；</w:t>
            </w:r>
          </w:p>
          <w:p w14:paraId="2C081199">
            <w:pPr>
              <w:keepNext w:val="0"/>
              <w:keepLines w:val="0"/>
              <w:pageBreakBefore w:val="0"/>
              <w:numPr>
                <w:ilvl w:val="0"/>
                <w:numId w:val="0"/>
              </w:numPr>
              <w:kinsoku/>
              <w:wordWrap/>
              <w:overflowPunct/>
              <w:topLinePunct w:val="0"/>
              <w:autoSpaceDN/>
              <w:bidi w:val="0"/>
              <w:adjustRightInd/>
              <w:snapToGrid/>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良：较好理解项目要求，服务措施针对性较强，措施较具体操作性较强的得11分；</w:t>
            </w:r>
          </w:p>
          <w:p w14:paraId="09E44E6E">
            <w:pPr>
              <w:keepNext w:val="0"/>
              <w:keepLines w:val="0"/>
              <w:pageBreakBefore w:val="0"/>
              <w:numPr>
                <w:ilvl w:val="0"/>
                <w:numId w:val="0"/>
              </w:numPr>
              <w:kinsoku/>
              <w:wordWrap/>
              <w:overflowPunct/>
              <w:topLinePunct w:val="0"/>
              <w:autoSpaceDN/>
              <w:bidi w:val="0"/>
              <w:adjustRightInd/>
              <w:snapToGrid/>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中：对项目要求的基本理解，服务措施针对性一般，措施不具体操作性不强的得4分；</w:t>
            </w:r>
          </w:p>
          <w:p w14:paraId="25DCD068">
            <w:pPr>
              <w:pStyle w:val="25"/>
              <w:keepNext w:val="0"/>
              <w:keepLines w:val="0"/>
              <w:pageBreakBefore w:val="0"/>
              <w:kinsoku/>
              <w:wordWrap/>
              <w:overflowPunct/>
              <w:topLinePunct w:val="0"/>
              <w:autoSpaceDN/>
              <w:bidi w:val="0"/>
              <w:adjustRightInd/>
              <w:snapToGrid/>
              <w:spacing w:line="24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highlight w:val="none"/>
                <w:lang w:val="en-US" w:eastAsia="zh-CN"/>
              </w:rPr>
              <w:t>差：对项目要求的理解欠缺，服务措施差无操作性或未提供方案不得分。</w:t>
            </w:r>
          </w:p>
        </w:tc>
        <w:tc>
          <w:tcPr>
            <w:tcW w:w="750" w:type="dxa"/>
            <w:noWrap w:val="0"/>
            <w:vAlign w:val="center"/>
          </w:tcPr>
          <w:p w14:paraId="0B2DD610">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18分</w:t>
            </w:r>
          </w:p>
        </w:tc>
        <w:tc>
          <w:tcPr>
            <w:tcW w:w="755" w:type="dxa"/>
            <w:noWrap w:val="0"/>
            <w:vAlign w:val="center"/>
          </w:tcPr>
          <w:p w14:paraId="576A21D5">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55883BAA">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49BC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46" w:type="dxa"/>
            <w:noWrap w:val="0"/>
            <w:vAlign w:val="center"/>
          </w:tcPr>
          <w:p w14:paraId="2F5EDA91">
            <w:pPr>
              <w:pStyle w:val="35"/>
              <w:keepNext w:val="0"/>
              <w:keepLines w:val="0"/>
              <w:pageBreakBefore w:val="0"/>
              <w:widowControl w:val="0"/>
              <w:kinsoku/>
              <w:wordWrap/>
              <w:overflowPunct/>
              <w:topLinePunct w:val="0"/>
              <w:autoSpaceDN/>
              <w:bidi w:val="0"/>
              <w:adjustRightInd/>
              <w:snapToGrid/>
              <w:spacing w:line="240" w:lineRule="exact"/>
              <w:jc w:val="center"/>
              <w:rPr>
                <w:rFonts w:hint="default" w:ascii="宋体" w:hAnsi="宋体" w:eastAsia="宋体" w:cs="宋体"/>
                <w:b/>
                <w:sz w:val="21"/>
                <w:szCs w:val="21"/>
                <w:lang w:val="en-US" w:eastAsia="zh-CN"/>
              </w:rPr>
            </w:pPr>
            <w:r>
              <w:rPr>
                <w:rFonts w:hint="eastAsia" w:ascii="宋体" w:eastAsia="宋体" w:cs="宋体"/>
                <w:b/>
                <w:sz w:val="21"/>
                <w:szCs w:val="21"/>
                <w:lang w:val="en-US" w:eastAsia="zh-CN"/>
              </w:rPr>
              <w:t>5</w:t>
            </w:r>
          </w:p>
        </w:tc>
        <w:tc>
          <w:tcPr>
            <w:tcW w:w="1213" w:type="dxa"/>
            <w:noWrap w:val="0"/>
            <w:vAlign w:val="center"/>
          </w:tcPr>
          <w:p w14:paraId="72D50A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法律保障能力</w:t>
            </w:r>
          </w:p>
          <w:p w14:paraId="42CE1DF5">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（2分）</w:t>
            </w:r>
          </w:p>
        </w:tc>
        <w:tc>
          <w:tcPr>
            <w:tcW w:w="5936" w:type="dxa"/>
            <w:noWrap w:val="0"/>
            <w:vAlign w:val="center"/>
          </w:tcPr>
          <w:p w14:paraId="6A4EEF37">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1.企业具有法律专业执业资格人员或常年聘任律师事务所法律顾问的，得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CD43093">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注：①具有法律专业的职业资格人员的需提供相关资格证书及报名时间截止前3个月内任意1个月本单位社保证明等相关证明材料并加盖公章。</w:t>
            </w:r>
          </w:p>
          <w:p w14:paraId="058951C6">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②聘任律师事务所法律顾问（提供企业与律师事务所签订的合同关键页及其营业执照复印件等相关证明材料并加盖公章</w:t>
            </w:r>
          </w:p>
        </w:tc>
        <w:tc>
          <w:tcPr>
            <w:tcW w:w="750" w:type="dxa"/>
            <w:noWrap w:val="0"/>
            <w:vAlign w:val="center"/>
          </w:tcPr>
          <w:p w14:paraId="200F385F">
            <w:pPr>
              <w:keepNext w:val="0"/>
              <w:keepLines w:val="0"/>
              <w:pageBreakBefore w:val="0"/>
              <w:widowControl/>
              <w:kinsoku/>
              <w:wordWrap/>
              <w:overflowPunct/>
              <w:topLinePunct w:val="0"/>
              <w:autoSpaceDN/>
              <w:bidi w:val="0"/>
              <w:adjustRightInd/>
              <w:snapToGrid/>
              <w:spacing w:line="240" w:lineRule="exact"/>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2分</w:t>
            </w:r>
          </w:p>
        </w:tc>
        <w:tc>
          <w:tcPr>
            <w:tcW w:w="755" w:type="dxa"/>
            <w:noWrap w:val="0"/>
            <w:vAlign w:val="center"/>
          </w:tcPr>
          <w:p w14:paraId="165533E8">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10BEA436">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45A3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446" w:type="dxa"/>
            <w:noWrap w:val="0"/>
            <w:vAlign w:val="center"/>
          </w:tcPr>
          <w:p w14:paraId="50F2AFD9">
            <w:pPr>
              <w:pStyle w:val="35"/>
              <w:keepNext w:val="0"/>
              <w:keepLines w:val="0"/>
              <w:pageBreakBefore w:val="0"/>
              <w:widowControl w:val="0"/>
              <w:kinsoku/>
              <w:wordWrap/>
              <w:overflowPunct/>
              <w:topLinePunct w:val="0"/>
              <w:autoSpaceDN/>
              <w:bidi w:val="0"/>
              <w:adjustRightInd/>
              <w:snapToGrid/>
              <w:spacing w:line="240" w:lineRule="exact"/>
              <w:jc w:val="center"/>
              <w:rPr>
                <w:rFonts w:hint="default" w:ascii="宋体" w:hAnsi="宋体" w:eastAsia="宋体" w:cs="宋体"/>
                <w:b/>
                <w:sz w:val="21"/>
                <w:szCs w:val="21"/>
                <w:lang w:val="en-US" w:eastAsia="zh-CN"/>
              </w:rPr>
            </w:pPr>
            <w:r>
              <w:rPr>
                <w:rFonts w:hint="eastAsia" w:ascii="宋体" w:eastAsia="宋体" w:cs="宋体"/>
                <w:b/>
                <w:sz w:val="21"/>
                <w:szCs w:val="21"/>
                <w:lang w:val="en-US" w:eastAsia="zh-CN"/>
              </w:rPr>
              <w:t>6</w:t>
            </w:r>
          </w:p>
        </w:tc>
        <w:tc>
          <w:tcPr>
            <w:tcW w:w="1213" w:type="dxa"/>
            <w:noWrap w:val="0"/>
            <w:vAlign w:val="center"/>
          </w:tcPr>
          <w:p w14:paraId="3C5FF2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项目服务方案</w:t>
            </w:r>
          </w:p>
          <w:p w14:paraId="329CD4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1"/>
                <w:szCs w:val="21"/>
              </w:rPr>
            </w:pPr>
            <w:r>
              <w:rPr>
                <w:rFonts w:hint="eastAsia" w:ascii="宋体" w:hAnsi="宋体" w:eastAsia="宋体" w:cs="宋体"/>
                <w:b/>
                <w:bCs/>
                <w:color w:val="auto"/>
                <w:kern w:val="2"/>
                <w:sz w:val="21"/>
                <w:szCs w:val="21"/>
                <w:highlight w:val="none"/>
                <w:lang w:val="en-US" w:eastAsia="zh-CN" w:bidi="ar-SA"/>
              </w:rPr>
              <w:t>（12分）</w:t>
            </w:r>
          </w:p>
        </w:tc>
        <w:tc>
          <w:tcPr>
            <w:tcW w:w="5936" w:type="dxa"/>
            <w:noWrap w:val="0"/>
            <w:vAlign w:val="center"/>
          </w:tcPr>
          <w:p w14:paraId="50C4AE85">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根据内部管理能力结合采购人实际情况制定的项目服务方案（包括但不限于对采购人项目理解、项目开展流程、项目进度控制措施、风险管控措施等），根据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项目服务方案进行综合评价：</w:t>
            </w:r>
          </w:p>
          <w:p w14:paraId="51B9F678">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优：</w:t>
            </w:r>
            <w:r>
              <w:rPr>
                <w:rFonts w:hint="eastAsia" w:ascii="宋体" w:hAnsi="宋体" w:eastAsia="宋体" w:cs="宋体"/>
                <w:sz w:val="21"/>
                <w:szCs w:val="21"/>
                <w:highlight w:val="none"/>
              </w:rPr>
              <w:t>项目理解到位、项目开展流程清晰、项目进度控制措施得当、风险管控措施有力，得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p w14:paraId="34D5A397">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良：</w:t>
            </w:r>
            <w:r>
              <w:rPr>
                <w:rFonts w:hint="eastAsia" w:ascii="宋体" w:hAnsi="宋体" w:eastAsia="宋体" w:cs="宋体"/>
                <w:sz w:val="21"/>
                <w:szCs w:val="21"/>
                <w:highlight w:val="none"/>
              </w:rPr>
              <w:t>项目理解较到位、项目开展流程较清晰、项目进度控制措施较得当、风险管控措施较有力，得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424CCD35">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项目理解一般到位、项目开展流程一般清晰、项目进度控制措施一般得当、风险管控措施一般，得2分；</w:t>
            </w:r>
          </w:p>
          <w:p w14:paraId="410FF2A9">
            <w:pPr>
              <w:keepNext w:val="0"/>
              <w:keepLines w:val="0"/>
              <w:pageBreakBefore w:val="0"/>
              <w:widowControl/>
              <w:kinsoku/>
              <w:wordWrap/>
              <w:overflowPunct/>
              <w:topLinePunct w:val="0"/>
              <w:autoSpaceDN/>
              <w:bidi w:val="0"/>
              <w:adjustRightInd/>
              <w:snapToGrid/>
              <w:spacing w:line="2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rPr>
              <w:t>项目理解不到位、项目开展流程不清晰、项目进度控制措施不得当、风险管控措施差，得0分；</w:t>
            </w:r>
          </w:p>
        </w:tc>
        <w:tc>
          <w:tcPr>
            <w:tcW w:w="750" w:type="dxa"/>
            <w:noWrap w:val="0"/>
            <w:vAlign w:val="center"/>
          </w:tcPr>
          <w:p w14:paraId="3C656BEF">
            <w:pPr>
              <w:keepNext w:val="0"/>
              <w:keepLines w:val="0"/>
              <w:pageBreakBefore w:val="0"/>
              <w:widowControl/>
              <w:kinsoku/>
              <w:wordWrap/>
              <w:overflowPunct/>
              <w:topLinePunct w:val="0"/>
              <w:autoSpaceDN/>
              <w:bidi w:val="0"/>
              <w:adjustRightInd/>
              <w:snapToGrid/>
              <w:spacing w:line="240" w:lineRule="exact"/>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12分</w:t>
            </w:r>
          </w:p>
        </w:tc>
        <w:tc>
          <w:tcPr>
            <w:tcW w:w="755" w:type="dxa"/>
            <w:noWrap w:val="0"/>
            <w:vAlign w:val="center"/>
          </w:tcPr>
          <w:p w14:paraId="42B30F2A">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0212D2FC">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4BDE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6" w:type="dxa"/>
            <w:noWrap w:val="0"/>
            <w:vAlign w:val="center"/>
          </w:tcPr>
          <w:p w14:paraId="3FAB920B">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eastAsia="zh-CN"/>
              </w:rPr>
            </w:pPr>
            <w:r>
              <w:rPr>
                <w:rFonts w:hint="eastAsia" w:ascii="宋体" w:eastAsia="宋体" w:cs="宋体"/>
                <w:b/>
                <w:sz w:val="21"/>
                <w:szCs w:val="21"/>
                <w:lang w:val="en-US" w:eastAsia="zh-CN"/>
              </w:rPr>
              <w:t>7</w:t>
            </w:r>
          </w:p>
        </w:tc>
        <w:tc>
          <w:tcPr>
            <w:tcW w:w="1213" w:type="dxa"/>
            <w:noWrap w:val="0"/>
            <w:vAlign w:val="center"/>
          </w:tcPr>
          <w:p w14:paraId="773D15FA">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bCs/>
                <w:color w:val="auto"/>
                <w:sz w:val="21"/>
                <w:szCs w:val="21"/>
                <w:highlight w:val="none"/>
              </w:rPr>
              <w:t>拟安排</w:t>
            </w:r>
            <w:r>
              <w:rPr>
                <w:rFonts w:hint="eastAsia" w:ascii="宋体" w:hAnsi="宋体" w:eastAsia="宋体" w:cs="宋体"/>
                <w:b/>
                <w:bCs/>
                <w:color w:val="auto"/>
                <w:sz w:val="21"/>
                <w:szCs w:val="21"/>
                <w:highlight w:val="none"/>
                <w:lang w:eastAsia="zh-CN"/>
              </w:rPr>
              <w:t>对接</w:t>
            </w:r>
            <w:r>
              <w:rPr>
                <w:rFonts w:hint="eastAsia" w:ascii="宋体" w:hAnsi="宋体" w:eastAsia="宋体" w:cs="宋体"/>
                <w:b/>
                <w:bCs/>
                <w:color w:val="auto"/>
                <w:sz w:val="21"/>
                <w:szCs w:val="21"/>
                <w:highlight w:val="none"/>
              </w:rPr>
              <w:t>的项目负责人</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3分）</w:t>
            </w:r>
          </w:p>
        </w:tc>
        <w:tc>
          <w:tcPr>
            <w:tcW w:w="5936" w:type="dxa"/>
            <w:noWrap w:val="0"/>
            <w:vAlign w:val="center"/>
          </w:tcPr>
          <w:p w14:paraId="2DFFD93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根据各供应商为本项目配备的项目负责人具备政府采购招标工作经验的，满8年得1分，工作经验每增加1年加1分，最高3分。</w:t>
            </w:r>
          </w:p>
          <w:p w14:paraId="78A32B3D">
            <w:pPr>
              <w:pStyle w:val="25"/>
              <w:keepNext w:val="0"/>
              <w:keepLines w:val="0"/>
              <w:pageBreakBefore w:val="0"/>
              <w:kinsoku/>
              <w:wordWrap/>
              <w:overflowPunct/>
              <w:topLinePunct w:val="0"/>
              <w:autoSpaceDN/>
              <w:bidi w:val="0"/>
              <w:adjustRightInd/>
              <w:snapToGrid/>
              <w:spacing w:line="240" w:lineRule="exact"/>
              <w:rPr>
                <w:rFonts w:hint="eastAsia" w:ascii="宋体" w:hAnsi="宋体" w:eastAsia="宋体" w:cs="宋体"/>
                <w:color w:val="auto"/>
                <w:sz w:val="21"/>
                <w:szCs w:val="21"/>
                <w:lang w:bidi="ar"/>
              </w:rPr>
            </w:pPr>
            <w:r>
              <w:rPr>
                <w:rFonts w:hint="eastAsia" w:ascii="宋体" w:hAnsi="宋体" w:eastAsia="宋体" w:cs="宋体"/>
                <w:b/>
                <w:bCs/>
                <w:color w:val="auto"/>
                <w:kern w:val="2"/>
                <w:sz w:val="21"/>
                <w:szCs w:val="21"/>
                <w:highlight w:val="none"/>
                <w:lang w:val="en-US" w:eastAsia="zh-CN" w:bidi="ar-SA"/>
              </w:rPr>
              <w:t>注：提供项目负责人简历、工作经验证明等（如果符合工作经验评审得分的，注意提供符合工作经验年限要求的社保证明）等证明材料，不具备的不得分。</w:t>
            </w:r>
          </w:p>
        </w:tc>
        <w:tc>
          <w:tcPr>
            <w:tcW w:w="750" w:type="dxa"/>
            <w:noWrap w:val="0"/>
            <w:vAlign w:val="center"/>
          </w:tcPr>
          <w:p w14:paraId="16E25A0C">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分</w:t>
            </w:r>
          </w:p>
        </w:tc>
        <w:tc>
          <w:tcPr>
            <w:tcW w:w="755" w:type="dxa"/>
            <w:noWrap w:val="0"/>
            <w:vAlign w:val="center"/>
          </w:tcPr>
          <w:p w14:paraId="59CC1EA2">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5DD30E0A">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第（</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bidi="ar"/>
              </w:rPr>
              <w:t>）页</w:t>
            </w:r>
          </w:p>
        </w:tc>
      </w:tr>
      <w:tr w14:paraId="7F3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446" w:type="dxa"/>
            <w:noWrap w:val="0"/>
            <w:vAlign w:val="center"/>
          </w:tcPr>
          <w:p w14:paraId="52288C31">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eastAsia="宋体" w:cs="宋体"/>
                <w:b/>
                <w:sz w:val="21"/>
                <w:szCs w:val="21"/>
                <w:lang w:val="en-US" w:eastAsia="zh-CN"/>
              </w:rPr>
              <w:t>8</w:t>
            </w:r>
          </w:p>
        </w:tc>
        <w:tc>
          <w:tcPr>
            <w:tcW w:w="1213" w:type="dxa"/>
            <w:noWrap w:val="0"/>
            <w:vAlign w:val="center"/>
          </w:tcPr>
          <w:p w14:paraId="33EFE5E4">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bCs/>
                <w:color w:val="auto"/>
                <w:kern w:val="0"/>
                <w:sz w:val="21"/>
                <w:szCs w:val="21"/>
                <w:highlight w:val="none"/>
                <w:lang w:val="en-US" w:eastAsia="zh-CN"/>
              </w:rPr>
              <w:t>拟安排对接的项目团队（不含项目负责人）</w:t>
            </w:r>
            <w:r>
              <w:rPr>
                <w:rFonts w:hint="eastAsia" w:ascii="宋体" w:hAnsi="宋体" w:eastAsia="宋体" w:cs="宋体"/>
                <w:b/>
                <w:bCs/>
                <w:color w:val="auto"/>
                <w:kern w:val="0"/>
                <w:sz w:val="21"/>
                <w:szCs w:val="21"/>
                <w:highlight w:val="none"/>
                <w:lang w:val="en-US" w:eastAsia="zh-CN"/>
              </w:rPr>
              <w:br w:type="textWrapping"/>
            </w:r>
            <w:r>
              <w:rPr>
                <w:rFonts w:hint="eastAsia" w:ascii="宋体" w:hAnsi="宋体" w:eastAsia="宋体" w:cs="宋体"/>
                <w:b/>
                <w:bCs/>
                <w:color w:val="auto"/>
                <w:kern w:val="0"/>
                <w:sz w:val="21"/>
                <w:szCs w:val="21"/>
                <w:highlight w:val="none"/>
                <w:lang w:val="en-US" w:eastAsia="zh-CN"/>
              </w:rPr>
              <w:t>（5分）</w:t>
            </w:r>
          </w:p>
        </w:tc>
        <w:tc>
          <w:tcPr>
            <w:tcW w:w="5936" w:type="dxa"/>
            <w:noWrap w:val="0"/>
            <w:vAlign w:val="center"/>
          </w:tcPr>
          <w:p w14:paraId="09EBA99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根据各供应商拟安排于本项目的项目团队成员（项目负责人除外）具备政府采购招标2年或以上工作经验的，每提供1人得1分，该项最高得5分。</w:t>
            </w:r>
          </w:p>
          <w:p w14:paraId="7F3D92A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kern w:val="2"/>
                <w:sz w:val="21"/>
                <w:szCs w:val="21"/>
                <w:highlight w:val="none"/>
                <w:lang w:val="en-US" w:eastAsia="zh-CN" w:bidi="ar-SA"/>
              </w:rPr>
              <w:t>注：提供项目团队成员简历、学历证书复印件、社保证明复印件（如果符合工作经验评审得分的，注意提供符合工作经验年限要求的社保证明）等证明材料，不具备的不得分。</w:t>
            </w:r>
          </w:p>
        </w:tc>
        <w:tc>
          <w:tcPr>
            <w:tcW w:w="750" w:type="dxa"/>
            <w:noWrap w:val="0"/>
            <w:vAlign w:val="center"/>
          </w:tcPr>
          <w:p w14:paraId="7BEC6FE8">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5分</w:t>
            </w:r>
          </w:p>
        </w:tc>
        <w:tc>
          <w:tcPr>
            <w:tcW w:w="755" w:type="dxa"/>
            <w:noWrap w:val="0"/>
            <w:vAlign w:val="center"/>
          </w:tcPr>
          <w:p w14:paraId="1009ECB2">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4536686D">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第（）页</w:t>
            </w:r>
          </w:p>
        </w:tc>
      </w:tr>
      <w:tr w14:paraId="61C9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446" w:type="dxa"/>
            <w:noWrap w:val="0"/>
            <w:vAlign w:val="center"/>
          </w:tcPr>
          <w:p w14:paraId="1DDFF3BD">
            <w:pPr>
              <w:pStyle w:val="35"/>
              <w:keepNext w:val="0"/>
              <w:keepLines w:val="0"/>
              <w:pageBreakBefore w:val="0"/>
              <w:widowControl w:val="0"/>
              <w:kinsoku/>
              <w:wordWrap/>
              <w:overflowPunct/>
              <w:topLinePunct w:val="0"/>
              <w:autoSpaceDN/>
              <w:bidi w:val="0"/>
              <w:adjustRightInd/>
              <w:snapToGrid/>
              <w:spacing w:line="240" w:lineRule="exact"/>
              <w:jc w:val="center"/>
              <w:rPr>
                <w:rFonts w:hint="eastAsia" w:ascii="宋体" w:hAnsi="宋体" w:eastAsia="宋体" w:cs="宋体"/>
                <w:b/>
                <w:sz w:val="21"/>
                <w:szCs w:val="21"/>
                <w:lang w:val="en-US" w:eastAsia="zh-CN"/>
              </w:rPr>
            </w:pPr>
            <w:r>
              <w:rPr>
                <w:rFonts w:hint="eastAsia" w:ascii="宋体" w:eastAsia="宋体" w:cs="宋体"/>
                <w:b/>
                <w:sz w:val="21"/>
                <w:szCs w:val="21"/>
                <w:lang w:val="en-US" w:eastAsia="zh-CN"/>
              </w:rPr>
              <w:t>9</w:t>
            </w:r>
          </w:p>
        </w:tc>
        <w:tc>
          <w:tcPr>
            <w:tcW w:w="1213" w:type="dxa"/>
            <w:noWrap w:val="0"/>
            <w:vAlign w:val="center"/>
          </w:tcPr>
          <w:p w14:paraId="2EBBD060">
            <w:pPr>
              <w:pStyle w:val="16"/>
              <w:keepNext w:val="0"/>
              <w:keepLines w:val="0"/>
              <w:pageBreakBefore w:val="0"/>
              <w:widowControl/>
              <w:kinsoku/>
              <w:wordWrap/>
              <w:overflowPunct/>
              <w:topLinePunct w:val="0"/>
              <w:autoSpaceDE w:val="0"/>
              <w:autoSpaceDN/>
              <w:bidi w:val="0"/>
              <w:adjustRightInd/>
              <w:snapToGrid/>
              <w:spacing w:line="2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开评标房间数量、设备设施完备情况</w:t>
            </w:r>
          </w:p>
          <w:p w14:paraId="36FB85C0">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5分）</w:t>
            </w:r>
          </w:p>
        </w:tc>
        <w:tc>
          <w:tcPr>
            <w:tcW w:w="5936" w:type="dxa"/>
            <w:noWrap w:val="0"/>
            <w:vAlign w:val="center"/>
          </w:tcPr>
          <w:p w14:paraId="170A77C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考核各供应商的开评标区域与办公区域是否有效相互独立，开标区与评标区域是否能有效相互物理隔离，是否具备独立的专家集中室，是否在开评标区域(包含专家集中点)安装视频监控，满足全区域、全过程、无死角监控，确保政府采购当事人活动全过程监控，杜绝无监控的小黑屋，</w:t>
            </w:r>
            <w:r>
              <w:rPr>
                <w:rFonts w:hint="eastAsia" w:ascii="宋体" w:hAnsi="宋体" w:eastAsia="宋体" w:cs="宋体"/>
                <w:color w:val="auto"/>
                <w:kern w:val="2"/>
                <w:sz w:val="21"/>
                <w:szCs w:val="21"/>
                <w:highlight w:val="none"/>
                <w:lang w:val="en-US" w:eastAsia="zh-CN" w:bidi="ar-SA"/>
              </w:rPr>
              <w:t>开评标房间数量、</w:t>
            </w:r>
            <w:r>
              <w:rPr>
                <w:rFonts w:hint="eastAsia" w:ascii="宋体" w:hAnsi="宋体" w:eastAsia="宋体" w:cs="宋体"/>
                <w:b w:val="0"/>
                <w:bCs w:val="0"/>
                <w:color w:val="auto"/>
                <w:kern w:val="2"/>
                <w:sz w:val="21"/>
                <w:szCs w:val="21"/>
                <w:highlight w:val="none"/>
                <w:lang w:val="en-US" w:eastAsia="zh-CN" w:bidi="ar-SA"/>
              </w:rPr>
              <w:t>确保开评标活动有效进行等进行综合评分：</w:t>
            </w:r>
          </w:p>
          <w:p w14:paraId="5C8B5CB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优：各个功能区域划分合理，能完全隔离，视频监控能全过程、无死角，能确保评审专家进入评审区域不受干扰，得5分；</w:t>
            </w:r>
          </w:p>
          <w:p w14:paraId="5D9CF7B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良：各个功能区域划分较合理，能较好隔离，视频监控能全过程，无死角，较好能确保评审专家进入评审区域不受干扰，得3分</w:t>
            </w:r>
          </w:p>
          <w:p w14:paraId="586B2BC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中：各个功能区域划分基本合理，基本能隔离，视频监控能全过程，无死角，基本能确保评审专家进入评审区域不受干扰，得1分</w:t>
            </w:r>
          </w:p>
          <w:p w14:paraId="5456AF4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差：各个功能区域混合，不能隔离，视频监控不能全过程、有死角，不能确保评审专家进入评审区域不受干扰，得0分；</w:t>
            </w:r>
          </w:p>
          <w:p w14:paraId="54816D4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注：1.提供房屋所有权证或房屋租赁合同复印件，并加盖公章，未提供不得分。</w:t>
            </w:r>
          </w:p>
          <w:p w14:paraId="459F82E4">
            <w:pPr>
              <w:keepNext w:val="0"/>
              <w:keepLines w:val="0"/>
              <w:pageBreakBefore w:val="0"/>
              <w:kinsoku/>
              <w:wordWrap/>
              <w:overflowPunct/>
              <w:topLinePunct w:val="0"/>
              <w:autoSpaceDN/>
              <w:bidi w:val="0"/>
              <w:adjustRightInd/>
              <w:snapToGrid/>
              <w:spacing w:line="240" w:lineRule="exact"/>
              <w:rPr>
                <w:rFonts w:hint="eastAsia" w:ascii="宋体" w:hAnsi="宋体" w:eastAsia="宋体" w:cs="宋体"/>
                <w:color w:val="auto"/>
                <w:sz w:val="21"/>
                <w:szCs w:val="21"/>
                <w:lang w:val="en-US"/>
              </w:rPr>
            </w:pPr>
            <w:r>
              <w:rPr>
                <w:rFonts w:hint="eastAsia" w:ascii="宋体" w:hAnsi="宋体" w:eastAsia="宋体" w:cs="宋体"/>
                <w:b/>
                <w:bCs/>
                <w:color w:val="auto"/>
                <w:kern w:val="2"/>
                <w:sz w:val="21"/>
                <w:szCs w:val="21"/>
                <w:highlight w:val="none"/>
                <w:lang w:val="en-US" w:eastAsia="zh-CN" w:bidi="ar-SA"/>
              </w:rPr>
              <w:t>2.提供开评标场所现场照片（照片中需体现监控及录音录像、办公设备设施）。未提供不得分。</w:t>
            </w:r>
          </w:p>
        </w:tc>
        <w:tc>
          <w:tcPr>
            <w:tcW w:w="750" w:type="dxa"/>
            <w:noWrap w:val="0"/>
            <w:vAlign w:val="center"/>
          </w:tcPr>
          <w:p w14:paraId="37DF6266">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5分</w:t>
            </w:r>
          </w:p>
        </w:tc>
        <w:tc>
          <w:tcPr>
            <w:tcW w:w="755" w:type="dxa"/>
            <w:noWrap w:val="0"/>
            <w:vAlign w:val="center"/>
          </w:tcPr>
          <w:p w14:paraId="5627F801">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p>
        </w:tc>
        <w:tc>
          <w:tcPr>
            <w:tcW w:w="1103" w:type="dxa"/>
            <w:noWrap w:val="0"/>
            <w:vAlign w:val="center"/>
          </w:tcPr>
          <w:p w14:paraId="0A291F93">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第（）页</w:t>
            </w:r>
          </w:p>
        </w:tc>
      </w:tr>
      <w:tr w14:paraId="1B07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46" w:type="dxa"/>
            <w:noWrap w:val="0"/>
            <w:vAlign w:val="center"/>
          </w:tcPr>
          <w:p w14:paraId="4C74392F">
            <w:pPr>
              <w:keepNext w:val="0"/>
              <w:keepLines w:val="0"/>
              <w:pageBreakBefore w:val="0"/>
              <w:kinsoku/>
              <w:wordWrap/>
              <w:overflowPunct/>
              <w:topLinePunct w:val="0"/>
              <w:autoSpaceDN/>
              <w:bidi w:val="0"/>
              <w:adjustRightInd/>
              <w:snapToGrid/>
              <w:spacing w:line="240" w:lineRule="exact"/>
              <w:jc w:val="center"/>
              <w:textAlignment w:val="center"/>
              <w:rPr>
                <w:rFonts w:hint="default"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10</w:t>
            </w:r>
          </w:p>
        </w:tc>
        <w:tc>
          <w:tcPr>
            <w:tcW w:w="1213" w:type="dxa"/>
            <w:noWrap w:val="0"/>
            <w:vAlign w:val="center"/>
          </w:tcPr>
          <w:p w14:paraId="5CB21983">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价格分</w:t>
            </w:r>
          </w:p>
          <w:p w14:paraId="367927E0">
            <w:pPr>
              <w:keepNext w:val="0"/>
              <w:keepLines w:val="0"/>
              <w:pageBreakBefore w:val="0"/>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w:t>
            </w:r>
            <w:r>
              <w:rPr>
                <w:rFonts w:hint="eastAsia" w:ascii="宋体" w:hAnsi="宋体" w:eastAsia="宋体" w:cs="宋体"/>
                <w:b/>
                <w:color w:val="auto"/>
                <w:sz w:val="21"/>
                <w:szCs w:val="21"/>
                <w:lang w:val="en-US" w:eastAsia="zh-CN" w:bidi="ar"/>
              </w:rPr>
              <w:t>10</w:t>
            </w:r>
            <w:r>
              <w:rPr>
                <w:rFonts w:hint="eastAsia" w:ascii="宋体" w:hAnsi="宋体" w:eastAsia="宋体" w:cs="宋体"/>
                <w:b/>
                <w:color w:val="auto"/>
                <w:sz w:val="21"/>
                <w:szCs w:val="21"/>
                <w:lang w:bidi="ar"/>
              </w:rPr>
              <w:t>分）</w:t>
            </w:r>
          </w:p>
        </w:tc>
        <w:tc>
          <w:tcPr>
            <w:tcW w:w="5936" w:type="dxa"/>
            <w:noWrap w:val="0"/>
            <w:vAlign w:val="center"/>
          </w:tcPr>
          <w:p w14:paraId="13FEA417">
            <w:pPr>
              <w:pStyle w:val="4"/>
              <w:keepNext w:val="0"/>
              <w:keepLines w:val="0"/>
              <w:pageBreakBefore w:val="0"/>
              <w:kinsoku/>
              <w:wordWrap/>
              <w:overflowPunct/>
              <w:topLinePunct w:val="0"/>
              <w:autoSpaceDN/>
              <w:bidi w:val="0"/>
              <w:adjustRightInd/>
              <w:snapToGrid/>
              <w:spacing w:line="240" w:lineRule="exact"/>
              <w:ind w:firstLine="0"/>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通过本项目审查且报价最低的报价为评审基准价，其价格分为满分。报价得分 = （评审基准价/最终报价）×价格分值</w:t>
            </w:r>
          </w:p>
        </w:tc>
        <w:tc>
          <w:tcPr>
            <w:tcW w:w="750" w:type="dxa"/>
            <w:noWrap w:val="0"/>
            <w:vAlign w:val="center"/>
          </w:tcPr>
          <w:p w14:paraId="65A8922A">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10</w:t>
            </w:r>
            <w:r>
              <w:rPr>
                <w:rFonts w:hint="eastAsia" w:ascii="宋体" w:hAnsi="宋体" w:eastAsia="宋体" w:cs="宋体"/>
                <w:color w:val="auto"/>
                <w:sz w:val="21"/>
                <w:szCs w:val="21"/>
                <w:lang w:bidi="ar"/>
              </w:rPr>
              <w:t>分</w:t>
            </w:r>
          </w:p>
        </w:tc>
        <w:tc>
          <w:tcPr>
            <w:tcW w:w="755" w:type="dxa"/>
            <w:noWrap w:val="0"/>
            <w:vAlign w:val="center"/>
          </w:tcPr>
          <w:p w14:paraId="4D590E02">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p>
        </w:tc>
        <w:tc>
          <w:tcPr>
            <w:tcW w:w="1103" w:type="dxa"/>
            <w:noWrap w:val="0"/>
            <w:vAlign w:val="center"/>
          </w:tcPr>
          <w:p w14:paraId="3A55D8E7">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p>
        </w:tc>
      </w:tr>
      <w:tr w14:paraId="4D1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95" w:type="dxa"/>
            <w:gridSpan w:val="3"/>
            <w:noWrap w:val="0"/>
            <w:vAlign w:val="center"/>
          </w:tcPr>
          <w:p w14:paraId="4A25CF8A">
            <w:pPr>
              <w:pStyle w:val="4"/>
              <w:keepNext w:val="0"/>
              <w:keepLines w:val="0"/>
              <w:pageBreakBefore w:val="0"/>
              <w:kinsoku/>
              <w:wordWrap/>
              <w:overflowPunct/>
              <w:topLinePunct w:val="0"/>
              <w:autoSpaceDN/>
              <w:bidi w:val="0"/>
              <w:adjustRightInd/>
              <w:snapToGrid/>
              <w:spacing w:line="240" w:lineRule="exact"/>
              <w:ind w:firstLine="0"/>
              <w:jc w:val="center"/>
              <w:rPr>
                <w:rFonts w:hint="eastAsia" w:ascii="宋体" w:hAnsi="宋体" w:eastAsia="宋体" w:cs="宋体"/>
                <w:color w:val="auto"/>
                <w:sz w:val="21"/>
                <w:szCs w:val="21"/>
                <w:lang w:bidi="ar"/>
              </w:rPr>
            </w:pPr>
            <w:r>
              <w:rPr>
                <w:rFonts w:hint="eastAsia" w:ascii="宋体" w:hAnsi="宋体" w:eastAsia="宋体" w:cs="宋体"/>
                <w:b/>
                <w:color w:val="auto"/>
                <w:sz w:val="21"/>
                <w:szCs w:val="21"/>
                <w:lang w:bidi="ar"/>
              </w:rPr>
              <w:t>合计</w:t>
            </w:r>
          </w:p>
        </w:tc>
        <w:tc>
          <w:tcPr>
            <w:tcW w:w="750" w:type="dxa"/>
            <w:noWrap w:val="0"/>
            <w:vAlign w:val="center"/>
          </w:tcPr>
          <w:p w14:paraId="7DB4D057">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100</w:t>
            </w:r>
          </w:p>
        </w:tc>
        <w:tc>
          <w:tcPr>
            <w:tcW w:w="755" w:type="dxa"/>
            <w:noWrap w:val="0"/>
            <w:vAlign w:val="center"/>
          </w:tcPr>
          <w:p w14:paraId="6FA441EF">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w:t>
            </w:r>
          </w:p>
        </w:tc>
        <w:tc>
          <w:tcPr>
            <w:tcW w:w="1103" w:type="dxa"/>
            <w:noWrap w:val="0"/>
            <w:vAlign w:val="center"/>
          </w:tcPr>
          <w:p w14:paraId="137CB409">
            <w:pPr>
              <w:keepNext w:val="0"/>
              <w:keepLines w:val="0"/>
              <w:pageBreakBefore w:val="0"/>
              <w:widowControl/>
              <w:kinsoku/>
              <w:wordWrap/>
              <w:overflowPunct/>
              <w:topLinePunct w:val="0"/>
              <w:autoSpaceDN/>
              <w:bidi w:val="0"/>
              <w:adjustRightInd/>
              <w:snapToGrid/>
              <w:spacing w:line="240" w:lineRule="exact"/>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w:t>
            </w:r>
          </w:p>
        </w:tc>
      </w:tr>
    </w:tbl>
    <w:p w14:paraId="7B70F96A">
      <w:pPr>
        <w:rPr>
          <w:sz w:val="15"/>
          <w:szCs w:val="15"/>
          <w:u w:val="single"/>
        </w:rPr>
      </w:pPr>
    </w:p>
    <w:p w14:paraId="3B40A399">
      <w:pPr>
        <w:pStyle w:val="9"/>
        <w:adjustRightInd w:val="0"/>
        <w:snapToGrid w:val="0"/>
        <w:jc w:val="center"/>
        <w:rPr>
          <w:rFonts w:hint="eastAsia" w:ascii="黑体" w:hAnsi="黑体" w:eastAsia="黑体" w:cs="宋体"/>
          <w:b/>
          <w:color w:val="000000"/>
          <w:kern w:val="0"/>
          <w:sz w:val="32"/>
          <w:szCs w:val="28"/>
        </w:rPr>
      </w:pPr>
    </w:p>
    <w:p w14:paraId="68A2F046">
      <w:pPr>
        <w:pStyle w:val="9"/>
        <w:adjustRightInd w:val="0"/>
        <w:snapToGrid w:val="0"/>
        <w:jc w:val="center"/>
        <w:rPr>
          <w:rFonts w:hint="eastAsia" w:ascii="黑体" w:hAnsi="黑体" w:eastAsia="黑体" w:cs="宋体"/>
          <w:b/>
          <w:color w:val="000000"/>
          <w:kern w:val="0"/>
          <w:sz w:val="32"/>
          <w:szCs w:val="28"/>
        </w:rPr>
      </w:pPr>
    </w:p>
    <w:p w14:paraId="5EA53AF2">
      <w:pPr>
        <w:pStyle w:val="9"/>
        <w:adjustRightInd w:val="0"/>
        <w:snapToGrid w:val="0"/>
        <w:jc w:val="cente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报价表</w:t>
      </w:r>
    </w:p>
    <w:p w14:paraId="78ADE8E4">
      <w:pPr>
        <w:pStyle w:val="9"/>
        <w:adjustRightInd w:val="0"/>
        <w:snapToGrid w:val="0"/>
        <w:rPr>
          <w:rFonts w:hAnsi="宋体" w:cs="Times New Roman"/>
          <w:b/>
        </w:rPr>
      </w:pPr>
    </w:p>
    <w:p w14:paraId="7C8A29C3">
      <w:pPr>
        <w:pStyle w:val="9"/>
        <w:adjustRightInd w:val="0"/>
        <w:snapToGrid w:val="0"/>
        <w:spacing w:line="360" w:lineRule="auto"/>
        <w:rPr>
          <w:rFonts w:hAnsi="宋体" w:cs="Times New Roman"/>
          <w:b/>
        </w:rPr>
      </w:pPr>
    </w:p>
    <w:tbl>
      <w:tblPr>
        <w:tblStyle w:val="18"/>
        <w:tblW w:w="9283" w:type="dxa"/>
        <w:jc w:val="center"/>
        <w:tblLayout w:type="autofit"/>
        <w:tblCellMar>
          <w:top w:w="0" w:type="dxa"/>
          <w:left w:w="108" w:type="dxa"/>
          <w:bottom w:w="0" w:type="dxa"/>
          <w:right w:w="108" w:type="dxa"/>
        </w:tblCellMar>
      </w:tblPr>
      <w:tblGrid>
        <w:gridCol w:w="1593"/>
        <w:gridCol w:w="2688"/>
        <w:gridCol w:w="1866"/>
        <w:gridCol w:w="1866"/>
        <w:gridCol w:w="1270"/>
      </w:tblGrid>
      <w:tr w14:paraId="5297A910">
        <w:tblPrEx>
          <w:tblCellMar>
            <w:top w:w="0" w:type="dxa"/>
            <w:left w:w="108" w:type="dxa"/>
            <w:bottom w:w="0" w:type="dxa"/>
            <w:right w:w="108" w:type="dxa"/>
          </w:tblCellMar>
        </w:tblPrEx>
        <w:trPr>
          <w:trHeight w:val="646"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14:paraId="289D7C11">
            <w:pPr>
              <w:widowControl/>
              <w:jc w:val="center"/>
              <w:rPr>
                <w:rFonts w:hint="eastAsia" w:ascii="宋体" w:hAnsi="宋体" w:eastAsia="宋体" w:cs="Courier New"/>
                <w:b/>
                <w:bCs/>
                <w:color w:val="auto"/>
                <w:kern w:val="2"/>
                <w:sz w:val="24"/>
                <w:szCs w:val="24"/>
                <w:lang w:val="en-US" w:eastAsia="zh-CN" w:bidi="ar-SA"/>
              </w:rPr>
            </w:pPr>
            <w:r>
              <w:rPr>
                <w:rFonts w:hint="eastAsia" w:ascii="宋体" w:hAnsi="宋体" w:eastAsia="宋体" w:cs="Courier New"/>
                <w:b/>
                <w:bCs/>
                <w:color w:val="auto"/>
                <w:kern w:val="2"/>
                <w:sz w:val="24"/>
                <w:szCs w:val="24"/>
                <w:lang w:val="en-US" w:eastAsia="zh-CN" w:bidi="ar-SA"/>
              </w:rPr>
              <w:t>项目编号</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center"/>
          </w:tcPr>
          <w:p w14:paraId="744714F0">
            <w:pPr>
              <w:widowControl/>
              <w:jc w:val="center"/>
              <w:rPr>
                <w:rFonts w:hint="eastAsia" w:ascii="宋体" w:hAnsi="宋体" w:eastAsia="宋体" w:cs="Courier New"/>
                <w:b/>
                <w:bCs/>
                <w:color w:val="auto"/>
                <w:kern w:val="2"/>
                <w:sz w:val="24"/>
                <w:szCs w:val="24"/>
                <w:lang w:val="en-US" w:eastAsia="zh-CN" w:bidi="ar-SA"/>
              </w:rPr>
            </w:pPr>
            <w:r>
              <w:rPr>
                <w:rFonts w:hint="eastAsia" w:ascii="宋体" w:hAnsi="宋体" w:cs="Courier New"/>
                <w:b/>
                <w:bCs/>
                <w:color w:val="auto"/>
                <w:kern w:val="2"/>
                <w:sz w:val="24"/>
                <w:szCs w:val="24"/>
                <w:lang w:val="en-US" w:eastAsia="zh-CN" w:bidi="ar-SA"/>
              </w:rPr>
              <w:t>项目</w:t>
            </w:r>
            <w:r>
              <w:rPr>
                <w:rFonts w:hint="eastAsia" w:ascii="宋体" w:hAnsi="宋体" w:eastAsia="宋体" w:cs="Courier New"/>
                <w:b/>
                <w:bCs/>
                <w:color w:val="auto"/>
                <w:kern w:val="2"/>
                <w:sz w:val="24"/>
                <w:szCs w:val="24"/>
                <w:lang w:val="en-US" w:eastAsia="zh-CN" w:bidi="ar-SA"/>
              </w:rPr>
              <w:t>名称</w:t>
            </w:r>
          </w:p>
        </w:tc>
        <w:tc>
          <w:tcPr>
            <w:tcW w:w="1866" w:type="dxa"/>
            <w:tcBorders>
              <w:top w:val="single" w:color="auto" w:sz="4" w:space="0"/>
              <w:left w:val="nil"/>
              <w:bottom w:val="single" w:color="auto" w:sz="4" w:space="0"/>
              <w:right w:val="single" w:color="auto" w:sz="4" w:space="0"/>
            </w:tcBorders>
            <w:shd w:val="clear" w:color="auto" w:fill="auto"/>
            <w:vAlign w:val="center"/>
          </w:tcPr>
          <w:p w14:paraId="452FA4FD">
            <w:pPr>
              <w:widowControl/>
              <w:jc w:val="center"/>
              <w:rPr>
                <w:rFonts w:hint="eastAsia" w:ascii="宋体" w:hAnsi="宋体" w:eastAsia="宋体" w:cs="Courier New"/>
                <w:b/>
                <w:bCs/>
                <w:color w:val="auto"/>
                <w:kern w:val="2"/>
                <w:sz w:val="24"/>
                <w:szCs w:val="24"/>
                <w:lang w:val="en-US" w:eastAsia="zh-CN" w:bidi="ar-SA"/>
              </w:rPr>
            </w:pPr>
            <w:r>
              <w:rPr>
                <w:rFonts w:hint="eastAsia" w:ascii="宋体" w:hAnsi="宋体" w:eastAsia="宋体" w:cs="Courier New"/>
                <w:b/>
                <w:bCs/>
                <w:color w:val="auto"/>
                <w:kern w:val="2"/>
                <w:sz w:val="24"/>
                <w:szCs w:val="24"/>
                <w:lang w:val="en-US" w:eastAsia="zh-CN" w:bidi="ar-SA"/>
              </w:rPr>
              <w:t>数量</w:t>
            </w:r>
          </w:p>
        </w:tc>
        <w:tc>
          <w:tcPr>
            <w:tcW w:w="1866" w:type="dxa"/>
            <w:tcBorders>
              <w:top w:val="single" w:color="auto" w:sz="4" w:space="0"/>
              <w:left w:val="nil"/>
              <w:bottom w:val="single" w:color="auto" w:sz="4" w:space="0"/>
              <w:right w:val="single" w:color="auto" w:sz="4" w:space="0"/>
            </w:tcBorders>
            <w:shd w:val="clear" w:color="auto" w:fill="auto"/>
            <w:vAlign w:val="center"/>
          </w:tcPr>
          <w:p w14:paraId="2CD608B3">
            <w:pPr>
              <w:widowControl/>
              <w:jc w:val="center"/>
              <w:rPr>
                <w:rFonts w:hint="eastAsia" w:ascii="宋体" w:hAnsi="宋体" w:eastAsia="宋体" w:cs="Courier New"/>
                <w:b/>
                <w:bCs/>
                <w:color w:val="auto"/>
                <w:kern w:val="2"/>
                <w:sz w:val="24"/>
                <w:szCs w:val="24"/>
                <w:lang w:val="en-US" w:eastAsia="zh-CN" w:bidi="ar-SA"/>
              </w:rPr>
            </w:pPr>
            <w:r>
              <w:rPr>
                <w:rFonts w:hint="eastAsia" w:ascii="宋体" w:hAnsi="宋体" w:eastAsia="宋体" w:cs="Courier New"/>
                <w:b/>
                <w:bCs/>
                <w:color w:val="auto"/>
                <w:kern w:val="2"/>
                <w:sz w:val="24"/>
                <w:szCs w:val="24"/>
                <w:lang w:val="en-US" w:eastAsia="zh-CN" w:bidi="ar-SA"/>
              </w:rPr>
              <w:t>报价（下浮率%）</w:t>
            </w:r>
          </w:p>
        </w:tc>
        <w:tc>
          <w:tcPr>
            <w:tcW w:w="1270" w:type="dxa"/>
            <w:tcBorders>
              <w:top w:val="single" w:color="auto" w:sz="4" w:space="0"/>
              <w:left w:val="nil"/>
              <w:bottom w:val="single" w:color="auto" w:sz="4" w:space="0"/>
              <w:right w:val="single" w:color="auto" w:sz="4" w:space="0"/>
            </w:tcBorders>
            <w:shd w:val="clear" w:color="auto" w:fill="auto"/>
            <w:vAlign w:val="center"/>
          </w:tcPr>
          <w:p w14:paraId="468ADA0C">
            <w:pPr>
              <w:widowControl/>
              <w:jc w:val="center"/>
              <w:rPr>
                <w:rFonts w:hint="eastAsia" w:ascii="宋体" w:hAnsi="宋体" w:eastAsia="宋体" w:cs="Courier New"/>
                <w:b/>
                <w:bCs/>
                <w:color w:val="auto"/>
                <w:kern w:val="2"/>
                <w:sz w:val="24"/>
                <w:szCs w:val="24"/>
                <w:lang w:val="en-US" w:eastAsia="zh-CN" w:bidi="ar-SA"/>
              </w:rPr>
            </w:pPr>
            <w:r>
              <w:rPr>
                <w:rFonts w:hint="eastAsia" w:ascii="宋体" w:hAnsi="宋体" w:eastAsia="宋体" w:cs="Courier New"/>
                <w:b/>
                <w:bCs/>
                <w:color w:val="auto"/>
                <w:kern w:val="2"/>
                <w:sz w:val="24"/>
                <w:szCs w:val="24"/>
                <w:lang w:val="en-US" w:eastAsia="zh-CN" w:bidi="ar-SA"/>
              </w:rPr>
              <w:t>备注</w:t>
            </w:r>
          </w:p>
        </w:tc>
      </w:tr>
      <w:tr w14:paraId="61C78C60">
        <w:tblPrEx>
          <w:tblCellMar>
            <w:top w:w="0" w:type="dxa"/>
            <w:left w:w="108" w:type="dxa"/>
            <w:bottom w:w="0" w:type="dxa"/>
            <w:right w:w="108" w:type="dxa"/>
          </w:tblCellMar>
        </w:tblPrEx>
        <w:trPr>
          <w:trHeight w:val="1012" w:hRule="atLeast"/>
          <w:jc w:val="center"/>
        </w:trPr>
        <w:tc>
          <w:tcPr>
            <w:tcW w:w="1593" w:type="dxa"/>
            <w:tcBorders>
              <w:top w:val="nil"/>
              <w:left w:val="single" w:color="auto" w:sz="4" w:space="0"/>
              <w:bottom w:val="single" w:color="auto" w:sz="4" w:space="0"/>
              <w:right w:val="single" w:color="auto" w:sz="4" w:space="0"/>
            </w:tcBorders>
            <w:shd w:val="clear" w:color="auto" w:fill="auto"/>
            <w:vAlign w:val="center"/>
          </w:tcPr>
          <w:p w14:paraId="650D3CA5">
            <w:pPr>
              <w:keepNext w:val="0"/>
              <w:keepLines w:val="0"/>
              <w:pageBreakBefore w:val="0"/>
              <w:kinsoku/>
              <w:wordWrap/>
              <w:overflowPunct/>
              <w:topLinePunct w:val="0"/>
              <w:bidi w:val="0"/>
              <w:adjustRightInd w:val="0"/>
              <w:snapToGrid w:val="0"/>
              <w:spacing w:line="360" w:lineRule="exact"/>
              <w:textAlignment w:val="auto"/>
              <w:rPr>
                <w:rFonts w:hint="eastAsia" w:eastAsia="宋体" w:cs="宋体" w:asciiTheme="minorEastAsia" w:hAnsiTheme="minorEastAsia"/>
                <w:kern w:val="0"/>
                <w:sz w:val="21"/>
                <w:szCs w:val="21"/>
                <w:lang w:val="en-US" w:eastAsia="zh-CN" w:bidi="ar-SA"/>
              </w:rPr>
            </w:pPr>
            <w:r>
              <w:rPr>
                <w:rFonts w:hint="eastAsia" w:eastAsia="宋体" w:cs="宋体" w:asciiTheme="minorEastAsia" w:hAnsiTheme="minorEastAsia"/>
                <w:kern w:val="0"/>
                <w:sz w:val="21"/>
                <w:szCs w:val="21"/>
                <w:lang w:val="en-US" w:eastAsia="zh-CN" w:bidi="ar-SA"/>
              </w:rPr>
              <w:t>NYWYF20240023</w:t>
            </w:r>
          </w:p>
          <w:p w14:paraId="1F8D3F37">
            <w:pPr>
              <w:widowControl/>
              <w:jc w:val="center"/>
              <w:rPr>
                <w:rFonts w:ascii="宋体" w:hAnsi="宋体" w:cs="宋体"/>
                <w:color w:val="000000"/>
                <w:kern w:val="0"/>
                <w:sz w:val="21"/>
                <w:szCs w:val="21"/>
              </w:rPr>
            </w:pPr>
          </w:p>
        </w:tc>
        <w:tc>
          <w:tcPr>
            <w:tcW w:w="2688" w:type="dxa"/>
            <w:tcBorders>
              <w:top w:val="nil"/>
              <w:left w:val="single" w:color="auto" w:sz="4" w:space="0"/>
              <w:bottom w:val="single" w:color="auto" w:sz="4" w:space="0"/>
              <w:right w:val="single" w:color="auto" w:sz="4" w:space="0"/>
            </w:tcBorders>
            <w:shd w:val="clear" w:color="auto" w:fill="auto"/>
            <w:vAlign w:val="center"/>
          </w:tcPr>
          <w:p w14:paraId="1A731793">
            <w:pPr>
              <w:pStyle w:val="9"/>
              <w:adjustRightInd w:val="0"/>
              <w:snapToGrid w:val="0"/>
              <w:spacing w:line="240" w:lineRule="auto"/>
              <w:rPr>
                <w:rFonts w:ascii="宋体" w:hAnsi="宋体" w:cs="宋体"/>
                <w:color w:val="000000"/>
                <w:kern w:val="0"/>
                <w:sz w:val="21"/>
                <w:szCs w:val="21"/>
              </w:rPr>
            </w:pPr>
            <w:r>
              <w:rPr>
                <w:rFonts w:hint="eastAsia" w:cs="宋体" w:asciiTheme="minorEastAsia" w:hAnsiTheme="minorEastAsia"/>
                <w:kern w:val="0"/>
                <w:sz w:val="21"/>
                <w:szCs w:val="21"/>
              </w:rPr>
              <w:t>南方医科大学第五附属医院院内遴选采购代理机构项目</w:t>
            </w:r>
          </w:p>
        </w:tc>
        <w:tc>
          <w:tcPr>
            <w:tcW w:w="1866" w:type="dxa"/>
            <w:tcBorders>
              <w:top w:val="nil"/>
              <w:left w:val="nil"/>
              <w:bottom w:val="single" w:color="auto" w:sz="4" w:space="0"/>
              <w:right w:val="single" w:color="auto" w:sz="4" w:space="0"/>
            </w:tcBorders>
            <w:shd w:val="clear" w:color="auto" w:fill="auto"/>
            <w:vAlign w:val="center"/>
          </w:tcPr>
          <w:p w14:paraId="03C561A4">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1项</w:t>
            </w:r>
          </w:p>
        </w:tc>
        <w:tc>
          <w:tcPr>
            <w:tcW w:w="1866" w:type="dxa"/>
            <w:tcBorders>
              <w:top w:val="nil"/>
              <w:left w:val="nil"/>
              <w:bottom w:val="single" w:color="auto" w:sz="4" w:space="0"/>
              <w:right w:val="single" w:color="auto" w:sz="4" w:space="0"/>
            </w:tcBorders>
            <w:shd w:val="clear" w:color="auto" w:fill="auto"/>
            <w:vAlign w:val="center"/>
          </w:tcPr>
          <w:p w14:paraId="5D51CD6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0" w:type="dxa"/>
            <w:tcBorders>
              <w:top w:val="nil"/>
              <w:left w:val="nil"/>
              <w:bottom w:val="single" w:color="auto" w:sz="4" w:space="0"/>
              <w:right w:val="single" w:color="auto" w:sz="4" w:space="0"/>
            </w:tcBorders>
            <w:shd w:val="clear" w:color="auto" w:fill="auto"/>
            <w:vAlign w:val="center"/>
          </w:tcPr>
          <w:p w14:paraId="159448EA">
            <w:pPr>
              <w:widowControl/>
              <w:jc w:val="center"/>
              <w:rPr>
                <w:rFonts w:ascii="宋体" w:hAnsi="宋体" w:cs="宋体"/>
                <w:color w:val="000000"/>
                <w:kern w:val="0"/>
                <w:sz w:val="24"/>
              </w:rPr>
            </w:pPr>
            <w:r>
              <w:rPr>
                <w:rFonts w:hint="eastAsia" w:ascii="宋体" w:hAnsi="宋体" w:cs="宋体"/>
                <w:color w:val="000000"/>
                <w:kern w:val="0"/>
                <w:sz w:val="24"/>
              </w:rPr>
              <w:t>　</w:t>
            </w:r>
          </w:p>
        </w:tc>
      </w:tr>
    </w:tbl>
    <w:p w14:paraId="41586B88">
      <w:pPr>
        <w:pStyle w:val="9"/>
        <w:adjustRightInd w:val="0"/>
        <w:snapToGrid w:val="0"/>
        <w:rPr>
          <w:rFonts w:hAnsi="宋体" w:cs="Times New Roman"/>
          <w:b/>
        </w:rPr>
      </w:pPr>
    </w:p>
    <w:p w14:paraId="352BCDEE">
      <w:pPr>
        <w:pStyle w:val="9"/>
        <w:adjustRightInd w:val="0"/>
        <w:snapToGrid w:val="0"/>
        <w:spacing w:line="360" w:lineRule="auto"/>
        <w:ind w:firstLine="361" w:firstLineChars="200"/>
        <w:rPr>
          <w:rFonts w:hint="eastAsia" w:ascii="宋体" w:hAnsi="宋体" w:eastAsia="宋体"/>
          <w:b/>
          <w:bCs/>
          <w:sz w:val="18"/>
          <w:szCs w:val="18"/>
        </w:rPr>
      </w:pPr>
      <w:r>
        <w:rPr>
          <w:rFonts w:hint="eastAsia" w:ascii="宋体" w:hAnsi="宋体" w:eastAsia="宋体"/>
          <w:b/>
          <w:bCs/>
          <w:sz w:val="18"/>
          <w:szCs w:val="18"/>
        </w:rPr>
        <w:t>备注：</w:t>
      </w:r>
    </w:p>
    <w:p w14:paraId="281DF74B">
      <w:pPr>
        <w:pStyle w:val="9"/>
        <w:numPr>
          <w:ilvl w:val="0"/>
          <w:numId w:val="0"/>
        </w:numPr>
        <w:adjustRightInd w:val="0"/>
        <w:snapToGrid w:val="0"/>
        <w:spacing w:line="360" w:lineRule="auto"/>
        <w:ind w:firstLine="420" w:firstLineChars="200"/>
        <w:rPr>
          <w:rFonts w:hAnsi="宋体" w:cs="Times New Roman"/>
          <w:b/>
          <w:sz w:val="21"/>
          <w:szCs w:val="21"/>
        </w:rPr>
      </w:pPr>
      <w:r>
        <w:rPr>
          <w:rFonts w:hint="eastAsia" w:hAnsi="宋体"/>
          <w:color w:val="auto"/>
          <w:sz w:val="21"/>
          <w:szCs w:val="21"/>
          <w:lang w:val="en-US" w:eastAsia="zh-CN"/>
        </w:rPr>
        <w:t>1.</w:t>
      </w:r>
      <w:r>
        <w:rPr>
          <w:rFonts w:hint="eastAsia" w:hAnsi="宋体"/>
          <w:color w:val="auto"/>
          <w:sz w:val="21"/>
          <w:szCs w:val="21"/>
        </w:rPr>
        <w:t>本项目的报价方式为</w:t>
      </w:r>
      <w:r>
        <w:rPr>
          <w:rFonts w:hint="eastAsia" w:hAnsi="宋体"/>
          <w:color w:val="auto"/>
          <w:sz w:val="21"/>
          <w:szCs w:val="21"/>
          <w:lang w:val="en-US" w:eastAsia="zh-CN"/>
        </w:rPr>
        <w:t>下浮</w:t>
      </w:r>
      <w:r>
        <w:rPr>
          <w:rFonts w:hint="eastAsia" w:hAnsi="宋体"/>
          <w:color w:val="auto"/>
          <w:sz w:val="21"/>
          <w:szCs w:val="21"/>
        </w:rPr>
        <w:t>率报价，只允许供应商投报一个</w:t>
      </w:r>
      <w:r>
        <w:rPr>
          <w:rFonts w:hint="eastAsia" w:hAnsi="宋体"/>
          <w:color w:val="auto"/>
          <w:sz w:val="21"/>
          <w:szCs w:val="21"/>
          <w:lang w:val="en-US" w:eastAsia="zh-CN"/>
        </w:rPr>
        <w:t>下浮</w:t>
      </w:r>
      <w:r>
        <w:rPr>
          <w:rFonts w:hint="eastAsia" w:hAnsi="宋体"/>
          <w:color w:val="auto"/>
          <w:sz w:val="21"/>
          <w:szCs w:val="21"/>
        </w:rPr>
        <w:t>率。</w:t>
      </w:r>
      <w:r>
        <w:rPr>
          <w:rFonts w:hint="eastAsia" w:hAnsi="宋体"/>
          <w:color w:val="auto"/>
          <w:sz w:val="21"/>
          <w:szCs w:val="21"/>
          <w:highlight w:val="none"/>
        </w:rPr>
        <w:t>按照《招</w:t>
      </w:r>
      <w:r>
        <w:rPr>
          <w:rFonts w:hint="eastAsia" w:hAnsi="宋体"/>
          <w:sz w:val="21"/>
          <w:szCs w:val="21"/>
          <w:highlight w:val="none"/>
        </w:rPr>
        <w:t>标代理服务收费管理暂行</w:t>
      </w:r>
      <w:r>
        <w:rPr>
          <w:rFonts w:hint="eastAsia" w:hAnsi="宋体"/>
          <w:sz w:val="21"/>
          <w:szCs w:val="21"/>
        </w:rPr>
        <w:t>办法》（计价格［2002］1980号）及国家发改委关于降低部分建设项目收费标准规范收费行为等有关问题的通知(发改价格[2011]534号)收费标准</w:t>
      </w:r>
      <w:r>
        <w:rPr>
          <w:rFonts w:hint="eastAsia" w:hAnsi="宋体"/>
          <w:color w:val="auto"/>
          <w:sz w:val="21"/>
          <w:szCs w:val="21"/>
          <w:highlight w:val="none"/>
        </w:rPr>
        <w:t>（履约期间如国家有关部门颁布新的收费标准，则按照新标准执行）</w:t>
      </w:r>
      <w:r>
        <w:rPr>
          <w:rFonts w:hint="eastAsia" w:hAnsi="宋体"/>
          <w:sz w:val="21"/>
          <w:szCs w:val="21"/>
        </w:rPr>
        <w:t>进行</w:t>
      </w:r>
      <w:r>
        <w:rPr>
          <w:rFonts w:hint="eastAsia" w:hAnsi="宋体"/>
          <w:sz w:val="21"/>
          <w:szCs w:val="21"/>
          <w:lang w:val="en-US" w:eastAsia="zh-CN"/>
        </w:rPr>
        <w:t>下浮</w:t>
      </w:r>
      <w:r>
        <w:rPr>
          <w:rFonts w:hint="eastAsia" w:hAnsi="宋体"/>
          <w:sz w:val="21"/>
          <w:szCs w:val="21"/>
        </w:rPr>
        <w:t>率报价，按报价</w:t>
      </w:r>
      <w:r>
        <w:rPr>
          <w:rFonts w:hint="eastAsia" w:hAnsi="宋体"/>
          <w:sz w:val="21"/>
          <w:szCs w:val="21"/>
          <w:lang w:val="en-US" w:eastAsia="zh-CN"/>
        </w:rPr>
        <w:t>下浮率</w:t>
      </w:r>
      <w:r>
        <w:rPr>
          <w:rFonts w:hint="eastAsia" w:hAnsi="宋体"/>
          <w:sz w:val="21"/>
          <w:szCs w:val="21"/>
        </w:rPr>
        <w:t>后的标准向项目的中标</w:t>
      </w:r>
      <w:r>
        <w:rPr>
          <w:rFonts w:hint="eastAsia" w:hAnsi="宋体"/>
          <w:color w:val="auto"/>
          <w:sz w:val="21"/>
          <w:szCs w:val="21"/>
          <w:lang w:eastAsia="zh-CN"/>
        </w:rPr>
        <w:t>（</w:t>
      </w:r>
      <w:r>
        <w:rPr>
          <w:rFonts w:hint="eastAsia" w:hAnsi="宋体"/>
          <w:color w:val="auto"/>
          <w:sz w:val="21"/>
          <w:szCs w:val="21"/>
          <w:lang w:val="en-US" w:eastAsia="zh-CN"/>
        </w:rPr>
        <w:t>成交</w:t>
      </w:r>
      <w:r>
        <w:rPr>
          <w:rFonts w:hint="eastAsia" w:hAnsi="宋体"/>
          <w:color w:val="auto"/>
          <w:sz w:val="21"/>
          <w:szCs w:val="21"/>
          <w:lang w:eastAsia="zh-CN"/>
        </w:rPr>
        <w:t>）</w:t>
      </w:r>
      <w:r>
        <w:rPr>
          <w:rFonts w:hint="eastAsia" w:hAnsi="宋体"/>
          <w:color w:val="auto"/>
          <w:sz w:val="21"/>
          <w:szCs w:val="21"/>
        </w:rPr>
        <w:t>单</w:t>
      </w:r>
      <w:r>
        <w:rPr>
          <w:rFonts w:hint="eastAsia" w:hAnsi="宋体"/>
          <w:sz w:val="21"/>
          <w:szCs w:val="21"/>
        </w:rPr>
        <w:t>位收取招标代理服务费用，不向采购人收取任何费用。</w:t>
      </w:r>
    </w:p>
    <w:p w14:paraId="0B224FC9">
      <w:pPr>
        <w:pStyle w:val="9"/>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lang w:val="en-US" w:eastAsia="zh-CN"/>
        </w:rPr>
        <w:t>2.</w:t>
      </w:r>
      <w:r>
        <w:rPr>
          <w:rFonts w:hint="eastAsia" w:ascii="宋体" w:hAnsi="宋体" w:eastAsia="宋体"/>
          <w:b/>
          <w:bCs/>
          <w:sz w:val="21"/>
          <w:szCs w:val="21"/>
        </w:rPr>
        <w:t>其他承诺：</w:t>
      </w:r>
    </w:p>
    <w:p w14:paraId="43890580">
      <w:pPr>
        <w:pStyle w:val="9"/>
        <w:adjustRightInd w:val="0"/>
        <w:snapToGrid w:val="0"/>
        <w:spacing w:line="360" w:lineRule="auto"/>
        <w:rPr>
          <w:rFonts w:hAnsi="宋体" w:cs="Times New Roman"/>
          <w:b/>
        </w:rPr>
      </w:pPr>
    </w:p>
    <w:p w14:paraId="11546006">
      <w:pPr>
        <w:pStyle w:val="9"/>
        <w:adjustRightInd w:val="0"/>
        <w:snapToGrid w:val="0"/>
        <w:rPr>
          <w:rFonts w:hAnsi="宋体" w:cs="Times New Roman"/>
          <w:b/>
        </w:rPr>
      </w:pPr>
    </w:p>
    <w:p w14:paraId="5DDF5E22">
      <w:pPr>
        <w:pStyle w:val="9"/>
        <w:adjustRightInd w:val="0"/>
        <w:snapToGrid w:val="0"/>
        <w:rPr>
          <w:rFonts w:hAnsi="宋体" w:cs="Times New Roman"/>
          <w:b/>
        </w:rPr>
      </w:pPr>
    </w:p>
    <w:p w14:paraId="58CD513E">
      <w:pPr>
        <w:pStyle w:val="9"/>
        <w:adjustRightInd w:val="0"/>
        <w:snapToGrid w:val="0"/>
        <w:rPr>
          <w:rFonts w:hAnsi="宋体" w:cs="Times New Roman"/>
          <w:b/>
        </w:rPr>
      </w:pPr>
    </w:p>
    <w:p w14:paraId="136F7F52">
      <w:pPr>
        <w:pStyle w:val="9"/>
        <w:adjustRightInd w:val="0"/>
        <w:snapToGrid w:val="0"/>
        <w:rPr>
          <w:rFonts w:hAnsi="宋体" w:cs="Times New Roman"/>
          <w:b/>
        </w:rPr>
      </w:pPr>
    </w:p>
    <w:p w14:paraId="6C785BD1">
      <w:pPr>
        <w:pStyle w:val="9"/>
        <w:adjustRightInd w:val="0"/>
        <w:snapToGrid w:val="0"/>
        <w:rPr>
          <w:rFonts w:hAnsi="宋体" w:cs="Times New Roman"/>
          <w:b/>
        </w:rPr>
      </w:pPr>
    </w:p>
    <w:p w14:paraId="19BB9284">
      <w:pPr>
        <w:pStyle w:val="9"/>
        <w:adjustRightInd w:val="0"/>
        <w:snapToGrid w:val="0"/>
        <w:rPr>
          <w:rFonts w:hAnsi="宋体" w:cs="Times New Roman"/>
          <w:b/>
        </w:rPr>
      </w:pPr>
    </w:p>
    <w:p w14:paraId="448148B0">
      <w:pPr>
        <w:pStyle w:val="9"/>
        <w:adjustRightInd w:val="0"/>
        <w:snapToGrid w:val="0"/>
        <w:rPr>
          <w:rFonts w:hAnsi="宋体" w:cs="Times New Roman"/>
          <w:b/>
        </w:rPr>
      </w:pPr>
    </w:p>
    <w:p w14:paraId="66DCA310">
      <w:pPr>
        <w:pStyle w:val="9"/>
        <w:adjustRightInd w:val="0"/>
        <w:snapToGrid w:val="0"/>
        <w:rPr>
          <w:rFonts w:hAnsi="宋体" w:cs="Times New Roman"/>
          <w:b/>
        </w:rPr>
      </w:pPr>
    </w:p>
    <w:p w14:paraId="538E746A">
      <w:pPr>
        <w:pStyle w:val="9"/>
        <w:adjustRightInd w:val="0"/>
        <w:snapToGrid w:val="0"/>
        <w:rPr>
          <w:rFonts w:hAnsi="宋体" w:cs="Times New Roman"/>
          <w:b/>
        </w:rPr>
      </w:pPr>
    </w:p>
    <w:p w14:paraId="0D9E0D8C">
      <w:pPr>
        <w:pStyle w:val="9"/>
        <w:adjustRightInd w:val="0"/>
        <w:snapToGrid w:val="0"/>
        <w:rPr>
          <w:rFonts w:hAnsi="宋体" w:cs="Times New Roman"/>
          <w:b/>
        </w:rPr>
      </w:pPr>
    </w:p>
    <w:p w14:paraId="3E1A1D9B">
      <w:pPr>
        <w:pStyle w:val="9"/>
        <w:adjustRightInd w:val="0"/>
        <w:snapToGrid w:val="0"/>
        <w:rPr>
          <w:rFonts w:hAnsi="宋体" w:cs="Times New Roman"/>
          <w:b/>
        </w:rPr>
      </w:pPr>
    </w:p>
    <w:p w14:paraId="368EBB80">
      <w:pPr>
        <w:pStyle w:val="9"/>
        <w:adjustRightInd w:val="0"/>
        <w:snapToGrid w:val="0"/>
        <w:rPr>
          <w:rFonts w:hAnsi="宋体" w:cs="Times New Roman"/>
          <w:b/>
        </w:rPr>
      </w:pPr>
    </w:p>
    <w:p w14:paraId="349220BF">
      <w:pPr>
        <w:pStyle w:val="9"/>
        <w:adjustRightInd w:val="0"/>
        <w:snapToGrid w:val="0"/>
        <w:rPr>
          <w:rFonts w:hAnsi="宋体" w:cs="Times New Roman"/>
          <w:b/>
        </w:rPr>
      </w:pPr>
    </w:p>
    <w:p w14:paraId="314C178D">
      <w:pPr>
        <w:pStyle w:val="9"/>
        <w:adjustRightInd w:val="0"/>
        <w:snapToGrid w:val="0"/>
        <w:rPr>
          <w:rFonts w:hAnsi="宋体" w:cs="Times New Roman"/>
          <w:b/>
        </w:rPr>
      </w:pPr>
    </w:p>
    <w:p w14:paraId="0D8A361F">
      <w:pPr>
        <w:pStyle w:val="9"/>
        <w:adjustRightInd w:val="0"/>
        <w:snapToGrid w:val="0"/>
        <w:rPr>
          <w:rFonts w:hAnsi="宋体" w:cs="Times New Roman"/>
          <w:b/>
        </w:rPr>
      </w:pPr>
    </w:p>
    <w:p w14:paraId="037B25D9">
      <w:pPr>
        <w:pStyle w:val="9"/>
        <w:adjustRightInd w:val="0"/>
        <w:snapToGrid w:val="0"/>
        <w:spacing w:line="360" w:lineRule="auto"/>
        <w:ind w:right="960"/>
        <w:jc w:val="center"/>
        <w:rPr>
          <w:rFonts w:hAnsi="宋体" w:cs="Times New Roman"/>
          <w:b/>
        </w:rPr>
      </w:pPr>
      <w:r>
        <w:rPr>
          <w:rFonts w:hint="eastAsia" w:hAnsi="宋体" w:cs="宋体"/>
          <w:color w:val="000000"/>
          <w:kern w:val="0"/>
          <w:sz w:val="24"/>
          <w:szCs w:val="28"/>
        </w:rPr>
        <w:t>公司名称（全称）：</w:t>
      </w:r>
    </w:p>
    <w:p w14:paraId="6936D053">
      <w:pPr>
        <w:pStyle w:val="9"/>
        <w:adjustRightInd w:val="0"/>
        <w:snapToGrid w:val="0"/>
        <w:spacing w:line="360" w:lineRule="auto"/>
        <w:ind w:right="480" w:firstLine="2280" w:firstLineChars="950"/>
        <w:rPr>
          <w:rFonts w:hAnsi="宋体" w:cs="Times New Roman"/>
          <w:b/>
        </w:rPr>
      </w:pPr>
      <w:r>
        <w:rPr>
          <w:rFonts w:hint="eastAsia" w:hAnsi="宋体" w:cs="宋体"/>
          <w:color w:val="000000"/>
          <w:kern w:val="0"/>
          <w:sz w:val="24"/>
          <w:szCs w:val="28"/>
          <w:lang w:eastAsia="zh-CN"/>
        </w:rPr>
        <w:t>公司</w:t>
      </w:r>
      <w:r>
        <w:rPr>
          <w:rFonts w:hint="eastAsia" w:hAnsi="宋体" w:cs="宋体"/>
          <w:color w:val="000000"/>
          <w:kern w:val="0"/>
          <w:sz w:val="24"/>
          <w:szCs w:val="28"/>
        </w:rPr>
        <w:t>法人代表或授权代表签名：</w:t>
      </w:r>
    </w:p>
    <w:p w14:paraId="5BE68CD4">
      <w:pPr>
        <w:pStyle w:val="9"/>
        <w:adjustRightInd w:val="0"/>
        <w:snapToGrid w:val="0"/>
        <w:spacing w:line="360" w:lineRule="auto"/>
        <w:ind w:right="480"/>
        <w:jc w:val="center"/>
        <w:rPr>
          <w:rFonts w:hAnsi="宋体" w:cs="宋体"/>
          <w:color w:val="000000"/>
          <w:kern w:val="0"/>
          <w:sz w:val="24"/>
          <w:szCs w:val="28"/>
        </w:rPr>
      </w:pPr>
      <w:r>
        <w:rPr>
          <w:rFonts w:hint="eastAsia" w:hAnsi="宋体" w:cs="宋体"/>
          <w:color w:val="000000"/>
          <w:kern w:val="0"/>
          <w:sz w:val="24"/>
          <w:szCs w:val="28"/>
        </w:rPr>
        <w:t xml:space="preserve">                               日期：</w:t>
      </w:r>
      <w:r>
        <w:rPr>
          <w:rFonts w:ascii="Calibri" w:hAnsi="Calibri" w:cs="Calibri"/>
          <w:color w:val="000000"/>
          <w:kern w:val="0"/>
          <w:sz w:val="24"/>
          <w:szCs w:val="28"/>
        </w:rPr>
        <w:t xml:space="preserve">      </w:t>
      </w:r>
      <w:r>
        <w:rPr>
          <w:rFonts w:hint="eastAsia" w:hAnsi="宋体" w:cs="宋体"/>
          <w:color w:val="000000"/>
          <w:kern w:val="0"/>
          <w:sz w:val="24"/>
          <w:szCs w:val="28"/>
        </w:rPr>
        <w:t>年</w:t>
      </w:r>
      <w:r>
        <w:rPr>
          <w:rFonts w:ascii="Calibri" w:hAnsi="Calibri" w:cs="Calibri"/>
          <w:color w:val="000000"/>
          <w:kern w:val="0"/>
          <w:sz w:val="24"/>
          <w:szCs w:val="28"/>
        </w:rPr>
        <w:t xml:space="preserve">     </w:t>
      </w:r>
      <w:r>
        <w:rPr>
          <w:rFonts w:hint="eastAsia" w:hAnsi="宋体" w:cs="宋体"/>
          <w:color w:val="000000"/>
          <w:kern w:val="0"/>
          <w:sz w:val="24"/>
          <w:szCs w:val="28"/>
        </w:rPr>
        <w:t>月</w:t>
      </w:r>
      <w:r>
        <w:rPr>
          <w:rFonts w:ascii="Calibri" w:hAnsi="Calibri" w:cs="Calibri"/>
          <w:color w:val="000000"/>
          <w:kern w:val="0"/>
          <w:sz w:val="24"/>
          <w:szCs w:val="28"/>
        </w:rPr>
        <w:t xml:space="preserve">     </w:t>
      </w:r>
      <w:r>
        <w:rPr>
          <w:rFonts w:hint="eastAsia" w:hAnsi="宋体" w:cs="宋体"/>
          <w:color w:val="000000"/>
          <w:kern w:val="0"/>
          <w:sz w:val="24"/>
          <w:szCs w:val="28"/>
        </w:rPr>
        <w:t>日</w:t>
      </w:r>
    </w:p>
    <w:p w14:paraId="5CCD3503">
      <w:pPr>
        <w:pStyle w:val="28"/>
        <w:tabs>
          <w:tab w:val="left" w:pos="1050"/>
          <w:tab w:val="center" w:pos="4535"/>
        </w:tabs>
        <w:spacing w:line="360" w:lineRule="auto"/>
        <w:jc w:val="center"/>
        <w:rPr>
          <w:rFonts w:hint="eastAsia"/>
          <w:b/>
          <w:bCs/>
          <w:sz w:val="32"/>
          <w:szCs w:val="32"/>
        </w:rPr>
      </w:pPr>
    </w:p>
    <w:p w14:paraId="1137A6B1">
      <w:pPr>
        <w:pStyle w:val="28"/>
        <w:tabs>
          <w:tab w:val="left" w:pos="1050"/>
          <w:tab w:val="center" w:pos="4535"/>
        </w:tabs>
        <w:spacing w:line="360" w:lineRule="auto"/>
        <w:jc w:val="center"/>
        <w:rPr>
          <w:rFonts w:hint="eastAsia"/>
          <w:b/>
          <w:bCs/>
          <w:sz w:val="32"/>
          <w:szCs w:val="32"/>
        </w:rPr>
      </w:pPr>
    </w:p>
    <w:p w14:paraId="148240DE">
      <w:pPr>
        <w:pStyle w:val="28"/>
        <w:tabs>
          <w:tab w:val="left" w:pos="1050"/>
          <w:tab w:val="center" w:pos="4535"/>
        </w:tabs>
        <w:spacing w:line="360" w:lineRule="auto"/>
        <w:jc w:val="center"/>
        <w:rPr>
          <w:rFonts w:hint="eastAsia"/>
          <w:b/>
          <w:bCs/>
          <w:sz w:val="32"/>
          <w:szCs w:val="32"/>
        </w:rPr>
      </w:pPr>
    </w:p>
    <w:p w14:paraId="038DB403">
      <w:pPr>
        <w:pStyle w:val="28"/>
        <w:tabs>
          <w:tab w:val="left" w:pos="1050"/>
          <w:tab w:val="center" w:pos="4535"/>
        </w:tabs>
        <w:spacing w:line="360" w:lineRule="auto"/>
        <w:jc w:val="both"/>
        <w:outlineLvl w:val="0"/>
        <w:rPr>
          <w:rFonts w:hint="eastAsia" w:eastAsia="宋体"/>
          <w:b/>
          <w:bCs/>
          <w:sz w:val="24"/>
          <w:szCs w:val="24"/>
          <w:highlight w:val="yellow"/>
          <w:lang w:eastAsia="zh-CN"/>
        </w:rPr>
      </w:pPr>
      <w:bookmarkStart w:id="224" w:name="_Toc21853"/>
      <w:bookmarkStart w:id="225" w:name="_Toc9458"/>
      <w:bookmarkStart w:id="226" w:name="_Toc8496"/>
      <w:r>
        <w:rPr>
          <w:rFonts w:hint="eastAsia"/>
          <w:b/>
          <w:bCs/>
          <w:sz w:val="24"/>
          <w:szCs w:val="24"/>
          <w:highlight w:val="yellow"/>
          <w:lang w:eastAsia="zh-CN"/>
        </w:rPr>
        <w:t>仅作参考，格式可自拟</w:t>
      </w:r>
    </w:p>
    <w:p w14:paraId="4146A942">
      <w:pPr>
        <w:pStyle w:val="28"/>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224"/>
      <w:bookmarkEnd w:id="225"/>
      <w:bookmarkEnd w:id="226"/>
    </w:p>
    <w:p w14:paraId="4871C874">
      <w:pPr>
        <w:pStyle w:val="28"/>
        <w:spacing w:line="360" w:lineRule="auto"/>
        <w:jc w:val="center"/>
        <w:rPr>
          <w:b/>
          <w:bCs/>
          <w:sz w:val="30"/>
          <w:szCs w:val="30"/>
        </w:rPr>
      </w:pPr>
    </w:p>
    <w:p w14:paraId="779C93EE">
      <w:pPr>
        <w:pStyle w:val="28"/>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color w:val="FF0000"/>
          <w:sz w:val="21"/>
          <w:szCs w:val="21"/>
        </w:rPr>
        <w:t>（性别）</w:t>
      </w:r>
      <w:r>
        <w:rPr>
          <w:rFonts w:hint="eastAsia"/>
          <w:sz w:val="21"/>
          <w:szCs w:val="21"/>
        </w:rPr>
        <w:t>，现任我司</w:t>
      </w:r>
      <w:r>
        <w:rPr>
          <w:rFonts w:hint="eastAsia"/>
          <w:sz w:val="21"/>
          <w:szCs w:val="21"/>
          <w:u w:val="single"/>
        </w:rPr>
        <w:t xml:space="preserve">         </w:t>
      </w:r>
      <w:r>
        <w:rPr>
          <w:rFonts w:hint="eastAsia"/>
          <w:sz w:val="21"/>
          <w:szCs w:val="21"/>
        </w:rPr>
        <w:t>职务，为本公司的法定代表人，特此证明。</w:t>
      </w:r>
    </w:p>
    <w:p w14:paraId="5E35389E">
      <w:pPr>
        <w:pStyle w:val="28"/>
        <w:spacing w:line="360" w:lineRule="auto"/>
        <w:ind w:firstLine="560"/>
        <w:rPr>
          <w:sz w:val="21"/>
          <w:szCs w:val="21"/>
        </w:rPr>
      </w:pPr>
    </w:p>
    <w:p w14:paraId="5A58B1F9">
      <w:pPr>
        <w:pStyle w:val="28"/>
        <w:spacing w:line="360" w:lineRule="auto"/>
        <w:ind w:firstLine="560"/>
        <w:rPr>
          <w:sz w:val="21"/>
          <w:szCs w:val="21"/>
          <w:u w:val="single"/>
        </w:rPr>
      </w:pPr>
      <w:r>
        <w:rPr>
          <w:rFonts w:hint="eastAsia"/>
          <w:sz w:val="21"/>
          <w:szCs w:val="21"/>
          <w:lang w:val="en-US" w:eastAsia="zh-CN"/>
        </w:rPr>
        <w:t>公司</w:t>
      </w:r>
      <w:r>
        <w:rPr>
          <w:rFonts w:hint="eastAsia"/>
          <w:sz w:val="21"/>
          <w:szCs w:val="21"/>
        </w:rPr>
        <w:t>法定代表人签字（盖章）：</w:t>
      </w:r>
      <w:r>
        <w:rPr>
          <w:rFonts w:hint="eastAsia"/>
          <w:sz w:val="21"/>
          <w:szCs w:val="21"/>
          <w:u w:val="single"/>
        </w:rPr>
        <w:t xml:space="preserve">                                  </w:t>
      </w:r>
    </w:p>
    <w:p w14:paraId="715B745D">
      <w:pPr>
        <w:pStyle w:val="28"/>
        <w:spacing w:line="360" w:lineRule="auto"/>
        <w:ind w:firstLine="560"/>
        <w:rPr>
          <w:sz w:val="21"/>
          <w:szCs w:val="21"/>
        </w:rPr>
      </w:pPr>
      <w:r>
        <w:rPr>
          <w:rFonts w:hint="eastAsia"/>
          <w:sz w:val="21"/>
          <w:szCs w:val="21"/>
        </w:rPr>
        <w:t>公司名称（</w:t>
      </w:r>
      <w:r>
        <w:rPr>
          <w:rFonts w:hint="eastAsia"/>
          <w:sz w:val="21"/>
          <w:szCs w:val="21"/>
          <w:lang w:eastAsia="zh-CN"/>
        </w:rPr>
        <w:t>加盖供应商公章</w:t>
      </w:r>
      <w:r>
        <w:rPr>
          <w:rFonts w:hint="eastAsia"/>
          <w:sz w:val="21"/>
          <w:szCs w:val="21"/>
        </w:rPr>
        <w:t>）：</w:t>
      </w:r>
      <w:r>
        <w:rPr>
          <w:rFonts w:hint="eastAsia"/>
          <w:sz w:val="21"/>
          <w:szCs w:val="21"/>
          <w:u w:val="single"/>
        </w:rPr>
        <w:t xml:space="preserve">                                            </w:t>
      </w:r>
      <w:r>
        <w:rPr>
          <w:rFonts w:hint="eastAsia"/>
          <w:sz w:val="21"/>
          <w:szCs w:val="21"/>
        </w:rPr>
        <w:t xml:space="preserve">  </w:t>
      </w:r>
    </w:p>
    <w:p w14:paraId="05CA32FB">
      <w:pPr>
        <w:pStyle w:val="28"/>
        <w:spacing w:line="360" w:lineRule="auto"/>
        <w:ind w:firstLine="560"/>
        <w:rPr>
          <w:sz w:val="21"/>
          <w:szCs w:val="21"/>
          <w:u w:val="single"/>
        </w:rPr>
      </w:pPr>
      <w:r>
        <w:rPr>
          <w:rFonts w:hint="eastAsia"/>
          <w:sz w:val="21"/>
          <w:szCs w:val="21"/>
        </w:rPr>
        <w:t>日期：</w:t>
      </w:r>
      <w:r>
        <w:rPr>
          <w:rFonts w:hint="eastAsia"/>
          <w:sz w:val="21"/>
          <w:szCs w:val="21"/>
          <w:u w:val="single"/>
        </w:rPr>
        <w:t xml:space="preserve">                                                           </w:t>
      </w:r>
    </w:p>
    <w:p w14:paraId="4DDEDA4B">
      <w:pPr>
        <w:pStyle w:val="28"/>
        <w:spacing w:line="360" w:lineRule="auto"/>
        <w:rPr>
          <w:b/>
          <w:bCs/>
          <w:sz w:val="28"/>
          <w:szCs w:val="28"/>
        </w:rPr>
      </w:pPr>
    </w:p>
    <w:p w14:paraId="26E56FDC">
      <w:pPr>
        <w:pStyle w:val="28"/>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3C15E515">
      <w:pPr>
        <w:widowControl/>
        <w:spacing w:line="500" w:lineRule="atLeast"/>
        <w:rPr>
          <w:rFonts w:ascii="宋体" w:hAnsi="宋体"/>
          <w:spacing w:val="4"/>
          <w:kern w:val="0"/>
          <w:szCs w:val="21"/>
        </w:rPr>
      </w:pPr>
    </w:p>
    <w:p w14:paraId="2E652700">
      <w:pPr>
        <w:spacing w:line="400" w:lineRule="exact"/>
        <w:rPr>
          <w:rFonts w:ascii="宋体" w:hAnsi="宋体"/>
          <w:b/>
          <w:sz w:val="36"/>
          <w:szCs w:val="36"/>
        </w:rPr>
      </w:pPr>
    </w:p>
    <w:p w14:paraId="3FF88711">
      <w:pPr>
        <w:spacing w:line="400" w:lineRule="exact"/>
        <w:rPr>
          <w:rFonts w:ascii="宋体" w:hAnsi="宋体"/>
          <w:b/>
          <w:sz w:val="36"/>
          <w:szCs w:val="36"/>
        </w:rPr>
      </w:pPr>
    </w:p>
    <w:p w14:paraId="76F05FD8">
      <w:pPr>
        <w:spacing w:line="400" w:lineRule="exact"/>
        <w:rPr>
          <w:rFonts w:ascii="宋体" w:hAnsi="宋体"/>
          <w:b/>
          <w:sz w:val="36"/>
          <w:szCs w:val="36"/>
        </w:rPr>
      </w:pPr>
    </w:p>
    <w:p w14:paraId="5ACF751F">
      <w:pPr>
        <w:spacing w:line="400" w:lineRule="exact"/>
        <w:rPr>
          <w:rFonts w:ascii="宋体" w:hAnsi="宋体"/>
          <w:b/>
          <w:sz w:val="36"/>
          <w:szCs w:val="36"/>
        </w:rPr>
      </w:pPr>
    </w:p>
    <w:p w14:paraId="2C7256E1">
      <w:pPr>
        <w:widowControl/>
        <w:spacing w:line="360" w:lineRule="auto"/>
        <w:jc w:val="left"/>
        <w:rPr>
          <w:rFonts w:ascii="仿宋" w:hAnsi="仿宋" w:eastAsia="仿宋" w:cs="宋体"/>
          <w:b/>
          <w:kern w:val="0"/>
          <w:sz w:val="24"/>
          <w:szCs w:val="32"/>
        </w:rPr>
      </w:pPr>
    </w:p>
    <w:p w14:paraId="5C89337E">
      <w:pPr>
        <w:pStyle w:val="28"/>
        <w:spacing w:line="360" w:lineRule="auto"/>
        <w:jc w:val="center"/>
        <w:rPr>
          <w:b/>
          <w:bCs/>
          <w:sz w:val="32"/>
          <w:szCs w:val="32"/>
        </w:rPr>
      </w:pPr>
      <w:bookmarkStart w:id="227" w:name="_Toc7276"/>
      <w:bookmarkStart w:id="228" w:name="_Toc14591"/>
      <w:bookmarkStart w:id="229" w:name="_Toc22175"/>
      <w:bookmarkStart w:id="230" w:name="_Toc15050"/>
      <w:bookmarkStart w:id="231" w:name="_Toc28957"/>
      <w:bookmarkStart w:id="232" w:name="_Toc3758"/>
      <w:bookmarkStart w:id="233" w:name="_Toc18443"/>
      <w:bookmarkStart w:id="234" w:name="_Toc14020"/>
      <w:bookmarkStart w:id="235" w:name="_Toc23685"/>
      <w:bookmarkStart w:id="236" w:name="_Toc3241"/>
      <w:bookmarkStart w:id="237" w:name="_Toc14853"/>
    </w:p>
    <w:p w14:paraId="0CE447FC">
      <w:pPr>
        <w:pStyle w:val="28"/>
        <w:spacing w:line="360" w:lineRule="auto"/>
        <w:jc w:val="center"/>
        <w:rPr>
          <w:b/>
          <w:bCs/>
          <w:sz w:val="32"/>
          <w:szCs w:val="32"/>
        </w:rPr>
      </w:pPr>
    </w:p>
    <w:p w14:paraId="06976F21">
      <w:pPr>
        <w:pStyle w:val="28"/>
        <w:tabs>
          <w:tab w:val="left" w:pos="1050"/>
          <w:tab w:val="center" w:pos="4535"/>
        </w:tabs>
        <w:spacing w:line="360" w:lineRule="auto"/>
        <w:jc w:val="both"/>
        <w:outlineLvl w:val="0"/>
        <w:rPr>
          <w:rFonts w:hint="eastAsia"/>
          <w:b/>
          <w:bCs/>
          <w:sz w:val="32"/>
          <w:szCs w:val="32"/>
          <w:highlight w:val="yellow"/>
        </w:rPr>
      </w:pPr>
      <w:bookmarkStart w:id="238" w:name="_Toc7089"/>
      <w:bookmarkStart w:id="239" w:name="_Toc28820"/>
      <w:bookmarkStart w:id="240" w:name="_Toc11289"/>
      <w:bookmarkStart w:id="241" w:name="_Toc19319"/>
      <w:r>
        <w:rPr>
          <w:rFonts w:hint="eastAsia"/>
          <w:b/>
          <w:bCs/>
          <w:sz w:val="24"/>
          <w:szCs w:val="24"/>
          <w:highlight w:val="yellow"/>
          <w:lang w:eastAsia="zh-CN"/>
        </w:rPr>
        <w:t>仅作参考，格式可自拟</w:t>
      </w:r>
    </w:p>
    <w:p w14:paraId="3C60FE14">
      <w:pPr>
        <w:pStyle w:val="28"/>
        <w:spacing w:line="360" w:lineRule="auto"/>
        <w:jc w:val="center"/>
        <w:outlineLvl w:val="0"/>
        <w:rPr>
          <w:b/>
          <w:bCs/>
          <w:sz w:val="32"/>
          <w:szCs w:val="32"/>
        </w:rPr>
      </w:pPr>
      <w:r>
        <w:rPr>
          <w:rFonts w:hint="eastAsia"/>
          <w:b/>
          <w:bCs/>
          <w:sz w:val="32"/>
          <w:szCs w:val="32"/>
        </w:rPr>
        <w:t>法定代表人授权委托书</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7547D90">
      <w:pPr>
        <w:pStyle w:val="29"/>
        <w:spacing w:line="360" w:lineRule="auto"/>
        <w:jc w:val="left"/>
        <w:rPr>
          <w:b/>
          <w:bCs/>
          <w:sz w:val="21"/>
          <w:szCs w:val="21"/>
        </w:rPr>
      </w:pPr>
      <w:r>
        <w:rPr>
          <w:rFonts w:hint="eastAsia"/>
          <w:b/>
          <w:bCs/>
          <w:sz w:val="21"/>
          <w:szCs w:val="21"/>
        </w:rPr>
        <w:t>本授权书声明：</w:t>
      </w:r>
    </w:p>
    <w:p w14:paraId="135C0EB1">
      <w:pPr>
        <w:pStyle w:val="28"/>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color w:val="FF0000"/>
          <w:sz w:val="21"/>
          <w:szCs w:val="21"/>
        </w:rPr>
        <w:t>（公司地址）</w:t>
      </w:r>
      <w:r>
        <w:rPr>
          <w:rFonts w:hint="eastAsia"/>
          <w:sz w:val="21"/>
          <w:szCs w:val="21"/>
          <w:u w:val="single"/>
        </w:rPr>
        <w:t xml:space="preserve">               </w:t>
      </w:r>
      <w:r>
        <w:rPr>
          <w:rFonts w:hint="eastAsia"/>
          <w:color w:val="FF0000"/>
          <w:sz w:val="21"/>
          <w:szCs w:val="21"/>
        </w:rPr>
        <w:t>（公司名称）</w:t>
      </w:r>
      <w:r>
        <w:rPr>
          <w:rFonts w:hint="eastAsia"/>
          <w:sz w:val="21"/>
          <w:szCs w:val="21"/>
        </w:rPr>
        <w:t>的</w:t>
      </w:r>
      <w:r>
        <w:rPr>
          <w:rFonts w:hint="eastAsia"/>
          <w:sz w:val="21"/>
          <w:szCs w:val="21"/>
          <w:u w:val="single"/>
        </w:rPr>
        <w:t xml:space="preserve">        </w:t>
      </w:r>
      <w:r>
        <w:rPr>
          <w:rFonts w:hint="eastAsia"/>
          <w:color w:val="FF0000"/>
          <w:sz w:val="21"/>
          <w:szCs w:val="21"/>
        </w:rPr>
        <w:t>（法定代表人姓名、职务）</w:t>
      </w:r>
      <w:r>
        <w:rPr>
          <w:rFonts w:hint="eastAsia"/>
          <w:sz w:val="21"/>
          <w:szCs w:val="21"/>
        </w:rPr>
        <w:t xml:space="preserve">代表本公司授权 </w:t>
      </w:r>
      <w:r>
        <w:rPr>
          <w:rFonts w:hint="eastAsia"/>
          <w:sz w:val="21"/>
          <w:szCs w:val="21"/>
          <w:u w:val="single"/>
        </w:rPr>
        <w:t xml:space="preserve">       </w:t>
      </w:r>
      <w:r>
        <w:rPr>
          <w:rFonts w:hint="eastAsia"/>
          <w:color w:val="FF0000"/>
          <w:sz w:val="21"/>
          <w:szCs w:val="21"/>
        </w:rPr>
        <w:t>（被授权人的姓名、职务、联系方式）</w:t>
      </w:r>
      <w:r>
        <w:rPr>
          <w:rFonts w:hint="eastAsia"/>
          <w:sz w:val="21"/>
          <w:szCs w:val="21"/>
        </w:rPr>
        <w:t>为本公司的合法代表，以本公司名义负责处理在</w:t>
      </w:r>
      <w:r>
        <w:rPr>
          <w:rFonts w:hint="eastAsia"/>
          <w:sz w:val="21"/>
          <w:szCs w:val="21"/>
          <w:u w:val="single"/>
        </w:rPr>
        <w:t>南方医科大学第五附属医院 ***项目</w:t>
      </w:r>
      <w:r>
        <w:rPr>
          <w:rFonts w:hint="eastAsia"/>
          <w:sz w:val="21"/>
          <w:szCs w:val="21"/>
        </w:rPr>
        <w:t>院内采购活动中</w:t>
      </w:r>
      <w:r>
        <w:rPr>
          <w:rFonts w:hint="eastAsia"/>
          <w:sz w:val="21"/>
          <w:szCs w:val="21"/>
          <w:lang w:eastAsia="zh-CN"/>
        </w:rPr>
        <w:t>一切与之</w:t>
      </w:r>
      <w:r>
        <w:rPr>
          <w:rFonts w:hint="eastAsia"/>
          <w:sz w:val="21"/>
          <w:szCs w:val="21"/>
        </w:rPr>
        <w:t>相关事宜。</w:t>
      </w:r>
    </w:p>
    <w:p w14:paraId="78530CFF">
      <w:pPr>
        <w:pStyle w:val="28"/>
        <w:spacing w:line="360" w:lineRule="auto"/>
        <w:ind w:firstLine="560"/>
        <w:rPr>
          <w:rFonts w:hint="eastAsia"/>
          <w:sz w:val="21"/>
          <w:szCs w:val="21"/>
        </w:rPr>
      </w:pPr>
      <w:r>
        <w:rPr>
          <w:rFonts w:hint="eastAsia"/>
          <w:sz w:val="21"/>
          <w:szCs w:val="21"/>
        </w:rPr>
        <w:t>本授权书在签字盖章后生效，特此声明。</w:t>
      </w:r>
    </w:p>
    <w:p w14:paraId="1A625E5A">
      <w:pPr>
        <w:pStyle w:val="28"/>
        <w:spacing w:line="360" w:lineRule="auto"/>
        <w:ind w:firstLine="560"/>
        <w:rPr>
          <w:rFonts w:hint="default" w:eastAsia="宋体"/>
          <w:sz w:val="21"/>
          <w:szCs w:val="21"/>
          <w:lang w:val="en-US" w:eastAsia="zh-CN"/>
        </w:rPr>
      </w:pPr>
      <w:r>
        <w:rPr>
          <w:rFonts w:hint="eastAsia"/>
          <w:sz w:val="21"/>
          <w:szCs w:val="21"/>
          <w:lang w:eastAsia="zh-CN"/>
        </w:rPr>
        <w:t>授权时间：</w:t>
      </w:r>
      <w:r>
        <w:rPr>
          <w:rFonts w:hint="eastAsia"/>
          <w:sz w:val="21"/>
          <w:szCs w:val="21"/>
          <w:u w:val="none"/>
        </w:rPr>
        <w:t xml:space="preserve">   </w:t>
      </w:r>
      <w:r>
        <w:rPr>
          <w:rFonts w:hint="eastAsia"/>
          <w:sz w:val="21"/>
          <w:szCs w:val="21"/>
          <w:u w:val="none"/>
          <w:lang w:val="en-US" w:eastAsia="zh-CN"/>
        </w:rPr>
        <w:t xml:space="preserve"> 年    月    日至    年    月    日</w:t>
      </w:r>
    </w:p>
    <w:p w14:paraId="443681DD">
      <w:pPr>
        <w:pStyle w:val="28"/>
        <w:spacing w:line="360" w:lineRule="auto"/>
        <w:ind w:firstLine="560"/>
        <w:rPr>
          <w:sz w:val="21"/>
          <w:szCs w:val="21"/>
          <w:u w:val="single"/>
        </w:rPr>
      </w:pPr>
      <w:r>
        <w:rPr>
          <w:rFonts w:hint="eastAsia"/>
          <w:sz w:val="21"/>
          <w:szCs w:val="21"/>
          <w:lang w:val="en-US" w:eastAsia="zh-CN"/>
        </w:rPr>
        <w:t>公司</w:t>
      </w:r>
      <w:r>
        <w:rPr>
          <w:rFonts w:hint="eastAsia"/>
          <w:sz w:val="21"/>
          <w:szCs w:val="21"/>
        </w:rPr>
        <w:t>法定代表人签字（盖章）：</w:t>
      </w:r>
      <w:r>
        <w:rPr>
          <w:rFonts w:hint="eastAsia"/>
          <w:sz w:val="21"/>
          <w:szCs w:val="21"/>
          <w:u w:val="single"/>
        </w:rPr>
        <w:t xml:space="preserve">                                </w:t>
      </w:r>
    </w:p>
    <w:p w14:paraId="2CF7D668">
      <w:pPr>
        <w:pStyle w:val="28"/>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14:paraId="74F8D8FA">
      <w:pPr>
        <w:pStyle w:val="28"/>
        <w:spacing w:line="360" w:lineRule="auto"/>
        <w:ind w:firstLine="560"/>
        <w:rPr>
          <w:sz w:val="21"/>
          <w:szCs w:val="21"/>
          <w:u w:val="single"/>
        </w:rPr>
      </w:pPr>
      <w:r>
        <w:rPr>
          <w:rFonts w:hint="eastAsia"/>
          <w:sz w:val="21"/>
          <w:szCs w:val="21"/>
        </w:rPr>
        <w:t>公司名称（</w:t>
      </w:r>
      <w:r>
        <w:rPr>
          <w:rFonts w:hint="eastAsia"/>
          <w:sz w:val="21"/>
          <w:szCs w:val="21"/>
          <w:lang w:eastAsia="zh-CN"/>
        </w:rPr>
        <w:t>加盖供应商公章</w:t>
      </w:r>
      <w:r>
        <w:rPr>
          <w:rFonts w:hint="eastAsia"/>
          <w:sz w:val="21"/>
          <w:szCs w:val="21"/>
        </w:rPr>
        <w:t>）：</w:t>
      </w:r>
      <w:r>
        <w:rPr>
          <w:rFonts w:hint="eastAsia"/>
          <w:sz w:val="21"/>
          <w:szCs w:val="21"/>
          <w:u w:val="single"/>
        </w:rPr>
        <w:t xml:space="preserve">                                        </w:t>
      </w:r>
    </w:p>
    <w:p w14:paraId="7F836F62">
      <w:pPr>
        <w:pStyle w:val="28"/>
        <w:spacing w:line="360" w:lineRule="auto"/>
        <w:ind w:firstLine="560"/>
        <w:rPr>
          <w:rFonts w:hint="eastAsia"/>
          <w:sz w:val="28"/>
          <w:szCs w:val="28"/>
        </w:rPr>
      </w:pPr>
      <w:r>
        <w:rPr>
          <w:rFonts w:hint="eastAsia"/>
          <w:sz w:val="21"/>
          <w:szCs w:val="21"/>
        </w:rPr>
        <w:t>日期 ：</w:t>
      </w:r>
      <w:r>
        <w:rPr>
          <w:rFonts w:hint="eastAsia"/>
          <w:sz w:val="21"/>
          <w:szCs w:val="21"/>
          <w:u w:val="single"/>
        </w:rPr>
        <w:t xml:space="preserve">                                                       </w:t>
      </w:r>
      <w:r>
        <w:rPr>
          <w:rFonts w:hint="eastAsia"/>
          <w:sz w:val="21"/>
          <w:szCs w:val="21"/>
        </w:rPr>
        <w:t xml:space="preserve">   </w:t>
      </w:r>
      <w:r>
        <w:rPr>
          <w:rFonts w:hint="eastAsia"/>
          <w:sz w:val="28"/>
          <w:szCs w:val="28"/>
        </w:rPr>
        <w:t xml:space="preserve">          </w:t>
      </w:r>
    </w:p>
    <w:p w14:paraId="40FC7ED4">
      <w:pPr>
        <w:pStyle w:val="28"/>
        <w:spacing w:line="360" w:lineRule="auto"/>
        <w:ind w:firstLine="560"/>
        <w:rPr>
          <w:sz w:val="28"/>
          <w:szCs w:val="28"/>
        </w:rPr>
      </w:pPr>
      <w:r>
        <w:rPr>
          <w:rFonts w:hint="eastAsia"/>
          <w:sz w:val="28"/>
          <w:szCs w:val="28"/>
        </w:rPr>
        <w:t xml:space="preserve">                            </w:t>
      </w:r>
    </w:p>
    <w:p w14:paraId="24F30473">
      <w:pPr>
        <w:pStyle w:val="28"/>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633D4F8">
      <w:pPr>
        <w:pStyle w:val="25"/>
        <w:ind w:firstLine="3975" w:firstLineChars="1100"/>
        <w:rPr>
          <w:b/>
          <w:bCs/>
          <w:sz w:val="36"/>
          <w:szCs w:val="36"/>
        </w:rPr>
      </w:pPr>
    </w:p>
    <w:p w14:paraId="4DBC4A46">
      <w:pPr>
        <w:pStyle w:val="28"/>
        <w:tabs>
          <w:tab w:val="left" w:pos="1050"/>
          <w:tab w:val="center" w:pos="4535"/>
        </w:tabs>
        <w:spacing w:line="360" w:lineRule="auto"/>
        <w:jc w:val="center"/>
        <w:rPr>
          <w:b/>
          <w:bCs/>
          <w:sz w:val="32"/>
          <w:szCs w:val="32"/>
        </w:rPr>
      </w:pPr>
    </w:p>
    <w:p w14:paraId="16DAF51E">
      <w:pPr>
        <w:pStyle w:val="14"/>
        <w:ind w:left="0" w:leftChars="0"/>
      </w:pPr>
    </w:p>
    <w:p w14:paraId="37E2F53E">
      <w:pPr>
        <w:jc w:val="center"/>
        <w:rPr>
          <w:b/>
          <w:sz w:val="32"/>
          <w:szCs w:val="32"/>
        </w:rPr>
      </w:pPr>
    </w:p>
    <w:p w14:paraId="4D4DB3C7">
      <w:pPr>
        <w:pStyle w:val="28"/>
        <w:tabs>
          <w:tab w:val="left" w:pos="1050"/>
          <w:tab w:val="center" w:pos="4535"/>
        </w:tabs>
        <w:spacing w:line="360" w:lineRule="auto"/>
        <w:jc w:val="both"/>
        <w:outlineLvl w:val="0"/>
        <w:rPr>
          <w:rFonts w:hint="eastAsia"/>
          <w:b/>
          <w:bCs/>
          <w:sz w:val="24"/>
          <w:szCs w:val="24"/>
          <w:lang w:eastAsia="zh-CN"/>
        </w:rPr>
      </w:pPr>
      <w:r>
        <w:rPr>
          <w:rFonts w:hint="eastAsia"/>
          <w:b/>
          <w:bCs/>
          <w:sz w:val="24"/>
          <w:szCs w:val="24"/>
          <w:highlight w:val="yellow"/>
          <w:lang w:eastAsia="zh-CN"/>
        </w:rPr>
        <w:t>仅作参考，格式可自拟</w:t>
      </w:r>
    </w:p>
    <w:p w14:paraId="140CC94A">
      <w:pPr>
        <w:pStyle w:val="28"/>
        <w:tabs>
          <w:tab w:val="left" w:pos="1050"/>
          <w:tab w:val="center" w:pos="4535"/>
        </w:tabs>
        <w:spacing w:line="360" w:lineRule="auto"/>
        <w:jc w:val="both"/>
        <w:outlineLvl w:val="0"/>
        <w:rPr>
          <w:b/>
          <w:sz w:val="24"/>
        </w:rPr>
      </w:pPr>
      <w:r>
        <w:rPr>
          <w:rFonts w:hint="eastAsia"/>
          <w:b/>
          <w:sz w:val="24"/>
        </w:rPr>
        <w:t>办公评审现场（加盖单位公章）</w:t>
      </w:r>
    </w:p>
    <w:tbl>
      <w:tblPr>
        <w:tblStyle w:val="1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1FF3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926" w:type="dxa"/>
          </w:tcPr>
          <w:p w14:paraId="68D3F234">
            <w:pPr>
              <w:keepNext/>
              <w:keepLines/>
              <w:autoSpaceDE w:val="0"/>
              <w:autoSpaceDN w:val="0"/>
              <w:adjustRightInd w:val="0"/>
              <w:spacing w:after="260" w:line="408" w:lineRule="auto"/>
              <w:jc w:val="left"/>
              <w:outlineLvl w:val="1"/>
              <w:rPr>
                <w:rFonts w:ascii="宋体" w:hAnsi="宋体" w:cs="宋体"/>
                <w:bCs/>
                <w:sz w:val="24"/>
              </w:rPr>
            </w:pPr>
            <w:bookmarkStart w:id="242" w:name="_Toc88488449"/>
            <w:r>
              <w:rPr>
                <w:rFonts w:hint="eastAsia" w:ascii="宋体" w:hAnsi="宋体" w:cs="宋体"/>
                <w:bCs/>
                <w:sz w:val="24"/>
              </w:rPr>
              <w:t>办公评审场地图片</w:t>
            </w:r>
            <w:bookmarkEnd w:id="242"/>
          </w:p>
        </w:tc>
      </w:tr>
      <w:tr w14:paraId="6B13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3" w:hRule="exact"/>
        </w:trPr>
        <w:tc>
          <w:tcPr>
            <w:tcW w:w="8926" w:type="dxa"/>
          </w:tcPr>
          <w:p w14:paraId="25AA37AF">
            <w:pPr>
              <w:keepNext/>
              <w:keepLines/>
              <w:autoSpaceDE w:val="0"/>
              <w:autoSpaceDN w:val="0"/>
              <w:adjustRightInd w:val="0"/>
              <w:spacing w:after="260" w:line="408" w:lineRule="auto"/>
              <w:jc w:val="left"/>
              <w:outlineLvl w:val="9"/>
              <w:rPr>
                <w:rFonts w:ascii="宋体" w:hAnsi="宋体" w:cs="宋体"/>
                <w:bCs/>
                <w:sz w:val="24"/>
              </w:rPr>
            </w:pPr>
          </w:p>
          <w:p w14:paraId="222C2A74">
            <w:pPr>
              <w:rPr>
                <w:rFonts w:ascii="宋体" w:hAnsi="宋体" w:cs="宋体"/>
                <w:bCs/>
                <w:sz w:val="24"/>
              </w:rPr>
            </w:pPr>
          </w:p>
          <w:p w14:paraId="3DF7653F">
            <w:pPr>
              <w:rPr>
                <w:rFonts w:ascii="宋体" w:hAnsi="宋体" w:cs="宋体"/>
                <w:bCs/>
                <w:sz w:val="24"/>
              </w:rPr>
            </w:pPr>
          </w:p>
          <w:p w14:paraId="04617653">
            <w:pPr>
              <w:rPr>
                <w:rFonts w:ascii="宋体" w:hAnsi="宋体" w:cs="宋体"/>
                <w:bCs/>
                <w:sz w:val="24"/>
              </w:rPr>
            </w:pPr>
          </w:p>
          <w:p w14:paraId="3E4EF210">
            <w:pPr>
              <w:rPr>
                <w:rFonts w:ascii="宋体" w:hAnsi="宋体" w:cs="宋体"/>
                <w:bCs/>
                <w:sz w:val="24"/>
              </w:rPr>
            </w:pPr>
          </w:p>
          <w:p w14:paraId="378AE362">
            <w:pPr>
              <w:rPr>
                <w:rFonts w:ascii="宋体" w:hAnsi="宋体" w:cs="宋体"/>
                <w:bCs/>
                <w:sz w:val="24"/>
              </w:rPr>
            </w:pPr>
          </w:p>
          <w:p w14:paraId="106ACDE9">
            <w:pPr>
              <w:rPr>
                <w:rFonts w:ascii="宋体" w:hAnsi="宋体" w:cs="宋体"/>
                <w:bCs/>
                <w:sz w:val="24"/>
              </w:rPr>
            </w:pPr>
          </w:p>
          <w:p w14:paraId="3A930A7A">
            <w:pPr>
              <w:rPr>
                <w:rFonts w:ascii="宋体" w:hAnsi="宋体" w:cs="宋体"/>
                <w:bCs/>
                <w:sz w:val="24"/>
              </w:rPr>
            </w:pPr>
          </w:p>
          <w:p w14:paraId="49D109FE">
            <w:pPr>
              <w:rPr>
                <w:rFonts w:ascii="宋体" w:hAnsi="宋体" w:cs="宋体"/>
                <w:bCs/>
                <w:sz w:val="24"/>
              </w:rPr>
            </w:pPr>
          </w:p>
          <w:p w14:paraId="26917E00">
            <w:pPr>
              <w:rPr>
                <w:rFonts w:ascii="宋体" w:hAnsi="宋体" w:cs="宋体"/>
                <w:bCs/>
                <w:sz w:val="24"/>
              </w:rPr>
            </w:pPr>
          </w:p>
          <w:p w14:paraId="6706927B">
            <w:pPr>
              <w:rPr>
                <w:rFonts w:ascii="宋体" w:hAnsi="宋体" w:cs="宋体"/>
                <w:bCs/>
                <w:sz w:val="24"/>
              </w:rPr>
            </w:pPr>
          </w:p>
          <w:p w14:paraId="4FC5A0F2">
            <w:pPr>
              <w:rPr>
                <w:rFonts w:ascii="宋体" w:hAnsi="宋体" w:cs="宋体"/>
                <w:bCs/>
                <w:sz w:val="24"/>
              </w:rPr>
            </w:pPr>
          </w:p>
          <w:p w14:paraId="5AB532BA">
            <w:pPr>
              <w:rPr>
                <w:rFonts w:ascii="宋体" w:hAnsi="宋体" w:cs="宋体"/>
                <w:bCs/>
                <w:sz w:val="24"/>
              </w:rPr>
            </w:pPr>
          </w:p>
          <w:p w14:paraId="0A0F1306">
            <w:pPr>
              <w:rPr>
                <w:rFonts w:ascii="宋体" w:hAnsi="宋体" w:cs="宋体"/>
                <w:bCs/>
                <w:sz w:val="24"/>
              </w:rPr>
            </w:pPr>
          </w:p>
          <w:p w14:paraId="46C83371">
            <w:pPr>
              <w:rPr>
                <w:rFonts w:ascii="宋体" w:hAnsi="宋体" w:cs="宋体"/>
                <w:bCs/>
                <w:sz w:val="24"/>
              </w:rPr>
            </w:pPr>
          </w:p>
        </w:tc>
      </w:tr>
      <w:tr w14:paraId="684A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1" w:hRule="exact"/>
        </w:trPr>
        <w:tc>
          <w:tcPr>
            <w:tcW w:w="8926" w:type="dxa"/>
          </w:tcPr>
          <w:p w14:paraId="555E49E2">
            <w:pPr>
              <w:keepNext/>
              <w:keepLines/>
              <w:autoSpaceDE w:val="0"/>
              <w:autoSpaceDN w:val="0"/>
              <w:adjustRightInd w:val="0"/>
              <w:spacing w:after="260" w:line="408" w:lineRule="auto"/>
              <w:jc w:val="left"/>
              <w:outlineLvl w:val="1"/>
              <w:rPr>
                <w:rFonts w:ascii="宋体" w:hAnsi="宋体" w:cs="宋体"/>
                <w:bCs/>
                <w:sz w:val="24"/>
              </w:rPr>
            </w:pPr>
            <w:bookmarkStart w:id="243" w:name="_Toc88488450"/>
            <w:r>
              <w:rPr>
                <w:rFonts w:hint="eastAsia" w:ascii="宋体" w:hAnsi="宋体" w:cs="宋体"/>
                <w:bCs/>
                <w:sz w:val="24"/>
              </w:rPr>
              <w:t>办公评审地址示意图（提供地图截图）</w:t>
            </w:r>
            <w:bookmarkEnd w:id="243"/>
          </w:p>
        </w:tc>
      </w:tr>
    </w:tbl>
    <w:p w14:paraId="2D22D032">
      <w:pPr>
        <w:widowControl/>
        <w:spacing w:line="500" w:lineRule="atLeast"/>
        <w:rPr>
          <w:rFonts w:ascii="仿宋" w:hAnsi="仿宋" w:eastAsia="仿宋" w:cs="宋体"/>
          <w:b/>
          <w:kern w:val="0"/>
          <w:sz w:val="24"/>
          <w:szCs w:val="32"/>
        </w:rPr>
      </w:pPr>
    </w:p>
    <w:p w14:paraId="1743B813">
      <w:pPr>
        <w:widowControl/>
        <w:spacing w:line="500" w:lineRule="atLeast"/>
        <w:rPr>
          <w:rFonts w:ascii="仿宋" w:hAnsi="仿宋" w:eastAsia="仿宋" w:cs="宋体"/>
          <w:b/>
          <w:kern w:val="0"/>
          <w:sz w:val="24"/>
          <w:szCs w:val="32"/>
        </w:rPr>
      </w:pPr>
    </w:p>
    <w:p w14:paraId="5C423BB2">
      <w:pPr>
        <w:widowControl/>
        <w:spacing w:line="500" w:lineRule="atLeast"/>
        <w:rPr>
          <w:rFonts w:ascii="仿宋" w:hAnsi="仿宋" w:eastAsia="仿宋" w:cs="宋体"/>
          <w:b/>
          <w:kern w:val="0"/>
          <w:sz w:val="24"/>
          <w:szCs w:val="32"/>
        </w:rPr>
      </w:pPr>
    </w:p>
    <w:p w14:paraId="0E44189D">
      <w:pPr>
        <w:widowControl/>
        <w:spacing w:line="500" w:lineRule="atLeast"/>
        <w:jc w:val="both"/>
        <w:rPr>
          <w:rFonts w:hint="eastAsia" w:cs="宋体" w:asciiTheme="minorEastAsia" w:hAnsiTheme="minorEastAsia" w:eastAsiaTheme="minorEastAsia"/>
          <w:b/>
          <w:color w:val="0000FF"/>
          <w:kern w:val="0"/>
          <w:sz w:val="24"/>
          <w:szCs w:val="32"/>
          <w:lang w:val="zh-CN"/>
        </w:rPr>
      </w:pPr>
      <w:r>
        <w:rPr>
          <w:rFonts w:asciiTheme="minorEastAsia" w:hAnsiTheme="minorEastAsia" w:eastAsiaTheme="minorEastAsia"/>
          <w:b/>
          <w:color w:val="0000FF"/>
          <w:sz w:val="24"/>
          <w:lang w:val="zh-CN"/>
        </w:rPr>
        <w:t>20</w:t>
      </w:r>
      <w:r>
        <w:rPr>
          <w:rFonts w:hint="eastAsia" w:asciiTheme="minorEastAsia" w:hAnsiTheme="minorEastAsia" w:eastAsiaTheme="minorEastAsia"/>
          <w:b/>
          <w:color w:val="0000FF"/>
          <w:sz w:val="24"/>
          <w:lang w:val="en-US" w:eastAsia="zh-CN"/>
        </w:rPr>
        <w:t>21</w:t>
      </w:r>
      <w:r>
        <w:rPr>
          <w:rFonts w:hint="eastAsia" w:asciiTheme="minorEastAsia" w:hAnsiTheme="minorEastAsia" w:eastAsiaTheme="minorEastAsia"/>
          <w:b/>
          <w:color w:val="0000FF"/>
          <w:sz w:val="24"/>
          <w:lang w:val="zh-CN"/>
        </w:rPr>
        <w:t>年</w:t>
      </w:r>
      <w:r>
        <w:rPr>
          <w:rFonts w:asciiTheme="minorEastAsia" w:hAnsiTheme="minorEastAsia" w:eastAsiaTheme="minorEastAsia"/>
          <w:b/>
          <w:color w:val="0000FF"/>
          <w:sz w:val="24"/>
          <w:lang w:val="zh-CN"/>
        </w:rPr>
        <w:t>1</w:t>
      </w:r>
      <w:r>
        <w:rPr>
          <w:rFonts w:hint="eastAsia" w:asciiTheme="minorEastAsia" w:hAnsiTheme="minorEastAsia" w:eastAsiaTheme="minorEastAsia"/>
          <w:b/>
          <w:color w:val="0000FF"/>
          <w:sz w:val="24"/>
          <w:lang w:val="zh-CN"/>
        </w:rPr>
        <w:t>月</w:t>
      </w:r>
      <w:r>
        <w:rPr>
          <w:rFonts w:asciiTheme="minorEastAsia" w:hAnsiTheme="minorEastAsia" w:eastAsiaTheme="minorEastAsia"/>
          <w:b/>
          <w:color w:val="0000FF"/>
          <w:sz w:val="24"/>
          <w:lang w:val="zh-CN"/>
        </w:rPr>
        <w:t>1</w:t>
      </w:r>
      <w:r>
        <w:rPr>
          <w:rFonts w:hint="eastAsia" w:asciiTheme="minorEastAsia" w:hAnsiTheme="minorEastAsia" w:eastAsiaTheme="minorEastAsia"/>
          <w:b/>
          <w:color w:val="0000FF"/>
          <w:sz w:val="24"/>
          <w:lang w:val="zh-CN"/>
        </w:rPr>
        <w:t>日</w:t>
      </w:r>
      <w:r>
        <w:rPr>
          <w:rFonts w:hint="eastAsia" w:asciiTheme="minorEastAsia" w:hAnsiTheme="minorEastAsia" w:eastAsiaTheme="minorEastAsia"/>
          <w:b/>
          <w:color w:val="0000FF"/>
          <w:sz w:val="24"/>
          <w:lang w:val="en-US" w:eastAsia="zh-CN"/>
        </w:rPr>
        <w:t>至今货物、服务、工程类同类项目业绩清单及证明材料，</w:t>
      </w:r>
      <w:r>
        <w:rPr>
          <w:rFonts w:hint="eastAsia" w:asciiTheme="minorEastAsia" w:hAnsiTheme="minorEastAsia" w:eastAsiaTheme="minorEastAsia"/>
          <w:b/>
          <w:color w:val="0000FF"/>
          <w:sz w:val="24"/>
          <w:highlight w:val="yellow"/>
          <w:lang w:val="en-US" w:eastAsia="zh-CN"/>
        </w:rPr>
        <w:t>格式自拟</w:t>
      </w:r>
      <w:r>
        <w:rPr>
          <w:rFonts w:hint="eastAsia" w:asciiTheme="minorEastAsia" w:hAnsiTheme="minorEastAsia" w:eastAsiaTheme="minorEastAsia"/>
          <w:b/>
          <w:color w:val="0000FF"/>
          <w:sz w:val="24"/>
          <w:lang w:val="zh-CN"/>
        </w:rPr>
        <w:t>（需提供完整的项目委托代理协议复印件或中标通知书，并加盖</w:t>
      </w:r>
      <w:r>
        <w:rPr>
          <w:rFonts w:hint="eastAsia" w:asciiTheme="minorEastAsia" w:hAnsiTheme="minorEastAsia" w:eastAsiaTheme="minorEastAsia"/>
          <w:b/>
          <w:color w:val="0000FF"/>
          <w:sz w:val="24"/>
          <w:lang w:val="en-US" w:eastAsia="zh-CN"/>
        </w:rPr>
        <w:t>单位</w:t>
      </w:r>
      <w:r>
        <w:rPr>
          <w:rFonts w:hint="eastAsia" w:asciiTheme="minorEastAsia" w:hAnsiTheme="minorEastAsia" w:eastAsiaTheme="minorEastAsia"/>
          <w:b/>
          <w:color w:val="0000FF"/>
          <w:sz w:val="24"/>
          <w:lang w:val="zh-CN"/>
        </w:rPr>
        <w:t>公章）</w:t>
      </w:r>
    </w:p>
    <w:p w14:paraId="2F3BC353">
      <w:pPr>
        <w:widowControl/>
        <w:spacing w:line="500" w:lineRule="atLeast"/>
        <w:rPr>
          <w:rFonts w:ascii="仿宋" w:hAnsi="仿宋" w:eastAsia="仿宋" w:cs="宋体"/>
          <w:b/>
          <w:color w:val="0000FF"/>
          <w:kern w:val="0"/>
          <w:sz w:val="24"/>
          <w:szCs w:val="32"/>
        </w:rPr>
      </w:pPr>
    </w:p>
    <w:p w14:paraId="6051EFD1">
      <w:pPr>
        <w:widowControl/>
        <w:spacing w:line="500" w:lineRule="atLeast"/>
        <w:rPr>
          <w:rFonts w:ascii="仿宋" w:hAnsi="仿宋" w:eastAsia="仿宋" w:cs="宋体"/>
          <w:b/>
          <w:kern w:val="0"/>
          <w:sz w:val="24"/>
          <w:szCs w:val="32"/>
        </w:rPr>
      </w:pPr>
    </w:p>
    <w:p w14:paraId="6DCB5C44">
      <w:pPr>
        <w:widowControl/>
        <w:spacing w:line="500" w:lineRule="atLeast"/>
        <w:rPr>
          <w:rFonts w:ascii="仿宋" w:hAnsi="仿宋" w:eastAsia="仿宋" w:cs="宋体"/>
          <w:b/>
          <w:kern w:val="0"/>
          <w:sz w:val="24"/>
          <w:szCs w:val="32"/>
        </w:rPr>
      </w:pPr>
    </w:p>
    <w:p w14:paraId="058EDD91">
      <w:pPr>
        <w:pStyle w:val="28"/>
        <w:tabs>
          <w:tab w:val="left" w:pos="1050"/>
          <w:tab w:val="center" w:pos="4535"/>
        </w:tabs>
        <w:spacing w:line="360" w:lineRule="auto"/>
        <w:jc w:val="both"/>
        <w:outlineLvl w:val="0"/>
        <w:rPr>
          <w:sz w:val="24"/>
        </w:rPr>
      </w:pPr>
      <w:r>
        <w:rPr>
          <w:rFonts w:hint="eastAsia"/>
          <w:b/>
          <w:sz w:val="24"/>
        </w:rPr>
        <w:t>代理机构人员情况（</w:t>
      </w:r>
      <w:r>
        <w:rPr>
          <w:rFonts w:hint="eastAsia"/>
          <w:b/>
          <w:sz w:val="24"/>
          <w:lang w:val="en-US" w:eastAsia="zh-CN"/>
        </w:rPr>
        <w:t>提供相关证明材料，</w:t>
      </w:r>
      <w:r>
        <w:rPr>
          <w:rFonts w:hint="eastAsia"/>
          <w:b/>
          <w:sz w:val="24"/>
        </w:rPr>
        <w:t>加盖单位公章）</w:t>
      </w:r>
      <w:r>
        <w:rPr>
          <w:rFonts w:hint="eastAsia"/>
          <w:b/>
          <w:bCs/>
          <w:sz w:val="24"/>
          <w:szCs w:val="24"/>
          <w:highlight w:val="yellow"/>
          <w:lang w:eastAsia="zh-CN"/>
        </w:rPr>
        <w:t>仅作参考，格式可自拟</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4DCD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53952D3">
            <w:pPr>
              <w:rPr>
                <w:b/>
                <w:sz w:val="24"/>
              </w:rPr>
            </w:pPr>
            <w:r>
              <w:rPr>
                <w:rFonts w:hint="eastAsia"/>
                <w:b/>
                <w:sz w:val="24"/>
              </w:rPr>
              <w:t>姓名</w:t>
            </w:r>
          </w:p>
        </w:tc>
        <w:tc>
          <w:tcPr>
            <w:tcW w:w="2321" w:type="dxa"/>
          </w:tcPr>
          <w:p w14:paraId="0C58EF1A">
            <w:pPr>
              <w:rPr>
                <w:b/>
                <w:sz w:val="24"/>
              </w:rPr>
            </w:pPr>
            <w:r>
              <w:rPr>
                <w:rFonts w:hint="eastAsia"/>
                <w:b/>
                <w:sz w:val="24"/>
              </w:rPr>
              <w:t>职务</w:t>
            </w:r>
          </w:p>
        </w:tc>
        <w:tc>
          <w:tcPr>
            <w:tcW w:w="2322" w:type="dxa"/>
          </w:tcPr>
          <w:p w14:paraId="7B35FB3F">
            <w:pPr>
              <w:rPr>
                <w:b/>
                <w:sz w:val="24"/>
              </w:rPr>
            </w:pPr>
            <w:r>
              <w:rPr>
                <w:rFonts w:hint="eastAsia"/>
                <w:b/>
                <w:sz w:val="24"/>
              </w:rPr>
              <w:t>职称</w:t>
            </w:r>
          </w:p>
        </w:tc>
        <w:tc>
          <w:tcPr>
            <w:tcW w:w="2322" w:type="dxa"/>
          </w:tcPr>
          <w:p w14:paraId="5D2F69DE">
            <w:pPr>
              <w:rPr>
                <w:b/>
                <w:sz w:val="24"/>
              </w:rPr>
            </w:pPr>
            <w:r>
              <w:rPr>
                <w:rFonts w:hint="eastAsia"/>
                <w:b/>
                <w:sz w:val="24"/>
              </w:rPr>
              <w:t>证书</w:t>
            </w:r>
          </w:p>
        </w:tc>
      </w:tr>
      <w:tr w14:paraId="3E02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D98AAED">
            <w:pPr>
              <w:rPr>
                <w:b/>
                <w:sz w:val="24"/>
              </w:rPr>
            </w:pPr>
          </w:p>
        </w:tc>
        <w:tc>
          <w:tcPr>
            <w:tcW w:w="2321" w:type="dxa"/>
          </w:tcPr>
          <w:p w14:paraId="6936302E">
            <w:pPr>
              <w:rPr>
                <w:b/>
                <w:sz w:val="24"/>
              </w:rPr>
            </w:pPr>
          </w:p>
        </w:tc>
        <w:tc>
          <w:tcPr>
            <w:tcW w:w="2322" w:type="dxa"/>
          </w:tcPr>
          <w:p w14:paraId="766BC213">
            <w:pPr>
              <w:rPr>
                <w:b/>
                <w:sz w:val="24"/>
              </w:rPr>
            </w:pPr>
          </w:p>
        </w:tc>
        <w:tc>
          <w:tcPr>
            <w:tcW w:w="2322" w:type="dxa"/>
          </w:tcPr>
          <w:p w14:paraId="61CB2B38">
            <w:pPr>
              <w:rPr>
                <w:b/>
                <w:sz w:val="24"/>
              </w:rPr>
            </w:pPr>
          </w:p>
        </w:tc>
      </w:tr>
      <w:tr w14:paraId="36DD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737E13B">
            <w:pPr>
              <w:rPr>
                <w:b/>
                <w:sz w:val="24"/>
              </w:rPr>
            </w:pPr>
          </w:p>
        </w:tc>
        <w:tc>
          <w:tcPr>
            <w:tcW w:w="2321" w:type="dxa"/>
          </w:tcPr>
          <w:p w14:paraId="45E50B0C">
            <w:pPr>
              <w:rPr>
                <w:b/>
                <w:sz w:val="24"/>
              </w:rPr>
            </w:pPr>
          </w:p>
        </w:tc>
        <w:tc>
          <w:tcPr>
            <w:tcW w:w="2322" w:type="dxa"/>
          </w:tcPr>
          <w:p w14:paraId="6D16CEA7">
            <w:pPr>
              <w:rPr>
                <w:b/>
                <w:sz w:val="24"/>
              </w:rPr>
            </w:pPr>
          </w:p>
        </w:tc>
        <w:tc>
          <w:tcPr>
            <w:tcW w:w="2322" w:type="dxa"/>
          </w:tcPr>
          <w:p w14:paraId="16CB6E0F">
            <w:pPr>
              <w:rPr>
                <w:b/>
                <w:sz w:val="24"/>
              </w:rPr>
            </w:pPr>
          </w:p>
        </w:tc>
      </w:tr>
      <w:tr w14:paraId="54AD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36109398">
            <w:pPr>
              <w:rPr>
                <w:b/>
                <w:sz w:val="24"/>
              </w:rPr>
            </w:pPr>
            <w:r>
              <w:rPr>
                <w:b/>
                <w:sz w:val="24"/>
              </w:rPr>
              <w:t>…</w:t>
            </w:r>
            <w:r>
              <w:rPr>
                <w:rFonts w:hint="eastAsia"/>
                <w:b/>
                <w:sz w:val="24"/>
              </w:rPr>
              <w:t>.</w:t>
            </w:r>
          </w:p>
        </w:tc>
        <w:tc>
          <w:tcPr>
            <w:tcW w:w="2321" w:type="dxa"/>
          </w:tcPr>
          <w:p w14:paraId="44AB6F18">
            <w:pPr>
              <w:rPr>
                <w:b/>
                <w:sz w:val="24"/>
              </w:rPr>
            </w:pPr>
          </w:p>
        </w:tc>
        <w:tc>
          <w:tcPr>
            <w:tcW w:w="2322" w:type="dxa"/>
          </w:tcPr>
          <w:p w14:paraId="64D0B8C0">
            <w:pPr>
              <w:rPr>
                <w:b/>
                <w:sz w:val="24"/>
              </w:rPr>
            </w:pPr>
          </w:p>
        </w:tc>
        <w:tc>
          <w:tcPr>
            <w:tcW w:w="2322" w:type="dxa"/>
          </w:tcPr>
          <w:p w14:paraId="02DAA34D">
            <w:pPr>
              <w:rPr>
                <w:b/>
                <w:sz w:val="24"/>
              </w:rPr>
            </w:pPr>
          </w:p>
        </w:tc>
      </w:tr>
    </w:tbl>
    <w:p w14:paraId="57E19E0D">
      <w:pPr>
        <w:rPr>
          <w:b/>
        </w:rPr>
      </w:pPr>
    </w:p>
    <w:p w14:paraId="354F576A">
      <w:pPr>
        <w:widowControl/>
        <w:spacing w:line="500" w:lineRule="atLeast"/>
        <w:rPr>
          <w:rFonts w:ascii="仿宋" w:hAnsi="仿宋" w:eastAsia="仿宋" w:cs="宋体"/>
          <w:b/>
          <w:kern w:val="0"/>
          <w:sz w:val="24"/>
          <w:szCs w:val="32"/>
        </w:rPr>
      </w:pPr>
    </w:p>
    <w:p w14:paraId="6D67FF21">
      <w:pPr>
        <w:widowControl/>
        <w:spacing w:line="500" w:lineRule="atLeast"/>
        <w:rPr>
          <w:rFonts w:ascii="仿宋" w:hAnsi="仿宋" w:eastAsia="仿宋" w:cs="宋体"/>
          <w:b/>
          <w:kern w:val="0"/>
          <w:sz w:val="24"/>
          <w:szCs w:val="32"/>
        </w:rPr>
      </w:pPr>
    </w:p>
    <w:p w14:paraId="59D1C737">
      <w:pPr>
        <w:rPr>
          <w:b/>
          <w:sz w:val="24"/>
        </w:rPr>
      </w:pPr>
      <w:r>
        <w:rPr>
          <w:rFonts w:hint="eastAsia"/>
          <w:b/>
          <w:sz w:val="24"/>
        </w:rPr>
        <w:t>公司实力、行业内获奖情况（加盖单位公章）（格式自拟）</w:t>
      </w:r>
    </w:p>
    <w:p w14:paraId="7ED2A398">
      <w:pPr>
        <w:widowControl/>
        <w:spacing w:line="500" w:lineRule="atLeast"/>
        <w:rPr>
          <w:rFonts w:ascii="仿宋" w:hAnsi="仿宋" w:eastAsia="仿宋" w:cs="宋体"/>
          <w:b/>
          <w:kern w:val="0"/>
          <w:sz w:val="24"/>
          <w:szCs w:val="32"/>
        </w:rPr>
      </w:pPr>
    </w:p>
    <w:p w14:paraId="6CCC5EB0">
      <w:pPr>
        <w:widowControl/>
        <w:spacing w:line="500" w:lineRule="atLeast"/>
        <w:rPr>
          <w:rFonts w:ascii="仿宋" w:hAnsi="仿宋" w:eastAsia="仿宋" w:cs="宋体"/>
          <w:b/>
          <w:kern w:val="0"/>
          <w:sz w:val="24"/>
          <w:szCs w:val="32"/>
        </w:rPr>
      </w:pPr>
    </w:p>
    <w:p w14:paraId="6610794A">
      <w:pPr>
        <w:widowControl/>
        <w:spacing w:line="500" w:lineRule="atLeast"/>
        <w:rPr>
          <w:rFonts w:ascii="仿宋" w:hAnsi="仿宋" w:eastAsia="仿宋" w:cs="宋体"/>
          <w:b/>
          <w:kern w:val="0"/>
          <w:sz w:val="24"/>
          <w:szCs w:val="32"/>
        </w:rPr>
      </w:pPr>
    </w:p>
    <w:p w14:paraId="41261DC7">
      <w:pPr>
        <w:widowControl/>
        <w:spacing w:line="500" w:lineRule="atLeast"/>
        <w:rPr>
          <w:rFonts w:ascii="仿宋" w:hAnsi="仿宋" w:eastAsia="仿宋" w:cs="宋体"/>
          <w:b/>
          <w:kern w:val="0"/>
          <w:sz w:val="24"/>
          <w:szCs w:val="32"/>
        </w:rPr>
      </w:pPr>
    </w:p>
    <w:p w14:paraId="36CA2287">
      <w:pPr>
        <w:widowControl/>
        <w:spacing w:line="500" w:lineRule="atLeast"/>
        <w:rPr>
          <w:rFonts w:ascii="仿宋" w:hAnsi="仿宋" w:eastAsia="仿宋" w:cs="宋体"/>
          <w:b/>
          <w:kern w:val="0"/>
          <w:sz w:val="24"/>
          <w:szCs w:val="32"/>
        </w:rPr>
      </w:pPr>
    </w:p>
    <w:p w14:paraId="3CD46973">
      <w:pPr>
        <w:rPr>
          <w:b/>
          <w:sz w:val="24"/>
        </w:rPr>
      </w:pPr>
      <w:r>
        <w:rPr>
          <w:rFonts w:hint="eastAsia"/>
          <w:b/>
          <w:sz w:val="24"/>
        </w:rPr>
        <w:t>服务方案（根据用户需求书等内容拟定，格式自拟，加盖单位公章）</w:t>
      </w:r>
    </w:p>
    <w:p w14:paraId="1FB227A1">
      <w:pPr>
        <w:rPr>
          <w:rFonts w:ascii="仿宋" w:hAnsi="仿宋" w:eastAsia="仿宋" w:cs="宋体"/>
          <w:b/>
          <w:kern w:val="0"/>
          <w:sz w:val="24"/>
          <w:szCs w:val="32"/>
        </w:rPr>
      </w:pPr>
    </w:p>
    <w:p w14:paraId="2453470E">
      <w:pPr>
        <w:rPr>
          <w:rFonts w:ascii="仿宋" w:hAnsi="仿宋" w:eastAsia="仿宋" w:cs="宋体"/>
          <w:b/>
          <w:kern w:val="0"/>
          <w:sz w:val="24"/>
          <w:szCs w:val="32"/>
        </w:rPr>
      </w:pPr>
    </w:p>
    <w:p w14:paraId="6F421447">
      <w:pPr>
        <w:rPr>
          <w:rFonts w:ascii="宋体" w:hAnsi="宋体"/>
          <w:b/>
          <w:sz w:val="24"/>
        </w:rPr>
      </w:pPr>
      <w:r>
        <w:rPr>
          <w:rFonts w:hint="eastAsia" w:ascii="宋体" w:hAnsi="宋体"/>
          <w:b/>
          <w:sz w:val="24"/>
        </w:rPr>
        <w:t>服务团队</w:t>
      </w:r>
    </w:p>
    <w:tbl>
      <w:tblPr>
        <w:tblStyle w:val="1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237"/>
        <w:gridCol w:w="2237"/>
        <w:gridCol w:w="2404"/>
      </w:tblGrid>
      <w:tr w14:paraId="37A8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14:paraId="323D87CA">
            <w:pPr>
              <w:rPr>
                <w:rFonts w:ascii="宋体" w:hAnsi="宋体"/>
                <w:b/>
                <w:sz w:val="24"/>
              </w:rPr>
            </w:pPr>
            <w:r>
              <w:rPr>
                <w:rFonts w:hint="eastAsia" w:ascii="宋体" w:hAnsi="宋体"/>
                <w:b/>
                <w:sz w:val="24"/>
              </w:rPr>
              <w:t>姓名</w:t>
            </w:r>
          </w:p>
        </w:tc>
        <w:tc>
          <w:tcPr>
            <w:tcW w:w="2237" w:type="dxa"/>
          </w:tcPr>
          <w:p w14:paraId="1CA41B7C">
            <w:pPr>
              <w:rPr>
                <w:rFonts w:ascii="宋体" w:hAnsi="宋体"/>
                <w:b/>
                <w:sz w:val="24"/>
              </w:rPr>
            </w:pPr>
            <w:r>
              <w:rPr>
                <w:rFonts w:hint="eastAsia" w:ascii="宋体" w:hAnsi="宋体"/>
                <w:b/>
                <w:sz w:val="24"/>
              </w:rPr>
              <w:t>职务</w:t>
            </w:r>
          </w:p>
        </w:tc>
        <w:tc>
          <w:tcPr>
            <w:tcW w:w="2237" w:type="dxa"/>
          </w:tcPr>
          <w:p w14:paraId="36C32772">
            <w:pPr>
              <w:rPr>
                <w:rFonts w:ascii="宋体" w:hAnsi="宋体"/>
                <w:b/>
                <w:sz w:val="24"/>
              </w:rPr>
            </w:pPr>
            <w:r>
              <w:rPr>
                <w:rFonts w:hint="eastAsia" w:ascii="宋体" w:hAnsi="宋体"/>
                <w:b/>
                <w:sz w:val="24"/>
              </w:rPr>
              <w:t>联系方式</w:t>
            </w:r>
          </w:p>
        </w:tc>
        <w:tc>
          <w:tcPr>
            <w:tcW w:w="2404" w:type="dxa"/>
          </w:tcPr>
          <w:p w14:paraId="48817FD7">
            <w:pPr>
              <w:rPr>
                <w:rFonts w:ascii="宋体" w:hAnsi="宋体"/>
                <w:b/>
                <w:sz w:val="24"/>
              </w:rPr>
            </w:pPr>
            <w:r>
              <w:rPr>
                <w:rFonts w:hint="eastAsia" w:ascii="宋体" w:hAnsi="宋体"/>
                <w:b/>
                <w:sz w:val="24"/>
              </w:rPr>
              <w:t>备注</w:t>
            </w:r>
          </w:p>
        </w:tc>
      </w:tr>
      <w:tr w14:paraId="5B19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14:paraId="7A9F3E19">
            <w:pPr>
              <w:rPr>
                <w:rFonts w:ascii="宋体" w:hAnsi="宋体"/>
                <w:b/>
                <w:sz w:val="24"/>
              </w:rPr>
            </w:pPr>
          </w:p>
        </w:tc>
        <w:tc>
          <w:tcPr>
            <w:tcW w:w="2237" w:type="dxa"/>
          </w:tcPr>
          <w:p w14:paraId="155C4DB6">
            <w:pPr>
              <w:rPr>
                <w:rFonts w:ascii="宋体" w:hAnsi="宋体"/>
                <w:b/>
                <w:sz w:val="24"/>
              </w:rPr>
            </w:pPr>
          </w:p>
        </w:tc>
        <w:tc>
          <w:tcPr>
            <w:tcW w:w="2237" w:type="dxa"/>
          </w:tcPr>
          <w:p w14:paraId="0B745CC0">
            <w:pPr>
              <w:rPr>
                <w:rFonts w:ascii="宋体" w:hAnsi="宋体"/>
                <w:b/>
                <w:sz w:val="24"/>
              </w:rPr>
            </w:pPr>
          </w:p>
        </w:tc>
        <w:tc>
          <w:tcPr>
            <w:tcW w:w="2404" w:type="dxa"/>
          </w:tcPr>
          <w:p w14:paraId="46DEB742">
            <w:pPr>
              <w:rPr>
                <w:rFonts w:ascii="宋体" w:hAnsi="宋体"/>
                <w:b/>
                <w:sz w:val="24"/>
              </w:rPr>
            </w:pPr>
          </w:p>
        </w:tc>
      </w:tr>
      <w:tr w14:paraId="43AE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87" w:type="dxa"/>
            <w:textDirection w:val="btLr"/>
          </w:tcPr>
          <w:p w14:paraId="6BA5C304">
            <w:pPr>
              <w:ind w:left="113" w:right="113"/>
              <w:rPr>
                <w:rFonts w:ascii="宋体" w:hAnsi="宋体"/>
                <w:b/>
                <w:sz w:val="24"/>
              </w:rPr>
            </w:pPr>
            <w:r>
              <w:rPr>
                <w:rFonts w:hint="eastAsia" w:ascii="宋体" w:hAnsi="宋体"/>
                <w:b/>
                <w:sz w:val="24"/>
              </w:rPr>
              <w:t>…</w:t>
            </w:r>
          </w:p>
        </w:tc>
        <w:tc>
          <w:tcPr>
            <w:tcW w:w="2237" w:type="dxa"/>
          </w:tcPr>
          <w:p w14:paraId="74CC2B9C">
            <w:pPr>
              <w:rPr>
                <w:rFonts w:ascii="宋体" w:hAnsi="宋体"/>
                <w:b/>
                <w:sz w:val="24"/>
              </w:rPr>
            </w:pPr>
          </w:p>
        </w:tc>
        <w:tc>
          <w:tcPr>
            <w:tcW w:w="2237" w:type="dxa"/>
          </w:tcPr>
          <w:p w14:paraId="2011A49B">
            <w:pPr>
              <w:rPr>
                <w:rFonts w:ascii="宋体" w:hAnsi="宋体"/>
                <w:b/>
                <w:sz w:val="24"/>
              </w:rPr>
            </w:pPr>
          </w:p>
        </w:tc>
        <w:tc>
          <w:tcPr>
            <w:tcW w:w="2404" w:type="dxa"/>
          </w:tcPr>
          <w:p w14:paraId="2A8D37B4">
            <w:pPr>
              <w:rPr>
                <w:rFonts w:ascii="宋体" w:hAnsi="宋体"/>
                <w:b/>
                <w:sz w:val="24"/>
              </w:rPr>
            </w:pPr>
          </w:p>
        </w:tc>
      </w:tr>
    </w:tbl>
    <w:p w14:paraId="46A60F61">
      <w:pPr>
        <w:rPr>
          <w:rFonts w:ascii="仿宋" w:hAnsi="仿宋" w:eastAsia="仿宋"/>
          <w:b/>
          <w:sz w:val="28"/>
          <w:szCs w:val="28"/>
        </w:rPr>
      </w:pPr>
    </w:p>
    <w:p w14:paraId="046EF71E">
      <w:pPr>
        <w:rPr>
          <w:rFonts w:asciiTheme="minorEastAsia" w:hAnsiTheme="minorEastAsia" w:eastAsiaTheme="minorEastAsia"/>
          <w:b/>
          <w:sz w:val="24"/>
        </w:rPr>
      </w:pPr>
      <w:r>
        <w:rPr>
          <w:rFonts w:hint="eastAsia" w:asciiTheme="minorEastAsia" w:hAnsiTheme="minorEastAsia" w:eastAsiaTheme="minorEastAsia"/>
          <w:b/>
          <w:sz w:val="24"/>
        </w:rPr>
        <w:t>培训团队</w:t>
      </w:r>
    </w:p>
    <w:tbl>
      <w:tblPr>
        <w:tblStyle w:val="1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237"/>
        <w:gridCol w:w="2237"/>
        <w:gridCol w:w="2404"/>
      </w:tblGrid>
      <w:tr w14:paraId="7B85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14:paraId="085C774B">
            <w:pPr>
              <w:rPr>
                <w:rFonts w:ascii="宋体" w:hAnsi="宋体"/>
                <w:b/>
                <w:sz w:val="24"/>
              </w:rPr>
            </w:pPr>
            <w:r>
              <w:rPr>
                <w:rFonts w:hint="eastAsia" w:ascii="宋体" w:hAnsi="宋体"/>
                <w:b/>
                <w:sz w:val="24"/>
              </w:rPr>
              <w:t>讲师</w:t>
            </w:r>
          </w:p>
        </w:tc>
        <w:tc>
          <w:tcPr>
            <w:tcW w:w="2237" w:type="dxa"/>
          </w:tcPr>
          <w:p w14:paraId="79CBD5ED">
            <w:pPr>
              <w:rPr>
                <w:rFonts w:ascii="宋体" w:hAnsi="宋体"/>
                <w:b/>
                <w:sz w:val="24"/>
              </w:rPr>
            </w:pPr>
            <w:r>
              <w:rPr>
                <w:rFonts w:hint="eastAsia" w:ascii="宋体" w:hAnsi="宋体"/>
                <w:b/>
                <w:sz w:val="24"/>
              </w:rPr>
              <w:t>职务</w:t>
            </w:r>
          </w:p>
        </w:tc>
        <w:tc>
          <w:tcPr>
            <w:tcW w:w="2237" w:type="dxa"/>
          </w:tcPr>
          <w:p w14:paraId="38526163">
            <w:pPr>
              <w:rPr>
                <w:rFonts w:ascii="宋体" w:hAnsi="宋体"/>
                <w:b/>
                <w:sz w:val="24"/>
              </w:rPr>
            </w:pPr>
            <w:r>
              <w:rPr>
                <w:rFonts w:hint="eastAsia" w:ascii="宋体" w:hAnsi="宋体"/>
                <w:b/>
                <w:sz w:val="24"/>
              </w:rPr>
              <w:t>联系方式</w:t>
            </w:r>
          </w:p>
        </w:tc>
        <w:tc>
          <w:tcPr>
            <w:tcW w:w="2404" w:type="dxa"/>
          </w:tcPr>
          <w:p w14:paraId="38F8F0B5">
            <w:pPr>
              <w:rPr>
                <w:rFonts w:ascii="宋体" w:hAnsi="宋体"/>
                <w:b/>
                <w:sz w:val="24"/>
              </w:rPr>
            </w:pPr>
            <w:r>
              <w:rPr>
                <w:rFonts w:hint="eastAsia" w:ascii="宋体" w:hAnsi="宋体"/>
                <w:b/>
                <w:sz w:val="24"/>
              </w:rPr>
              <w:t>备注</w:t>
            </w:r>
          </w:p>
        </w:tc>
      </w:tr>
      <w:tr w14:paraId="1620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14:paraId="2E069145">
            <w:pPr>
              <w:rPr>
                <w:rFonts w:ascii="宋体" w:hAnsi="宋体"/>
                <w:b/>
                <w:sz w:val="24"/>
              </w:rPr>
            </w:pPr>
          </w:p>
        </w:tc>
        <w:tc>
          <w:tcPr>
            <w:tcW w:w="2237" w:type="dxa"/>
          </w:tcPr>
          <w:p w14:paraId="3B65D59B">
            <w:pPr>
              <w:rPr>
                <w:rFonts w:ascii="宋体" w:hAnsi="宋体"/>
                <w:b/>
                <w:sz w:val="24"/>
              </w:rPr>
            </w:pPr>
          </w:p>
        </w:tc>
        <w:tc>
          <w:tcPr>
            <w:tcW w:w="2237" w:type="dxa"/>
          </w:tcPr>
          <w:p w14:paraId="1DEFB237">
            <w:pPr>
              <w:rPr>
                <w:rFonts w:ascii="宋体" w:hAnsi="宋体"/>
                <w:b/>
                <w:sz w:val="24"/>
              </w:rPr>
            </w:pPr>
          </w:p>
        </w:tc>
        <w:tc>
          <w:tcPr>
            <w:tcW w:w="2404" w:type="dxa"/>
          </w:tcPr>
          <w:p w14:paraId="759F6D23">
            <w:pPr>
              <w:rPr>
                <w:rFonts w:ascii="宋体" w:hAnsi="宋体"/>
                <w:b/>
                <w:sz w:val="24"/>
              </w:rPr>
            </w:pPr>
          </w:p>
        </w:tc>
      </w:tr>
      <w:tr w14:paraId="0AEA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87" w:type="dxa"/>
            <w:textDirection w:val="btLr"/>
          </w:tcPr>
          <w:p w14:paraId="37DBBB09">
            <w:pPr>
              <w:ind w:left="113" w:right="113"/>
              <w:rPr>
                <w:rFonts w:ascii="宋体" w:hAnsi="宋体"/>
                <w:b/>
                <w:sz w:val="24"/>
              </w:rPr>
            </w:pPr>
            <w:r>
              <w:rPr>
                <w:rFonts w:hint="eastAsia" w:ascii="宋体" w:hAnsi="宋体"/>
                <w:b/>
                <w:sz w:val="24"/>
              </w:rPr>
              <w:t>…</w:t>
            </w:r>
          </w:p>
        </w:tc>
        <w:tc>
          <w:tcPr>
            <w:tcW w:w="2237" w:type="dxa"/>
          </w:tcPr>
          <w:p w14:paraId="2E68BBD5">
            <w:pPr>
              <w:rPr>
                <w:rFonts w:ascii="宋体" w:hAnsi="宋体"/>
                <w:b/>
                <w:sz w:val="24"/>
              </w:rPr>
            </w:pPr>
          </w:p>
        </w:tc>
        <w:tc>
          <w:tcPr>
            <w:tcW w:w="2237" w:type="dxa"/>
          </w:tcPr>
          <w:p w14:paraId="5F8CAE6A">
            <w:pPr>
              <w:rPr>
                <w:rFonts w:ascii="宋体" w:hAnsi="宋体"/>
                <w:b/>
                <w:sz w:val="24"/>
              </w:rPr>
            </w:pPr>
          </w:p>
        </w:tc>
        <w:tc>
          <w:tcPr>
            <w:tcW w:w="2404" w:type="dxa"/>
          </w:tcPr>
          <w:p w14:paraId="51DCC77F">
            <w:pPr>
              <w:rPr>
                <w:rFonts w:ascii="宋体" w:hAnsi="宋体"/>
                <w:b/>
                <w:sz w:val="24"/>
              </w:rPr>
            </w:pPr>
          </w:p>
        </w:tc>
      </w:tr>
    </w:tbl>
    <w:p w14:paraId="4AF1D3BB">
      <w:pPr>
        <w:widowControl/>
        <w:spacing w:line="500" w:lineRule="atLeast"/>
        <w:rPr>
          <w:rFonts w:ascii="仿宋" w:hAnsi="仿宋" w:eastAsia="仿宋" w:cs="宋体"/>
          <w:b/>
          <w:kern w:val="0"/>
          <w:sz w:val="24"/>
          <w:szCs w:val="32"/>
        </w:rPr>
      </w:pPr>
    </w:p>
    <w:p w14:paraId="52A067EB">
      <w:pPr>
        <w:widowControl/>
        <w:spacing w:line="500" w:lineRule="atLeast"/>
        <w:rPr>
          <w:rFonts w:ascii="仿宋" w:hAnsi="仿宋" w:eastAsia="仿宋" w:cs="宋体"/>
          <w:b/>
          <w:kern w:val="0"/>
          <w:sz w:val="24"/>
          <w:szCs w:val="32"/>
        </w:rPr>
      </w:pPr>
    </w:p>
    <w:p w14:paraId="2D621DCE">
      <w:pPr>
        <w:pStyle w:val="28"/>
        <w:spacing w:line="360" w:lineRule="auto"/>
        <w:jc w:val="center"/>
        <w:outlineLvl w:val="0"/>
        <w:rPr>
          <w:b/>
          <w:bCs/>
          <w:sz w:val="28"/>
          <w:szCs w:val="28"/>
        </w:rPr>
      </w:pPr>
      <w:bookmarkStart w:id="244" w:name="_Toc19005"/>
      <w:bookmarkStart w:id="245" w:name="_Toc14093"/>
      <w:bookmarkStart w:id="246" w:name="_Toc19683"/>
      <w:bookmarkStart w:id="247" w:name="_Toc28314"/>
      <w:bookmarkStart w:id="248" w:name="_Toc17932"/>
      <w:bookmarkStart w:id="249" w:name="_Toc5396"/>
      <w:bookmarkStart w:id="250" w:name="_Toc27834"/>
      <w:bookmarkStart w:id="251" w:name="_Toc1521"/>
      <w:bookmarkStart w:id="252" w:name="_Toc16816"/>
      <w:bookmarkStart w:id="253" w:name="_Toc24705"/>
      <w:bookmarkStart w:id="254" w:name="_Toc47"/>
      <w:bookmarkStart w:id="255" w:name="_Toc19803"/>
      <w:bookmarkStart w:id="256" w:name="_Toc11836"/>
      <w:bookmarkStart w:id="257" w:name="_Toc16193"/>
      <w:bookmarkStart w:id="258" w:name="_Toc2196"/>
      <w:bookmarkStart w:id="259" w:name="_Toc30561"/>
      <w:bookmarkStart w:id="260" w:name="_Toc25012"/>
      <w:bookmarkStart w:id="261" w:name="_Toc24717"/>
      <w:bookmarkStart w:id="262" w:name="_Toc4302"/>
      <w:bookmarkStart w:id="263" w:name="_Toc14321"/>
      <w:r>
        <w:rPr>
          <w:rFonts w:hint="eastAsia"/>
          <w:b/>
          <w:bCs/>
          <w:sz w:val="28"/>
          <w:szCs w:val="28"/>
        </w:rPr>
        <w:t>公平竞争承诺书</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95C4C09">
      <w:pPr>
        <w:pStyle w:val="24"/>
        <w:rPr>
          <w:b/>
          <w:bCs/>
          <w:szCs w:val="21"/>
        </w:rPr>
      </w:pPr>
      <w:r>
        <w:rPr>
          <w:rFonts w:hint="eastAsia"/>
          <w:b/>
          <w:bCs/>
          <w:szCs w:val="21"/>
        </w:rPr>
        <w:t>南方医科大学第五附属医院：</w:t>
      </w:r>
    </w:p>
    <w:p w14:paraId="0EC60C6C">
      <w:pPr>
        <w:pStyle w:val="24"/>
        <w:rPr>
          <w:b/>
          <w:bCs/>
          <w:szCs w:val="21"/>
        </w:rPr>
      </w:pPr>
    </w:p>
    <w:p w14:paraId="1860C06A">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本公司愿接受贵单位邀请，积极参加</w:t>
      </w:r>
      <w:r>
        <w:rPr>
          <w:rFonts w:hint="eastAsia" w:asciiTheme="minorEastAsia" w:hAnsiTheme="minorEastAsia" w:eastAsiaTheme="minorEastAsia" w:cstheme="minorEastAsia"/>
          <w:sz w:val="21"/>
          <w:szCs w:val="21"/>
          <w:u w:val="single"/>
        </w:rPr>
        <w:t>*******项目（项目编号：******）</w:t>
      </w:r>
      <w:r>
        <w:rPr>
          <w:rFonts w:hint="eastAsia" w:asciiTheme="minorEastAsia" w:hAnsiTheme="minorEastAsia" w:eastAsiaTheme="minorEastAsia" w:cstheme="minorEastAsia"/>
          <w:sz w:val="21"/>
          <w:szCs w:val="21"/>
        </w:rPr>
        <w:t xml:space="preserve"> 的采购活动。为杜绝商业贿赂现象，维护良好管理秩序，共同营造公平、公正的竞争环境，我方郑重承诺：</w:t>
      </w:r>
    </w:p>
    <w:p w14:paraId="0F8423F4">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1.遵守贵单位就项目采购所制定的所有相关流程及要求，并保证所提交《响应文件》中相关资料与描述真实有效。  </w:t>
      </w:r>
    </w:p>
    <w:p w14:paraId="128313D7">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2.坚持投标独立性，保证不以任何手段了解或意图了解其他参与人情况及其信息。  </w:t>
      </w:r>
    </w:p>
    <w:p w14:paraId="30447B3F">
      <w:pPr>
        <w:pStyle w:val="4"/>
        <w:spacing w:line="360" w:lineRule="auto"/>
        <w:ind w:firstLineChars="200"/>
        <w:outlineLvl w:val="2"/>
        <w:rPr>
          <w:rFonts w:hint="eastAsia" w:asciiTheme="minorEastAsia" w:hAnsiTheme="minorEastAsia" w:eastAsiaTheme="minorEastAsia" w:cstheme="minorEastAsia"/>
          <w:sz w:val="21"/>
          <w:szCs w:val="21"/>
        </w:rPr>
      </w:pPr>
      <w:bookmarkStart w:id="264" w:name="_Toc13586"/>
      <w:r>
        <w:rPr>
          <w:rFonts w:hint="eastAsia" w:asciiTheme="minorEastAsia" w:hAnsiTheme="minorEastAsia" w:eastAsiaTheme="minorEastAsia" w:cstheme="minorEastAsia"/>
          <w:sz w:val="21"/>
          <w:szCs w:val="21"/>
        </w:rPr>
        <w:t>3.保证不私下接触贵单位负责采购组织工作的人员及相关领导。 </w:t>
      </w:r>
      <w:bookmarkEnd w:id="264"/>
    </w:p>
    <w:p w14:paraId="664E0265">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4.保证不对贵单位负责采购组织工作的人员及相关领导进行宴请、招待，或赠送及承诺赠送礼金、礼品、礼券、其他利益。  </w:t>
      </w:r>
    </w:p>
    <w:p w14:paraId="5CE882E1">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5.除贵院公开渠道获取相关信息外，保证不以其它方式刺探或意图刺探贵司采购信息及其进展。  </w:t>
      </w:r>
    </w:p>
    <w:p w14:paraId="40905479">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6.保证采取内部约束措施，禁止具体经办人或其他相关人员私自实施前述各项禁止性行为，并对其违规后果承担连带责任。  </w:t>
      </w:r>
    </w:p>
    <w:p w14:paraId="69813FDE">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7.保证所提交的相关资质文件和证明材料的真实性，有良好的历史诚信记录，并将依法参与项目的公平竞争，不以任何不正当行为谋取不当利益，否则愿意承担相应的法律责任。</w:t>
      </w:r>
    </w:p>
    <w:p w14:paraId="66130504">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8.如出现违反上述各项承诺情况，自愿接受贵院取消资格等处罚措施，并对贵院因此所受损失进行全额赔偿。  </w:t>
      </w:r>
    </w:p>
    <w:p w14:paraId="4AECF901">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9.如贵院负责招投标组织工作的人员及相关领导，明示或暗示要求宴请、招待，或索取礼金、礼品、礼券、其他利益，或故意刁难、显失公平的，保证立即向贵院监察部门进行举报。  </w:t>
      </w:r>
    </w:p>
    <w:p w14:paraId="5DC7BA6D">
      <w:pPr>
        <w:pStyle w:val="4"/>
        <w:spacing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特此承诺。                                     </w:t>
      </w:r>
    </w:p>
    <w:p w14:paraId="57BBCE94">
      <w:pPr>
        <w:pStyle w:val="24"/>
        <w:rPr>
          <w:rFonts w:hint="eastAsia" w:asciiTheme="minorEastAsia" w:hAnsiTheme="minorEastAsia" w:eastAsiaTheme="minorEastAsia" w:cstheme="minorEastAsia"/>
          <w:sz w:val="21"/>
          <w:szCs w:val="21"/>
        </w:rPr>
      </w:pPr>
    </w:p>
    <w:p w14:paraId="7CBBCA52">
      <w:pPr>
        <w:pStyle w:val="2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公司</w:t>
      </w:r>
      <w:r>
        <w:rPr>
          <w:rFonts w:hint="eastAsia" w:asciiTheme="minorEastAsia" w:hAnsiTheme="minorEastAsia" w:eastAsiaTheme="minorEastAsia" w:cstheme="minorEastAsia"/>
          <w:sz w:val="21"/>
          <w:szCs w:val="21"/>
        </w:rPr>
        <w:t xml:space="preserve">名称（盖章）： </w:t>
      </w:r>
    </w:p>
    <w:p w14:paraId="212FFBD0">
      <w:pPr>
        <w:pStyle w:val="24"/>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0B4D4B2E">
      <w:pPr>
        <w:pStyle w:val="24"/>
        <w:spacing w:line="360" w:lineRule="auto"/>
        <w:ind w:firstLine="1470" w:firstLineChars="7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公司</w:t>
      </w:r>
      <w:r>
        <w:rPr>
          <w:rFonts w:hint="eastAsia" w:asciiTheme="minorEastAsia" w:hAnsiTheme="minorEastAsia" w:eastAsiaTheme="minorEastAsia" w:cstheme="minorEastAsia"/>
          <w:sz w:val="21"/>
          <w:szCs w:val="21"/>
        </w:rPr>
        <w:t>法定代表人（或法定代表人授权代表）（签字或盖章）：</w:t>
      </w:r>
    </w:p>
    <w:p w14:paraId="520B5B3E">
      <w:pPr>
        <w:pStyle w:val="2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10ADB4FA">
      <w:pPr>
        <w:pStyle w:val="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 期：     年    月    日</w:t>
      </w:r>
    </w:p>
    <w:p w14:paraId="69A3F885">
      <w:pPr>
        <w:pStyle w:val="24"/>
        <w:rPr>
          <w:sz w:val="24"/>
        </w:rPr>
      </w:pPr>
    </w:p>
    <w:p w14:paraId="2672FAC9">
      <w:pPr>
        <w:pStyle w:val="24"/>
        <w:rPr>
          <w:sz w:val="24"/>
        </w:rPr>
      </w:pPr>
    </w:p>
    <w:p w14:paraId="630F99F7">
      <w:pPr>
        <w:pStyle w:val="24"/>
        <w:rPr>
          <w:sz w:val="24"/>
        </w:rPr>
      </w:pPr>
    </w:p>
    <w:p w14:paraId="1AE0B5B9">
      <w:pPr>
        <w:pStyle w:val="24"/>
        <w:rPr>
          <w:sz w:val="24"/>
        </w:rPr>
      </w:pPr>
    </w:p>
    <w:p w14:paraId="6528956B">
      <w:pPr>
        <w:pStyle w:val="24"/>
        <w:rPr>
          <w:sz w:val="24"/>
        </w:rPr>
      </w:pPr>
    </w:p>
    <w:p w14:paraId="6CEB893A">
      <w:pPr>
        <w:pStyle w:val="24"/>
        <w:rPr>
          <w:sz w:val="24"/>
        </w:rPr>
      </w:pPr>
    </w:p>
    <w:p w14:paraId="25FC13F4">
      <w:pPr>
        <w:pStyle w:val="24"/>
        <w:rPr>
          <w:sz w:val="24"/>
        </w:rPr>
      </w:pPr>
    </w:p>
    <w:p w14:paraId="541A7C1A">
      <w:pPr>
        <w:pStyle w:val="24"/>
        <w:rPr>
          <w:sz w:val="24"/>
        </w:rPr>
      </w:pPr>
    </w:p>
    <w:p w14:paraId="51E8D8D6">
      <w:pPr>
        <w:pStyle w:val="14"/>
        <w:rPr>
          <w:sz w:val="24"/>
        </w:rPr>
      </w:pPr>
    </w:p>
    <w:p w14:paraId="7BB20348">
      <w:pPr>
        <w:pStyle w:val="14"/>
        <w:rPr>
          <w:sz w:val="24"/>
        </w:rPr>
      </w:pPr>
    </w:p>
    <w:p w14:paraId="5634CDD9">
      <w:pPr>
        <w:pStyle w:val="28"/>
        <w:spacing w:line="360" w:lineRule="auto"/>
        <w:jc w:val="center"/>
        <w:outlineLvl w:val="0"/>
        <w:rPr>
          <w:b/>
          <w:bCs/>
          <w:sz w:val="32"/>
          <w:szCs w:val="32"/>
        </w:rPr>
      </w:pPr>
      <w:bookmarkStart w:id="265" w:name="_Toc9813"/>
      <w:bookmarkStart w:id="266" w:name="_Toc12567"/>
      <w:bookmarkStart w:id="267" w:name="_Toc13434"/>
      <w:bookmarkStart w:id="268" w:name="_Toc4538"/>
      <w:bookmarkStart w:id="269" w:name="_Toc9085"/>
      <w:bookmarkStart w:id="270" w:name="_Toc9308"/>
      <w:bookmarkStart w:id="271" w:name="_Toc24997"/>
      <w:bookmarkStart w:id="272" w:name="_Toc22349"/>
      <w:bookmarkStart w:id="273" w:name="_Toc12986"/>
      <w:bookmarkStart w:id="274" w:name="_Toc21366"/>
      <w:bookmarkStart w:id="275" w:name="_Toc5237"/>
      <w:bookmarkStart w:id="276" w:name="_Toc20949"/>
      <w:bookmarkStart w:id="277" w:name="_Toc6773"/>
      <w:bookmarkStart w:id="278" w:name="_Toc9084"/>
      <w:bookmarkStart w:id="279" w:name="_Toc9121"/>
      <w:bookmarkStart w:id="280" w:name="_Toc29986"/>
      <w:r>
        <w:rPr>
          <w:rFonts w:hint="eastAsia"/>
          <w:b/>
          <w:bCs/>
          <w:sz w:val="32"/>
          <w:szCs w:val="32"/>
        </w:rPr>
        <w:t>关于资格和响应文件的声明函</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10E550D">
      <w:pPr>
        <w:spacing w:line="360" w:lineRule="auto"/>
        <w:rPr>
          <w:rFonts w:ascii="宋体" w:hAnsi="宋体"/>
          <w:szCs w:val="21"/>
        </w:rPr>
      </w:pPr>
      <w:r>
        <w:rPr>
          <w:rFonts w:hint="eastAsia" w:ascii="宋体" w:hAnsi="宋体"/>
          <w:szCs w:val="21"/>
        </w:rPr>
        <w:t>致：南方医科大学第五附属医院</w:t>
      </w:r>
    </w:p>
    <w:p w14:paraId="18199913">
      <w:pPr>
        <w:spacing w:line="360" w:lineRule="auto"/>
        <w:ind w:firstLine="420" w:firstLineChars="200"/>
        <w:rPr>
          <w:rFonts w:hint="eastAsia" w:ascii="宋体" w:hAnsi="宋体" w:eastAsia="宋体" w:cs="Times New Roman"/>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w:t>
      </w:r>
      <w:r>
        <w:rPr>
          <w:rFonts w:hint="eastAsia" w:ascii="宋体" w:hAnsi="宋体" w:eastAsia="宋体" w:cs="Times New Roman"/>
          <w:szCs w:val="21"/>
        </w:rPr>
        <w:t>的，并作出如下声明：</w:t>
      </w:r>
    </w:p>
    <w:p w14:paraId="6839EF3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1.我方具有独立承担民事责任的能力；</w:t>
      </w:r>
    </w:p>
    <w:p w14:paraId="7BBFCF8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2.我方具有良好的商业信誉和健全的财务会计制度；</w:t>
      </w:r>
    </w:p>
    <w:p w14:paraId="15E389C5">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3.我方有依法缴纳税收和社会保障资金的良好记录；</w:t>
      </w:r>
    </w:p>
    <w:p w14:paraId="3AC34A02">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4.我方具有履行合同所必需的设备和专业技术能力；</w:t>
      </w:r>
    </w:p>
    <w:p w14:paraId="77A40D01">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5.我方不存在以下情况：以联合体形式参加本项目院内采购活动；</w:t>
      </w:r>
    </w:p>
    <w:p w14:paraId="086EDBFC">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6.我方不存在以下情况：以分包、转包形式参加本项目院内采购活动；</w:t>
      </w:r>
    </w:p>
    <w:p w14:paraId="3A0EE65C">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7.我方在参加政府采购活动前3年内在经营活动中没有重大违法、违规记录；</w:t>
      </w:r>
    </w:p>
    <w:p w14:paraId="3A3C31A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8.我方不存在以下情况：法定代表人或单位负责人为同一人或者存在直接控股、管理关系的不同供应商，不同时参加本采购项目的院内采购活动；</w:t>
      </w:r>
    </w:p>
    <w:p w14:paraId="52EE1B19">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3A40A622">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10.我方为本次磋商所提交的所有证明其合格和资格的文件是真实的和正确的，并愿为其真实性和正确性承担法律责任。</w:t>
      </w:r>
    </w:p>
    <w:p w14:paraId="0BC52944">
      <w:pPr>
        <w:pStyle w:val="6"/>
        <w:rPr>
          <w:szCs w:val="21"/>
        </w:rPr>
      </w:pPr>
    </w:p>
    <w:p w14:paraId="53EE5C15">
      <w:pPr>
        <w:spacing w:line="276" w:lineRule="auto"/>
        <w:rPr>
          <w:rFonts w:ascii="宋体" w:hAnsi="宋体"/>
          <w:szCs w:val="21"/>
        </w:rPr>
      </w:pPr>
    </w:p>
    <w:p w14:paraId="39C6EA83">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3A498266">
      <w:pPr>
        <w:spacing w:line="276" w:lineRule="auto"/>
        <w:rPr>
          <w:rFonts w:ascii="宋体" w:hAnsi="宋体"/>
          <w:szCs w:val="21"/>
        </w:rPr>
      </w:pPr>
      <w:r>
        <w:rPr>
          <w:rFonts w:hint="eastAsia" w:ascii="宋体" w:hAnsi="宋体"/>
          <w:szCs w:val="21"/>
        </w:rPr>
        <w:t>特此声明！</w:t>
      </w:r>
    </w:p>
    <w:p w14:paraId="106C6DFC">
      <w:pPr>
        <w:spacing w:line="276" w:lineRule="auto"/>
        <w:rPr>
          <w:rFonts w:ascii="宋体" w:hAnsi="宋体"/>
          <w:szCs w:val="21"/>
        </w:rPr>
      </w:pPr>
    </w:p>
    <w:p w14:paraId="35B3893C">
      <w:pPr>
        <w:spacing w:line="360" w:lineRule="auto"/>
        <w:rPr>
          <w:rFonts w:ascii="宋体" w:hAnsi="宋体"/>
          <w:szCs w:val="21"/>
        </w:rPr>
      </w:pPr>
    </w:p>
    <w:p w14:paraId="5EB5351E">
      <w:pPr>
        <w:spacing w:line="360" w:lineRule="auto"/>
        <w:jc w:val="left"/>
        <w:rPr>
          <w:rFonts w:ascii="宋体" w:hAnsi="宋体"/>
          <w:szCs w:val="21"/>
        </w:rPr>
      </w:pPr>
      <w:r>
        <w:rPr>
          <w:rFonts w:hint="eastAsia" w:ascii="宋体" w:hAnsi="宋体"/>
          <w:szCs w:val="21"/>
          <w:lang w:val="en-US" w:eastAsia="zh-CN"/>
        </w:rPr>
        <w:t>公司</w:t>
      </w:r>
      <w:r>
        <w:rPr>
          <w:rFonts w:hint="eastAsia" w:ascii="宋体" w:hAnsi="宋体"/>
          <w:szCs w:val="21"/>
        </w:rPr>
        <w:t>名称（盖章）：</w:t>
      </w:r>
    </w:p>
    <w:p w14:paraId="28AE83E9">
      <w:pPr>
        <w:pStyle w:val="25"/>
        <w:jc w:val="left"/>
        <w:rPr>
          <w:szCs w:val="21"/>
        </w:rPr>
      </w:pPr>
    </w:p>
    <w:p w14:paraId="399174B6">
      <w:pPr>
        <w:spacing w:line="360" w:lineRule="auto"/>
        <w:jc w:val="left"/>
        <w:rPr>
          <w:rFonts w:ascii="宋体" w:hAnsi="宋体"/>
          <w:szCs w:val="21"/>
        </w:rPr>
      </w:pPr>
      <w:r>
        <w:rPr>
          <w:rFonts w:hint="eastAsia" w:ascii="宋体" w:hAnsi="宋体"/>
          <w:szCs w:val="21"/>
          <w:lang w:val="en-US" w:eastAsia="zh-CN"/>
        </w:rPr>
        <w:t>公司</w:t>
      </w:r>
      <w:r>
        <w:rPr>
          <w:rFonts w:hint="eastAsia" w:ascii="宋体" w:hAnsi="宋体"/>
          <w:szCs w:val="21"/>
        </w:rPr>
        <w:t>法定代表人（或法定代表人授权代表）（签字或盖章）：</w:t>
      </w:r>
    </w:p>
    <w:p w14:paraId="65E8DE3F">
      <w:pPr>
        <w:pStyle w:val="25"/>
        <w:jc w:val="left"/>
        <w:rPr>
          <w:szCs w:val="21"/>
        </w:rPr>
      </w:pPr>
    </w:p>
    <w:p w14:paraId="76931A90">
      <w:pPr>
        <w:spacing w:line="360" w:lineRule="auto"/>
        <w:jc w:val="left"/>
        <w:rPr>
          <w:rFonts w:ascii="宋体" w:hAnsi="宋体"/>
          <w:szCs w:val="21"/>
        </w:rPr>
      </w:pPr>
      <w:r>
        <w:rPr>
          <w:rFonts w:hint="eastAsia" w:ascii="宋体" w:hAnsi="宋体"/>
          <w:szCs w:val="21"/>
        </w:rPr>
        <w:t>日期：　　年　  月　  日</w:t>
      </w:r>
    </w:p>
    <w:p w14:paraId="4DF4F176">
      <w:pPr>
        <w:pStyle w:val="25"/>
        <w:rPr>
          <w:rFonts w:ascii="宋体" w:hAnsi="宋体"/>
          <w:sz w:val="24"/>
        </w:rPr>
      </w:pPr>
    </w:p>
    <w:p w14:paraId="5CE6B955">
      <w:pPr>
        <w:pStyle w:val="25"/>
        <w:rPr>
          <w:rFonts w:ascii="宋体" w:hAnsi="宋体"/>
          <w:sz w:val="24"/>
        </w:rPr>
      </w:pPr>
    </w:p>
    <w:p w14:paraId="738A3E79">
      <w:pPr>
        <w:pStyle w:val="25"/>
        <w:rPr>
          <w:rFonts w:ascii="宋体" w:hAnsi="宋体"/>
          <w:sz w:val="24"/>
        </w:rPr>
      </w:pPr>
    </w:p>
    <w:p w14:paraId="4C0D9389">
      <w:pPr>
        <w:pStyle w:val="25"/>
        <w:rPr>
          <w:rFonts w:ascii="宋体" w:hAnsi="宋体"/>
          <w:sz w:val="24"/>
        </w:rPr>
      </w:pPr>
    </w:p>
    <w:p w14:paraId="248298B7">
      <w:pPr>
        <w:widowControl/>
        <w:spacing w:line="500" w:lineRule="atLeast"/>
        <w:rPr>
          <w:rFonts w:ascii="仿宋" w:hAnsi="仿宋" w:eastAsia="仿宋" w:cs="宋体"/>
          <w:b/>
          <w:kern w:val="0"/>
          <w:sz w:val="24"/>
          <w:szCs w:val="32"/>
        </w:rPr>
      </w:pPr>
    </w:p>
    <w:p w14:paraId="1E281CF3">
      <w:pPr>
        <w:widowControl/>
        <w:spacing w:line="500" w:lineRule="atLeast"/>
        <w:rPr>
          <w:rFonts w:ascii="仿宋" w:hAnsi="仿宋" w:eastAsia="仿宋" w:cs="宋体"/>
          <w:b/>
          <w:kern w:val="0"/>
          <w:sz w:val="24"/>
          <w:szCs w:val="32"/>
        </w:rPr>
      </w:pPr>
    </w:p>
    <w:p w14:paraId="36476259">
      <w:pPr>
        <w:widowControl/>
        <w:spacing w:line="500" w:lineRule="atLeast"/>
        <w:rPr>
          <w:rFonts w:ascii="仿宋" w:hAnsi="仿宋" w:eastAsia="仿宋" w:cs="宋体"/>
          <w:b/>
          <w:color w:val="FF0000"/>
          <w:kern w:val="0"/>
          <w:sz w:val="24"/>
          <w:szCs w:val="32"/>
        </w:rPr>
      </w:pPr>
    </w:p>
    <w:p w14:paraId="34D4D7AA">
      <w:pPr>
        <w:widowControl/>
        <w:spacing w:line="500" w:lineRule="atLeast"/>
        <w:rPr>
          <w:rFonts w:ascii="仿宋" w:hAnsi="仿宋" w:eastAsia="仿宋" w:cs="宋体"/>
          <w:b/>
          <w:color w:val="FF0000"/>
          <w:kern w:val="0"/>
          <w:sz w:val="24"/>
          <w:szCs w:val="32"/>
        </w:rPr>
      </w:pPr>
    </w:p>
    <w:p w14:paraId="383F5A4A">
      <w:pPr>
        <w:widowControl/>
        <w:spacing w:line="500" w:lineRule="atLeast"/>
        <w:rPr>
          <w:rFonts w:ascii="仿宋" w:hAnsi="仿宋" w:eastAsia="仿宋" w:cs="宋体"/>
          <w:b/>
          <w:color w:val="FF0000"/>
          <w:kern w:val="0"/>
          <w:sz w:val="24"/>
          <w:szCs w:val="32"/>
        </w:rPr>
      </w:pPr>
    </w:p>
    <w:p w14:paraId="1311462D">
      <w:pPr>
        <w:widowControl/>
        <w:spacing w:line="500" w:lineRule="atLeast"/>
        <w:rPr>
          <w:rFonts w:ascii="仿宋" w:hAnsi="仿宋" w:eastAsia="仿宋" w:cs="宋体"/>
          <w:b/>
          <w:color w:val="FF0000"/>
          <w:kern w:val="0"/>
          <w:sz w:val="24"/>
          <w:szCs w:val="32"/>
        </w:rPr>
      </w:pPr>
    </w:p>
    <w:p w14:paraId="34BF5F62">
      <w:pPr>
        <w:widowControl/>
        <w:spacing w:line="500" w:lineRule="atLeast"/>
        <w:rPr>
          <w:rFonts w:ascii="仿宋" w:hAnsi="仿宋" w:eastAsia="仿宋" w:cs="宋体"/>
          <w:b/>
          <w:color w:val="FF0000"/>
          <w:kern w:val="0"/>
          <w:sz w:val="24"/>
          <w:szCs w:val="32"/>
        </w:rPr>
      </w:pPr>
    </w:p>
    <w:p w14:paraId="0DE7573A">
      <w:pPr>
        <w:widowControl/>
        <w:spacing w:line="500" w:lineRule="atLeast"/>
        <w:rPr>
          <w:rFonts w:ascii="仿宋" w:hAnsi="仿宋" w:eastAsia="仿宋" w:cs="宋体"/>
          <w:b/>
          <w:color w:val="FF0000"/>
          <w:kern w:val="0"/>
          <w:sz w:val="24"/>
          <w:szCs w:val="32"/>
        </w:rPr>
      </w:pPr>
    </w:p>
    <w:p w14:paraId="6E5658EB">
      <w:pPr>
        <w:widowControl/>
        <w:spacing w:line="500" w:lineRule="atLeast"/>
        <w:rPr>
          <w:rFonts w:ascii="仿宋" w:hAnsi="仿宋" w:eastAsia="仿宋" w:cs="宋体"/>
          <w:b/>
          <w:color w:val="FF0000"/>
          <w:kern w:val="0"/>
          <w:sz w:val="24"/>
          <w:szCs w:val="32"/>
        </w:rPr>
      </w:pPr>
    </w:p>
    <w:p w14:paraId="4A1B99AB">
      <w:pPr>
        <w:widowControl/>
        <w:spacing w:line="500" w:lineRule="atLeast"/>
        <w:rPr>
          <w:rFonts w:ascii="仿宋" w:hAnsi="仿宋" w:eastAsia="仿宋" w:cs="宋体"/>
          <w:b/>
          <w:color w:val="FF0000"/>
          <w:kern w:val="0"/>
          <w:sz w:val="24"/>
          <w:szCs w:val="32"/>
        </w:rPr>
      </w:pPr>
    </w:p>
    <w:p w14:paraId="3D8EF391">
      <w:pPr>
        <w:widowControl/>
        <w:spacing w:line="500" w:lineRule="atLeast"/>
        <w:rPr>
          <w:rFonts w:ascii="仿宋" w:hAnsi="仿宋" w:eastAsia="仿宋" w:cs="宋体"/>
          <w:b/>
          <w:color w:val="FF0000"/>
          <w:kern w:val="0"/>
          <w:sz w:val="24"/>
          <w:szCs w:val="32"/>
        </w:rPr>
      </w:pPr>
    </w:p>
    <w:p w14:paraId="28852B2F">
      <w:pPr>
        <w:widowControl/>
        <w:spacing w:line="500" w:lineRule="atLeast"/>
        <w:rPr>
          <w:rFonts w:ascii="仿宋" w:hAnsi="仿宋" w:eastAsia="仿宋" w:cs="宋体"/>
          <w:b/>
          <w:color w:val="FF0000"/>
          <w:kern w:val="0"/>
          <w:sz w:val="24"/>
          <w:szCs w:val="32"/>
        </w:rPr>
      </w:pPr>
    </w:p>
    <w:p w14:paraId="26B3A853">
      <w:pPr>
        <w:widowControl/>
        <w:spacing w:line="500" w:lineRule="atLeast"/>
        <w:jc w:val="center"/>
        <w:outlineLvl w:val="0"/>
        <w:rPr>
          <w:rFonts w:ascii="仿宋" w:hAnsi="仿宋" w:eastAsia="仿宋" w:cs="宋体"/>
          <w:b/>
          <w:bCs/>
          <w:color w:val="FF0000"/>
          <w:kern w:val="0"/>
          <w:sz w:val="24"/>
          <w:szCs w:val="32"/>
        </w:rPr>
      </w:pPr>
      <w:bookmarkStart w:id="281" w:name="_Toc17933"/>
      <w:bookmarkStart w:id="282" w:name="_Toc24639"/>
      <w:bookmarkStart w:id="283" w:name="_Toc1675"/>
      <w:bookmarkStart w:id="284" w:name="_Toc26773"/>
      <w:bookmarkStart w:id="285" w:name="_Toc26882"/>
      <w:r>
        <w:rPr>
          <w:rFonts w:hint="eastAsia" w:ascii="宋体" w:hAnsi="宋体" w:eastAsia="宋体"/>
          <w:b/>
          <w:bCs/>
          <w:sz w:val="40"/>
          <w:lang w:eastAsia="zh-CN"/>
        </w:rPr>
        <w:t>第</w:t>
      </w:r>
      <w:r>
        <w:rPr>
          <w:rFonts w:hint="eastAsia" w:ascii="宋体" w:hAnsi="宋体"/>
          <w:b/>
          <w:bCs/>
          <w:sz w:val="40"/>
          <w:lang w:val="en-US" w:eastAsia="zh-CN"/>
        </w:rPr>
        <w:t>六</w:t>
      </w:r>
      <w:r>
        <w:rPr>
          <w:rFonts w:hint="eastAsia" w:ascii="宋体" w:hAnsi="宋体" w:eastAsia="宋体"/>
          <w:b/>
          <w:bCs/>
          <w:sz w:val="40"/>
          <w:lang w:eastAsia="zh-CN"/>
        </w:rPr>
        <w:t>部分</w:t>
      </w:r>
      <w:r>
        <w:rPr>
          <w:rFonts w:hint="eastAsia" w:ascii="宋体" w:hAnsi="宋体" w:eastAsia="宋体"/>
          <w:b/>
          <w:bCs/>
          <w:sz w:val="40"/>
          <w:lang w:val="en-US" w:eastAsia="zh-CN"/>
        </w:rPr>
        <w:t xml:space="preserve"> </w:t>
      </w:r>
      <w:r>
        <w:rPr>
          <w:rFonts w:hint="eastAsia" w:ascii="宋体" w:hAnsi="宋体" w:eastAsia="宋体"/>
          <w:b/>
          <w:bCs/>
          <w:sz w:val="40"/>
        </w:rPr>
        <w:t>合同模板</w:t>
      </w:r>
      <w:bookmarkEnd w:id="281"/>
      <w:r>
        <w:rPr>
          <w:rFonts w:hint="eastAsia" w:ascii="宋体" w:hAnsi="宋体" w:eastAsia="宋体"/>
          <w:b/>
          <w:bCs/>
          <w:sz w:val="40"/>
        </w:rPr>
        <w:t>（报名成功后获得）</w:t>
      </w:r>
      <w:bookmarkEnd w:id="282"/>
      <w:bookmarkEnd w:id="283"/>
      <w:bookmarkEnd w:id="284"/>
      <w:bookmarkEnd w:id="285"/>
    </w:p>
    <w:p w14:paraId="228B36D2">
      <w:pPr>
        <w:widowControl/>
        <w:spacing w:line="500" w:lineRule="atLeast"/>
        <w:rPr>
          <w:rFonts w:ascii="仿宋" w:hAnsi="仿宋" w:eastAsia="仿宋" w:cs="宋体"/>
          <w:b/>
          <w:color w:val="FF0000"/>
          <w:kern w:val="0"/>
          <w:sz w:val="24"/>
          <w:szCs w:val="32"/>
        </w:rPr>
      </w:pPr>
    </w:p>
    <w:p w14:paraId="3C59ADF8">
      <w:pPr>
        <w:widowControl/>
        <w:spacing w:line="500" w:lineRule="atLeast"/>
        <w:rPr>
          <w:rFonts w:ascii="仿宋" w:hAnsi="仿宋" w:eastAsia="仿宋" w:cs="宋体"/>
          <w:b/>
          <w:color w:val="FF0000"/>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E697">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F09B">
    <w:pPr>
      <w:pStyle w:val="11"/>
      <w:framePr w:wrap="around" w:vAnchor="text" w:hAnchor="margin" w:xAlign="center" w:y="1"/>
      <w:rPr>
        <w:rStyle w:val="22"/>
      </w:rPr>
    </w:pPr>
    <w:r>
      <w:fldChar w:fldCharType="begin"/>
    </w:r>
    <w:r>
      <w:rPr>
        <w:rStyle w:val="22"/>
      </w:rPr>
      <w:instrText xml:space="preserve">PAGE  </w:instrText>
    </w:r>
    <w:r>
      <w:fldChar w:fldCharType="end"/>
    </w:r>
  </w:p>
  <w:p w14:paraId="2211667F">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BD0E">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39F8">
    <w:pPr>
      <w:pStyle w:val="11"/>
    </w:pPr>
    <w:bookmarkStart w:id="286" w:name="_GoBack"/>
    <w:bookmarkEnd w:id="286"/>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3E025">
                          <w:pPr>
                            <w:pStyle w:val="1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93E025">
                    <w:pPr>
                      <w:pStyle w:val="1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468D">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7065">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B857">
    <w:pPr>
      <w:pStyle w:val="12"/>
      <w:pBdr>
        <w:top w:val="none" w:color="auto" w:sz="0" w:space="0"/>
        <w:left w:val="none" w:color="auto" w:sz="0" w:space="0"/>
        <w:bottom w:val="none" w:color="auto" w:sz="0" w:space="1"/>
        <w:right w:val="none" w:color="auto" w:sz="0" w:space="0"/>
        <w:between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F564D"/>
    <w:multiLevelType w:val="singleLevel"/>
    <w:tmpl w:val="968F564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14D55"/>
    <w:rsid w:val="000200E0"/>
    <w:rsid w:val="00027970"/>
    <w:rsid w:val="00032B7D"/>
    <w:rsid w:val="00034389"/>
    <w:rsid w:val="00047663"/>
    <w:rsid w:val="000526DB"/>
    <w:rsid w:val="00056B96"/>
    <w:rsid w:val="000600F4"/>
    <w:rsid w:val="000628B5"/>
    <w:rsid w:val="00063329"/>
    <w:rsid w:val="00076B5A"/>
    <w:rsid w:val="000938D7"/>
    <w:rsid w:val="000A154A"/>
    <w:rsid w:val="000D085D"/>
    <w:rsid w:val="000F08B6"/>
    <w:rsid w:val="000F1FC3"/>
    <w:rsid w:val="00103673"/>
    <w:rsid w:val="00104A35"/>
    <w:rsid w:val="001055AB"/>
    <w:rsid w:val="0011606D"/>
    <w:rsid w:val="00141D7B"/>
    <w:rsid w:val="001543B8"/>
    <w:rsid w:val="00155470"/>
    <w:rsid w:val="00161FE0"/>
    <w:rsid w:val="001666C3"/>
    <w:rsid w:val="00175A59"/>
    <w:rsid w:val="00186A21"/>
    <w:rsid w:val="001C2B72"/>
    <w:rsid w:val="001C7626"/>
    <w:rsid w:val="001D4DFE"/>
    <w:rsid w:val="00200C9A"/>
    <w:rsid w:val="00202123"/>
    <w:rsid w:val="00202EE9"/>
    <w:rsid w:val="00205A0A"/>
    <w:rsid w:val="002168D5"/>
    <w:rsid w:val="00226F5B"/>
    <w:rsid w:val="00240F35"/>
    <w:rsid w:val="002447A7"/>
    <w:rsid w:val="002534E2"/>
    <w:rsid w:val="002820D3"/>
    <w:rsid w:val="00285545"/>
    <w:rsid w:val="00295966"/>
    <w:rsid w:val="002A031D"/>
    <w:rsid w:val="002A686F"/>
    <w:rsid w:val="002B0D16"/>
    <w:rsid w:val="002B2CA5"/>
    <w:rsid w:val="002C117A"/>
    <w:rsid w:val="002C1DB1"/>
    <w:rsid w:val="002C1FB7"/>
    <w:rsid w:val="002D6EC4"/>
    <w:rsid w:val="002E4FA6"/>
    <w:rsid w:val="002F0FC4"/>
    <w:rsid w:val="00300886"/>
    <w:rsid w:val="003015F0"/>
    <w:rsid w:val="0031291E"/>
    <w:rsid w:val="00315D80"/>
    <w:rsid w:val="00316FF6"/>
    <w:rsid w:val="00321969"/>
    <w:rsid w:val="00323CBC"/>
    <w:rsid w:val="003315E4"/>
    <w:rsid w:val="003338EF"/>
    <w:rsid w:val="00336CE6"/>
    <w:rsid w:val="0034162C"/>
    <w:rsid w:val="00351892"/>
    <w:rsid w:val="0035677C"/>
    <w:rsid w:val="00366C3F"/>
    <w:rsid w:val="0037362B"/>
    <w:rsid w:val="003864F4"/>
    <w:rsid w:val="0038679E"/>
    <w:rsid w:val="003943B6"/>
    <w:rsid w:val="003A39D2"/>
    <w:rsid w:val="003A45A7"/>
    <w:rsid w:val="003C66AA"/>
    <w:rsid w:val="003C66F3"/>
    <w:rsid w:val="00400FDB"/>
    <w:rsid w:val="00402103"/>
    <w:rsid w:val="00405A8F"/>
    <w:rsid w:val="004131E2"/>
    <w:rsid w:val="004338DF"/>
    <w:rsid w:val="004374B0"/>
    <w:rsid w:val="004418BE"/>
    <w:rsid w:val="00441B24"/>
    <w:rsid w:val="004543EB"/>
    <w:rsid w:val="0049039A"/>
    <w:rsid w:val="004A0F39"/>
    <w:rsid w:val="004A583B"/>
    <w:rsid w:val="004A79C0"/>
    <w:rsid w:val="004E3536"/>
    <w:rsid w:val="004E550E"/>
    <w:rsid w:val="00507CCD"/>
    <w:rsid w:val="005111EF"/>
    <w:rsid w:val="00515B14"/>
    <w:rsid w:val="00541D00"/>
    <w:rsid w:val="00552549"/>
    <w:rsid w:val="005606E4"/>
    <w:rsid w:val="00561155"/>
    <w:rsid w:val="0057674F"/>
    <w:rsid w:val="00580ACD"/>
    <w:rsid w:val="005819C3"/>
    <w:rsid w:val="005B0DB7"/>
    <w:rsid w:val="005B4D51"/>
    <w:rsid w:val="005C3825"/>
    <w:rsid w:val="005E14EC"/>
    <w:rsid w:val="005E3D74"/>
    <w:rsid w:val="005F7C57"/>
    <w:rsid w:val="006063B4"/>
    <w:rsid w:val="006075C4"/>
    <w:rsid w:val="00624C6E"/>
    <w:rsid w:val="0063432E"/>
    <w:rsid w:val="00637719"/>
    <w:rsid w:val="0064590C"/>
    <w:rsid w:val="0065328D"/>
    <w:rsid w:val="006550B6"/>
    <w:rsid w:val="00655EF5"/>
    <w:rsid w:val="006607E1"/>
    <w:rsid w:val="00671F10"/>
    <w:rsid w:val="0068405E"/>
    <w:rsid w:val="00693F38"/>
    <w:rsid w:val="006A1DB3"/>
    <w:rsid w:val="006B2636"/>
    <w:rsid w:val="006C76C2"/>
    <w:rsid w:val="006D4BE0"/>
    <w:rsid w:val="006D7799"/>
    <w:rsid w:val="006E13AB"/>
    <w:rsid w:val="006E6D1D"/>
    <w:rsid w:val="006E7618"/>
    <w:rsid w:val="006F0853"/>
    <w:rsid w:val="006F48C6"/>
    <w:rsid w:val="00700EDE"/>
    <w:rsid w:val="0071055F"/>
    <w:rsid w:val="00720975"/>
    <w:rsid w:val="00720E98"/>
    <w:rsid w:val="007269C8"/>
    <w:rsid w:val="007546D5"/>
    <w:rsid w:val="00754B00"/>
    <w:rsid w:val="0075535A"/>
    <w:rsid w:val="0076103B"/>
    <w:rsid w:val="007626FA"/>
    <w:rsid w:val="00762EDB"/>
    <w:rsid w:val="00766300"/>
    <w:rsid w:val="00766C69"/>
    <w:rsid w:val="00772FFA"/>
    <w:rsid w:val="00777B8A"/>
    <w:rsid w:val="00780E1D"/>
    <w:rsid w:val="00792FF9"/>
    <w:rsid w:val="00797F1D"/>
    <w:rsid w:val="007B0E51"/>
    <w:rsid w:val="007B4C8B"/>
    <w:rsid w:val="007C2A48"/>
    <w:rsid w:val="007D285A"/>
    <w:rsid w:val="007E08D3"/>
    <w:rsid w:val="007E366F"/>
    <w:rsid w:val="007F0CE1"/>
    <w:rsid w:val="007F16CD"/>
    <w:rsid w:val="007F5208"/>
    <w:rsid w:val="007F706A"/>
    <w:rsid w:val="00806BC8"/>
    <w:rsid w:val="00807FA4"/>
    <w:rsid w:val="008318E3"/>
    <w:rsid w:val="00835D2C"/>
    <w:rsid w:val="00844E9D"/>
    <w:rsid w:val="00845F57"/>
    <w:rsid w:val="008514F9"/>
    <w:rsid w:val="00855282"/>
    <w:rsid w:val="00860838"/>
    <w:rsid w:val="00865AD0"/>
    <w:rsid w:val="00866226"/>
    <w:rsid w:val="00867626"/>
    <w:rsid w:val="00874F7B"/>
    <w:rsid w:val="00885A20"/>
    <w:rsid w:val="0089236B"/>
    <w:rsid w:val="00892856"/>
    <w:rsid w:val="00893836"/>
    <w:rsid w:val="008B3CF2"/>
    <w:rsid w:val="008B64B0"/>
    <w:rsid w:val="008C48FF"/>
    <w:rsid w:val="008C7EB7"/>
    <w:rsid w:val="008D1F18"/>
    <w:rsid w:val="008D6BEF"/>
    <w:rsid w:val="008F0099"/>
    <w:rsid w:val="008F2F4C"/>
    <w:rsid w:val="00900651"/>
    <w:rsid w:val="00903607"/>
    <w:rsid w:val="009044C5"/>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7BCD"/>
    <w:rsid w:val="0098240A"/>
    <w:rsid w:val="009B48FA"/>
    <w:rsid w:val="009C3BDE"/>
    <w:rsid w:val="009F0AD9"/>
    <w:rsid w:val="00A14A3E"/>
    <w:rsid w:val="00A22552"/>
    <w:rsid w:val="00A24C20"/>
    <w:rsid w:val="00A2786F"/>
    <w:rsid w:val="00A31984"/>
    <w:rsid w:val="00A329DD"/>
    <w:rsid w:val="00A3716B"/>
    <w:rsid w:val="00A45A4B"/>
    <w:rsid w:val="00A46736"/>
    <w:rsid w:val="00A84113"/>
    <w:rsid w:val="00A90840"/>
    <w:rsid w:val="00A91E52"/>
    <w:rsid w:val="00A957FF"/>
    <w:rsid w:val="00AA0B63"/>
    <w:rsid w:val="00AA0F93"/>
    <w:rsid w:val="00AD0B08"/>
    <w:rsid w:val="00AE06CB"/>
    <w:rsid w:val="00AE3DED"/>
    <w:rsid w:val="00B03B0C"/>
    <w:rsid w:val="00B25662"/>
    <w:rsid w:val="00B363C1"/>
    <w:rsid w:val="00B46C39"/>
    <w:rsid w:val="00B53B5B"/>
    <w:rsid w:val="00B6089E"/>
    <w:rsid w:val="00B84D97"/>
    <w:rsid w:val="00B869B0"/>
    <w:rsid w:val="00B905DF"/>
    <w:rsid w:val="00B91535"/>
    <w:rsid w:val="00BB33AE"/>
    <w:rsid w:val="00BB5AA2"/>
    <w:rsid w:val="00BB6A56"/>
    <w:rsid w:val="00BB7118"/>
    <w:rsid w:val="00BD17A3"/>
    <w:rsid w:val="00BD328B"/>
    <w:rsid w:val="00BD785F"/>
    <w:rsid w:val="00BF34F0"/>
    <w:rsid w:val="00BF538B"/>
    <w:rsid w:val="00BF5CC7"/>
    <w:rsid w:val="00C3357E"/>
    <w:rsid w:val="00C46085"/>
    <w:rsid w:val="00C50A82"/>
    <w:rsid w:val="00C519F6"/>
    <w:rsid w:val="00C75AA1"/>
    <w:rsid w:val="00C77DF3"/>
    <w:rsid w:val="00C903C9"/>
    <w:rsid w:val="00C959AB"/>
    <w:rsid w:val="00C97379"/>
    <w:rsid w:val="00CA49A0"/>
    <w:rsid w:val="00CA61BF"/>
    <w:rsid w:val="00CC69CD"/>
    <w:rsid w:val="00CD3338"/>
    <w:rsid w:val="00CE152B"/>
    <w:rsid w:val="00CE323A"/>
    <w:rsid w:val="00CE59C4"/>
    <w:rsid w:val="00D03389"/>
    <w:rsid w:val="00D0503D"/>
    <w:rsid w:val="00D3384C"/>
    <w:rsid w:val="00D46312"/>
    <w:rsid w:val="00D53055"/>
    <w:rsid w:val="00D60940"/>
    <w:rsid w:val="00D85C23"/>
    <w:rsid w:val="00D9569F"/>
    <w:rsid w:val="00DA7759"/>
    <w:rsid w:val="00DB7EED"/>
    <w:rsid w:val="00DC3792"/>
    <w:rsid w:val="00DD4578"/>
    <w:rsid w:val="00DD58E0"/>
    <w:rsid w:val="00DD65AD"/>
    <w:rsid w:val="00DE428C"/>
    <w:rsid w:val="00DF7EEC"/>
    <w:rsid w:val="00E03214"/>
    <w:rsid w:val="00E0723B"/>
    <w:rsid w:val="00E259D7"/>
    <w:rsid w:val="00E324CF"/>
    <w:rsid w:val="00E40250"/>
    <w:rsid w:val="00E5391F"/>
    <w:rsid w:val="00E54D56"/>
    <w:rsid w:val="00E60048"/>
    <w:rsid w:val="00E64914"/>
    <w:rsid w:val="00E77785"/>
    <w:rsid w:val="00E90128"/>
    <w:rsid w:val="00E9253A"/>
    <w:rsid w:val="00EA537E"/>
    <w:rsid w:val="00EA5E1A"/>
    <w:rsid w:val="00EB0C17"/>
    <w:rsid w:val="00ED55A5"/>
    <w:rsid w:val="00ED685E"/>
    <w:rsid w:val="00EE1A8E"/>
    <w:rsid w:val="00EE5B75"/>
    <w:rsid w:val="00EF2A1D"/>
    <w:rsid w:val="00EF4631"/>
    <w:rsid w:val="00EF5578"/>
    <w:rsid w:val="00F00BD7"/>
    <w:rsid w:val="00F011DD"/>
    <w:rsid w:val="00F031AD"/>
    <w:rsid w:val="00F10487"/>
    <w:rsid w:val="00F172C4"/>
    <w:rsid w:val="00F217FE"/>
    <w:rsid w:val="00F408C7"/>
    <w:rsid w:val="00F45389"/>
    <w:rsid w:val="00F474A5"/>
    <w:rsid w:val="00F532E4"/>
    <w:rsid w:val="00F554C3"/>
    <w:rsid w:val="00F618A1"/>
    <w:rsid w:val="00F671AF"/>
    <w:rsid w:val="00F803F0"/>
    <w:rsid w:val="00F84D52"/>
    <w:rsid w:val="00F90443"/>
    <w:rsid w:val="00F925C0"/>
    <w:rsid w:val="00FB4B5A"/>
    <w:rsid w:val="00FC4A59"/>
    <w:rsid w:val="00FD4ABD"/>
    <w:rsid w:val="00FE09E4"/>
    <w:rsid w:val="00FE3191"/>
    <w:rsid w:val="00FF0A5C"/>
    <w:rsid w:val="016B468D"/>
    <w:rsid w:val="0204241B"/>
    <w:rsid w:val="028F4759"/>
    <w:rsid w:val="02F34145"/>
    <w:rsid w:val="03766311"/>
    <w:rsid w:val="06766083"/>
    <w:rsid w:val="067C2431"/>
    <w:rsid w:val="06D53D90"/>
    <w:rsid w:val="071B55C3"/>
    <w:rsid w:val="075A6438"/>
    <w:rsid w:val="075E248C"/>
    <w:rsid w:val="07717FE4"/>
    <w:rsid w:val="07946FF6"/>
    <w:rsid w:val="08323CDC"/>
    <w:rsid w:val="086B3121"/>
    <w:rsid w:val="08C946BC"/>
    <w:rsid w:val="09DF7CB8"/>
    <w:rsid w:val="0A460D6B"/>
    <w:rsid w:val="0A726737"/>
    <w:rsid w:val="0AAE36E1"/>
    <w:rsid w:val="0AF85589"/>
    <w:rsid w:val="0B3B7059"/>
    <w:rsid w:val="0BA650B0"/>
    <w:rsid w:val="0C21655A"/>
    <w:rsid w:val="0C865B71"/>
    <w:rsid w:val="0C88602A"/>
    <w:rsid w:val="0CEA502E"/>
    <w:rsid w:val="0D070E59"/>
    <w:rsid w:val="0D48095F"/>
    <w:rsid w:val="0D494665"/>
    <w:rsid w:val="0D565967"/>
    <w:rsid w:val="0D6C49AA"/>
    <w:rsid w:val="0E390AF1"/>
    <w:rsid w:val="0EBD7892"/>
    <w:rsid w:val="0F294767"/>
    <w:rsid w:val="100C6724"/>
    <w:rsid w:val="10F93609"/>
    <w:rsid w:val="11B5417B"/>
    <w:rsid w:val="12217FC9"/>
    <w:rsid w:val="12C05196"/>
    <w:rsid w:val="13A07EA8"/>
    <w:rsid w:val="1464712E"/>
    <w:rsid w:val="146742F7"/>
    <w:rsid w:val="148E0F6C"/>
    <w:rsid w:val="15156CCE"/>
    <w:rsid w:val="159837B8"/>
    <w:rsid w:val="160209C0"/>
    <w:rsid w:val="16622EAD"/>
    <w:rsid w:val="16AE4606"/>
    <w:rsid w:val="175437F5"/>
    <w:rsid w:val="18583300"/>
    <w:rsid w:val="19181D74"/>
    <w:rsid w:val="19245736"/>
    <w:rsid w:val="19B02442"/>
    <w:rsid w:val="1A1E1C90"/>
    <w:rsid w:val="1AE64524"/>
    <w:rsid w:val="1BA837CD"/>
    <w:rsid w:val="1BB61E05"/>
    <w:rsid w:val="1C675470"/>
    <w:rsid w:val="1C862732"/>
    <w:rsid w:val="1CC865E3"/>
    <w:rsid w:val="1CFA688A"/>
    <w:rsid w:val="1D73541C"/>
    <w:rsid w:val="1DC73F81"/>
    <w:rsid w:val="1E9B5D9E"/>
    <w:rsid w:val="20883077"/>
    <w:rsid w:val="21614A2B"/>
    <w:rsid w:val="21972FFD"/>
    <w:rsid w:val="21A7260E"/>
    <w:rsid w:val="22FC59E7"/>
    <w:rsid w:val="23050E97"/>
    <w:rsid w:val="23224138"/>
    <w:rsid w:val="2381633C"/>
    <w:rsid w:val="239F090A"/>
    <w:rsid w:val="24005AC8"/>
    <w:rsid w:val="24782FDE"/>
    <w:rsid w:val="248D7E61"/>
    <w:rsid w:val="25036709"/>
    <w:rsid w:val="25592230"/>
    <w:rsid w:val="26565926"/>
    <w:rsid w:val="27B02F95"/>
    <w:rsid w:val="2813078C"/>
    <w:rsid w:val="28716EFA"/>
    <w:rsid w:val="28F05BE9"/>
    <w:rsid w:val="28FA298C"/>
    <w:rsid w:val="292E7041"/>
    <w:rsid w:val="296F2D34"/>
    <w:rsid w:val="29DE75C4"/>
    <w:rsid w:val="29F7222B"/>
    <w:rsid w:val="2A85242B"/>
    <w:rsid w:val="2B694EC9"/>
    <w:rsid w:val="2C2A505E"/>
    <w:rsid w:val="2C351EDD"/>
    <w:rsid w:val="2C7F4488"/>
    <w:rsid w:val="2D085309"/>
    <w:rsid w:val="2D22434F"/>
    <w:rsid w:val="2D247BFB"/>
    <w:rsid w:val="2DBE4A99"/>
    <w:rsid w:val="2DE369F6"/>
    <w:rsid w:val="2E563044"/>
    <w:rsid w:val="2EB65903"/>
    <w:rsid w:val="2F2B6123"/>
    <w:rsid w:val="301F5A1A"/>
    <w:rsid w:val="311970E8"/>
    <w:rsid w:val="31851401"/>
    <w:rsid w:val="3238712B"/>
    <w:rsid w:val="33497717"/>
    <w:rsid w:val="34C91F12"/>
    <w:rsid w:val="34D6158E"/>
    <w:rsid w:val="351B0104"/>
    <w:rsid w:val="355B0E0A"/>
    <w:rsid w:val="35742812"/>
    <w:rsid w:val="35C519DB"/>
    <w:rsid w:val="35F12D98"/>
    <w:rsid w:val="35F17E0B"/>
    <w:rsid w:val="368045CB"/>
    <w:rsid w:val="37407DB6"/>
    <w:rsid w:val="377E4FAF"/>
    <w:rsid w:val="38935A50"/>
    <w:rsid w:val="38AC7253"/>
    <w:rsid w:val="39471F4B"/>
    <w:rsid w:val="39573D91"/>
    <w:rsid w:val="39E207BF"/>
    <w:rsid w:val="3A0410CF"/>
    <w:rsid w:val="3AA649D4"/>
    <w:rsid w:val="3AEF0C27"/>
    <w:rsid w:val="3AF37D8C"/>
    <w:rsid w:val="3BF9256D"/>
    <w:rsid w:val="3C52785C"/>
    <w:rsid w:val="3DA535AC"/>
    <w:rsid w:val="3ED7163A"/>
    <w:rsid w:val="3F787C67"/>
    <w:rsid w:val="3FC858DC"/>
    <w:rsid w:val="3FEB602E"/>
    <w:rsid w:val="40A95E96"/>
    <w:rsid w:val="4121517C"/>
    <w:rsid w:val="413241EC"/>
    <w:rsid w:val="41A03D74"/>
    <w:rsid w:val="42246F4F"/>
    <w:rsid w:val="425A027A"/>
    <w:rsid w:val="42610076"/>
    <w:rsid w:val="42F736CA"/>
    <w:rsid w:val="432E501B"/>
    <w:rsid w:val="435B5089"/>
    <w:rsid w:val="43C1745E"/>
    <w:rsid w:val="43DC4917"/>
    <w:rsid w:val="44546201"/>
    <w:rsid w:val="445F5435"/>
    <w:rsid w:val="44A97AE4"/>
    <w:rsid w:val="44B4176F"/>
    <w:rsid w:val="45700A1F"/>
    <w:rsid w:val="473A6662"/>
    <w:rsid w:val="4750593E"/>
    <w:rsid w:val="47C92F7B"/>
    <w:rsid w:val="47E6500A"/>
    <w:rsid w:val="47FE7B5B"/>
    <w:rsid w:val="48FF23D5"/>
    <w:rsid w:val="493C3F49"/>
    <w:rsid w:val="494516EF"/>
    <w:rsid w:val="4981287A"/>
    <w:rsid w:val="4A380E38"/>
    <w:rsid w:val="4A581AD8"/>
    <w:rsid w:val="4A77668A"/>
    <w:rsid w:val="4A7B1730"/>
    <w:rsid w:val="4AB80380"/>
    <w:rsid w:val="4B78393E"/>
    <w:rsid w:val="4BC758B2"/>
    <w:rsid w:val="4C5B5CAE"/>
    <w:rsid w:val="4CB709E2"/>
    <w:rsid w:val="4D4A5495"/>
    <w:rsid w:val="4E397BE3"/>
    <w:rsid w:val="4E5E5E11"/>
    <w:rsid w:val="4F3767B4"/>
    <w:rsid w:val="4F771DC3"/>
    <w:rsid w:val="4FC56AF0"/>
    <w:rsid w:val="50520ABE"/>
    <w:rsid w:val="50D43B78"/>
    <w:rsid w:val="50DE4FD7"/>
    <w:rsid w:val="525940CF"/>
    <w:rsid w:val="53773B61"/>
    <w:rsid w:val="54794E03"/>
    <w:rsid w:val="54E83E64"/>
    <w:rsid w:val="5699320F"/>
    <w:rsid w:val="57513563"/>
    <w:rsid w:val="57FE065D"/>
    <w:rsid w:val="589725A1"/>
    <w:rsid w:val="59D34662"/>
    <w:rsid w:val="5A612F88"/>
    <w:rsid w:val="5ADF607A"/>
    <w:rsid w:val="5B1E6C40"/>
    <w:rsid w:val="5B737397"/>
    <w:rsid w:val="5C1A2297"/>
    <w:rsid w:val="5C1F26E8"/>
    <w:rsid w:val="5C4557E5"/>
    <w:rsid w:val="5C8B31BA"/>
    <w:rsid w:val="5CB50119"/>
    <w:rsid w:val="5D223DF8"/>
    <w:rsid w:val="5D2418F5"/>
    <w:rsid w:val="5D3A105C"/>
    <w:rsid w:val="5E792165"/>
    <w:rsid w:val="5F6D21E2"/>
    <w:rsid w:val="5F9E7A13"/>
    <w:rsid w:val="601D3E3E"/>
    <w:rsid w:val="60CA69D8"/>
    <w:rsid w:val="614D383A"/>
    <w:rsid w:val="61DA1F74"/>
    <w:rsid w:val="61E233E4"/>
    <w:rsid w:val="62610083"/>
    <w:rsid w:val="6261664C"/>
    <w:rsid w:val="63675036"/>
    <w:rsid w:val="63966F89"/>
    <w:rsid w:val="63995DE9"/>
    <w:rsid w:val="64501C5F"/>
    <w:rsid w:val="650E2EA2"/>
    <w:rsid w:val="656F5D66"/>
    <w:rsid w:val="65890FFB"/>
    <w:rsid w:val="658925AF"/>
    <w:rsid w:val="65D375A4"/>
    <w:rsid w:val="66930864"/>
    <w:rsid w:val="68752DC6"/>
    <w:rsid w:val="69E53D98"/>
    <w:rsid w:val="69ED4F00"/>
    <w:rsid w:val="6A1E198E"/>
    <w:rsid w:val="6A4C0196"/>
    <w:rsid w:val="6AC52C01"/>
    <w:rsid w:val="6B907B50"/>
    <w:rsid w:val="6BF743A8"/>
    <w:rsid w:val="6C063B86"/>
    <w:rsid w:val="6C4D11B4"/>
    <w:rsid w:val="6CF00C27"/>
    <w:rsid w:val="6D555F6D"/>
    <w:rsid w:val="6D971A88"/>
    <w:rsid w:val="6E122C37"/>
    <w:rsid w:val="6E4F3F34"/>
    <w:rsid w:val="6F125E32"/>
    <w:rsid w:val="6F6513F8"/>
    <w:rsid w:val="6F6F2711"/>
    <w:rsid w:val="705E55CD"/>
    <w:rsid w:val="707E2DE8"/>
    <w:rsid w:val="70E265CD"/>
    <w:rsid w:val="70F2261F"/>
    <w:rsid w:val="72113DDC"/>
    <w:rsid w:val="729862E9"/>
    <w:rsid w:val="73350423"/>
    <w:rsid w:val="738E0D23"/>
    <w:rsid w:val="74A50AEE"/>
    <w:rsid w:val="75996CCD"/>
    <w:rsid w:val="765021A6"/>
    <w:rsid w:val="76C306EB"/>
    <w:rsid w:val="775F306F"/>
    <w:rsid w:val="77866886"/>
    <w:rsid w:val="77EA3963"/>
    <w:rsid w:val="78612B04"/>
    <w:rsid w:val="78833952"/>
    <w:rsid w:val="78840542"/>
    <w:rsid w:val="78AB2DA7"/>
    <w:rsid w:val="7A597865"/>
    <w:rsid w:val="7ADE338D"/>
    <w:rsid w:val="7AED1113"/>
    <w:rsid w:val="7BF41475"/>
    <w:rsid w:val="7C773D9D"/>
    <w:rsid w:val="7CBA72F4"/>
    <w:rsid w:val="7D857B5D"/>
    <w:rsid w:val="7D8C25B2"/>
    <w:rsid w:val="7DA5314F"/>
    <w:rsid w:val="7DC62455"/>
    <w:rsid w:val="7DD746EE"/>
    <w:rsid w:val="7E1418F5"/>
    <w:rsid w:val="7E60509C"/>
    <w:rsid w:val="7EA96565"/>
    <w:rsid w:val="7F4C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38"/>
    <w:unhideWhenUsed/>
    <w:qFormat/>
    <w:uiPriority w:val="99"/>
    <w:pPr>
      <w:jc w:val="left"/>
    </w:pPr>
  </w:style>
  <w:style w:type="paragraph" w:styleId="6">
    <w:name w:val="Body Text"/>
    <w:basedOn w:val="1"/>
    <w:qFormat/>
    <w:uiPriority w:val="0"/>
    <w:pPr>
      <w:spacing w:after="120"/>
    </w:pPr>
    <w:rPr>
      <w:kern w:val="0"/>
      <w:sz w:val="20"/>
    </w:rPr>
  </w:style>
  <w:style w:type="paragraph" w:styleId="7">
    <w:name w:val="Body Text Indent"/>
    <w:basedOn w:val="1"/>
    <w:link w:val="39"/>
    <w:qFormat/>
    <w:uiPriority w:val="0"/>
    <w:pPr>
      <w:ind w:firstLine="830" w:firstLineChars="352"/>
    </w:pPr>
    <w:rPr>
      <w:rFonts w:ascii="仿宋_GB2312" w:eastAsia="仿宋_GB2312"/>
      <w:sz w:val="32"/>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link w:val="40"/>
    <w:qFormat/>
    <w:uiPriority w:val="0"/>
    <w:rPr>
      <w:rFonts w:ascii="宋体" w:hAnsi="Courier New" w:cs="Courier New"/>
      <w:szCs w:val="21"/>
    </w:rPr>
  </w:style>
  <w:style w:type="paragraph" w:styleId="10">
    <w:name w:val="Balloon Text"/>
    <w:basedOn w:val="1"/>
    <w:link w:val="33"/>
    <w:qFormat/>
    <w:uiPriority w:val="0"/>
    <w:rPr>
      <w:sz w:val="18"/>
      <w:szCs w:val="18"/>
    </w:rPr>
  </w:style>
  <w:style w:type="paragraph" w:styleId="11">
    <w:name w:val="footer"/>
    <w:basedOn w:val="1"/>
    <w:link w:val="37"/>
    <w:qFormat/>
    <w:uiPriority w:val="99"/>
    <w:pPr>
      <w:tabs>
        <w:tab w:val="center" w:pos="4153"/>
        <w:tab w:val="right" w:pos="8306"/>
      </w:tabs>
      <w:snapToGrid w:val="0"/>
      <w:jc w:val="left"/>
    </w:pPr>
    <w:rPr>
      <w:sz w:val="18"/>
      <w:szCs w:val="18"/>
    </w:rPr>
  </w:style>
  <w:style w:type="paragraph" w:styleId="12">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Body Text Indent 3"/>
    <w:basedOn w:val="1"/>
    <w:link w:val="45"/>
    <w:qFormat/>
    <w:uiPriority w:val="0"/>
    <w:pPr>
      <w:spacing w:after="120"/>
      <w:ind w:left="420" w:leftChars="200"/>
    </w:pPr>
    <w:rPr>
      <w:sz w:val="16"/>
      <w:szCs w:val="16"/>
    </w:rPr>
  </w:style>
  <w:style w:type="paragraph" w:styleId="15">
    <w:name w:val="toc 2"/>
    <w:basedOn w:val="1"/>
    <w:next w:val="1"/>
    <w:autoRedefine/>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w:basedOn w:val="6"/>
    <w:qFormat/>
    <w:uiPriority w:val="0"/>
    <w:pPr>
      <w:ind w:firstLine="420"/>
    </w:pPr>
    <w:rPr>
      <w:rFonts w:ascii="Calibri" w:hAnsi="Calibri" w:eastAsia="仿宋_GB2312"/>
      <w:b/>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style>
  <w:style w:type="paragraph" w:customStyle="1" w:styleId="32">
    <w:name w:val="文一"/>
    <w:basedOn w:val="1"/>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3">
    <w:name w:val="批注框文本 Char"/>
    <w:basedOn w:val="20"/>
    <w:link w:val="10"/>
    <w:qFormat/>
    <w:uiPriority w:val="0"/>
    <w:rPr>
      <w:rFonts w:ascii="Times New Roman" w:hAnsi="Times New Roman" w:eastAsia="宋体" w:cs="Times New Roman"/>
      <w:kern w:val="2"/>
      <w:sz w:val="18"/>
      <w:szCs w:val="18"/>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普通(网站)1"/>
    <w:basedOn w:val="1"/>
    <w:qFormat/>
    <w:uiPriority w:val="0"/>
    <w:pPr>
      <w:widowControl/>
    </w:pPr>
    <w:rPr>
      <w:rFonts w:hAnsi="宋体"/>
      <w:sz w:val="15"/>
      <w:szCs w:val="15"/>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7">
    <w:name w:val="页脚 Char"/>
    <w:basedOn w:val="20"/>
    <w:link w:val="11"/>
    <w:qFormat/>
    <w:uiPriority w:val="99"/>
    <w:rPr>
      <w:kern w:val="2"/>
      <w:sz w:val="18"/>
      <w:szCs w:val="18"/>
    </w:rPr>
  </w:style>
  <w:style w:type="character" w:customStyle="1" w:styleId="38">
    <w:name w:val="批注文字 Char"/>
    <w:basedOn w:val="20"/>
    <w:link w:val="5"/>
    <w:qFormat/>
    <w:uiPriority w:val="99"/>
    <w:rPr>
      <w:kern w:val="2"/>
      <w:sz w:val="21"/>
      <w:szCs w:val="24"/>
    </w:rPr>
  </w:style>
  <w:style w:type="character" w:customStyle="1" w:styleId="39">
    <w:name w:val="正文文本缩进 Char"/>
    <w:basedOn w:val="20"/>
    <w:link w:val="7"/>
    <w:qFormat/>
    <w:uiPriority w:val="0"/>
    <w:rPr>
      <w:rFonts w:ascii="仿宋_GB2312" w:eastAsia="仿宋_GB2312"/>
      <w:kern w:val="2"/>
      <w:sz w:val="32"/>
      <w:szCs w:val="24"/>
    </w:rPr>
  </w:style>
  <w:style w:type="character" w:customStyle="1" w:styleId="40">
    <w:name w:val="纯文本 Char"/>
    <w:link w:val="9"/>
    <w:qFormat/>
    <w:uiPriority w:val="0"/>
    <w:rPr>
      <w:rFonts w:ascii="宋体" w:hAnsi="Courier New" w:cs="Courier New"/>
      <w:kern w:val="2"/>
      <w:sz w:val="21"/>
      <w:szCs w:val="21"/>
    </w:rPr>
  </w:style>
  <w:style w:type="paragraph" w:customStyle="1" w:styleId="41">
    <w:name w:val="Table Paragraph"/>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4">
    <w:name w:val="页眉 Char"/>
    <w:link w:val="12"/>
    <w:qFormat/>
    <w:uiPriority w:val="0"/>
    <w:rPr>
      <w:kern w:val="2"/>
      <w:sz w:val="18"/>
      <w:szCs w:val="18"/>
    </w:rPr>
  </w:style>
  <w:style w:type="character" w:customStyle="1" w:styleId="45">
    <w:name w:val="正文文本缩进 3 Char"/>
    <w:link w:val="14"/>
    <w:qFormat/>
    <w:uiPriority w:val="0"/>
    <w:rPr>
      <w:kern w:val="2"/>
      <w:sz w:val="16"/>
      <w:szCs w:val="16"/>
    </w:rPr>
  </w:style>
  <w:style w:type="paragraph" w:customStyle="1" w:styleId="46">
    <w:name w:val="正文列表"/>
    <w:basedOn w:val="1"/>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30</Pages>
  <Words>11229</Words>
  <Characters>11712</Characters>
  <Lines>133</Lines>
  <Paragraphs>37</Paragraphs>
  <TotalTime>6</TotalTime>
  <ScaleCrop>false</ScaleCrop>
  <LinksUpToDate>false</LinksUpToDate>
  <CharactersWithSpaces>12109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2021-12-24T00:24:00Z</cp:lastPrinted>
  <dcterms:modified xsi:type="dcterms:W3CDTF">2024-11-29T09:17:20Z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1D597943285744C1B6F9D76DF4690D26_13</vt:lpwstr>
  </property>
</Properties>
</file>