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南方医科大学第五</w:t>
      </w:r>
      <w:r>
        <w:rPr>
          <w:rFonts w:hint="eastAsia" w:ascii="宋体" w:hAnsi="宋体" w:eastAsia="宋体" w:cs="Times New Roman"/>
          <w:b/>
          <w:bCs w:val="0"/>
          <w:color w:val="auto"/>
          <w:kern w:val="0"/>
          <w:sz w:val="48"/>
          <w:szCs w:val="48"/>
          <w:lang w:val="en-US" w:eastAsia="zh-CN"/>
        </w:rPr>
        <w:t>附属</w:t>
      </w:r>
      <w:r>
        <w:rPr>
          <w:rFonts w:hint="eastAsia" w:ascii="宋体" w:hAnsi="宋体"/>
          <w:b/>
          <w:bCs w:val="0"/>
          <w:color w:val="auto"/>
          <w:kern w:val="0"/>
          <w:sz w:val="48"/>
          <w:szCs w:val="48"/>
          <w:lang w:val="en-US" w:eastAsia="zh-CN"/>
        </w:rPr>
        <w:t>医院</w:t>
      </w:r>
    </w:p>
    <w:p>
      <w:pPr>
        <w:spacing w:line="240" w:lineRule="auto"/>
        <w:jc w:val="center"/>
        <w:rPr>
          <w:rFonts w:hint="eastAsia" w:ascii="宋体" w:hAnsi="宋体"/>
          <w:b/>
          <w:bCs w:val="0"/>
          <w:color w:val="auto"/>
          <w:kern w:val="0"/>
          <w:sz w:val="18"/>
          <w:szCs w:val="1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公务车定点加油项目采购项目</w:t>
      </w: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1"/>
      </w:pPr>
    </w:p>
    <w:p>
      <w:pPr>
        <w:pStyle w:val="21"/>
        <w:spacing w:line="360" w:lineRule="auto"/>
        <w:rPr>
          <w:rFonts w:hint="eastAsia" w:ascii="方正小标宋简体" w:hAnsi="宋体" w:eastAsia="方正小标宋简体"/>
          <w:sz w:val="32"/>
        </w:rPr>
      </w:pPr>
    </w:p>
    <w:p>
      <w:pPr>
        <w:adjustRightInd w:val="0"/>
        <w:snapToGrid w:val="0"/>
        <w:spacing w:line="360" w:lineRule="auto"/>
        <w:ind w:firstLine="2530" w:firstLineChars="700"/>
        <w:jc w:val="both"/>
        <w:rPr>
          <w:rFonts w:hint="default"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w:t>
      </w:r>
      <w:r>
        <w:rPr>
          <w:rFonts w:hint="eastAsia" w:ascii="宋体" w:hAnsi="宋体" w:cs="Times New Roman"/>
          <w:b/>
          <w:bCs/>
          <w:kern w:val="2"/>
          <w:sz w:val="36"/>
          <w:szCs w:val="36"/>
          <w:lang w:val="en-US" w:eastAsia="zh-CN" w:bidi="ar-SA"/>
        </w:rPr>
        <w:t>F</w:t>
      </w:r>
      <w:r>
        <w:rPr>
          <w:rFonts w:hint="eastAsia" w:ascii="宋体" w:hAnsi="宋体" w:eastAsia="宋体" w:cs="Times New Roman"/>
          <w:b/>
          <w:bCs/>
          <w:kern w:val="2"/>
          <w:sz w:val="36"/>
          <w:szCs w:val="36"/>
          <w:lang w:val="en-US" w:eastAsia="zh-CN" w:bidi="ar-SA"/>
        </w:rPr>
        <w:t>2023000</w:t>
      </w:r>
      <w:r>
        <w:rPr>
          <w:rFonts w:hint="eastAsia" w:ascii="宋体" w:hAnsi="宋体" w:cs="Times New Roman"/>
          <w:b/>
          <w:bCs/>
          <w:kern w:val="2"/>
          <w:sz w:val="36"/>
          <w:szCs w:val="36"/>
          <w:lang w:val="en-US" w:eastAsia="zh-CN" w:bidi="ar-SA"/>
        </w:rPr>
        <w:t>6</w:t>
      </w:r>
    </w:p>
    <w:p>
      <w:pPr>
        <w:pStyle w:val="21"/>
        <w:spacing w:line="360" w:lineRule="auto"/>
        <w:ind w:firstLine="2530" w:firstLineChars="700"/>
        <w:rPr>
          <w:rFonts w:hint="default" w:ascii="宋体" w:hAnsi="宋体" w:eastAsia="宋体" w:cs="Times New Roman"/>
          <w:b/>
          <w:bCs/>
          <w:kern w:val="2"/>
          <w:sz w:val="36"/>
          <w:szCs w:val="36"/>
          <w:lang w:val="en-US" w:eastAsia="zh-CN" w:bidi="ar-SA"/>
        </w:rPr>
      </w:pPr>
    </w:p>
    <w:p>
      <w:pPr>
        <w:widowControl/>
        <w:ind w:right="-26"/>
        <w:jc w:val="center"/>
        <w:textAlignment w:val="bottom"/>
        <w:rPr>
          <w:rFonts w:hint="eastAsia" w:ascii="方正小标宋简体" w:hAnsi="宋体" w:eastAsia="方正小标宋简体"/>
          <w:sz w:val="32"/>
          <w:lang w:eastAsia="zh-CN"/>
        </w:rPr>
      </w:pPr>
    </w:p>
    <w:p>
      <w:pPr>
        <w:adjustRightInd w:val="0"/>
        <w:snapToGrid w:val="0"/>
        <w:spacing w:line="360" w:lineRule="auto"/>
        <w:rPr>
          <w:rFonts w:ascii="宋体" w:hAnsi="宋体"/>
          <w:b/>
          <w:bCs/>
          <w:sz w:val="28"/>
          <w:szCs w:val="28"/>
        </w:rPr>
      </w:pPr>
    </w:p>
    <w:p>
      <w:pPr>
        <w:spacing w:line="360" w:lineRule="auto"/>
        <w:jc w:val="both"/>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color w:val="auto"/>
          <w:kern w:val="2"/>
          <w:sz w:val="21"/>
          <w:szCs w:val="24"/>
          <w:lang w:val="en-US" w:eastAsia="zh-CN" w:bidi="ar-SA"/>
        </w:rPr>
        <w:id w:val="147468325"/>
        <w15:color w:val="DBDBDB"/>
        <w:docPartObj>
          <w:docPartGallery w:val="Table of Contents"/>
          <w:docPartUnique/>
        </w:docPartObj>
      </w:sdtPr>
      <w:sdtEndPr>
        <w:rPr>
          <w:rFonts w:ascii="Times New Roman" w:hAnsi="Times New Roman" w:eastAsia="宋体" w:cs="Times New Roman"/>
          <w:bCs/>
          <w:color w:val="auto"/>
          <w:kern w:val="0"/>
          <w:sz w:val="21"/>
          <w:szCs w:val="36"/>
          <w:lang w:val="en-US" w:eastAsia="zh-CN" w:bidi="ar-SA"/>
        </w:rPr>
      </w:sdtEndPr>
      <w:sdtContent>
        <w:p>
          <w:pPr>
            <w:spacing w:before="0" w:beforeLines="0" w:after="0" w:afterLines="0" w:line="240" w:lineRule="auto"/>
            <w:ind w:left="0" w:leftChars="0" w:right="0" w:rightChars="0" w:firstLine="0" w:firstLineChars="0"/>
            <w:jc w:val="center"/>
            <w:rPr>
              <w:b/>
              <w:bCs/>
              <w:color w:val="auto"/>
              <w:sz w:val="44"/>
              <w:szCs w:val="44"/>
            </w:rPr>
          </w:pPr>
          <w:bookmarkStart w:id="0" w:name="_Toc12670"/>
          <w:bookmarkStart w:id="1" w:name="_Toc40346211"/>
          <w:bookmarkStart w:id="2" w:name="_Toc40776106"/>
          <w:r>
            <w:rPr>
              <w:rFonts w:ascii="宋体" w:hAnsi="宋体" w:eastAsia="宋体"/>
              <w:b/>
              <w:bCs/>
              <w:color w:val="auto"/>
              <w:sz w:val="44"/>
              <w:szCs w:val="44"/>
            </w:rPr>
            <w:t>目</w:t>
          </w:r>
          <w:r>
            <w:rPr>
              <w:rFonts w:hint="eastAsia" w:ascii="宋体" w:hAnsi="宋体" w:eastAsia="宋体"/>
              <w:b/>
              <w:bCs/>
              <w:color w:val="auto"/>
              <w:sz w:val="44"/>
              <w:szCs w:val="44"/>
              <w:lang w:val="en-US" w:eastAsia="zh-CN"/>
            </w:rPr>
            <w:t xml:space="preserve">  </w:t>
          </w:r>
          <w:r>
            <w:rPr>
              <w:rFonts w:ascii="宋体" w:hAnsi="宋体" w:eastAsia="宋体"/>
              <w:b/>
              <w:bCs/>
              <w:color w:val="auto"/>
              <w:sz w:val="44"/>
              <w:szCs w:val="44"/>
            </w:rPr>
            <w:t>录</w:t>
          </w:r>
        </w:p>
        <w:p>
          <w:pPr>
            <w:pStyle w:val="23"/>
            <w:tabs>
              <w:tab w:val="right" w:leader="dot" w:pos="9638"/>
            </w:tabs>
            <w:spacing w:line="360" w:lineRule="auto"/>
            <w:rPr>
              <w:b/>
              <w:bCs/>
              <w:color w:val="auto"/>
              <w:kern w:val="0"/>
              <w:sz w:val="28"/>
              <w:szCs w:val="28"/>
            </w:rPr>
          </w:pPr>
        </w:p>
        <w:p>
          <w:pPr>
            <w:pStyle w:val="23"/>
            <w:tabs>
              <w:tab w:val="right" w:leader="dot" w:pos="9638"/>
            </w:tabs>
            <w:spacing w:line="360" w:lineRule="auto"/>
            <w:rPr>
              <w:b/>
              <w:bCs w:val="0"/>
              <w:color w:val="auto"/>
              <w:sz w:val="28"/>
              <w:szCs w:val="28"/>
              <w:highlight w:val="none"/>
            </w:rPr>
          </w:pPr>
          <w:r>
            <w:rPr>
              <w:b/>
              <w:bCs/>
              <w:color w:val="auto"/>
              <w:kern w:val="0"/>
              <w:sz w:val="28"/>
              <w:szCs w:val="28"/>
            </w:rPr>
            <w:fldChar w:fldCharType="begin"/>
          </w:r>
          <w:r>
            <w:rPr>
              <w:b/>
              <w:bCs/>
              <w:color w:val="auto"/>
              <w:kern w:val="0"/>
              <w:sz w:val="28"/>
              <w:szCs w:val="28"/>
            </w:rPr>
            <w:instrText xml:space="preserve">TOC \o "1-1" \h \u </w:instrText>
          </w:r>
          <w:r>
            <w:rPr>
              <w:b/>
              <w:bCs/>
              <w:color w:val="auto"/>
              <w:kern w:val="0"/>
              <w:sz w:val="28"/>
              <w:szCs w:val="28"/>
            </w:rPr>
            <w:fldChar w:fldCharType="separate"/>
          </w: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2</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4</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5</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（另附）</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6</w:t>
          </w:r>
        </w:p>
        <w:p>
          <w:pPr>
            <w:pStyle w:val="23"/>
            <w:tabs>
              <w:tab w:val="right" w:leader="dot" w:pos="9638"/>
            </w:tabs>
            <w:rPr>
              <w:color w:val="auto"/>
              <w:sz w:val="28"/>
              <w:szCs w:val="28"/>
              <w:highlight w:val="none"/>
            </w:rPr>
          </w:pPr>
        </w:p>
        <w:p>
          <w:pPr>
            <w:jc w:val="center"/>
            <w:rPr>
              <w:b/>
              <w:bCs/>
              <w:color w:val="auto"/>
              <w:kern w:val="0"/>
              <w:sz w:val="28"/>
              <w:szCs w:val="36"/>
            </w:rPr>
          </w:pPr>
          <w:r>
            <w:rPr>
              <w:bCs/>
              <w:color w:val="auto"/>
              <w:kern w:val="0"/>
              <w:sz w:val="28"/>
              <w:szCs w:val="28"/>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p>
    <w:bookmarkEnd w:id="0"/>
    <w:p>
      <w:pPr>
        <w:spacing w:line="360" w:lineRule="auto"/>
        <w:jc w:val="center"/>
        <w:outlineLvl w:val="0"/>
        <w:rPr>
          <w:rFonts w:ascii="仿宋" w:hAnsi="仿宋" w:eastAsia="仿宋" w:cs="Helvetica"/>
          <w:sz w:val="33"/>
          <w:szCs w:val="33"/>
        </w:rPr>
      </w:pPr>
      <w:bookmarkStart w:id="3" w:name="_Toc19427"/>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3"/>
    </w:p>
    <w:p>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kern w:val="0"/>
          <w:sz w:val="21"/>
          <w:szCs w:val="21"/>
        </w:rPr>
      </w:pPr>
      <w:r>
        <w:rPr>
          <w:rFonts w:hint="eastAsia" w:ascii="宋体" w:hAnsi="宋体" w:cs="宋体"/>
          <w:kern w:val="0"/>
          <w:sz w:val="24"/>
          <w:szCs w:val="27"/>
        </w:rPr>
        <w:t>  </w:t>
      </w:r>
      <w:r>
        <w:rPr>
          <w:rFonts w:hint="eastAsia" w:ascii="宋体" w:hAnsi="宋体" w:eastAsia="宋体" w:cs="宋体"/>
          <w:color w:val="auto"/>
          <w:kern w:val="0"/>
          <w:sz w:val="21"/>
          <w:szCs w:val="21"/>
        </w:rPr>
        <w:t>根据我院业务需要，近期拟遴选一家公务车定点加油公司为合作供应商,现根据相关规定特此公告，欢迎符合条件的供应商提供相关资料报名。</w:t>
      </w:r>
    </w:p>
    <w:p>
      <w:pPr>
        <w:keepNext w:val="0"/>
        <w:keepLines w:val="0"/>
        <w:pageBreakBefore w:val="0"/>
        <w:numPr>
          <w:ilvl w:val="0"/>
          <w:numId w:val="2"/>
        </w:numPr>
        <w:tabs>
          <w:tab w:val="left" w:pos="0"/>
          <w:tab w:val="left" w:pos="7174"/>
        </w:tabs>
        <w:kinsoku/>
        <w:wordWrap/>
        <w:overflowPunct/>
        <w:topLinePunct w:val="0"/>
        <w:bidi w:val="0"/>
        <w:spacing w:line="340" w:lineRule="exact"/>
        <w:ind w:firstLine="422" w:firstLineChars="200"/>
        <w:textAlignment w:val="auto"/>
        <w:rPr>
          <w:rFonts w:hint="eastAsia" w:ascii="宋体" w:hAnsi="宋体" w:eastAsia="宋体" w:cs="宋体"/>
          <w:kern w:val="0"/>
          <w:sz w:val="21"/>
          <w:szCs w:val="21"/>
        </w:rPr>
      </w:pPr>
      <w:r>
        <w:rPr>
          <w:rFonts w:hint="eastAsia" w:ascii="宋体" w:hAnsi="宋体" w:eastAsia="宋体" w:cs="宋体"/>
          <w:b/>
          <w:kern w:val="0"/>
          <w:sz w:val="21"/>
          <w:szCs w:val="21"/>
        </w:rPr>
        <w:t>采购需求</w:t>
      </w:r>
    </w:p>
    <w:p>
      <w:pPr>
        <w:keepNext w:val="0"/>
        <w:keepLines w:val="0"/>
        <w:pageBreakBefore w:val="0"/>
        <w:numPr>
          <w:ilvl w:val="0"/>
          <w:numId w:val="0"/>
        </w:numPr>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项目编号：</w:t>
      </w:r>
      <w:r>
        <w:rPr>
          <w:rFonts w:hint="eastAsia" w:ascii="宋体" w:hAnsi="宋体" w:eastAsia="宋体" w:cs="宋体"/>
          <w:kern w:val="0"/>
          <w:sz w:val="21"/>
          <w:szCs w:val="21"/>
        </w:rPr>
        <w:t>NYWYF2024000</w:t>
      </w:r>
      <w:r>
        <w:rPr>
          <w:rFonts w:hint="eastAsia" w:ascii="宋体" w:hAnsi="宋体" w:cs="宋体"/>
          <w:kern w:val="0"/>
          <w:sz w:val="21"/>
          <w:szCs w:val="21"/>
          <w:lang w:val="en-US" w:eastAsia="zh-CN"/>
        </w:rPr>
        <w:t>6</w:t>
      </w:r>
    </w:p>
    <w:p>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sz w:val="21"/>
          <w:szCs w:val="21"/>
        </w:rPr>
        <w:t>2.项目名称：</w:t>
      </w:r>
      <w:r>
        <w:rPr>
          <w:rFonts w:hint="eastAsia" w:ascii="宋体" w:hAnsi="宋体" w:eastAsia="宋体" w:cs="宋体"/>
          <w:color w:val="000000"/>
          <w:sz w:val="21"/>
          <w:szCs w:val="21"/>
        </w:rPr>
        <w:t>南方医科大学第五附属医院公务车定点加油项目</w:t>
      </w:r>
    </w:p>
    <w:p>
      <w:pPr>
        <w:pStyle w:val="2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3.项目概况：</w:t>
      </w:r>
      <w:r>
        <w:rPr>
          <w:rFonts w:hint="eastAsia" w:ascii="宋体" w:hAnsi="宋体" w:eastAsia="宋体" w:cs="宋体"/>
          <w:sz w:val="21"/>
          <w:szCs w:val="21"/>
          <w:lang w:val="en-US" w:eastAsia="zh-CN"/>
        </w:rPr>
        <w:t>现有1</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台公务车（6台救护车和</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台行政车），采购一家公司为医院提供定点加油服务。</w:t>
      </w:r>
    </w:p>
    <w:p>
      <w:pPr>
        <w:pStyle w:val="2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4.报价要求：</w:t>
      </w:r>
      <w:r>
        <w:rPr>
          <w:rFonts w:hint="eastAsia" w:ascii="宋体" w:hAnsi="宋体" w:eastAsia="宋体" w:cs="宋体"/>
          <w:sz w:val="21"/>
          <w:szCs w:val="21"/>
          <w:lang w:val="en-US" w:eastAsia="zh-CN"/>
        </w:rPr>
        <w:t>单价</w:t>
      </w:r>
      <w:r>
        <w:rPr>
          <w:rFonts w:hint="eastAsia" w:ascii="宋体" w:hAnsi="宋体" w:cs="宋体"/>
          <w:sz w:val="21"/>
          <w:szCs w:val="21"/>
          <w:lang w:val="en-US" w:eastAsia="zh-CN"/>
        </w:rPr>
        <w:t>以</w:t>
      </w:r>
      <w:r>
        <w:rPr>
          <w:rFonts w:hint="eastAsia" w:ascii="宋体" w:hAnsi="宋体" w:eastAsia="宋体" w:cs="宋体"/>
          <w:sz w:val="21"/>
          <w:szCs w:val="21"/>
          <w:lang w:val="en-US" w:eastAsia="zh-CN"/>
        </w:rPr>
        <w:t>广东省每日油品挂牌零售价为最高限价，按实际加油量进行结算。价格包括但不限于燃油费、税费、服务费等一切费用。</w:t>
      </w:r>
    </w:p>
    <w:p>
      <w:pPr>
        <w:pStyle w:val="21"/>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5.服务期限：</w:t>
      </w:r>
      <w:r>
        <w:rPr>
          <w:rFonts w:hint="eastAsia" w:ascii="宋体" w:hAnsi="宋体" w:eastAsia="宋体" w:cs="宋体"/>
          <w:sz w:val="21"/>
          <w:szCs w:val="21"/>
          <w:lang w:val="en-US" w:eastAsia="zh-CN"/>
        </w:rPr>
        <w:t>自合同签订之日起1年。</w:t>
      </w:r>
    </w:p>
    <w:p>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.采购内容及要求：</w:t>
      </w:r>
      <w:r>
        <w:rPr>
          <w:rFonts w:hint="eastAsia" w:ascii="宋体" w:hAnsi="宋体" w:eastAsia="宋体" w:cs="宋体"/>
          <w:sz w:val="21"/>
          <w:szCs w:val="21"/>
        </w:rPr>
        <w:t>详见第二部分用户需求书。</w:t>
      </w:r>
    </w:p>
    <w:p>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b w:val="0"/>
          <w:bCs w:val="0"/>
          <w:color w:val="auto"/>
          <w:sz w:val="21"/>
          <w:szCs w:val="21"/>
          <w:lang w:val="en-US" w:eastAsia="zh-CN"/>
        </w:rPr>
        <w:t>4年</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19</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34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numPr>
          <w:ilvl w:val="0"/>
          <w:numId w:val="0"/>
        </w:numPr>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numPr>
          <w:ilvl w:val="0"/>
          <w:numId w:val="0"/>
        </w:numPr>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5.</w:t>
      </w:r>
      <w:r>
        <w:rPr>
          <w:rFonts w:hint="eastAsia" w:ascii="宋体" w:hAnsi="宋体" w:eastAsia="宋体" w:cs="宋体"/>
          <w:b/>
          <w:bCs/>
          <w:color w:val="auto"/>
          <w:sz w:val="21"/>
          <w:szCs w:val="21"/>
          <w:lang w:val="en-US" w:eastAsia="zh-CN"/>
        </w:rPr>
        <w:t>第一次</w:t>
      </w:r>
      <w:r>
        <w:rPr>
          <w:rFonts w:hint="eastAsia" w:ascii="宋体" w:hAnsi="宋体" w:cs="宋体"/>
          <w:b/>
          <w:bCs/>
          <w:color w:val="auto"/>
          <w:sz w:val="21"/>
          <w:szCs w:val="21"/>
          <w:lang w:val="en-US" w:eastAsia="zh-CN"/>
        </w:rPr>
        <w:t>公告和第二次公告</w:t>
      </w:r>
      <w:bookmarkStart w:id="272" w:name="_GoBack"/>
      <w:bookmarkEnd w:id="272"/>
      <w:r>
        <w:rPr>
          <w:rFonts w:hint="eastAsia" w:ascii="宋体" w:hAnsi="宋体" w:eastAsia="宋体" w:cs="宋体"/>
          <w:b/>
          <w:bCs/>
          <w:color w:val="auto"/>
          <w:sz w:val="21"/>
          <w:szCs w:val="21"/>
          <w:lang w:val="en-US" w:eastAsia="zh-CN"/>
        </w:rPr>
        <w:t>报名成功公司不用重复报名</w:t>
      </w:r>
      <w:r>
        <w:rPr>
          <w:rFonts w:hint="eastAsia" w:ascii="宋体" w:hAnsi="宋体" w:cs="宋体"/>
          <w:b/>
          <w:bCs/>
          <w:color w:val="auto"/>
          <w:sz w:val="21"/>
          <w:szCs w:val="21"/>
          <w:lang w:val="en-US" w:eastAsia="zh-CN"/>
        </w:rPr>
        <w:t>。</w:t>
      </w:r>
    </w:p>
    <w:p>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kern w:val="0"/>
          <w:sz w:val="21"/>
          <w:szCs w:val="21"/>
        </w:rPr>
        <w:t>三、报名供应商资格要求</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1.具备独立承担民事责任能力，为中华人民共和国境内合法注册的独立法人企业或个体工商户（需提供有效的营业执照副本复印件，并加盖供应商公司公章）；</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2.提供有效期内成品油零售经营批准证书（需提供证书复印件并加盖供应商公司公章）；</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3.提供有效期危险化学品经营许可证（需提供证件复印件并加盖供应商公司公章）；</w:t>
      </w:r>
    </w:p>
    <w:p>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4.本项目不接受联合体，不允许转包，分包。（需提供承诺函，承诺函必须包含相关文字涵义内容，并加盖供应商公司公章）</w:t>
      </w:r>
    </w:p>
    <w:p>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shd w:val="clear" w:color="auto" w:fill="FFFFFF"/>
        </w:rPr>
        <w:t>注：供应商若不能同时满足以上条件则视为投标参与无效。</w:t>
      </w:r>
      <w:r>
        <w:rPr>
          <w:rFonts w:hint="eastAsia" w:ascii="宋体" w:hAnsi="宋体" w:eastAsia="宋体" w:cs="宋体"/>
          <w:sz w:val="21"/>
          <w:szCs w:val="21"/>
        </w:rPr>
        <w:t>（如发现提供虚假材料者，取消其参加评审资格和成交资格）</w:t>
      </w:r>
    </w:p>
    <w:p>
      <w:pPr>
        <w:keepNext w:val="0"/>
        <w:keepLines w:val="0"/>
        <w:pageBreakBefore w:val="0"/>
        <w:widowControl/>
        <w:kinsoku/>
        <w:wordWrap/>
        <w:overflowPunct/>
        <w:topLinePunct w:val="0"/>
        <w:bidi w:val="0"/>
        <w:spacing w:line="340" w:lineRule="exact"/>
        <w:ind w:firstLine="316" w:firstLineChars="15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四、联系方式。</w:t>
      </w:r>
    </w:p>
    <w:p>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徐老师：020-62236148（项目需求咨询）</w:t>
      </w:r>
    </w:p>
    <w:p>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340" w:lineRule="exact"/>
        <w:jc w:val="righ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kern w:val="0"/>
          <w:sz w:val="21"/>
          <w:szCs w:val="21"/>
        </w:rPr>
        <w:t>南方医科大学第五附属医院</w:t>
      </w:r>
    </w:p>
    <w:p>
      <w:pPr>
        <w:keepNext w:val="0"/>
        <w:keepLines w:val="0"/>
        <w:pageBreakBefore w:val="0"/>
        <w:widowControl/>
        <w:kinsoku/>
        <w:wordWrap/>
        <w:overflowPunct/>
        <w:topLinePunct w:val="0"/>
        <w:bidi w:val="0"/>
        <w:spacing w:line="340" w:lineRule="exact"/>
        <w:jc w:val="righ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202</w:t>
      </w:r>
      <w:r>
        <w:rPr>
          <w:rFonts w:hint="eastAsia" w:ascii="宋体" w:hAnsi="宋体" w:cs="宋体"/>
          <w:kern w:val="0"/>
          <w:sz w:val="21"/>
          <w:szCs w:val="21"/>
          <w:lang w:val="en-US" w:eastAsia="zh-CN"/>
        </w:rPr>
        <w:t>4</w:t>
      </w:r>
      <w:r>
        <w:rPr>
          <w:rFonts w:hint="eastAsia" w:ascii="宋体" w:hAnsi="宋体" w:eastAsia="宋体" w:cs="宋体"/>
          <w:kern w:val="0"/>
          <w:sz w:val="21"/>
          <w:szCs w:val="21"/>
        </w:rPr>
        <w:t>年</w:t>
      </w:r>
      <w:r>
        <w:rPr>
          <w:rFonts w:hint="eastAsia" w:ascii="宋体" w:hAnsi="宋体" w:cs="宋体"/>
          <w:kern w:val="0"/>
          <w:sz w:val="21"/>
          <w:szCs w:val="21"/>
          <w:lang w:val="en-US" w:eastAsia="zh-CN"/>
        </w:rPr>
        <w:t>4</w:t>
      </w:r>
      <w:r>
        <w:rPr>
          <w:rFonts w:hint="eastAsia" w:ascii="宋体" w:hAnsi="宋体" w:eastAsia="宋体" w:cs="宋体"/>
          <w:kern w:val="0"/>
          <w:sz w:val="21"/>
          <w:szCs w:val="21"/>
        </w:rPr>
        <w:t>月</w:t>
      </w:r>
      <w:r>
        <w:rPr>
          <w:rFonts w:hint="eastAsia" w:ascii="宋体" w:hAnsi="宋体" w:cs="宋体"/>
          <w:sz w:val="21"/>
          <w:szCs w:val="21"/>
          <w:shd w:val="clear" w:color="auto" w:fill="FFFFFF"/>
          <w:lang w:val="en-US" w:eastAsia="zh-CN"/>
        </w:rPr>
        <w:t>19</w:t>
      </w:r>
      <w:r>
        <w:rPr>
          <w:rFonts w:hint="eastAsia" w:ascii="宋体" w:hAnsi="宋体" w:eastAsia="宋体" w:cs="宋体"/>
          <w:kern w:val="0"/>
          <w:sz w:val="21"/>
          <w:szCs w:val="21"/>
        </w:rPr>
        <w:t>日</w:t>
      </w:r>
    </w:p>
    <w:p>
      <w:pPr>
        <w:pStyle w:val="2"/>
        <w:rPr>
          <w:lang w:val="en-US" w:eastAsia="zh-CN"/>
        </w:rPr>
      </w:pPr>
    </w:p>
    <w:p>
      <w:pPr>
        <w:keepNext w:val="0"/>
        <w:keepLines w:val="0"/>
        <w:pageBreakBefore w:val="0"/>
        <w:widowControl/>
        <w:kinsoku/>
        <w:overflowPunct/>
        <w:topLinePunct w:val="0"/>
        <w:bidi w:val="0"/>
        <w:adjustRightInd/>
        <w:snapToGrid/>
        <w:spacing w:line="360" w:lineRule="exact"/>
        <w:jc w:val="right"/>
        <w:rPr>
          <w:rFonts w:hint="eastAsia"/>
        </w:rPr>
      </w:pPr>
    </w:p>
    <w:p>
      <w:pPr>
        <w:numPr>
          <w:ilvl w:val="0"/>
          <w:numId w:val="3"/>
        </w:numPr>
        <w:spacing w:line="360" w:lineRule="auto"/>
        <w:ind w:firstLine="422" w:firstLineChars="150"/>
        <w:jc w:val="center"/>
        <w:outlineLvl w:val="0"/>
        <w:rPr>
          <w:rFonts w:hint="eastAsia" w:ascii="宋体" w:hAnsi="宋体"/>
          <w:b/>
          <w:bCs/>
          <w:color w:val="auto"/>
          <w:sz w:val="28"/>
          <w:szCs w:val="28"/>
        </w:rPr>
      </w:pPr>
      <w:bookmarkStart w:id="4" w:name="_Toc27350"/>
      <w:bookmarkStart w:id="5" w:name="_Toc25861"/>
      <w:r>
        <w:rPr>
          <w:rFonts w:hint="eastAsia" w:ascii="宋体" w:hAnsi="宋体"/>
          <w:b/>
          <w:bCs/>
          <w:color w:val="auto"/>
          <w:sz w:val="28"/>
          <w:szCs w:val="28"/>
        </w:rPr>
        <w:t>用户需求书</w:t>
      </w:r>
      <w:bookmarkEnd w:id="4"/>
      <w:bookmarkEnd w:id="5"/>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color w:val="000000"/>
          <w:sz w:val="21"/>
          <w:szCs w:val="21"/>
        </w:rPr>
      </w:pPr>
      <w:bookmarkStart w:id="6" w:name="_Toc163481896"/>
      <w:bookmarkStart w:id="7" w:name="_Toc297666003"/>
      <w:r>
        <w:rPr>
          <w:rFonts w:hint="eastAsia" w:ascii="宋体" w:hAnsi="宋体" w:eastAsia="宋体" w:cs="宋体"/>
          <w:b/>
          <w:color w:val="000000"/>
          <w:sz w:val="21"/>
          <w:szCs w:val="21"/>
        </w:rPr>
        <w:t>一、</w:t>
      </w:r>
      <w:bookmarkEnd w:id="6"/>
      <w:r>
        <w:rPr>
          <w:rFonts w:hint="eastAsia" w:ascii="宋体" w:hAnsi="宋体" w:eastAsia="宋体" w:cs="宋体"/>
          <w:b/>
          <w:color w:val="000000"/>
          <w:sz w:val="21"/>
          <w:szCs w:val="21"/>
        </w:rPr>
        <w:t>项目概述</w:t>
      </w:r>
      <w:bookmarkEnd w:id="7"/>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sz w:val="21"/>
          <w:szCs w:val="21"/>
        </w:rPr>
      </w:pPr>
      <w:r>
        <w:rPr>
          <w:rFonts w:hint="eastAsia" w:ascii="宋体" w:hAnsi="宋体" w:eastAsia="宋体" w:cs="宋体"/>
          <w:b/>
          <w:bCs/>
          <w:color w:val="000000"/>
          <w:sz w:val="21"/>
          <w:szCs w:val="21"/>
        </w:rPr>
        <w:t>1.项目名称：</w:t>
      </w:r>
      <w:r>
        <w:rPr>
          <w:rFonts w:hint="eastAsia" w:ascii="宋体" w:hAnsi="宋体" w:eastAsia="宋体" w:cs="宋体"/>
          <w:color w:val="auto"/>
          <w:sz w:val="21"/>
          <w:szCs w:val="21"/>
        </w:rPr>
        <w:t>南方医科大学第五附属医院</w:t>
      </w:r>
      <w:r>
        <w:rPr>
          <w:rFonts w:hint="eastAsia" w:ascii="宋体" w:hAnsi="宋体" w:eastAsia="宋体" w:cs="宋体"/>
          <w:color w:val="auto"/>
          <w:sz w:val="21"/>
          <w:szCs w:val="21"/>
          <w:lang w:val="en-US" w:eastAsia="zh-CN"/>
        </w:rPr>
        <w:t>公务车定点加油</w:t>
      </w:r>
      <w:r>
        <w:rPr>
          <w:rFonts w:hint="eastAsia" w:ascii="宋体" w:hAnsi="宋体" w:eastAsia="宋体" w:cs="宋体"/>
          <w:color w:val="auto"/>
          <w:sz w:val="21"/>
          <w:szCs w:val="21"/>
        </w:rPr>
        <w:t>项目</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2.项目概况：</w:t>
      </w:r>
      <w:r>
        <w:rPr>
          <w:rFonts w:hint="eastAsia" w:ascii="宋体" w:hAnsi="宋体" w:eastAsia="宋体" w:cs="宋体"/>
          <w:sz w:val="21"/>
          <w:szCs w:val="21"/>
          <w:lang w:eastAsia="zh-CN"/>
        </w:rPr>
        <w:t>采购人</w:t>
      </w:r>
      <w:r>
        <w:rPr>
          <w:rFonts w:hint="eastAsia" w:ascii="宋体" w:hAnsi="宋体" w:eastAsia="宋体" w:cs="宋体"/>
          <w:sz w:val="21"/>
          <w:szCs w:val="21"/>
        </w:rPr>
        <w:t>现有1</w:t>
      </w:r>
      <w:r>
        <w:rPr>
          <w:rFonts w:hint="eastAsia" w:ascii="宋体" w:hAnsi="宋体" w:eastAsia="宋体" w:cs="宋体"/>
          <w:sz w:val="21"/>
          <w:szCs w:val="21"/>
          <w:lang w:val="en-US" w:eastAsia="zh-CN"/>
        </w:rPr>
        <w:t>3</w:t>
      </w:r>
      <w:r>
        <w:rPr>
          <w:rFonts w:hint="eastAsia" w:ascii="宋体" w:hAnsi="宋体" w:eastAsia="宋体" w:cs="宋体"/>
          <w:sz w:val="21"/>
          <w:szCs w:val="21"/>
        </w:rPr>
        <w:t>台公务车（6台救护车</w:t>
      </w:r>
      <w:r>
        <w:rPr>
          <w:rFonts w:hint="eastAsia" w:ascii="宋体" w:hAnsi="宋体" w:eastAsia="宋体" w:cs="宋体"/>
          <w:sz w:val="21"/>
          <w:szCs w:val="21"/>
          <w:lang w:eastAsia="zh-CN"/>
        </w:rPr>
        <w:t>和</w:t>
      </w:r>
      <w:r>
        <w:rPr>
          <w:rFonts w:hint="eastAsia" w:ascii="宋体" w:hAnsi="宋体" w:eastAsia="宋体" w:cs="宋体"/>
          <w:sz w:val="21"/>
          <w:szCs w:val="21"/>
          <w:lang w:val="en-US" w:eastAsia="zh-CN"/>
        </w:rPr>
        <w:t>7</w:t>
      </w:r>
      <w:r>
        <w:rPr>
          <w:rFonts w:hint="eastAsia" w:ascii="宋体" w:hAnsi="宋体" w:eastAsia="宋体" w:cs="宋体"/>
          <w:sz w:val="21"/>
          <w:szCs w:val="21"/>
        </w:rPr>
        <w:t>台行政车），</w:t>
      </w:r>
      <w:r>
        <w:rPr>
          <w:rFonts w:hint="eastAsia" w:ascii="宋体" w:hAnsi="宋体" w:eastAsia="宋体" w:cs="宋体"/>
          <w:sz w:val="21"/>
          <w:szCs w:val="21"/>
          <w:lang w:eastAsia="zh-CN"/>
        </w:rPr>
        <w:t>采购</w:t>
      </w:r>
      <w:r>
        <w:rPr>
          <w:rFonts w:hint="eastAsia" w:ascii="宋体" w:hAnsi="宋体" w:eastAsia="宋体" w:cs="宋体"/>
          <w:sz w:val="21"/>
          <w:szCs w:val="21"/>
        </w:rPr>
        <w:t>一家公司</w:t>
      </w:r>
      <w:r>
        <w:rPr>
          <w:rFonts w:hint="eastAsia" w:ascii="宋体" w:hAnsi="宋体" w:eastAsia="宋体" w:cs="宋体"/>
          <w:sz w:val="21"/>
          <w:szCs w:val="21"/>
          <w:lang w:eastAsia="zh-CN"/>
        </w:rPr>
        <w:t>为医院提供</w:t>
      </w:r>
      <w:r>
        <w:rPr>
          <w:rFonts w:hint="eastAsia" w:ascii="宋体" w:hAnsi="宋体" w:eastAsia="宋体" w:cs="宋体"/>
          <w:sz w:val="21"/>
          <w:szCs w:val="21"/>
        </w:rPr>
        <w:t>定点加油</w:t>
      </w:r>
      <w:r>
        <w:rPr>
          <w:rFonts w:hint="eastAsia" w:ascii="宋体" w:hAnsi="宋体" w:eastAsia="宋体" w:cs="宋体"/>
          <w:sz w:val="21"/>
          <w:szCs w:val="21"/>
          <w:lang w:eastAsia="zh-CN"/>
        </w:rPr>
        <w:t>服务</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eastAsia="zh-CN"/>
        </w:rPr>
        <w:t>报价要求</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000000"/>
          <w:sz w:val="21"/>
          <w:szCs w:val="21"/>
          <w:lang w:val="en-US" w:eastAsia="zh-CN"/>
        </w:rPr>
        <w:t>3.1总价限价：</w:t>
      </w:r>
      <w:r>
        <w:rPr>
          <w:rFonts w:hint="eastAsia" w:ascii="宋体" w:hAnsi="宋体" w:eastAsia="宋体" w:cs="宋体"/>
          <w:color w:val="000000"/>
          <w:sz w:val="21"/>
          <w:szCs w:val="21"/>
          <w:lang w:val="en-US" w:eastAsia="zh-CN"/>
        </w:rPr>
        <w:t>28</w:t>
      </w:r>
      <w:r>
        <w:rPr>
          <w:rFonts w:hint="eastAsia" w:ascii="宋体" w:hAnsi="宋体" w:eastAsia="宋体" w:cs="宋体"/>
          <w:color w:val="000000"/>
          <w:sz w:val="21"/>
          <w:szCs w:val="21"/>
        </w:rPr>
        <w:t>万元</w:t>
      </w:r>
      <w:r>
        <w:rPr>
          <w:rFonts w:hint="eastAsia" w:ascii="宋体" w:hAnsi="宋体" w:eastAsia="宋体" w:cs="宋体"/>
          <w:color w:val="auto"/>
          <w:kern w:val="0"/>
          <w:sz w:val="21"/>
          <w:szCs w:val="21"/>
          <w:highlight w:val="none"/>
          <w:lang w:val="en-US" w:eastAsia="zh-CN"/>
        </w:rPr>
        <w:t>（按实际加油量进行结算）</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sz w:val="21"/>
          <w:szCs w:val="21"/>
          <w:highlight w:val="none"/>
        </w:rPr>
      </w:pPr>
      <w:r>
        <w:rPr>
          <w:rFonts w:hint="eastAsia" w:ascii="宋体" w:hAnsi="宋体" w:eastAsia="宋体" w:cs="宋体"/>
          <w:b/>
          <w:bCs/>
          <w:color w:val="000000"/>
          <w:sz w:val="21"/>
          <w:szCs w:val="21"/>
          <w:lang w:val="en-US" w:eastAsia="zh-CN"/>
        </w:rPr>
        <w:t>3.2</w:t>
      </w:r>
      <w:r>
        <w:rPr>
          <w:rFonts w:hint="eastAsia" w:ascii="宋体" w:hAnsi="宋体" w:eastAsia="宋体" w:cs="宋体"/>
          <w:b/>
          <w:bCs/>
          <w:color w:val="000000"/>
          <w:sz w:val="21"/>
          <w:szCs w:val="21"/>
        </w:rPr>
        <w:t>单价限价</w:t>
      </w:r>
      <w:r>
        <w:rPr>
          <w:rFonts w:hint="eastAsia" w:ascii="宋体" w:hAnsi="宋体" w:eastAsia="宋体" w:cs="宋体"/>
          <w:b/>
          <w:bCs/>
          <w:color w:val="000000"/>
          <w:sz w:val="21"/>
          <w:szCs w:val="21"/>
          <w:highlight w:val="none"/>
        </w:rPr>
        <w:t>：</w:t>
      </w:r>
    </w:p>
    <w:tbl>
      <w:tblPr>
        <w:tblStyle w:val="15"/>
        <w:tblW w:w="87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4"/>
        <w:gridCol w:w="2850"/>
        <w:gridCol w:w="930"/>
        <w:gridCol w:w="1200"/>
        <w:gridCol w:w="1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9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项目</w:t>
            </w:r>
          </w:p>
        </w:tc>
        <w:tc>
          <w:tcPr>
            <w:tcW w:w="28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年预算采购数量（约）</w:t>
            </w:r>
          </w:p>
        </w:tc>
        <w:tc>
          <w:tcPr>
            <w:tcW w:w="184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单价限价（元）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89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公务车燃料</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0#柴油、92#汽油、95#汽油，98#汽油等</w:t>
            </w:r>
          </w:p>
        </w:tc>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4万升</w:t>
            </w:r>
          </w:p>
        </w:tc>
        <w:tc>
          <w:tcPr>
            <w:tcW w:w="18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highlight w:val="none"/>
              </w:rPr>
              <w:t>广东省每日油品挂牌零售价</w:t>
            </w:r>
            <w:r>
              <w:rPr>
                <w:rFonts w:hint="eastAsia" w:ascii="宋体" w:hAnsi="宋体" w:eastAsia="宋体" w:cs="宋体"/>
                <w:sz w:val="21"/>
                <w:szCs w:val="21"/>
                <w:highlight w:val="none"/>
                <w:lang w:eastAsia="zh-CN"/>
              </w:rPr>
              <w:t>为最高限价</w:t>
            </w:r>
          </w:p>
        </w:tc>
      </w:tr>
    </w:tbl>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3.3报价包括但不限于燃油费、税费、服务费等一切费用。</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4</w:t>
      </w:r>
      <w:r>
        <w:rPr>
          <w:rFonts w:hint="eastAsia" w:ascii="宋体" w:hAnsi="宋体" w:eastAsia="宋体" w:cs="宋体"/>
          <w:b/>
          <w:bCs/>
          <w:color w:val="000000"/>
          <w:sz w:val="21"/>
          <w:szCs w:val="21"/>
        </w:rPr>
        <w:t>.服务期限</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自合同签订之日起1年。</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000000"/>
          <w:sz w:val="21"/>
          <w:szCs w:val="21"/>
          <w:lang w:val="en-US" w:eastAsia="zh-CN"/>
        </w:rPr>
        <w:t>5.</w:t>
      </w:r>
      <w:r>
        <w:rPr>
          <w:rFonts w:hint="eastAsia" w:ascii="宋体" w:hAnsi="宋体" w:eastAsia="宋体" w:cs="宋体"/>
          <w:b/>
          <w:bCs/>
          <w:color w:val="000000"/>
          <w:sz w:val="21"/>
          <w:szCs w:val="21"/>
        </w:rPr>
        <w:t>车辆加油及油品要求</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5.1公司应将采购人所有公务车辆信息登记在册。</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5.2采购人由专人司机到成交公司加油站加油，加油完毕由采购人司机签名确认。</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5.3采购人职工车辆（约600台）中的自愿者享受同等优惠，油费由采购人院内职工自行实时支付，不得记入采购人公务车加油清单。</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5.4</w:t>
      </w:r>
      <w:r>
        <w:rPr>
          <w:rFonts w:hint="eastAsia" w:ascii="宋体" w:hAnsi="宋体" w:eastAsia="宋体" w:cs="宋体"/>
          <w:sz w:val="21"/>
          <w:szCs w:val="21"/>
        </w:rPr>
        <w:t>公司所提供的燃油油品质量必须达到国家质量认证标准和安全环保等相关标准及要求，须提供有效的油品来源证明文件，严禁提供假冒伪劣、过期变质物资，如因油质问题，致使</w:t>
      </w:r>
      <w:r>
        <w:rPr>
          <w:rFonts w:hint="eastAsia" w:ascii="宋体" w:hAnsi="宋体" w:eastAsia="宋体" w:cs="宋体"/>
          <w:sz w:val="21"/>
          <w:szCs w:val="21"/>
          <w:lang w:eastAsia="zh-CN"/>
        </w:rPr>
        <w:t>采购人</w:t>
      </w:r>
      <w:r>
        <w:rPr>
          <w:rFonts w:hint="eastAsia" w:ascii="宋体" w:hAnsi="宋体" w:eastAsia="宋体" w:cs="宋体"/>
          <w:sz w:val="21"/>
          <w:szCs w:val="21"/>
        </w:rPr>
        <w:t>车辆部件损坏，公司应无条件赔偿</w:t>
      </w:r>
      <w:r>
        <w:rPr>
          <w:rFonts w:hint="eastAsia" w:ascii="宋体" w:hAnsi="宋体" w:eastAsia="宋体" w:cs="宋体"/>
          <w:sz w:val="21"/>
          <w:szCs w:val="21"/>
          <w:lang w:eastAsia="zh-CN"/>
        </w:rPr>
        <w:t>采购人</w:t>
      </w:r>
      <w:r>
        <w:rPr>
          <w:rFonts w:hint="eastAsia" w:ascii="宋体" w:hAnsi="宋体" w:eastAsia="宋体" w:cs="宋体"/>
          <w:sz w:val="21"/>
          <w:szCs w:val="21"/>
        </w:rPr>
        <w:t>所受到的</w:t>
      </w:r>
      <w:r>
        <w:rPr>
          <w:rFonts w:hint="eastAsia" w:ascii="宋体" w:hAnsi="宋体" w:eastAsia="宋体" w:cs="宋体"/>
          <w:sz w:val="21"/>
          <w:szCs w:val="21"/>
          <w:lang w:eastAsia="zh-CN"/>
        </w:rPr>
        <w:t>全部</w:t>
      </w:r>
      <w:r>
        <w:rPr>
          <w:rFonts w:hint="eastAsia" w:ascii="宋体" w:hAnsi="宋体" w:eastAsia="宋体" w:cs="宋体"/>
          <w:sz w:val="21"/>
          <w:szCs w:val="21"/>
        </w:rPr>
        <w:t>损失，同时</w:t>
      </w:r>
      <w:r>
        <w:rPr>
          <w:rFonts w:hint="eastAsia" w:ascii="宋体" w:hAnsi="宋体" w:eastAsia="宋体" w:cs="宋体"/>
          <w:sz w:val="21"/>
          <w:szCs w:val="21"/>
          <w:lang w:eastAsia="zh-CN"/>
        </w:rPr>
        <w:t>采购人</w:t>
      </w:r>
      <w:r>
        <w:rPr>
          <w:rFonts w:hint="eastAsia" w:ascii="宋体" w:hAnsi="宋体" w:eastAsia="宋体" w:cs="宋体"/>
          <w:sz w:val="21"/>
          <w:szCs w:val="21"/>
        </w:rPr>
        <w:t>有权单方终止采购合同。</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5.5</w:t>
      </w:r>
      <w:r>
        <w:rPr>
          <w:rFonts w:hint="eastAsia" w:ascii="宋体" w:hAnsi="宋体" w:eastAsia="宋体" w:cs="宋体"/>
          <w:sz w:val="21"/>
          <w:szCs w:val="21"/>
        </w:rPr>
        <w:t xml:space="preserve"> 公司加油设备必须通过质量技术监督局计量部门监测，保证加油机油量符合国家计量标准。若出现短斤少两或数据造假的，公司应支付当月所供应油量总价款的200%作为违约金赔偿，同时</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有权单方终止采购合同。 </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5.6</w:t>
      </w:r>
      <w:r>
        <w:rPr>
          <w:rFonts w:hint="eastAsia" w:ascii="宋体" w:hAnsi="宋体" w:eastAsia="宋体" w:cs="宋体"/>
          <w:sz w:val="21"/>
          <w:szCs w:val="21"/>
        </w:rPr>
        <w:t>公司须列明可供油品种类、标号，并按照当日挂牌零售价的下浮价报价</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.7公司每次加油完毕后向</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司机确认车辆加油情况数据，统计填报的数据资料准确、完整、无隐瞒。建立加油车辆档案，认真做好各项记录，保管好原始记录，做好跟踪服务。 </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5.8</w:t>
      </w:r>
      <w:r>
        <w:rPr>
          <w:rFonts w:hint="eastAsia" w:ascii="宋体" w:hAnsi="宋体" w:eastAsia="宋体" w:cs="宋体"/>
          <w:sz w:val="21"/>
          <w:szCs w:val="21"/>
        </w:rPr>
        <w:t>公司必须严格执行投标时的优惠条件，保证供油质量，准确计量，提供优质、方便、快捷的服务。当油品供应紧张时，必须优先满足</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车辆单位公务用车加油需求。 </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5.9</w:t>
      </w:r>
      <w:r>
        <w:rPr>
          <w:rFonts w:hint="eastAsia" w:ascii="宋体" w:hAnsi="宋体" w:eastAsia="宋体" w:cs="宋体"/>
          <w:sz w:val="21"/>
          <w:szCs w:val="21"/>
        </w:rPr>
        <w:t xml:space="preserve"> 公司应认真落实防火安全责任制，确保</w:t>
      </w:r>
      <w:r>
        <w:rPr>
          <w:rFonts w:hint="eastAsia" w:ascii="宋体" w:hAnsi="宋体" w:eastAsia="宋体" w:cs="宋体"/>
          <w:sz w:val="21"/>
          <w:szCs w:val="21"/>
          <w:lang w:eastAsia="zh-CN"/>
        </w:rPr>
        <w:t>采购人</w:t>
      </w:r>
      <w:r>
        <w:rPr>
          <w:rFonts w:hint="eastAsia" w:ascii="宋体" w:hAnsi="宋体" w:eastAsia="宋体" w:cs="宋体"/>
          <w:sz w:val="21"/>
          <w:szCs w:val="21"/>
        </w:rPr>
        <w:t>加油车辆的安全，如加油时，因安全生产措施不力，造成生产安全事故的均由公司负全责。</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.10公司在受理</w:t>
      </w:r>
      <w:r>
        <w:rPr>
          <w:rFonts w:hint="eastAsia" w:ascii="宋体" w:hAnsi="宋体" w:eastAsia="宋体" w:cs="宋体"/>
          <w:sz w:val="21"/>
          <w:szCs w:val="21"/>
          <w:lang w:eastAsia="zh-CN"/>
        </w:rPr>
        <w:t>采购人</w:t>
      </w:r>
      <w:r>
        <w:rPr>
          <w:rFonts w:hint="eastAsia" w:ascii="宋体" w:hAnsi="宋体" w:eastAsia="宋体" w:cs="宋体"/>
          <w:sz w:val="21"/>
          <w:szCs w:val="21"/>
        </w:rPr>
        <w:t>加油服务时，要核对加油车辆车牌号是否与</w:t>
      </w:r>
      <w:r>
        <w:rPr>
          <w:rFonts w:hint="eastAsia" w:ascii="宋体" w:hAnsi="宋体" w:eastAsia="宋体" w:cs="宋体"/>
          <w:sz w:val="21"/>
          <w:szCs w:val="21"/>
          <w:lang w:eastAsia="zh-CN"/>
        </w:rPr>
        <w:t>采购人</w:t>
      </w:r>
      <w:r>
        <w:rPr>
          <w:rFonts w:hint="eastAsia" w:ascii="宋体" w:hAnsi="宋体" w:eastAsia="宋体" w:cs="宋体"/>
          <w:sz w:val="21"/>
          <w:szCs w:val="21"/>
        </w:rPr>
        <w:t>提供车牌号码清单一致，对不一致的有权拒绝加油。</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.11 服务期间，如公司暂不能为</w:t>
      </w:r>
      <w:r>
        <w:rPr>
          <w:rFonts w:hint="eastAsia" w:ascii="宋体" w:hAnsi="宋体" w:eastAsia="宋体" w:cs="宋体"/>
          <w:sz w:val="21"/>
          <w:szCs w:val="21"/>
          <w:lang w:eastAsia="zh-CN"/>
        </w:rPr>
        <w:t>采购人</w:t>
      </w:r>
      <w:r>
        <w:rPr>
          <w:rFonts w:hint="eastAsia" w:ascii="宋体" w:hAnsi="宋体" w:eastAsia="宋体" w:cs="宋体"/>
          <w:sz w:val="21"/>
          <w:szCs w:val="21"/>
        </w:rPr>
        <w:t>提供加油服务，必须优先安排</w:t>
      </w:r>
      <w:r>
        <w:rPr>
          <w:rFonts w:hint="eastAsia" w:ascii="宋体" w:hAnsi="宋体" w:eastAsia="宋体" w:cs="宋体"/>
          <w:sz w:val="21"/>
          <w:szCs w:val="21"/>
          <w:lang w:eastAsia="zh-CN"/>
        </w:rPr>
        <w:t>采购人</w:t>
      </w:r>
      <w:r>
        <w:rPr>
          <w:rFonts w:hint="eastAsia" w:ascii="宋体" w:hAnsi="宋体" w:eastAsia="宋体" w:cs="宋体"/>
          <w:sz w:val="21"/>
          <w:szCs w:val="21"/>
        </w:rPr>
        <w:t>车队所有公务车到</w:t>
      </w:r>
      <w:r>
        <w:rPr>
          <w:rFonts w:hint="eastAsia" w:ascii="宋体" w:hAnsi="宋体" w:eastAsia="宋体" w:cs="宋体"/>
          <w:sz w:val="21"/>
          <w:szCs w:val="21"/>
          <w:lang w:eastAsia="zh-CN"/>
        </w:rPr>
        <w:t>南方医科大学第五附属</w:t>
      </w:r>
      <w:r>
        <w:rPr>
          <w:rFonts w:hint="eastAsia" w:ascii="宋体" w:hAnsi="宋体" w:eastAsia="宋体" w:cs="宋体"/>
          <w:sz w:val="21"/>
          <w:szCs w:val="21"/>
        </w:rPr>
        <w:t>医院路程8公里以内的周边最近的加油站加油，并保证油品质量和持续供应，并按照合同约定的价格结算。</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bCs/>
          <w:color w:val="000000"/>
          <w:sz w:val="21"/>
          <w:szCs w:val="21"/>
          <w:lang w:val="en-US" w:eastAsia="zh-CN"/>
        </w:rPr>
      </w:pPr>
      <w:r>
        <w:rPr>
          <w:rFonts w:hint="eastAsia" w:ascii="宋体" w:hAnsi="宋体" w:eastAsia="宋体" w:cs="宋体"/>
          <w:sz w:val="21"/>
          <w:szCs w:val="21"/>
          <w:lang w:val="en-US" w:eastAsia="zh-CN"/>
        </w:rPr>
        <w:t>5.12</w:t>
      </w:r>
      <w:r>
        <w:rPr>
          <w:rFonts w:hint="eastAsia" w:ascii="宋体" w:hAnsi="宋体" w:eastAsia="宋体" w:cs="宋体"/>
          <w:sz w:val="21"/>
          <w:szCs w:val="21"/>
        </w:rPr>
        <w:t>公司加油站提供每天24h服务，</w:t>
      </w:r>
      <w:r>
        <w:rPr>
          <w:rFonts w:hint="eastAsia" w:ascii="宋体" w:hAnsi="宋体" w:eastAsia="宋体" w:cs="宋体"/>
          <w:sz w:val="21"/>
          <w:szCs w:val="21"/>
          <w:lang w:eastAsia="zh-CN"/>
        </w:rPr>
        <w:t>采购人</w:t>
      </w:r>
      <w:r>
        <w:rPr>
          <w:rFonts w:hint="eastAsia" w:ascii="宋体" w:hAnsi="宋体" w:eastAsia="宋体" w:cs="宋体"/>
          <w:sz w:val="21"/>
          <w:szCs w:val="21"/>
        </w:rPr>
        <w:t>有紧急需求时，公司应为</w:t>
      </w:r>
      <w:r>
        <w:rPr>
          <w:rFonts w:hint="eastAsia" w:ascii="宋体" w:hAnsi="宋体" w:eastAsia="宋体" w:cs="宋体"/>
          <w:sz w:val="21"/>
          <w:szCs w:val="21"/>
          <w:lang w:eastAsia="zh-CN"/>
        </w:rPr>
        <w:t>采购人</w:t>
      </w:r>
      <w:r>
        <w:rPr>
          <w:rFonts w:hint="eastAsia" w:ascii="宋体" w:hAnsi="宋体" w:eastAsia="宋体" w:cs="宋体"/>
          <w:sz w:val="21"/>
          <w:szCs w:val="21"/>
        </w:rPr>
        <w:t>车辆优先提供加油服务。</w:t>
      </w:r>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6.付款说明</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采用先加油后付款方式，成交供应商统计每月加油总数、油品及金额，并出</w:t>
      </w:r>
      <w:r>
        <w:rPr>
          <w:rFonts w:hint="eastAsia" w:ascii="宋体" w:hAnsi="宋体" w:eastAsia="宋体" w:cs="宋体"/>
          <w:color w:val="auto"/>
          <w:sz w:val="21"/>
          <w:szCs w:val="21"/>
          <w:lang w:val="en-US" w:eastAsia="zh-CN"/>
        </w:rPr>
        <w:t>具采购人司机签名确认的单据，普通发票交给采购人，采购人在收到发票，经核实无误后，30个工作</w:t>
      </w:r>
      <w:r>
        <w:rPr>
          <w:rFonts w:hint="eastAsia" w:ascii="宋体" w:hAnsi="宋体" w:eastAsia="宋体" w:cs="宋体"/>
          <w:color w:val="000000"/>
          <w:sz w:val="21"/>
          <w:szCs w:val="21"/>
          <w:lang w:val="en-US" w:eastAsia="zh-CN"/>
        </w:rPr>
        <w:t>日内完成付款。</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宋体" w:hAnsi="宋体"/>
          <w:b/>
          <w:color w:val="auto"/>
          <w:sz w:val="24"/>
          <w:highlight w:val="none"/>
        </w:rPr>
      </w:pPr>
      <w:bookmarkStart w:id="8" w:name="_Toc27614"/>
      <w:bookmarkStart w:id="9" w:name="_Toc20762"/>
      <w:bookmarkStart w:id="10" w:name="_Toc28850"/>
      <w:bookmarkStart w:id="11" w:name="_Toc8122"/>
      <w:bookmarkStart w:id="12" w:name="_Toc26796"/>
      <w:bookmarkStart w:id="13" w:name="_Toc6416"/>
      <w:bookmarkStart w:id="14" w:name="_Toc20606"/>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备注：</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eastAsia="zh-CN"/>
        </w:rPr>
        <w:t>如</w:t>
      </w:r>
      <w:r>
        <w:rPr>
          <w:rFonts w:hint="eastAsia" w:ascii="宋体" w:hAnsi="宋体" w:eastAsia="宋体" w:cs="宋体"/>
          <w:sz w:val="21"/>
          <w:szCs w:val="21"/>
        </w:rPr>
        <w:t>标有“★”的条款均为必须完全满足指标，报价人须进行实质性响应，报价人若有一项带“★”的条款未响应或不满足，将</w:t>
      </w:r>
      <w:r>
        <w:rPr>
          <w:rFonts w:hint="eastAsia" w:ascii="宋体" w:hAnsi="宋体" w:eastAsia="宋体" w:cs="宋体"/>
          <w:sz w:val="21"/>
          <w:szCs w:val="21"/>
          <w:lang w:val="en-US" w:eastAsia="zh-CN"/>
        </w:rPr>
        <w:t>按无效投标处理。</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2.如标有“▲”的条款均为评审的重要评分指标，报价人若有部分“▲”条款未响应或不满足，将导致其响应性评审严重扣分。</w:t>
      </w:r>
      <w:bookmarkEnd w:id="1"/>
      <w:bookmarkEnd w:id="2"/>
      <w:bookmarkEnd w:id="8"/>
      <w:bookmarkEnd w:id="9"/>
      <w:bookmarkEnd w:id="10"/>
      <w:bookmarkEnd w:id="11"/>
      <w:bookmarkEnd w:id="12"/>
      <w:bookmarkEnd w:id="13"/>
      <w:bookmarkEnd w:id="14"/>
      <w:bookmarkStart w:id="15" w:name="_Toc3222"/>
      <w:bookmarkStart w:id="16" w:name="_Toc4075"/>
    </w:p>
    <w:p>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sz w:val="21"/>
          <w:szCs w:val="21"/>
          <w:lang w:val="en-US" w:eastAsia="zh-CN"/>
        </w:rPr>
      </w:pPr>
      <w:bookmarkStart w:id="17" w:name="_Toc11917"/>
      <w:r>
        <w:rPr>
          <w:rFonts w:hint="eastAsia" w:ascii="宋体" w:hAnsi="宋体" w:eastAsia="宋体" w:cs="宋体"/>
          <w:b/>
          <w:bCs/>
          <w:sz w:val="21"/>
          <w:szCs w:val="21"/>
          <w:lang w:val="en-US" w:eastAsia="zh-CN"/>
        </w:rPr>
        <w:t>3.成交原则：根据评审标准按综合评分法进行评审，按其评审总得分由高到低顺序排列评分情况，排名第一的供应商为第一成交候选人。</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4.供应商有下列情形之一的，将列入我院黑名单管理，在此后的三年内不得参与我院任何采买活动：</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（1）提供虚假材料谋取中标、成交的；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（2）采取不正当手段诋毁、排挤其它供应商的；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（3）与其他供应商或者采购机构恶意串通围标的；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（4）随意申请撤换或放弃中标/成交结果的；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（12）拒绝有关部门监督检查或者提供虚假情况的。</w:t>
      </w:r>
    </w:p>
    <w:p>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p>
    <w:p>
      <w:pPr>
        <w:pStyle w:val="5"/>
        <w:spacing w:line="360" w:lineRule="auto"/>
        <w:rPr>
          <w:rFonts w:hint="eastAsia" w:ascii="宋体" w:hAnsi="宋体" w:eastAsia="宋体" w:cs="宋体"/>
          <w:b w:val="0"/>
          <w:bCs w:val="0"/>
          <w:strike w:val="0"/>
          <w:dstrike w:val="0"/>
          <w:color w:val="auto"/>
          <w:kern w:val="2"/>
          <w:sz w:val="24"/>
          <w:szCs w:val="24"/>
          <w:highlight w:val="none"/>
          <w:lang w:val="en-US" w:eastAsia="zh-CN" w:bidi="ar-SA"/>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ind w:left="0" w:leftChars="0" w:firstLine="0" w:firstLineChars="0"/>
        <w:rPr>
          <w:rFonts w:hint="eastAsia" w:ascii="宋体" w:hAnsi="宋体" w:cs="宋体"/>
          <w:color w:val="0000FF"/>
          <w:sz w:val="24"/>
        </w:rPr>
      </w:pPr>
    </w:p>
    <w:p>
      <w:pPr>
        <w:jc w:val="center"/>
        <w:outlineLvl w:val="0"/>
        <w:rPr>
          <w:rFonts w:hint="eastAsia" w:ascii="宋体" w:hAnsi="宋体" w:eastAsia="宋体" w:cs="Times New Roman"/>
          <w:kern w:val="2"/>
          <w:sz w:val="24"/>
          <w:szCs w:val="24"/>
          <w:lang w:val="en-US" w:eastAsia="zh-CN" w:bidi="ar-SA"/>
        </w:rPr>
      </w:pPr>
      <w:r>
        <w:rPr>
          <w:rFonts w:hint="eastAsia"/>
          <w:b/>
          <w:bCs/>
          <w:color w:val="auto"/>
          <w:kern w:val="0"/>
          <w:sz w:val="32"/>
          <w:szCs w:val="36"/>
        </w:rPr>
        <w:t xml:space="preserve">第三部分  </w:t>
      </w:r>
      <w:bookmarkStart w:id="18" w:name="_Toc270"/>
      <w:r>
        <w:rPr>
          <w:rFonts w:hint="eastAsia"/>
          <w:b/>
          <w:bCs/>
          <w:color w:val="auto"/>
          <w:kern w:val="0"/>
          <w:sz w:val="32"/>
          <w:szCs w:val="36"/>
        </w:rPr>
        <w:t>资料整理注意事项</w:t>
      </w:r>
      <w:bookmarkEnd w:id="15"/>
      <w:bookmarkEnd w:id="16"/>
      <w:bookmarkEnd w:id="17"/>
      <w:bookmarkEnd w:id="18"/>
    </w:p>
    <w:p>
      <w:pPr>
        <w:pStyle w:val="7"/>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1.供应商在报名资料的基础上，根据采购文件第四部分相关格式目录内容完善相关资料，完善后的整体资料为一份完整响应文件，响应文件需编页码，相关文件页码与目录上的页码范围一一对应。</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3.响应文件需要一正伍副共6份，封面应注明“正本”、“副本”字样并加盖公章、装订成册，副本可用正本复印并在封面上加盖公章。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4.所有响应文件须密封在一个不透明的外层封装中；并在封口位置处加盖公章，如因响应文件未密封导致不能进入磋商环节者，一切后果由供应商自负。</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olor w:val="auto"/>
          <w:sz w:val="24"/>
        </w:rPr>
      </w:pPr>
      <w:r>
        <w:rPr>
          <w:rFonts w:hint="eastAsia" w:ascii="宋体" w:hAnsi="宋体" w:eastAsia="宋体" w:cs="宋体"/>
          <w:color w:val="auto"/>
          <w:sz w:val="24"/>
          <w:highlight w:val="none"/>
          <w:lang w:val="en-US" w:eastAsia="zh-CN"/>
        </w:rPr>
        <w:t>8.各供应商需认真阅读以上注意事项，不按要求提供响应文件者后果自负。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rPr>
          <w:rFonts w:ascii="宋体" w:hAnsi="宋体"/>
          <w:color w:val="auto"/>
          <w:sz w:val="24"/>
        </w:rPr>
      </w:pPr>
    </w:p>
    <w:p>
      <w:pPr>
        <w:rPr>
          <w:color w:val="auto"/>
        </w:rPr>
      </w:pPr>
      <w:bookmarkStart w:id="19" w:name="_Toc40346212"/>
      <w:bookmarkStart w:id="20" w:name="_Toc40776107"/>
    </w:p>
    <w:bookmarkEnd w:id="19"/>
    <w:bookmarkEnd w:id="20"/>
    <w:p>
      <w:pPr>
        <w:rPr>
          <w:rFonts w:hint="eastAsia" w:ascii="宋体" w:hAnsi="宋体" w:eastAsia="宋体"/>
          <w:color w:val="auto"/>
          <w:sz w:val="40"/>
        </w:rPr>
      </w:pPr>
      <w:bookmarkStart w:id="21" w:name="_Toc5829"/>
      <w:bookmarkStart w:id="22" w:name="_Toc2347"/>
      <w:bookmarkStart w:id="23" w:name="_Toc32164"/>
      <w:bookmarkStart w:id="24" w:name="_Toc30326"/>
      <w:bookmarkStart w:id="25" w:name="_Toc7581"/>
      <w:bookmarkStart w:id="26" w:name="_Toc13814"/>
      <w:bookmarkStart w:id="27" w:name="_Toc19354"/>
      <w:bookmarkStart w:id="28" w:name="_Toc40776108"/>
      <w:bookmarkStart w:id="29" w:name="_Toc40346213"/>
      <w:bookmarkStart w:id="30" w:name="_Toc2647"/>
      <w:bookmarkStart w:id="31" w:name="_Toc30230"/>
      <w:bookmarkStart w:id="32" w:name="_Toc32228"/>
      <w:bookmarkStart w:id="33" w:name="_Toc9461"/>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
        <w:rPr>
          <w:rFonts w:hint="eastAsia" w:ascii="宋体" w:hAnsi="宋体" w:eastAsia="宋体"/>
          <w:color w:val="auto"/>
          <w:sz w:val="40"/>
        </w:rPr>
      </w:pPr>
    </w:p>
    <w:p>
      <w:pPr>
        <w:rPr>
          <w:rFonts w:hint="eastAsia"/>
        </w:rPr>
      </w:pPr>
    </w:p>
    <w:p>
      <w:pPr>
        <w:pStyle w:val="3"/>
        <w:jc w:val="both"/>
        <w:outlineLvl w:val="0"/>
        <w:rPr>
          <w:rFonts w:hint="eastAsia" w:ascii="宋体" w:hAnsi="宋体" w:eastAsia="宋体"/>
          <w:color w:val="auto"/>
          <w:sz w:val="40"/>
        </w:rPr>
      </w:pPr>
    </w:p>
    <w:p>
      <w:pPr>
        <w:pStyle w:val="3"/>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21"/>
      <w:bookmarkEnd w:id="22"/>
      <w:bookmarkEnd w:id="23"/>
      <w:bookmarkEnd w:id="24"/>
      <w:bookmarkEnd w:id="25"/>
      <w:bookmarkEnd w:id="26"/>
      <w:bookmarkEnd w:id="27"/>
      <w:bookmarkEnd w:id="28"/>
      <w:bookmarkEnd w:id="29"/>
      <w:bookmarkEnd w:id="30"/>
      <w:bookmarkEnd w:id="31"/>
      <w:bookmarkEnd w:id="32"/>
      <w:bookmarkEnd w:id="33"/>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22"/>
        <w:rPr>
          <w:color w:val="auto"/>
        </w:rPr>
      </w:pPr>
      <w:bookmarkStart w:id="34" w:name="_Toc26336"/>
      <w:bookmarkStart w:id="35" w:name="_Toc40346373"/>
      <w:bookmarkStart w:id="36" w:name="_Toc23126"/>
      <w:bookmarkStart w:id="37" w:name="_Toc40776109"/>
      <w:bookmarkStart w:id="38" w:name="_Toc10842"/>
      <w:bookmarkStart w:id="39" w:name="_Toc10941"/>
      <w:bookmarkStart w:id="40" w:name="_Toc13972"/>
      <w:bookmarkStart w:id="41" w:name="_Toc40346214"/>
      <w:bookmarkStart w:id="42" w:name="_Toc11236"/>
      <w:bookmarkStart w:id="43" w:name="_Toc17987"/>
      <w:bookmarkStart w:id="44" w:name="_Toc30201"/>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5" w:name="_Toc12695"/>
      <w:bookmarkStart w:id="46" w:name="_Toc13293"/>
      <w:bookmarkStart w:id="47" w:name="_Toc3033"/>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pStyle w:val="2"/>
        <w:rPr>
          <w:rFonts w:ascii="仿宋" w:hAnsi="仿宋" w:eastAsia="仿宋" w:cs="宋体"/>
          <w:b/>
          <w:color w:val="auto"/>
          <w:kern w:val="0"/>
          <w:sz w:val="24"/>
          <w:szCs w:val="32"/>
        </w:rPr>
      </w:pPr>
    </w:p>
    <w:p>
      <w:pPr>
        <w:rPr>
          <w:rFonts w:ascii="仿宋" w:hAnsi="仿宋" w:eastAsia="仿宋" w:cs="宋体"/>
          <w:b/>
          <w:color w:val="auto"/>
          <w:kern w:val="0"/>
          <w:sz w:val="24"/>
          <w:szCs w:val="32"/>
        </w:rPr>
      </w:pPr>
    </w:p>
    <w:p>
      <w:pPr>
        <w:pStyle w:val="2"/>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pacing w:line="240" w:lineRule="auto"/>
        <w:jc w:val="center"/>
        <w:rPr>
          <w:rFonts w:hint="eastAsia" w:ascii="宋体" w:hAnsi="宋体" w:eastAsia="宋体" w:cs="宋体"/>
          <w:b/>
          <w:bCs w:val="0"/>
          <w:color w:val="auto"/>
          <w:kern w:val="0"/>
          <w:sz w:val="52"/>
          <w:szCs w:val="52"/>
          <w:lang w:val="en-US" w:eastAsia="zh-CN"/>
        </w:rPr>
      </w:pPr>
      <w:bookmarkStart w:id="48" w:name="_Toc9134"/>
      <w:bookmarkStart w:id="49" w:name="_Toc23156"/>
      <w:bookmarkStart w:id="50" w:name="_Toc10213"/>
      <w:bookmarkStart w:id="51" w:name="_Toc12431"/>
      <w:bookmarkStart w:id="52" w:name="_Toc4407"/>
      <w:bookmarkStart w:id="53" w:name="_Toc25470"/>
      <w:bookmarkStart w:id="54" w:name="_Toc40346222"/>
      <w:bookmarkStart w:id="55" w:name="_Toc18837"/>
      <w:bookmarkStart w:id="56" w:name="_Toc28217"/>
      <w:bookmarkStart w:id="57" w:name="_Toc40346381"/>
      <w:bookmarkStart w:id="58" w:name="_Toc3784"/>
      <w:bookmarkStart w:id="59" w:name="_Toc22145"/>
      <w:bookmarkStart w:id="60" w:name="_Toc22864"/>
      <w:bookmarkStart w:id="61" w:name="_Toc40776117"/>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0"/>
        <w:rPr>
          <w:rFonts w:ascii="宋体" w:hAnsi="宋体" w:cs="宋体"/>
          <w:kern w:val="0"/>
          <w:sz w:val="30"/>
          <w:szCs w:val="30"/>
        </w:rPr>
      </w:pPr>
      <w:bookmarkStart w:id="62" w:name="_Toc12520"/>
      <w:bookmarkStart w:id="63" w:name="_Toc40346375"/>
      <w:bookmarkStart w:id="64" w:name="_Toc15870"/>
      <w:bookmarkStart w:id="65" w:name="_Toc40776111"/>
      <w:bookmarkStart w:id="66" w:name="_Toc8364"/>
      <w:bookmarkStart w:id="67" w:name="_Toc11075"/>
      <w:bookmarkStart w:id="68" w:name="_Toc435"/>
      <w:bookmarkStart w:id="69" w:name="_Toc3471"/>
      <w:bookmarkStart w:id="70" w:name="_Toc11305"/>
      <w:bookmarkStart w:id="71" w:name="_Toc40346216"/>
      <w:bookmarkStart w:id="72" w:name="_Toc26267"/>
      <w:bookmarkStart w:id="73" w:name="_Toc7291"/>
      <w:bookmarkStart w:id="74" w:name="_Toc6547"/>
      <w:bookmarkStart w:id="75" w:name="_Toc28703"/>
      <w:bookmarkStart w:id="76" w:name="_Toc1994"/>
      <w:bookmarkStart w:id="77" w:name="_Toc29113"/>
      <w:bookmarkStart w:id="78" w:name="_Toc21249"/>
    </w:p>
    <w:p>
      <w:pPr>
        <w:widowControl/>
        <w:spacing w:line="360" w:lineRule="auto"/>
        <w:ind w:firstLine="600"/>
        <w:outlineLvl w:val="0"/>
      </w:pPr>
      <w:r>
        <w:rPr>
          <w:rFonts w:ascii="宋体" w:hAnsi="宋体" w:cs="宋体"/>
          <w:kern w:val="0"/>
          <w:sz w:val="30"/>
          <w:szCs w:val="30"/>
        </w:rPr>
        <w:t>项目编号：</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Start w:id="79" w:name="_Toc40346376"/>
      <w:bookmarkStart w:id="80" w:name="_Toc40346217"/>
      <w:bookmarkStart w:id="81" w:name="_Toc27997"/>
      <w:bookmarkStart w:id="82" w:name="_Toc2916"/>
      <w:bookmarkStart w:id="83" w:name="_Toc40776112"/>
      <w:bookmarkStart w:id="84" w:name="_Toc17709"/>
      <w:bookmarkStart w:id="85" w:name="_Toc1743"/>
      <w:bookmarkStart w:id="86" w:name="_Toc20884"/>
    </w:p>
    <w:p>
      <w:pPr>
        <w:widowControl/>
        <w:spacing w:line="360" w:lineRule="auto"/>
        <w:ind w:firstLine="600"/>
        <w:outlineLvl w:val="0"/>
        <w:rPr>
          <w:rFonts w:cs="宋体"/>
          <w:kern w:val="0"/>
          <w:sz w:val="30"/>
          <w:szCs w:val="30"/>
        </w:rPr>
      </w:pPr>
      <w:bookmarkStart w:id="87" w:name="_Toc19699"/>
      <w:bookmarkStart w:id="88" w:name="_Toc5238"/>
      <w:bookmarkStart w:id="89" w:name="_Toc11485"/>
      <w:bookmarkStart w:id="90" w:name="_Toc2029"/>
      <w:bookmarkStart w:id="91" w:name="_Toc29102"/>
      <w:bookmarkStart w:id="92" w:name="_Toc23097"/>
      <w:bookmarkStart w:id="93" w:name="_Toc2012"/>
      <w:bookmarkStart w:id="94" w:name="_Toc30979"/>
      <w:bookmarkStart w:id="95" w:name="_Toc31538"/>
      <w:r>
        <w:rPr>
          <w:rFonts w:ascii="宋体" w:hAnsi="宋体" w:cs="宋体"/>
          <w:kern w:val="0"/>
          <w:sz w:val="30"/>
          <w:szCs w:val="30"/>
        </w:rPr>
        <w:t>公司名称：</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27867"/>
      <w:bookmarkStart w:id="97" w:name="_Toc7052"/>
      <w:bookmarkStart w:id="98" w:name="_Toc16794"/>
      <w:bookmarkStart w:id="99" w:name="_Toc12645"/>
      <w:bookmarkStart w:id="100" w:name="_Toc40346218"/>
      <w:bookmarkStart w:id="101" w:name="_Toc11558"/>
      <w:bookmarkStart w:id="102" w:name="_Toc28064"/>
      <w:bookmarkStart w:id="103" w:name="_Toc40346377"/>
      <w:bookmarkStart w:id="104" w:name="_Toc14824"/>
      <w:bookmarkStart w:id="105" w:name="_Toc29767"/>
      <w:bookmarkStart w:id="106" w:name="_Toc24763"/>
      <w:bookmarkStart w:id="107" w:name="_Toc31993"/>
      <w:bookmarkStart w:id="108" w:name="_Toc4013"/>
      <w:bookmarkStart w:id="109" w:name="_Toc17930"/>
      <w:bookmarkStart w:id="110" w:name="_Toc11141"/>
      <w:bookmarkStart w:id="111" w:name="_Toc40776113"/>
      <w:bookmarkStart w:id="112" w:name="_Toc21483"/>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widowControl/>
        <w:spacing w:line="360" w:lineRule="auto"/>
        <w:ind w:firstLine="600"/>
        <w:outlineLvl w:val="0"/>
        <w:rPr>
          <w:rFonts w:cs="宋体"/>
          <w:kern w:val="0"/>
          <w:sz w:val="30"/>
          <w:szCs w:val="30"/>
        </w:rPr>
      </w:pPr>
      <w:bookmarkStart w:id="113" w:name="_Toc1324"/>
      <w:bookmarkStart w:id="114" w:name="_Toc40776114"/>
      <w:bookmarkStart w:id="115" w:name="_Toc6438"/>
      <w:bookmarkStart w:id="116" w:name="_Toc11334"/>
      <w:bookmarkStart w:id="117" w:name="_Toc4563"/>
      <w:bookmarkStart w:id="118" w:name="_Toc40346378"/>
      <w:bookmarkStart w:id="119" w:name="_Toc19831"/>
      <w:bookmarkStart w:id="120" w:name="_Toc31197"/>
      <w:bookmarkStart w:id="121" w:name="_Toc32709"/>
      <w:bookmarkStart w:id="122" w:name="_Toc9883"/>
      <w:bookmarkStart w:id="123" w:name="_Toc14287"/>
      <w:bookmarkStart w:id="124" w:name="_Toc24651"/>
      <w:bookmarkStart w:id="125" w:name="_Toc26029"/>
      <w:bookmarkStart w:id="126" w:name="_Toc27771"/>
      <w:bookmarkStart w:id="127" w:name="_Toc17537"/>
      <w:bookmarkStart w:id="128" w:name="_Toc16813"/>
      <w:bookmarkStart w:id="129" w:name="_Toc40346219"/>
      <w:r>
        <w:rPr>
          <w:rFonts w:ascii="宋体" w:hAnsi="宋体" w:cs="宋体"/>
          <w:kern w:val="0"/>
          <w:sz w:val="30"/>
          <w:szCs w:val="30"/>
        </w:rPr>
        <w:t>联系电话：</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widowControl/>
        <w:spacing w:line="360" w:lineRule="auto"/>
        <w:ind w:firstLine="600"/>
        <w:outlineLvl w:val="0"/>
        <w:rPr>
          <w:rFonts w:cs="宋体"/>
          <w:kern w:val="0"/>
          <w:sz w:val="30"/>
          <w:szCs w:val="30"/>
        </w:rPr>
      </w:pPr>
      <w:bookmarkStart w:id="130" w:name="_Toc3895"/>
      <w:bookmarkStart w:id="131" w:name="_Toc21940"/>
      <w:bookmarkStart w:id="132" w:name="_Toc40776115"/>
      <w:bookmarkStart w:id="133" w:name="_Toc13222"/>
      <w:bookmarkStart w:id="134" w:name="_Toc40346220"/>
      <w:bookmarkStart w:id="135" w:name="_Toc27868"/>
      <w:bookmarkStart w:id="136" w:name="_Toc20994"/>
      <w:bookmarkStart w:id="137" w:name="_Toc18353"/>
      <w:bookmarkStart w:id="138" w:name="_Toc14586"/>
      <w:bookmarkStart w:id="139" w:name="_Toc5189"/>
      <w:bookmarkStart w:id="140" w:name="_Toc30336"/>
      <w:bookmarkStart w:id="141" w:name="_Toc17483"/>
      <w:bookmarkStart w:id="142" w:name="_Toc5634"/>
      <w:bookmarkStart w:id="143" w:name="_Toc40346379"/>
      <w:bookmarkStart w:id="144" w:name="_Toc27206"/>
      <w:bookmarkStart w:id="145" w:name="_Toc12650"/>
      <w:bookmarkStart w:id="146" w:name="_Toc21686"/>
      <w:r>
        <w:rPr>
          <w:rFonts w:ascii="宋体" w:hAnsi="宋体" w:cs="宋体"/>
          <w:kern w:val="0"/>
          <w:sz w:val="30"/>
          <w:szCs w:val="30"/>
        </w:rPr>
        <w:t>联系邮箱：</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widowControl/>
        <w:spacing w:line="360" w:lineRule="auto"/>
        <w:ind w:firstLine="600"/>
        <w:outlineLvl w:val="0"/>
        <w:rPr>
          <w:rFonts w:cs="宋体"/>
          <w:kern w:val="0"/>
          <w:sz w:val="30"/>
          <w:szCs w:val="30"/>
        </w:rPr>
      </w:pPr>
      <w:bookmarkStart w:id="147" w:name="_Toc5220"/>
      <w:bookmarkStart w:id="148" w:name="_Toc21449"/>
      <w:bookmarkStart w:id="149" w:name="_Toc40776116"/>
      <w:bookmarkStart w:id="150" w:name="_Toc9282"/>
      <w:bookmarkStart w:id="151" w:name="_Toc27009"/>
      <w:bookmarkStart w:id="152" w:name="_Toc14462"/>
      <w:bookmarkStart w:id="153" w:name="_Toc12127"/>
      <w:bookmarkStart w:id="154" w:name="_Toc3498"/>
      <w:bookmarkStart w:id="155" w:name="_Toc40346221"/>
      <w:bookmarkStart w:id="156" w:name="_Toc32371"/>
      <w:bookmarkStart w:id="157" w:name="_Toc30856"/>
      <w:bookmarkStart w:id="158" w:name="_Toc27646"/>
      <w:bookmarkStart w:id="159" w:name="_Toc30904"/>
      <w:bookmarkStart w:id="160" w:name="_Toc8526"/>
      <w:bookmarkStart w:id="161" w:name="_Toc10454"/>
      <w:bookmarkStart w:id="162" w:name="_Toc11547"/>
      <w:bookmarkStart w:id="163" w:name="_Toc40346380"/>
      <w:r>
        <w:rPr>
          <w:rFonts w:ascii="宋体" w:hAnsi="宋体" w:cs="宋体"/>
          <w:kern w:val="0"/>
          <w:sz w:val="30"/>
          <w:szCs w:val="30"/>
        </w:rPr>
        <w:t>日    期：</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color w:val="auto"/>
          <w:kern w:val="0"/>
          <w:sz w:val="24"/>
          <w:szCs w:val="32"/>
        </w:rPr>
      </w:pPr>
      <w:r>
        <w:rPr>
          <w:rFonts w:hint="eastAsia" w:ascii="仿宋" w:hAnsi="仿宋" w:eastAsia="仿宋" w:cs="宋体"/>
          <w:b/>
          <w:color w:val="auto"/>
          <w:kern w:val="0"/>
          <w:sz w:val="24"/>
          <w:szCs w:val="32"/>
        </w:rPr>
        <w:t>目录模板</w:t>
      </w:r>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Style w:val="21"/>
        <w:ind w:firstLine="3975" w:firstLineChars="1100"/>
        <w:rPr>
          <w:b/>
          <w:bCs/>
          <w:color w:val="auto"/>
          <w:sz w:val="36"/>
          <w:szCs w:val="36"/>
        </w:rPr>
      </w:pPr>
      <w:bookmarkStart w:id="164" w:name="_Toc24584"/>
      <w:bookmarkStart w:id="165" w:name="_Toc27920"/>
      <w:bookmarkStart w:id="166" w:name="_Toc31006"/>
      <w:bookmarkStart w:id="167" w:name="_Toc6985"/>
      <w:r>
        <w:rPr>
          <w:rFonts w:hint="eastAsia"/>
          <w:b/>
          <w:bCs/>
          <w:color w:val="auto"/>
          <w:sz w:val="36"/>
          <w:szCs w:val="36"/>
        </w:rPr>
        <w:t>目  录</w:t>
      </w:r>
      <w:bookmarkEnd w:id="164"/>
      <w:bookmarkEnd w:id="165"/>
      <w:bookmarkEnd w:id="166"/>
      <w:bookmarkEnd w:id="167"/>
    </w:p>
    <w:tbl>
      <w:tblPr>
        <w:tblStyle w:val="15"/>
        <w:tblpPr w:leftFromText="180" w:rightFromText="180" w:vertAnchor="text" w:horzAnchor="page" w:tblpX="959" w:tblpY="244"/>
        <w:tblOverlap w:val="never"/>
        <w:tblW w:w="10766" w:type="dxa"/>
        <w:tblInd w:w="0" w:type="dxa"/>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用户需求偏离表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4"/>
                <w:lang w:val="en-US" w:eastAsia="zh-CN"/>
              </w:rPr>
            </w:pPr>
            <w:r>
              <w:rPr>
                <w:rFonts w:hint="eastAsia" w:ascii="宋体" w:hAnsi="宋体"/>
                <w:bCs/>
                <w:sz w:val="24"/>
                <w:lang w:val="en-US" w:eastAsia="zh-CN"/>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sz w:val="24"/>
                <w:lang w:eastAsia="zh-CN"/>
              </w:rPr>
            </w:pPr>
            <w:r>
              <w:rPr>
                <w:rFonts w:hint="eastAsia" w:ascii="宋体" w:hAnsi="宋体"/>
                <w:sz w:val="24"/>
              </w:rPr>
              <w:t xml:space="preserve">评分自查表 </w:t>
            </w:r>
            <w:r>
              <w:rPr>
                <w:rFonts w:hint="eastAsia" w:ascii="宋体" w:hAnsi="宋体"/>
                <w:color w:val="FF0000"/>
                <w:sz w:val="24"/>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sz w:val="24"/>
              </w:rPr>
            </w:pP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sz w:val="24"/>
                <w:lang w:eastAsia="zh-CN"/>
              </w:rPr>
            </w:pPr>
            <w:r>
              <w:rPr>
                <w:rFonts w:hint="eastAsia" w:ascii="宋体" w:hAnsi="宋体"/>
                <w:bCs/>
                <w:sz w:val="24"/>
                <w:lang w:val="en-US" w:eastAsia="zh-CN"/>
              </w:rPr>
              <w:t>4</w:t>
            </w:r>
          </w:p>
        </w:tc>
        <w:tc>
          <w:tcPr>
            <w:tcW w:w="8272"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sz w:val="24"/>
                <w:lang w:eastAsia="zh-CN"/>
              </w:rPr>
            </w:pPr>
            <w:r>
              <w:rPr>
                <w:rFonts w:hint="eastAsia" w:ascii="宋体" w:hAnsi="宋体"/>
                <w:bCs/>
                <w:sz w:val="24"/>
                <w:lang w:val="en-US" w:eastAsia="zh-CN"/>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6</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Times New Roman"/>
                <w:bCs/>
                <w:kern w:val="2"/>
                <w:sz w:val="24"/>
                <w:szCs w:val="24"/>
                <w:lang w:val="en-US" w:eastAsia="zh-CN" w:bidi="ar-SA"/>
              </w:rPr>
            </w:pPr>
            <w:r>
              <w:rPr>
                <w:rFonts w:hint="default" w:ascii="宋体" w:hAnsi="宋体" w:eastAsia="宋体" w:cs="Times New Roman"/>
                <w:bCs/>
                <w:kern w:val="2"/>
                <w:sz w:val="24"/>
                <w:szCs w:val="24"/>
                <w:lang w:val="en-US" w:eastAsia="zh-CN" w:bidi="ar-SA"/>
              </w:rPr>
              <w:t>提供</w:t>
            </w:r>
            <w:r>
              <w:rPr>
                <w:rFonts w:hint="eastAsia" w:ascii="宋体" w:hAnsi="宋体" w:eastAsia="宋体" w:cs="Times New Roman"/>
                <w:bCs/>
                <w:kern w:val="2"/>
                <w:sz w:val="24"/>
                <w:szCs w:val="24"/>
                <w:lang w:val="en-US" w:eastAsia="zh-CN" w:bidi="ar-SA"/>
              </w:rPr>
              <w:t>有效期内</w:t>
            </w:r>
            <w:r>
              <w:rPr>
                <w:rFonts w:hint="default" w:ascii="宋体" w:hAnsi="宋体" w:eastAsia="宋体" w:cs="Times New Roman"/>
                <w:bCs/>
                <w:kern w:val="2"/>
                <w:sz w:val="24"/>
                <w:szCs w:val="24"/>
                <w:lang w:val="en-US" w:eastAsia="zh-CN" w:bidi="ar-SA"/>
              </w:rPr>
              <w:t>成品油零售经营批准证书</w:t>
            </w:r>
            <w:r>
              <w:rPr>
                <w:rFonts w:hint="eastAsia" w:ascii="宋体" w:hAnsi="宋体" w:eastAsia="宋体" w:cs="Times New Roman"/>
                <w:bCs/>
                <w:color w:val="0000FF"/>
                <w:kern w:val="2"/>
                <w:sz w:val="24"/>
                <w:szCs w:val="24"/>
                <w:lang w:val="en-US" w:eastAsia="zh-CN" w:bidi="ar-SA"/>
              </w:rPr>
              <w:t>（需提供证书复印件并加盖供应商公司公章）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7</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Times New Roman"/>
                <w:bCs/>
                <w:kern w:val="2"/>
                <w:sz w:val="24"/>
                <w:szCs w:val="24"/>
                <w:lang w:val="en-US" w:eastAsia="zh-CN" w:bidi="ar-SA"/>
              </w:rPr>
            </w:pPr>
            <w:r>
              <w:rPr>
                <w:rFonts w:hint="default" w:ascii="宋体" w:hAnsi="宋体" w:eastAsia="宋体" w:cs="Times New Roman"/>
                <w:bCs/>
                <w:kern w:val="2"/>
                <w:sz w:val="24"/>
                <w:szCs w:val="24"/>
                <w:lang w:val="en-US" w:eastAsia="zh-CN" w:bidi="ar-SA"/>
              </w:rPr>
              <w:t>提供</w:t>
            </w:r>
            <w:r>
              <w:rPr>
                <w:rFonts w:hint="eastAsia" w:ascii="宋体" w:hAnsi="宋体" w:eastAsia="宋体" w:cs="Times New Roman"/>
                <w:bCs/>
                <w:kern w:val="2"/>
                <w:sz w:val="24"/>
                <w:szCs w:val="24"/>
                <w:lang w:val="en-US" w:eastAsia="zh-CN" w:bidi="ar-SA"/>
              </w:rPr>
              <w:t>有效期内</w:t>
            </w:r>
            <w:r>
              <w:rPr>
                <w:rFonts w:hint="default" w:ascii="宋体" w:hAnsi="宋体" w:eastAsia="宋体" w:cs="Times New Roman"/>
                <w:bCs/>
                <w:kern w:val="2"/>
                <w:sz w:val="24"/>
                <w:szCs w:val="24"/>
                <w:lang w:val="en-US" w:eastAsia="zh-CN" w:bidi="ar-SA"/>
              </w:rPr>
              <w:t>危险化学品经营许可证</w:t>
            </w:r>
            <w:r>
              <w:rPr>
                <w:rFonts w:hint="eastAsia" w:ascii="宋体" w:hAnsi="宋体" w:eastAsia="宋体" w:cs="Times New Roman"/>
                <w:bCs/>
                <w:color w:val="0000FF"/>
                <w:kern w:val="2"/>
                <w:sz w:val="24"/>
                <w:szCs w:val="24"/>
                <w:lang w:val="en-US" w:eastAsia="zh-CN" w:bidi="ar-SA"/>
              </w:rPr>
              <w:t>（需提供证书复印件并加盖供应商公司公章）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default" w:ascii="宋体" w:hAnsi="宋体" w:eastAsia="宋体" w:cs="Times New Roman"/>
                <w:bCs/>
                <w:kern w:val="2"/>
                <w:sz w:val="24"/>
                <w:szCs w:val="24"/>
                <w:lang w:val="en-US" w:eastAsia="zh-CN" w:bidi="ar-SA"/>
              </w:rPr>
            </w:pP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FF"/>
                <w:sz w:val="24"/>
                <w:lang w:eastAsia="zh-CN"/>
              </w:rPr>
              <w:t>（需提供</w:t>
            </w:r>
            <w:r>
              <w:rPr>
                <w:rFonts w:hint="eastAsia" w:ascii="Times New Roman" w:hAnsi="宋体" w:eastAsia="宋体" w:cs="Times New Roman"/>
                <w:color w:val="0000FF"/>
                <w:sz w:val="24"/>
              </w:rPr>
              <w:t>承诺函，承诺函必须包含相关文字</w:t>
            </w:r>
            <w:r>
              <w:rPr>
                <w:rFonts w:hint="eastAsia" w:ascii="Times New Roman" w:hAnsi="宋体" w:eastAsia="宋体" w:cs="Times New Roman"/>
                <w:color w:val="0000FF"/>
                <w:sz w:val="24"/>
                <w:lang w:eastAsia="zh-CN"/>
              </w:rPr>
              <w:t>涵义</w:t>
            </w:r>
            <w:r>
              <w:rPr>
                <w:rFonts w:hint="eastAsia" w:ascii="Times New Roman" w:hAnsi="宋体" w:eastAsia="宋体" w:cs="Times New Roman"/>
                <w:color w:val="0000FF"/>
                <w:sz w:val="24"/>
              </w:rPr>
              <w:t>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报价表</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bCs/>
                <w:sz w:val="24"/>
                <w:szCs w:val="24"/>
              </w:rPr>
            </w:pP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公司简介</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w:t>
            </w:r>
            <w:r>
              <w:rPr>
                <w:rFonts w:hint="eastAsia" w:ascii="宋体" w:hAnsi="宋体" w:cs="宋体"/>
                <w:color w:val="0000FF"/>
                <w:kern w:val="2"/>
                <w:sz w:val="24"/>
                <w:szCs w:val="24"/>
                <w:lang w:val="en-US" w:eastAsia="zh-CN" w:bidi="ar-SA"/>
              </w:rPr>
              <w:t>（包含但不限于实施及售后等内容）</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w:t>
            </w:r>
            <w:r>
              <w:rPr>
                <w:rFonts w:hint="eastAsia" w:ascii="宋体" w:hAnsi="宋体" w:cs="宋体"/>
                <w:kern w:val="2"/>
                <w:sz w:val="24"/>
                <w:szCs w:val="24"/>
                <w:lang w:val="en-US" w:eastAsia="zh-CN" w:bidi="ar-SA"/>
              </w:rPr>
              <w:t>21</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1月1日</w:t>
            </w:r>
            <w:r>
              <w:rPr>
                <w:rFonts w:hint="eastAsia" w:ascii="宋体" w:hAnsi="宋体" w:eastAsia="宋体" w:cs="宋体"/>
                <w:kern w:val="2"/>
                <w:sz w:val="24"/>
                <w:szCs w:val="24"/>
                <w:lang w:val="en-US" w:eastAsia="zh-CN" w:bidi="ar-SA"/>
              </w:rPr>
              <w:t>至今同类项目的业绩用户名单（需提供合同关键页复印件，并加盖公章）。</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eastAsia="宋体" w:cs="Times New Roman"/>
                <w:bCs/>
                <w:kern w:val="2"/>
                <w:sz w:val="24"/>
                <w:szCs w:val="24"/>
                <w:lang w:val="en-US" w:eastAsia="zh-CN" w:bidi="ar-SA"/>
              </w:rPr>
            </w:pPr>
            <w:r>
              <w:rPr>
                <w:rFonts w:hint="eastAsia" w:ascii="宋体" w:hAnsi="宋体"/>
                <w:bCs/>
                <w:sz w:val="24"/>
                <w:szCs w:val="24"/>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eastAsia="宋体" w:cs="Times New Roman"/>
                <w:bCs/>
                <w:kern w:val="2"/>
                <w:sz w:val="24"/>
                <w:szCs w:val="24"/>
                <w:lang w:val="en-US" w:eastAsia="zh-CN" w:bidi="ar-SA"/>
              </w:rPr>
            </w:pPr>
            <w:r>
              <w:rPr>
                <w:rFonts w:hint="eastAsia" w:ascii="宋体" w:hAnsi="宋体"/>
                <w:bCs/>
                <w:sz w:val="24"/>
                <w:szCs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bl>
    <w:p>
      <w:pPr>
        <w:widowControl/>
        <w:spacing w:line="360" w:lineRule="auto"/>
        <w:jc w:val="left"/>
        <w:outlineLvl w:val="0"/>
        <w:rPr>
          <w:rFonts w:hint="eastAsia" w:ascii="仿宋" w:hAnsi="仿宋" w:eastAsia="仿宋" w:cs="宋体"/>
          <w:b/>
          <w:kern w:val="0"/>
          <w:sz w:val="24"/>
          <w:szCs w:val="32"/>
        </w:rPr>
      </w:pPr>
      <w:bookmarkStart w:id="168" w:name="_Toc562"/>
      <w:bookmarkStart w:id="169" w:name="_Toc11232"/>
      <w:bookmarkStart w:id="170" w:name="_Toc21936"/>
      <w:bookmarkStart w:id="171" w:name="_Toc24508"/>
    </w:p>
    <w:p>
      <w:pPr>
        <w:pStyle w:val="2"/>
        <w:rPr>
          <w:rFonts w:hint="eastAsia" w:ascii="仿宋" w:hAnsi="仿宋" w:eastAsia="仿宋" w:cs="宋体"/>
          <w:b/>
          <w:kern w:val="0"/>
          <w:sz w:val="24"/>
          <w:szCs w:val="32"/>
        </w:rPr>
      </w:pPr>
    </w:p>
    <w:p>
      <w:pPr>
        <w:rPr>
          <w:rFonts w:hint="eastAsia" w:ascii="仿宋" w:hAnsi="仿宋" w:eastAsia="仿宋" w:cs="宋体"/>
          <w:b/>
          <w:kern w:val="0"/>
          <w:sz w:val="24"/>
          <w:szCs w:val="32"/>
        </w:rPr>
      </w:pPr>
    </w:p>
    <w:p>
      <w:pPr>
        <w:pStyle w:val="2"/>
        <w:rPr>
          <w:rFonts w:hint="eastAsia" w:ascii="仿宋" w:hAnsi="仿宋" w:eastAsia="仿宋" w:cs="宋体"/>
          <w:b/>
          <w:kern w:val="0"/>
          <w:sz w:val="24"/>
          <w:szCs w:val="32"/>
        </w:rPr>
      </w:pPr>
    </w:p>
    <w:bookmarkEnd w:id="168"/>
    <w:bookmarkEnd w:id="169"/>
    <w:bookmarkEnd w:id="170"/>
    <w:bookmarkEnd w:id="171"/>
    <w:p>
      <w:pPr>
        <w:widowControl/>
        <w:spacing w:line="240" w:lineRule="auto"/>
        <w:jc w:val="left"/>
        <w:outlineLvl w:val="0"/>
        <w:rPr>
          <w:rFonts w:hint="eastAsia" w:ascii="仿宋" w:hAnsi="仿宋" w:eastAsia="仿宋" w:cs="宋体"/>
          <w:b/>
          <w:kern w:val="0"/>
          <w:sz w:val="24"/>
          <w:szCs w:val="32"/>
        </w:rPr>
      </w:pPr>
      <w:r>
        <w:rPr>
          <w:rFonts w:hint="eastAsia" w:ascii="仿宋" w:hAnsi="仿宋" w:eastAsia="仿宋" w:cs="宋体"/>
          <w:b/>
          <w:kern w:val="0"/>
          <w:sz w:val="24"/>
          <w:szCs w:val="32"/>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pPr>
        <w:widowControl/>
        <w:spacing w:line="240" w:lineRule="auto"/>
        <w:jc w:val="left"/>
        <w:outlineLvl w:val="0"/>
        <w:rPr>
          <w:rFonts w:hint="eastAsia" w:ascii="仿宋" w:hAnsi="仿宋" w:eastAsia="仿宋" w:cs="宋体"/>
          <w:b/>
          <w:kern w:val="0"/>
          <w:sz w:val="24"/>
          <w:szCs w:val="32"/>
        </w:rPr>
      </w:pPr>
      <w:r>
        <w:rPr>
          <w:rFonts w:hint="eastAsia" w:ascii="仿宋" w:hAnsi="仿宋" w:eastAsia="仿宋" w:cs="宋体"/>
          <w:b/>
          <w:kern w:val="0"/>
          <w:sz w:val="24"/>
          <w:szCs w:val="32"/>
        </w:rPr>
        <w:t>无偏离：所投产品/服务响应采购文件需求；</w:t>
      </w:r>
    </w:p>
    <w:p>
      <w:pPr>
        <w:widowControl/>
        <w:spacing w:line="240" w:lineRule="auto"/>
        <w:jc w:val="left"/>
        <w:outlineLvl w:val="0"/>
        <w:rPr>
          <w:rFonts w:hint="eastAsia" w:ascii="仿宋" w:hAnsi="仿宋" w:eastAsia="仿宋" w:cs="宋体"/>
          <w:b/>
          <w:kern w:val="0"/>
          <w:sz w:val="24"/>
          <w:szCs w:val="32"/>
        </w:rPr>
      </w:pPr>
      <w:r>
        <w:rPr>
          <w:rFonts w:hint="eastAsia" w:ascii="仿宋" w:hAnsi="仿宋" w:eastAsia="仿宋" w:cs="宋体"/>
          <w:b/>
          <w:kern w:val="0"/>
          <w:sz w:val="24"/>
          <w:szCs w:val="32"/>
        </w:rPr>
        <w:t>正偏离：所投产品/服务优于/高于采购文件需求；</w:t>
      </w:r>
    </w:p>
    <w:p>
      <w:pPr>
        <w:widowControl/>
        <w:spacing w:line="24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负偏离：所投产品/服务不符合采购文件需求。</w:t>
      </w:r>
    </w:p>
    <w:p>
      <w:pPr>
        <w:pStyle w:val="25"/>
        <w:tabs>
          <w:tab w:val="left" w:pos="1050"/>
          <w:tab w:val="center" w:pos="4535"/>
        </w:tabs>
        <w:jc w:val="center"/>
        <w:outlineLvl w:val="0"/>
        <w:rPr>
          <w:b/>
          <w:bCs/>
          <w:szCs w:val="21"/>
        </w:rPr>
      </w:pPr>
      <w:bookmarkStart w:id="172" w:name="_Toc20169"/>
      <w:bookmarkStart w:id="173" w:name="_Toc29101"/>
      <w:bookmarkStart w:id="174" w:name="_Toc31804"/>
      <w:bookmarkStart w:id="175" w:name="_Toc26391"/>
      <w:bookmarkStart w:id="176" w:name="_Toc10605"/>
      <w:bookmarkStart w:id="177" w:name="_Toc9683"/>
      <w:bookmarkStart w:id="178" w:name="_Toc11212"/>
      <w:bookmarkStart w:id="179" w:name="_Toc20065"/>
      <w:bookmarkStart w:id="180" w:name="_Toc28877"/>
      <w:bookmarkStart w:id="181" w:name="_Toc10771"/>
      <w:bookmarkStart w:id="182" w:name="_Toc31025"/>
      <w:bookmarkStart w:id="183" w:name="_Toc24565"/>
      <w:bookmarkStart w:id="184" w:name="_Toc25102"/>
      <w:r>
        <w:rPr>
          <w:rFonts w:hint="eastAsia"/>
          <w:b/>
          <w:bCs/>
        </w:rPr>
        <w:t>用户需求偏离表</w:t>
      </w:r>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5" w:name="_Toc6232"/>
      <w:bookmarkStart w:id="186" w:name="_Toc15079"/>
      <w:bookmarkStart w:id="187" w:name="_Toc24286"/>
      <w:bookmarkStart w:id="188" w:name="_Toc10398"/>
      <w:bookmarkStart w:id="189" w:name="_Toc7019"/>
      <w:bookmarkStart w:id="190" w:name="_Toc32295"/>
      <w:bookmarkStart w:id="191" w:name="_Toc24550"/>
    </w:p>
    <w:bookmarkEnd w:id="185"/>
    <w:p>
      <w:pPr>
        <w:spacing w:line="240" w:lineRule="auto"/>
        <w:ind w:firstLine="422" w:firstLineChars="200"/>
        <w:rPr>
          <w:rFonts w:hint="eastAsia" w:ascii="宋体" w:hAnsi="宋体" w:eastAsia="宋体" w:cs="宋体"/>
          <w:b/>
          <w:bCs/>
          <w:kern w:val="2"/>
          <w:sz w:val="21"/>
          <w:szCs w:val="21"/>
          <w:lang w:val="en-US" w:eastAsia="zh-CN" w:bidi="ar-SA"/>
        </w:rPr>
      </w:pPr>
      <w:bookmarkStart w:id="192" w:name="_Toc16131"/>
      <w:bookmarkStart w:id="193" w:name="_Toc31897"/>
      <w:bookmarkStart w:id="194" w:name="_Toc19330"/>
      <w:bookmarkStart w:id="195" w:name="_Toc28342"/>
      <w:bookmarkStart w:id="196" w:name="_Toc26114"/>
      <w:bookmarkStart w:id="197" w:name="_Toc15903"/>
      <w:bookmarkStart w:id="198" w:name="_Toc14718"/>
      <w:r>
        <w:rPr>
          <w:rFonts w:hint="eastAsia" w:ascii="宋体" w:hAnsi="宋体" w:eastAsia="宋体" w:cs="宋体"/>
          <w:b/>
          <w:bCs/>
          <w:kern w:val="2"/>
          <w:sz w:val="21"/>
          <w:szCs w:val="21"/>
          <w:lang w:val="en-US" w:eastAsia="zh-CN" w:bidi="ar-SA"/>
        </w:rPr>
        <w:t>一、</w:t>
      </w:r>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宋体" w:hAnsi="宋体" w:eastAsia="宋体" w:cs="宋体"/>
          <w:b/>
          <w:bCs/>
          <w:kern w:val="2"/>
          <w:sz w:val="21"/>
          <w:szCs w:val="21"/>
          <w:lang w:val="en-US" w:eastAsia="zh-CN" w:bidi="ar-SA"/>
        </w:rPr>
        <w:t>车辆加油及油品要求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是否偏离</w:t>
            </w:r>
          </w:p>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kern w:val="2"/>
                <w:sz w:val="21"/>
                <w:szCs w:val="21"/>
                <w:lang w:val="en-US" w:eastAsia="zh-CN" w:bidi="ar-SA"/>
              </w:rPr>
            </w:pPr>
          </w:p>
        </w:tc>
      </w:tr>
    </w:tbl>
    <w:p>
      <w:pPr>
        <w:spacing w:line="240" w:lineRule="auto"/>
        <w:ind w:firstLine="422" w:firstLineChars="200"/>
        <w:rPr>
          <w:rFonts w:ascii="宋体" w:hAnsi="宋体"/>
          <w:b/>
          <w:bCs/>
          <w:szCs w:val="21"/>
        </w:rPr>
      </w:pPr>
      <w:bookmarkStart w:id="199" w:name="_Toc2277"/>
    </w:p>
    <w:bookmarkEnd w:id="199"/>
    <w:p>
      <w:pPr>
        <w:pStyle w:val="21"/>
        <w:spacing w:line="240" w:lineRule="auto"/>
        <w:rPr>
          <w:rFonts w:hint="default" w:ascii="宋体" w:hAnsi="宋体" w:eastAsia="宋体" w:cs="Times New Roman"/>
          <w:b/>
          <w:bCs/>
          <w:kern w:val="2"/>
          <w:sz w:val="21"/>
          <w:szCs w:val="21"/>
          <w:lang w:val="en-US" w:eastAsia="zh-CN" w:bidi="ar-SA"/>
        </w:rPr>
      </w:pPr>
      <w:r>
        <w:rPr>
          <w:rFonts w:hint="eastAsia"/>
          <w:lang w:val="en-US" w:eastAsia="zh-CN"/>
        </w:rPr>
        <w:t xml:space="preserve">    二</w:t>
      </w:r>
      <w:r>
        <w:rPr>
          <w:rFonts w:hint="eastAsia" w:ascii="宋体" w:hAnsi="宋体" w:eastAsia="宋体" w:cs="Times New Roman"/>
          <w:b/>
          <w:bCs/>
          <w:kern w:val="2"/>
          <w:sz w:val="21"/>
          <w:szCs w:val="21"/>
          <w:lang w:val="en-US" w:eastAsia="zh-CN" w:bidi="ar-SA"/>
        </w:rPr>
        <w:t>、付款方式</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是否偏离</w:t>
            </w:r>
          </w:p>
          <w:p>
            <w:pPr>
              <w:spacing w:line="240" w:lineRule="auto"/>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bl>
    <w:p>
      <w:pPr>
        <w:pStyle w:val="21"/>
        <w:numPr>
          <w:ilvl w:val="0"/>
          <w:numId w:val="0"/>
        </w:numPr>
        <w:spacing w:line="240" w:lineRule="auto"/>
        <w:rPr>
          <w:rFonts w:hint="eastAsia"/>
          <w:lang w:val="en-US" w:eastAsia="zh-CN"/>
        </w:rPr>
      </w:pPr>
    </w:p>
    <w:p>
      <w:pPr>
        <w:spacing w:line="240" w:lineRule="auto"/>
        <w:ind w:firstLine="422" w:firstLineChars="200"/>
        <w:outlineLvl w:val="1"/>
        <w:rPr>
          <w:rFonts w:hint="eastAsia" w:ascii="宋体" w:hAnsi="宋体" w:eastAsia="宋体"/>
          <w:b/>
          <w:bCs/>
          <w:szCs w:val="21"/>
          <w:lang w:eastAsia="zh-CN"/>
        </w:rPr>
      </w:pPr>
      <w:r>
        <w:rPr>
          <w:rFonts w:hint="eastAsia" w:ascii="宋体" w:hAnsi="宋体"/>
          <w:b/>
          <w:bCs/>
          <w:szCs w:val="21"/>
          <w:lang w:eastAsia="zh-CN"/>
        </w:rPr>
        <w:t>三、报价要求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是否偏离</w:t>
            </w:r>
          </w:p>
          <w:p>
            <w:pPr>
              <w:spacing w:line="240" w:lineRule="auto"/>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bl>
    <w:p>
      <w:pPr>
        <w:pStyle w:val="6"/>
        <w:numPr>
          <w:ilvl w:val="0"/>
          <w:numId w:val="0"/>
        </w:numPr>
        <w:spacing w:line="240" w:lineRule="auto"/>
        <w:rPr>
          <w:rFonts w:hint="eastAsia" w:ascii="宋体" w:hAnsi="宋体" w:eastAsia="宋体" w:cs="Times New Roman"/>
          <w:b/>
          <w:bCs/>
          <w:kern w:val="2"/>
          <w:sz w:val="21"/>
          <w:szCs w:val="21"/>
          <w:lang w:val="en-US" w:eastAsia="zh-CN" w:bidi="ar-SA"/>
        </w:rPr>
      </w:pPr>
    </w:p>
    <w:p>
      <w:pPr>
        <w:pStyle w:val="21"/>
        <w:spacing w:line="240" w:lineRule="auto"/>
        <w:ind w:firstLine="422" w:firstLineChars="200"/>
        <w:rPr>
          <w:rFonts w:hint="eastAsia" w:ascii="宋体" w:hAnsi="宋体" w:eastAsia="宋体" w:cs="宋体"/>
          <w:b/>
          <w:bCs/>
          <w:kern w:val="2"/>
          <w:sz w:val="21"/>
          <w:szCs w:val="21"/>
          <w:lang w:val="en-US" w:eastAsia="zh-CN" w:bidi="ar-SA"/>
        </w:rPr>
      </w:pPr>
      <w:r>
        <w:rPr>
          <w:rFonts w:hint="eastAsia" w:ascii="宋体" w:hAnsi="宋体" w:cs="Times New Roman"/>
          <w:b/>
          <w:bCs/>
          <w:kern w:val="2"/>
          <w:sz w:val="21"/>
          <w:szCs w:val="21"/>
          <w:lang w:val="en-US" w:eastAsia="zh-CN" w:bidi="ar-SA"/>
        </w:rPr>
        <w:t>四、</w:t>
      </w:r>
      <w:r>
        <w:rPr>
          <w:rFonts w:hint="eastAsia" w:ascii="宋体" w:hAnsi="宋体" w:eastAsia="宋体" w:cs="宋体"/>
          <w:b/>
          <w:bCs/>
          <w:kern w:val="2"/>
          <w:sz w:val="21"/>
          <w:szCs w:val="21"/>
          <w:lang w:val="en-US" w:eastAsia="zh-CN" w:bidi="ar-SA"/>
        </w:rPr>
        <w:t>付款方式</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pStyle w:val="6"/>
        <w:numPr>
          <w:ilvl w:val="0"/>
          <w:numId w:val="0"/>
        </w:numPr>
        <w:spacing w:line="240" w:lineRule="auto"/>
        <w:ind w:firstLine="422" w:firstLineChars="200"/>
        <w:rPr>
          <w:rFonts w:hint="eastAsia" w:ascii="宋体" w:hAnsi="宋体" w:cs="Times New Roman"/>
          <w:b/>
          <w:bCs/>
          <w:kern w:val="2"/>
          <w:sz w:val="21"/>
          <w:szCs w:val="21"/>
          <w:lang w:val="en-US" w:eastAsia="zh-CN" w:bidi="ar-SA"/>
        </w:rPr>
      </w:pPr>
    </w:p>
    <w:p>
      <w:pPr>
        <w:pStyle w:val="6"/>
        <w:numPr>
          <w:ilvl w:val="0"/>
          <w:numId w:val="0"/>
        </w:numPr>
        <w:spacing w:line="240" w:lineRule="auto"/>
        <w:ind w:firstLine="422" w:firstLineChars="200"/>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五、</w:t>
      </w:r>
      <w:r>
        <w:rPr>
          <w:rFonts w:hint="eastAsia" w:ascii="宋体" w:hAnsi="宋体" w:eastAsia="宋体" w:cs="Times New Roman"/>
          <w:b/>
          <w:bCs/>
          <w:kern w:val="2"/>
          <w:sz w:val="21"/>
          <w:szCs w:val="21"/>
          <w:lang w:val="en-US" w:eastAsia="zh-CN" w:bidi="ar-SA"/>
        </w:rPr>
        <w:t>其他</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是否偏离</w:t>
            </w:r>
          </w:p>
          <w:p>
            <w:pPr>
              <w:spacing w:line="240" w:lineRule="auto"/>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bl>
    <w:p>
      <w:pPr>
        <w:pStyle w:val="6"/>
        <w:widowControl w:val="0"/>
        <w:numPr>
          <w:ilvl w:val="0"/>
          <w:numId w:val="0"/>
        </w:numPr>
        <w:spacing w:after="120"/>
        <w:jc w:val="both"/>
        <w:rPr>
          <w:rFonts w:hint="eastAsia" w:ascii="宋体" w:hAnsi="宋体" w:eastAsia="宋体" w:cs="Times New Roman"/>
          <w:b/>
          <w:bCs/>
          <w:kern w:val="2"/>
          <w:sz w:val="21"/>
          <w:szCs w:val="21"/>
          <w:lang w:val="en-US" w:eastAsia="zh-CN" w:bidi="ar-SA"/>
        </w:rPr>
        <w:sectPr>
          <w:footerReference r:id="rId9" w:type="default"/>
          <w:pgSz w:w="11906" w:h="16838"/>
          <w:pgMar w:top="1440" w:right="1134" w:bottom="1440" w:left="1134" w:header="851" w:footer="992" w:gutter="0"/>
          <w:pgNumType w:fmt="decimal" w:start="1"/>
          <w:cols w:space="720" w:num="1"/>
          <w:docGrid w:linePitch="312" w:charSpace="0"/>
        </w:sectPr>
      </w:pPr>
    </w:p>
    <w:p>
      <w:pPr>
        <w:pStyle w:val="6"/>
        <w:numPr>
          <w:ilvl w:val="0"/>
          <w:numId w:val="0"/>
        </w:numPr>
        <w:spacing w:line="240" w:lineRule="auto"/>
        <w:ind w:firstLine="422" w:firstLineChars="200"/>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六、</w:t>
      </w:r>
      <w:r>
        <w:rPr>
          <w:rFonts w:hint="eastAsia" w:ascii="宋体" w:hAnsi="宋体" w:eastAsia="宋体" w:cs="Times New Roman"/>
          <w:b/>
          <w:bCs/>
          <w:kern w:val="2"/>
          <w:sz w:val="21"/>
          <w:szCs w:val="21"/>
          <w:lang w:val="en-US" w:eastAsia="zh-CN" w:bidi="ar-SA"/>
        </w:rPr>
        <w:t>其他</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是否偏离</w:t>
            </w:r>
          </w:p>
          <w:p>
            <w:pPr>
              <w:spacing w:line="240" w:lineRule="auto"/>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bCs/>
                <w:szCs w:val="21"/>
              </w:rPr>
            </w:pPr>
          </w:p>
        </w:tc>
      </w:tr>
    </w:tbl>
    <w:p>
      <w:pPr>
        <w:pStyle w:val="6"/>
        <w:widowControl w:val="0"/>
        <w:numPr>
          <w:ilvl w:val="0"/>
          <w:numId w:val="0"/>
        </w:numPr>
        <w:spacing w:after="120"/>
        <w:jc w:val="both"/>
        <w:rPr>
          <w:rFonts w:hint="eastAsia" w:ascii="宋体" w:hAnsi="宋体" w:eastAsia="宋体" w:cs="Times New Roman"/>
          <w:b/>
          <w:bCs/>
          <w:kern w:val="2"/>
          <w:sz w:val="21"/>
          <w:szCs w:val="21"/>
          <w:lang w:val="en-US" w:eastAsia="zh-CN" w:bidi="ar-SA"/>
        </w:rPr>
        <w:sectPr>
          <w:footerReference r:id="rId10" w:type="default"/>
          <w:pgSz w:w="11906" w:h="16838"/>
          <w:pgMar w:top="1440" w:right="1134" w:bottom="1440" w:left="1134" w:header="851" w:footer="992" w:gutter="0"/>
          <w:pgNumType w:fmt="decimal"/>
          <w:cols w:space="720" w:num="1"/>
          <w:docGrid w:linePitch="312" w:charSpace="0"/>
        </w:sect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报价</w:t>
      </w:r>
      <w:r>
        <w:rPr>
          <w:rFonts w:hint="eastAsia" w:ascii="黑体" w:hAnsi="黑体" w:eastAsia="黑体"/>
          <w:color w:val="auto"/>
          <w:sz w:val="32"/>
          <w:szCs w:val="32"/>
          <w:lang w:eastAsia="zh-CN"/>
        </w:rPr>
        <w:t>表</w:t>
      </w:r>
    </w:p>
    <w:p>
      <w:pPr>
        <w:pStyle w:val="21"/>
        <w:rPr>
          <w:rFonts w:hint="eastAsia"/>
          <w:lang w:eastAsia="zh-CN"/>
        </w:rPr>
      </w:pPr>
    </w:p>
    <w:tbl>
      <w:tblPr>
        <w:tblStyle w:val="15"/>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5"/>
        <w:gridCol w:w="2295"/>
        <w:gridCol w:w="1170"/>
        <w:gridCol w:w="1409"/>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2415" w:type="dxa"/>
            <w:noWrap w:val="0"/>
            <w:vAlign w:val="center"/>
          </w:tcPr>
          <w:p>
            <w:pPr>
              <w:spacing w:line="360" w:lineRule="auto"/>
              <w:jc w:val="center"/>
              <w:rPr>
                <w:rFonts w:hint="eastAsia" w:ascii="宋体" w:hAnsi="宋体" w:eastAsia="宋体"/>
                <w:b/>
                <w:szCs w:val="21"/>
                <w:lang w:eastAsia="zh-CN"/>
              </w:rPr>
            </w:pPr>
            <w:r>
              <w:rPr>
                <w:rFonts w:hint="eastAsia" w:ascii="宋体" w:hAnsi="宋体"/>
                <w:b/>
                <w:szCs w:val="21"/>
                <w:lang w:eastAsia="zh-CN"/>
              </w:rPr>
              <w:t>品名</w:t>
            </w:r>
          </w:p>
        </w:tc>
        <w:tc>
          <w:tcPr>
            <w:tcW w:w="2295" w:type="dxa"/>
            <w:noWrap w:val="0"/>
            <w:vAlign w:val="center"/>
          </w:tcPr>
          <w:p>
            <w:pPr>
              <w:spacing w:line="360" w:lineRule="auto"/>
              <w:jc w:val="center"/>
              <w:rPr>
                <w:rFonts w:ascii="宋体" w:hAnsi="宋体"/>
                <w:b/>
                <w:szCs w:val="21"/>
              </w:rPr>
            </w:pPr>
            <w:r>
              <w:rPr>
                <w:rFonts w:ascii="宋体" w:hAnsi="宋体"/>
                <w:b/>
                <w:szCs w:val="21"/>
              </w:rPr>
              <w:t>名称</w:t>
            </w:r>
          </w:p>
        </w:tc>
        <w:tc>
          <w:tcPr>
            <w:tcW w:w="1170" w:type="dxa"/>
            <w:noWrap w:val="0"/>
            <w:vAlign w:val="center"/>
          </w:tcPr>
          <w:p>
            <w:pPr>
              <w:spacing w:line="360" w:lineRule="auto"/>
              <w:jc w:val="center"/>
              <w:rPr>
                <w:rFonts w:ascii="宋体" w:hAnsi="宋体"/>
                <w:b/>
                <w:szCs w:val="21"/>
              </w:rPr>
            </w:pPr>
            <w:r>
              <w:rPr>
                <w:rFonts w:ascii="宋体" w:hAnsi="宋体"/>
                <w:b/>
                <w:szCs w:val="21"/>
              </w:rPr>
              <w:t>单位</w:t>
            </w:r>
          </w:p>
        </w:tc>
        <w:tc>
          <w:tcPr>
            <w:tcW w:w="1409" w:type="dxa"/>
            <w:noWrap w:val="0"/>
            <w:vAlign w:val="center"/>
          </w:tcPr>
          <w:p>
            <w:pPr>
              <w:spacing w:line="240" w:lineRule="auto"/>
              <w:jc w:val="center"/>
              <w:rPr>
                <w:rFonts w:ascii="宋体" w:hAnsi="宋体"/>
                <w:b/>
                <w:szCs w:val="21"/>
              </w:rPr>
            </w:pPr>
            <w:r>
              <w:rPr>
                <w:rFonts w:ascii="宋体" w:hAnsi="宋体"/>
                <w:b/>
                <w:szCs w:val="21"/>
              </w:rPr>
              <w:t>年预算采购数量（约）</w:t>
            </w:r>
          </w:p>
        </w:tc>
        <w:tc>
          <w:tcPr>
            <w:tcW w:w="1916" w:type="dxa"/>
            <w:noWrap w:val="0"/>
            <w:vAlign w:val="center"/>
          </w:tcPr>
          <w:p>
            <w:pPr>
              <w:spacing w:line="360" w:lineRule="auto"/>
              <w:jc w:val="center"/>
              <w:rPr>
                <w:rFonts w:hint="default" w:ascii="宋体" w:hAnsi="宋体"/>
                <w:b/>
                <w:szCs w:val="21"/>
                <w:lang w:val="en-US"/>
              </w:rPr>
            </w:pPr>
            <w:r>
              <w:rPr>
                <w:rFonts w:ascii="宋体" w:hAnsi="宋体"/>
                <w:b/>
                <w:szCs w:val="21"/>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415" w:type="dxa"/>
            <w:noWrap w:val="0"/>
            <w:vAlign w:val="center"/>
          </w:tcPr>
          <w:p>
            <w:pPr>
              <w:spacing w:line="360" w:lineRule="auto"/>
              <w:jc w:val="center"/>
              <w:rPr>
                <w:rFonts w:ascii="宋体" w:hAnsi="宋体"/>
                <w:sz w:val="24"/>
                <w:szCs w:val="24"/>
              </w:rPr>
            </w:pPr>
            <w:r>
              <w:rPr>
                <w:rFonts w:ascii="宋体" w:hAnsi="宋体"/>
                <w:sz w:val="24"/>
                <w:szCs w:val="24"/>
              </w:rPr>
              <w:t>公务车燃料</w:t>
            </w:r>
          </w:p>
        </w:tc>
        <w:tc>
          <w:tcPr>
            <w:tcW w:w="2295" w:type="dxa"/>
            <w:noWrap w:val="0"/>
            <w:vAlign w:val="center"/>
          </w:tcPr>
          <w:p>
            <w:pPr>
              <w:spacing w:line="240" w:lineRule="auto"/>
              <w:rPr>
                <w:rFonts w:hint="default" w:ascii="宋体" w:hAnsi="宋体"/>
                <w:sz w:val="24"/>
                <w:szCs w:val="24"/>
              </w:rPr>
            </w:pPr>
            <w:r>
              <w:rPr>
                <w:rFonts w:ascii="宋体" w:hAnsi="宋体"/>
                <w:sz w:val="24"/>
                <w:szCs w:val="24"/>
              </w:rPr>
              <w:t>0#柴油、92#汽油、95#汽油，98#汽油等</w:t>
            </w:r>
          </w:p>
        </w:tc>
        <w:tc>
          <w:tcPr>
            <w:tcW w:w="1170" w:type="dxa"/>
            <w:noWrap w:val="0"/>
            <w:vAlign w:val="center"/>
          </w:tcPr>
          <w:p>
            <w:pPr>
              <w:spacing w:line="360" w:lineRule="auto"/>
              <w:jc w:val="center"/>
              <w:rPr>
                <w:rFonts w:ascii="宋体" w:hAnsi="宋体"/>
                <w:sz w:val="24"/>
                <w:szCs w:val="24"/>
              </w:rPr>
            </w:pPr>
            <w:r>
              <w:rPr>
                <w:rFonts w:ascii="宋体" w:hAnsi="宋体"/>
                <w:sz w:val="24"/>
                <w:szCs w:val="24"/>
              </w:rPr>
              <w:t>升</w:t>
            </w:r>
          </w:p>
        </w:tc>
        <w:tc>
          <w:tcPr>
            <w:tcW w:w="1409" w:type="dxa"/>
            <w:noWrap w:val="0"/>
            <w:vAlign w:val="center"/>
          </w:tcPr>
          <w:p>
            <w:pPr>
              <w:widowControl/>
              <w:spacing w:line="360" w:lineRule="auto"/>
              <w:jc w:val="center"/>
              <w:textAlignment w:val="center"/>
              <w:rPr>
                <w:rFonts w:hint="default" w:ascii="宋体" w:hAnsi="宋体"/>
                <w:sz w:val="24"/>
                <w:szCs w:val="24"/>
              </w:rPr>
            </w:pPr>
            <w:r>
              <w:rPr>
                <w:rFonts w:ascii="宋体" w:hAnsi="宋体" w:cs="宋体"/>
                <w:color w:val="000000"/>
                <w:kern w:val="0"/>
                <w:sz w:val="24"/>
                <w:szCs w:val="24"/>
                <w:lang w:bidi="ar"/>
              </w:rPr>
              <w:t>4万升</w:t>
            </w:r>
          </w:p>
        </w:tc>
        <w:tc>
          <w:tcPr>
            <w:tcW w:w="1916" w:type="dxa"/>
            <w:noWrap w:val="0"/>
            <w:vAlign w:val="center"/>
          </w:tcPr>
          <w:p>
            <w:pPr>
              <w:widowControl/>
              <w:spacing w:line="240" w:lineRule="auto"/>
              <w:jc w:val="both"/>
              <w:textAlignment w:val="center"/>
              <w:rPr>
                <w:rFonts w:hint="default" w:ascii="宋体" w:hAnsi="宋体"/>
                <w:sz w:val="24"/>
                <w:szCs w:val="24"/>
              </w:rPr>
            </w:pPr>
          </w:p>
        </w:tc>
      </w:tr>
    </w:tbl>
    <w:p>
      <w:pPr>
        <w:pStyle w:val="21"/>
        <w:spacing w:line="360" w:lineRule="auto"/>
        <w:rPr>
          <w:rFonts w:hint="eastAsia" w:ascii="宋体" w:hAnsi="宋体"/>
          <w:b/>
          <w:bCs/>
          <w:color w:val="auto"/>
          <w:sz w:val="24"/>
        </w:rPr>
      </w:pPr>
    </w:p>
    <w:p>
      <w:pPr>
        <w:pStyle w:val="21"/>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b/>
          <w:bCs/>
          <w:color w:val="auto"/>
          <w:sz w:val="24"/>
          <w:szCs w:val="24"/>
          <w:lang w:val="en-US" w:eastAsia="zh-CN"/>
        </w:rPr>
        <w:t>1.</w:t>
      </w:r>
      <w:r>
        <w:rPr>
          <w:rFonts w:hint="eastAsia" w:ascii="宋体" w:hAnsi="宋体"/>
          <w:b/>
          <w:bCs/>
          <w:color w:val="auto"/>
          <w:sz w:val="24"/>
          <w:szCs w:val="24"/>
        </w:rPr>
        <w:t>温馨提示（金额大写）：</w:t>
      </w:r>
      <w:r>
        <w:rPr>
          <w:rFonts w:hint="eastAsia" w:ascii="宋体" w:hAnsi="宋体"/>
          <w:color w:val="auto"/>
          <w:sz w:val="24"/>
          <w:szCs w:val="24"/>
        </w:rPr>
        <w:t>壹、贰、叁、肆、伍、陆、柒、捌、玖、拾 、佰、仟、万</w:t>
      </w:r>
    </w:p>
    <w:p>
      <w:pPr>
        <w:pStyle w:val="21"/>
        <w:spacing w:line="360" w:lineRule="auto"/>
        <w:ind w:firstLine="482" w:firstLineChars="200"/>
        <w:rPr>
          <w:rFonts w:hint="eastAsia" w:ascii="Times New Roman" w:hAnsi="宋体" w:eastAsia="宋体" w:cs="Times New Roman"/>
          <w:color w:val="auto"/>
          <w:kern w:val="2"/>
          <w:sz w:val="24"/>
          <w:szCs w:val="24"/>
          <w:lang w:val="en-US" w:eastAsia="zh-CN" w:bidi="ar-SA"/>
        </w:rPr>
      </w:pPr>
      <w:r>
        <w:rPr>
          <w:rFonts w:hint="eastAsia" w:ascii="宋体" w:hAnsi="宋体" w:cs="宋体"/>
          <w:b/>
          <w:bCs/>
          <w:color w:val="auto"/>
          <w:sz w:val="24"/>
          <w:szCs w:val="24"/>
          <w:lang w:val="en-US" w:eastAsia="zh-CN"/>
        </w:rPr>
        <w:t>2.</w:t>
      </w:r>
      <w:r>
        <w:rPr>
          <w:rFonts w:hint="eastAsia" w:ascii="宋体" w:hAnsi="宋体"/>
          <w:b/>
          <w:sz w:val="24"/>
          <w:szCs w:val="24"/>
          <w:lang w:eastAsia="zh-CN"/>
        </w:rPr>
        <w:t>报价原则：</w:t>
      </w:r>
      <w:r>
        <w:rPr>
          <w:rFonts w:hint="eastAsia" w:ascii="Times New Roman" w:hAnsi="宋体" w:eastAsia="宋体" w:cs="Times New Roman"/>
          <w:color w:val="auto"/>
          <w:kern w:val="2"/>
          <w:sz w:val="24"/>
          <w:szCs w:val="24"/>
          <w:lang w:val="en-US" w:eastAsia="zh-CN" w:bidi="ar-SA"/>
        </w:rPr>
        <w:t>单价不</w:t>
      </w:r>
      <w:r>
        <w:rPr>
          <w:rFonts w:ascii="Times New Roman" w:hAnsi="宋体" w:eastAsia="宋体" w:cs="Times New Roman"/>
          <w:color w:val="auto"/>
          <w:kern w:val="2"/>
          <w:sz w:val="24"/>
          <w:szCs w:val="24"/>
          <w:lang w:val="en-US" w:eastAsia="zh-CN" w:bidi="ar-SA"/>
        </w:rPr>
        <w:t>高于广东省每日油品挂牌零售价</w:t>
      </w:r>
    </w:p>
    <w:p>
      <w:pPr>
        <w:pStyle w:val="21"/>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600" w:firstLineChars="1500"/>
        <w:jc w:val="left"/>
        <w:outlineLvl w:val="0"/>
        <w:rPr>
          <w:rFonts w:ascii="宋体" w:hAnsi="宋体"/>
          <w:color w:val="auto"/>
          <w:sz w:val="24"/>
        </w:rPr>
      </w:pPr>
      <w:bookmarkStart w:id="200" w:name="_Toc16161"/>
      <w:bookmarkStart w:id="201" w:name="_Toc9462"/>
      <w:bookmarkStart w:id="202" w:name="_Toc2112"/>
      <w:r>
        <w:rPr>
          <w:rFonts w:hint="eastAsia" w:ascii="宋体" w:hAnsi="宋体"/>
          <w:color w:val="auto"/>
          <w:sz w:val="24"/>
          <w:lang w:eastAsia="zh-CN"/>
        </w:rPr>
        <w:t>公司</w:t>
      </w:r>
      <w:r>
        <w:rPr>
          <w:rFonts w:hint="eastAsia" w:ascii="宋体" w:hAnsi="宋体"/>
          <w:color w:val="auto"/>
          <w:sz w:val="24"/>
        </w:rPr>
        <w:t>名称（加盖公章）：</w:t>
      </w:r>
      <w:bookmarkEnd w:id="200"/>
      <w:bookmarkEnd w:id="201"/>
      <w:bookmarkEnd w:id="202"/>
    </w:p>
    <w:p>
      <w:pPr>
        <w:widowControl/>
        <w:spacing w:line="360" w:lineRule="auto"/>
        <w:ind w:firstLine="6000" w:firstLineChars="2500"/>
        <w:jc w:val="left"/>
        <w:rPr>
          <w:rFonts w:ascii="宋体" w:hAnsi="宋体"/>
          <w:color w:val="auto"/>
          <w:sz w:val="24"/>
        </w:rPr>
      </w:pPr>
      <w:bookmarkStart w:id="203" w:name="_Toc16792"/>
    </w:p>
    <w:p>
      <w:pPr>
        <w:widowControl/>
        <w:spacing w:line="360" w:lineRule="auto"/>
        <w:ind w:firstLine="2640" w:firstLineChars="1100"/>
        <w:jc w:val="left"/>
        <w:outlineLvl w:val="0"/>
        <w:rPr>
          <w:rFonts w:ascii="宋体" w:hAnsi="宋体"/>
          <w:color w:val="auto"/>
          <w:sz w:val="24"/>
        </w:rPr>
      </w:pPr>
      <w:bookmarkStart w:id="204" w:name="_Toc5524"/>
      <w:bookmarkStart w:id="205" w:name="_Toc20458"/>
      <w:r>
        <w:rPr>
          <w:rFonts w:hint="eastAsia" w:ascii="宋体" w:hAnsi="宋体"/>
          <w:color w:val="auto"/>
          <w:sz w:val="24"/>
          <w:lang w:eastAsia="zh-CN"/>
        </w:rPr>
        <w:t>公司</w:t>
      </w:r>
      <w:r>
        <w:rPr>
          <w:rFonts w:hint="eastAsia" w:ascii="宋体" w:hAnsi="宋体"/>
          <w:color w:val="auto"/>
          <w:sz w:val="24"/>
        </w:rPr>
        <w:t>法定代表人或授权代表签名：</w:t>
      </w:r>
      <w:bookmarkEnd w:id="203"/>
      <w:bookmarkEnd w:id="204"/>
      <w:bookmarkEnd w:id="205"/>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206" w:name="_Toc17664"/>
    </w:p>
    <w:p>
      <w:pPr>
        <w:widowControl/>
        <w:spacing w:line="360" w:lineRule="auto"/>
        <w:ind w:firstLine="5280" w:firstLineChars="2200"/>
        <w:jc w:val="left"/>
        <w:outlineLvl w:val="0"/>
        <w:rPr>
          <w:rFonts w:ascii="宋体" w:hAnsi="宋体"/>
          <w:color w:val="auto"/>
          <w:sz w:val="24"/>
        </w:rPr>
      </w:pPr>
      <w:bookmarkStart w:id="207" w:name="_Toc6060"/>
      <w:bookmarkStart w:id="208" w:name="_Toc15734"/>
      <w:r>
        <w:rPr>
          <w:rFonts w:hint="eastAsia" w:ascii="宋体" w:hAnsi="宋体"/>
          <w:color w:val="auto"/>
          <w:sz w:val="24"/>
        </w:rPr>
        <w:t>日  期：    年    月     日</w:t>
      </w:r>
      <w:bookmarkEnd w:id="206"/>
      <w:bookmarkEnd w:id="207"/>
      <w:bookmarkEnd w:id="208"/>
    </w:p>
    <w:p>
      <w:pPr>
        <w:pStyle w:val="21"/>
        <w:rPr>
          <w:b/>
          <w:bCs/>
          <w:color w:val="auto"/>
          <w:sz w:val="36"/>
          <w:szCs w:val="36"/>
        </w:rPr>
      </w:pPr>
    </w:p>
    <w:p>
      <w:pPr>
        <w:pStyle w:val="25"/>
        <w:tabs>
          <w:tab w:val="left" w:pos="1050"/>
          <w:tab w:val="center" w:pos="4535"/>
        </w:tabs>
        <w:spacing w:line="360" w:lineRule="auto"/>
        <w:jc w:val="center"/>
        <w:outlineLvl w:val="0"/>
        <w:rPr>
          <w:rFonts w:hint="eastAsia"/>
          <w:b/>
          <w:bCs/>
          <w:color w:val="auto"/>
          <w:sz w:val="32"/>
          <w:szCs w:val="32"/>
        </w:rPr>
      </w:pPr>
      <w:bookmarkStart w:id="209" w:name="_Toc6214"/>
      <w:bookmarkStart w:id="210" w:name="_Toc31077"/>
      <w:bookmarkStart w:id="211" w:name="_Toc28851"/>
      <w:bookmarkStart w:id="212" w:name="_Toc21213"/>
      <w:bookmarkStart w:id="213" w:name="_Toc21561"/>
      <w:bookmarkStart w:id="214" w:name="_Toc31674"/>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bookmarkEnd w:id="209"/>
    <w:bookmarkEnd w:id="210"/>
    <w:bookmarkEnd w:id="211"/>
    <w:bookmarkEnd w:id="212"/>
    <w:p>
      <w:pPr>
        <w:pStyle w:val="25"/>
        <w:tabs>
          <w:tab w:val="left" w:pos="1050"/>
          <w:tab w:val="center" w:pos="4535"/>
        </w:tabs>
        <w:spacing w:line="360" w:lineRule="auto"/>
        <w:jc w:val="center"/>
        <w:outlineLvl w:val="0"/>
        <w:rPr>
          <w:b/>
          <w:bCs/>
          <w:sz w:val="32"/>
          <w:szCs w:val="32"/>
        </w:rPr>
      </w:pPr>
      <w:bookmarkStart w:id="215" w:name="_Toc19528"/>
      <w:bookmarkStart w:id="216" w:name="_Toc31787"/>
      <w:bookmarkStart w:id="217" w:name="_Toc23684"/>
      <w:bookmarkStart w:id="218" w:name="_Toc14020"/>
      <w:bookmarkStart w:id="219" w:name="_Toc3758"/>
      <w:bookmarkStart w:id="220" w:name="_Toc22175"/>
      <w:bookmarkStart w:id="221" w:name="_Toc3241"/>
      <w:bookmarkStart w:id="222" w:name="_Toc15050"/>
      <w:bookmarkStart w:id="223" w:name="_Toc28957"/>
      <w:bookmarkStart w:id="224" w:name="_Toc7276"/>
      <w:bookmarkStart w:id="225" w:name="_Toc14591"/>
      <w:bookmarkStart w:id="226" w:name="_Toc14853"/>
      <w:bookmarkStart w:id="227" w:name="_Toc23685"/>
      <w:bookmarkStart w:id="228" w:name="_Toc18443"/>
      <w:r>
        <w:rPr>
          <w:rFonts w:hint="eastAsia"/>
          <w:b/>
          <w:bCs/>
          <w:sz w:val="32"/>
          <w:szCs w:val="32"/>
        </w:rPr>
        <w:t>法定代表人资格证明书</w:t>
      </w:r>
      <w:bookmarkEnd w:id="215"/>
      <w:bookmarkEnd w:id="216"/>
      <w:bookmarkEnd w:id="217"/>
    </w:p>
    <w:p>
      <w:pPr>
        <w:pStyle w:val="25"/>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5"/>
        <w:spacing w:line="360" w:lineRule="auto"/>
        <w:ind w:firstLine="560"/>
      </w:pPr>
    </w:p>
    <w:p>
      <w:pPr>
        <w:pStyle w:val="25"/>
        <w:spacing w:line="360" w:lineRule="auto"/>
        <w:ind w:firstLine="560"/>
        <w:rPr>
          <w:u w:val="single"/>
        </w:rPr>
      </w:pPr>
      <w:r>
        <w:rPr>
          <w:rFonts w:hint="eastAsia"/>
        </w:rPr>
        <w:t>公司法定代表人签字（盖章）：</w:t>
      </w:r>
      <w:r>
        <w:rPr>
          <w:rFonts w:hint="eastAsia"/>
          <w:u w:val="single"/>
        </w:rPr>
        <w:t xml:space="preserve">                                  </w:t>
      </w:r>
    </w:p>
    <w:p>
      <w:pPr>
        <w:pStyle w:val="25"/>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25"/>
        <w:spacing w:line="360" w:lineRule="auto"/>
        <w:ind w:firstLine="560"/>
        <w:rPr>
          <w:u w:val="single"/>
        </w:rPr>
      </w:pPr>
      <w:r>
        <w:rPr>
          <w:rFonts w:hint="eastAsia"/>
        </w:rPr>
        <w:t>日  期：</w:t>
      </w:r>
      <w:r>
        <w:rPr>
          <w:rFonts w:hint="eastAsia"/>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bookmarkEnd w:id="218"/>
    <w:bookmarkEnd w:id="219"/>
    <w:bookmarkEnd w:id="220"/>
    <w:bookmarkEnd w:id="221"/>
    <w:bookmarkEnd w:id="222"/>
    <w:bookmarkEnd w:id="223"/>
    <w:bookmarkEnd w:id="224"/>
    <w:bookmarkEnd w:id="225"/>
    <w:bookmarkEnd w:id="226"/>
    <w:bookmarkEnd w:id="227"/>
    <w:bookmarkEnd w:id="228"/>
    <w:p>
      <w:pPr>
        <w:pStyle w:val="25"/>
        <w:spacing w:line="360" w:lineRule="auto"/>
        <w:jc w:val="center"/>
        <w:outlineLvl w:val="0"/>
        <w:rPr>
          <w:b/>
          <w:bCs/>
          <w:sz w:val="32"/>
          <w:szCs w:val="32"/>
        </w:rPr>
      </w:pPr>
      <w:bookmarkStart w:id="229" w:name="_Toc23308"/>
      <w:bookmarkStart w:id="230" w:name="_Toc17511"/>
      <w:bookmarkStart w:id="231" w:name="_Toc9844"/>
      <w:r>
        <w:rPr>
          <w:rFonts w:hint="eastAsia"/>
          <w:b/>
          <w:bCs/>
          <w:sz w:val="32"/>
          <w:szCs w:val="32"/>
        </w:rPr>
        <w:t>法定代表人授权委托书</w:t>
      </w:r>
      <w:bookmarkEnd w:id="229"/>
      <w:bookmarkEnd w:id="230"/>
      <w:bookmarkEnd w:id="231"/>
    </w:p>
    <w:p>
      <w:pPr>
        <w:pStyle w:val="26"/>
        <w:spacing w:line="360" w:lineRule="auto"/>
        <w:jc w:val="left"/>
        <w:rPr>
          <w:b/>
          <w:bCs/>
          <w:sz w:val="24"/>
          <w:szCs w:val="24"/>
        </w:rPr>
      </w:pPr>
      <w:r>
        <w:rPr>
          <w:rFonts w:hint="eastAsia"/>
          <w:b/>
          <w:bCs/>
          <w:sz w:val="24"/>
          <w:szCs w:val="24"/>
        </w:rPr>
        <w:t>本授权书声明：</w:t>
      </w:r>
    </w:p>
    <w:p>
      <w:pPr>
        <w:pStyle w:val="25"/>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5"/>
        <w:spacing w:line="360" w:lineRule="auto"/>
        <w:ind w:firstLine="560"/>
        <w:rPr>
          <w:u w:val="single"/>
        </w:rPr>
      </w:pPr>
      <w:r>
        <w:rPr>
          <w:rFonts w:hint="eastAsia"/>
        </w:rPr>
        <w:t xml:space="preserve">授权日期： </w:t>
      </w:r>
      <w:r>
        <w:rPr>
          <w:rFonts w:hint="eastAsia"/>
          <w:u w:val="single"/>
        </w:rPr>
        <w:t xml:space="preserve">                 至                   </w:t>
      </w:r>
    </w:p>
    <w:p>
      <w:pPr>
        <w:pStyle w:val="25"/>
        <w:spacing w:line="360" w:lineRule="auto"/>
        <w:ind w:firstLine="560"/>
      </w:pPr>
      <w:r>
        <w:rPr>
          <w:rFonts w:hint="eastAsia"/>
        </w:rPr>
        <w:t>本授权书在签字盖章后生效，特此声明。</w:t>
      </w:r>
    </w:p>
    <w:p>
      <w:pPr>
        <w:pStyle w:val="25"/>
        <w:spacing w:line="360" w:lineRule="auto"/>
        <w:ind w:firstLine="560"/>
        <w:rPr>
          <w:u w:val="single"/>
        </w:rPr>
      </w:pPr>
      <w:r>
        <w:rPr>
          <w:rFonts w:hint="eastAsia"/>
        </w:rPr>
        <w:t>公司法定代表人签字（盖章）：</w:t>
      </w:r>
      <w:r>
        <w:rPr>
          <w:rFonts w:hint="eastAsia"/>
          <w:u w:val="single"/>
        </w:rPr>
        <w:t xml:space="preserve">                                </w:t>
      </w:r>
    </w:p>
    <w:p>
      <w:pPr>
        <w:pStyle w:val="25"/>
        <w:spacing w:line="360" w:lineRule="auto"/>
        <w:ind w:firstLine="560"/>
      </w:pPr>
      <w:r>
        <w:rPr>
          <w:rFonts w:hint="eastAsia"/>
        </w:rPr>
        <w:t>被授权人签字（盖章）：</w:t>
      </w:r>
      <w:r>
        <w:rPr>
          <w:rFonts w:hint="eastAsia"/>
          <w:u w:val="single"/>
        </w:rPr>
        <w:t xml:space="preserve">                                        </w:t>
      </w:r>
    </w:p>
    <w:p>
      <w:pPr>
        <w:pStyle w:val="25"/>
        <w:spacing w:line="360" w:lineRule="auto"/>
        <w:ind w:firstLine="560"/>
        <w:rPr>
          <w:u w:val="single"/>
        </w:rPr>
      </w:pPr>
      <w:r>
        <w:rPr>
          <w:rFonts w:hint="eastAsia"/>
        </w:rPr>
        <w:t>公司名称（加盖公章）：</w:t>
      </w:r>
      <w:r>
        <w:rPr>
          <w:rFonts w:hint="eastAsia"/>
          <w:u w:val="single"/>
        </w:rPr>
        <w:t xml:space="preserve">                                        </w:t>
      </w:r>
    </w:p>
    <w:p>
      <w:pPr>
        <w:pStyle w:val="25"/>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5"/>
        <w:spacing w:line="360" w:lineRule="auto"/>
        <w:ind w:firstLine="560"/>
        <w:rPr>
          <w:sz w:val="28"/>
          <w:szCs w:val="28"/>
        </w:rPr>
      </w:pPr>
      <w:r>
        <w:rPr>
          <w:rFonts w:hint="eastAsia"/>
          <w:sz w:val="28"/>
          <w:szCs w:val="28"/>
        </w:rPr>
        <w:t xml:space="preserve">                                    </w:t>
      </w:r>
    </w:p>
    <w:p>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1"/>
        <w:ind w:firstLine="3975" w:firstLineChars="1100"/>
        <w:rPr>
          <w:b/>
          <w:bCs/>
          <w:color w:val="auto"/>
          <w:sz w:val="36"/>
          <w:szCs w:val="36"/>
        </w:rPr>
      </w:pPr>
    </w:p>
    <w:p>
      <w:pPr>
        <w:pStyle w:val="25"/>
        <w:tabs>
          <w:tab w:val="left" w:pos="1050"/>
          <w:tab w:val="center" w:pos="4535"/>
        </w:tabs>
        <w:spacing w:line="360" w:lineRule="auto"/>
        <w:jc w:val="center"/>
        <w:outlineLvl w:val="0"/>
        <w:rPr>
          <w:rFonts w:hint="eastAsia"/>
          <w:b/>
          <w:bCs/>
          <w:color w:val="auto"/>
          <w:sz w:val="32"/>
          <w:szCs w:val="32"/>
        </w:rPr>
      </w:pPr>
      <w:bookmarkStart w:id="232" w:name="_Toc32281"/>
      <w:bookmarkStart w:id="233" w:name="_Toc10212"/>
    </w:p>
    <w:p>
      <w:pPr>
        <w:pStyle w:val="25"/>
        <w:tabs>
          <w:tab w:val="left" w:pos="1050"/>
          <w:tab w:val="center" w:pos="4535"/>
        </w:tabs>
        <w:spacing w:line="360" w:lineRule="auto"/>
        <w:jc w:val="center"/>
        <w:outlineLvl w:val="0"/>
        <w:rPr>
          <w:b/>
          <w:bCs/>
          <w:color w:val="auto"/>
          <w:sz w:val="32"/>
          <w:szCs w:val="32"/>
        </w:rPr>
      </w:pPr>
      <w:r>
        <w:rPr>
          <w:rFonts w:hint="eastAsia"/>
          <w:b/>
          <w:bCs/>
          <w:color w:val="auto"/>
          <w:sz w:val="32"/>
          <w:szCs w:val="32"/>
        </w:rPr>
        <w:t>20</w:t>
      </w:r>
      <w:r>
        <w:rPr>
          <w:rFonts w:hint="eastAsia"/>
          <w:b/>
          <w:bCs/>
          <w:color w:val="auto"/>
          <w:sz w:val="32"/>
          <w:szCs w:val="32"/>
          <w:lang w:val="en-US" w:eastAsia="zh-CN"/>
        </w:rPr>
        <w:t>21</w:t>
      </w:r>
      <w:r>
        <w:rPr>
          <w:rFonts w:hint="eastAsia"/>
          <w:b/>
          <w:bCs/>
          <w:color w:val="auto"/>
          <w:sz w:val="32"/>
          <w:szCs w:val="32"/>
        </w:rPr>
        <w:t>年</w:t>
      </w:r>
      <w:r>
        <w:rPr>
          <w:rFonts w:hint="eastAsia"/>
          <w:b/>
          <w:bCs/>
          <w:color w:val="auto"/>
          <w:sz w:val="32"/>
          <w:szCs w:val="32"/>
          <w:lang w:val="en-US" w:eastAsia="zh-CN"/>
        </w:rPr>
        <w:t>1月1日</w:t>
      </w:r>
      <w:r>
        <w:rPr>
          <w:rFonts w:hint="eastAsia"/>
          <w:b/>
          <w:bCs/>
          <w:color w:val="auto"/>
          <w:sz w:val="32"/>
          <w:szCs w:val="32"/>
        </w:rPr>
        <w:t>至今同类项目经验情况一览表</w:t>
      </w:r>
      <w:bookmarkEnd w:id="213"/>
      <w:bookmarkEnd w:id="214"/>
      <w:bookmarkEnd w:id="232"/>
      <w:bookmarkEnd w:id="233"/>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1"/>
        <w:rPr>
          <w:rFonts w:ascii="宋体" w:hAnsi="宋体"/>
          <w:color w:val="auto"/>
          <w:sz w:val="24"/>
        </w:rPr>
      </w:pPr>
    </w:p>
    <w:p>
      <w:pPr>
        <w:pStyle w:val="21"/>
        <w:spacing w:line="360" w:lineRule="auto"/>
        <w:ind w:firstLine="480" w:firstLineChars="200"/>
        <w:outlineLvl w:val="0"/>
        <w:rPr>
          <w:b/>
          <w:bCs/>
          <w:color w:val="auto"/>
          <w:sz w:val="36"/>
          <w:szCs w:val="36"/>
        </w:rPr>
      </w:pPr>
      <w:bookmarkStart w:id="234" w:name="_Toc6536"/>
      <w:bookmarkStart w:id="235" w:name="_Toc16613"/>
      <w:r>
        <w:rPr>
          <w:rFonts w:hint="eastAsia" w:ascii="宋体" w:hAnsi="宋体"/>
          <w:color w:val="auto"/>
          <w:sz w:val="24"/>
        </w:rPr>
        <w:t>注：20</w:t>
      </w:r>
      <w:r>
        <w:rPr>
          <w:rFonts w:hint="eastAsia" w:ascii="宋体" w:hAnsi="宋体"/>
          <w:color w:val="auto"/>
          <w:sz w:val="24"/>
          <w:lang w:val="en-US" w:eastAsia="zh-CN"/>
        </w:rPr>
        <w:t>21</w:t>
      </w:r>
      <w:r>
        <w:rPr>
          <w:rFonts w:hint="eastAsia" w:ascii="宋体" w:hAnsi="宋体"/>
          <w:color w:val="auto"/>
          <w:sz w:val="24"/>
        </w:rPr>
        <w:t>年</w:t>
      </w:r>
      <w:r>
        <w:rPr>
          <w:rFonts w:hint="eastAsia" w:ascii="宋体" w:hAnsi="宋体"/>
          <w:color w:val="auto"/>
          <w:sz w:val="24"/>
          <w:lang w:val="en-US" w:eastAsia="zh-CN"/>
        </w:rPr>
        <w:t>1月1日</w:t>
      </w:r>
      <w:r>
        <w:rPr>
          <w:rFonts w:hint="eastAsia" w:ascii="宋体" w:hAnsi="宋体"/>
          <w:color w:val="auto"/>
          <w:sz w:val="24"/>
        </w:rPr>
        <w:t>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color w:val="auto"/>
          <w:sz w:val="24"/>
          <w:lang w:eastAsia="zh-CN"/>
        </w:rPr>
        <w:t>证明材料</w:t>
      </w:r>
      <w:r>
        <w:rPr>
          <w:rFonts w:hint="eastAsia" w:ascii="宋体" w:hAnsi="宋体"/>
          <w:color w:val="auto"/>
          <w:sz w:val="24"/>
        </w:rPr>
        <w:t>需提供合同</w:t>
      </w:r>
      <w:r>
        <w:rPr>
          <w:rFonts w:hint="eastAsia" w:ascii="宋体" w:hAnsi="宋体"/>
          <w:color w:val="auto"/>
          <w:sz w:val="24"/>
          <w:lang w:eastAsia="zh-CN"/>
        </w:rPr>
        <w:t>关键页</w:t>
      </w:r>
      <w:r>
        <w:rPr>
          <w:rFonts w:hint="eastAsia" w:ascii="宋体" w:hAnsi="宋体"/>
          <w:color w:val="auto"/>
          <w:sz w:val="24"/>
        </w:rPr>
        <w:t>复印件，并加盖公章）。</w:t>
      </w:r>
      <w:bookmarkEnd w:id="234"/>
      <w:bookmarkEnd w:id="235"/>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1" w:type="default"/>
          <w:pgSz w:w="11906" w:h="16838"/>
          <w:pgMar w:top="1440" w:right="1134" w:bottom="1440" w:left="1134" w:header="851" w:footer="992" w:gutter="0"/>
          <w:pgNumType w:fmt="decimal"/>
          <w:cols w:space="720" w:num="1"/>
          <w:docGrid w:linePitch="312" w:charSpace="0"/>
        </w:sectPr>
      </w:pPr>
      <w:bookmarkStart w:id="236" w:name="_Toc40346385"/>
      <w:bookmarkStart w:id="237" w:name="_Toc30558"/>
      <w:bookmarkStart w:id="238" w:name="_Toc20164"/>
      <w:bookmarkStart w:id="239" w:name="_Toc21435"/>
      <w:bookmarkStart w:id="240" w:name="_Toc27180"/>
      <w:bookmarkStart w:id="241" w:name="_Toc9749"/>
      <w:bookmarkStart w:id="242" w:name="_Toc40776119"/>
      <w:bookmarkStart w:id="243" w:name="_Toc40346226"/>
      <w:bookmarkStart w:id="244" w:name="_Toc23732"/>
      <w:bookmarkStart w:id="245" w:name="_Toc16505"/>
      <w:bookmarkStart w:id="246" w:name="_Toc24877"/>
      <w:bookmarkStart w:id="247" w:name="_Toc17929"/>
    </w:p>
    <w:bookmarkEnd w:id="236"/>
    <w:bookmarkEnd w:id="237"/>
    <w:bookmarkEnd w:id="238"/>
    <w:bookmarkEnd w:id="239"/>
    <w:bookmarkEnd w:id="240"/>
    <w:bookmarkEnd w:id="241"/>
    <w:bookmarkEnd w:id="242"/>
    <w:bookmarkEnd w:id="243"/>
    <w:bookmarkEnd w:id="244"/>
    <w:bookmarkEnd w:id="245"/>
    <w:bookmarkEnd w:id="246"/>
    <w:bookmarkEnd w:id="247"/>
    <w:p>
      <w:pPr>
        <w:pStyle w:val="25"/>
        <w:spacing w:line="360" w:lineRule="auto"/>
        <w:jc w:val="center"/>
        <w:outlineLvl w:val="0"/>
        <w:rPr>
          <w:rFonts w:hint="eastAsia"/>
          <w:b/>
          <w:bCs/>
          <w:color w:val="auto"/>
          <w:sz w:val="32"/>
          <w:szCs w:val="32"/>
        </w:rPr>
      </w:pPr>
      <w:bookmarkStart w:id="248" w:name="_Toc14321"/>
      <w:bookmarkStart w:id="249" w:name="_Toc17932"/>
      <w:bookmarkStart w:id="250" w:name="_Toc27834"/>
      <w:bookmarkStart w:id="251" w:name="_Toc1521"/>
      <w:bookmarkStart w:id="252" w:name="_Toc14093"/>
      <w:bookmarkStart w:id="253" w:name="_Toc24705"/>
      <w:bookmarkStart w:id="254" w:name="_Toc19803"/>
      <w:bookmarkStart w:id="255" w:name="_Toc5396"/>
      <w:bookmarkStart w:id="256" w:name="_Toc2196"/>
      <w:bookmarkStart w:id="257" w:name="_Toc16816"/>
      <w:bookmarkStart w:id="258" w:name="_Toc25012"/>
      <w:r>
        <w:rPr>
          <w:rFonts w:hint="eastAsia"/>
          <w:b/>
          <w:bCs/>
          <w:color w:val="auto"/>
          <w:sz w:val="32"/>
          <w:szCs w:val="32"/>
        </w:rPr>
        <w:t>公平竞争承诺书</w:t>
      </w:r>
      <w:bookmarkEnd w:id="248"/>
      <w:bookmarkEnd w:id="249"/>
      <w:bookmarkEnd w:id="250"/>
      <w:bookmarkEnd w:id="251"/>
      <w:bookmarkEnd w:id="252"/>
      <w:bookmarkEnd w:id="253"/>
      <w:bookmarkEnd w:id="254"/>
      <w:bookmarkEnd w:id="255"/>
      <w:bookmarkEnd w:id="256"/>
      <w:bookmarkEnd w:id="257"/>
      <w:bookmarkEnd w:id="258"/>
    </w:p>
    <w:p>
      <w:pPr>
        <w:pStyle w:val="25"/>
        <w:spacing w:line="360" w:lineRule="auto"/>
        <w:jc w:val="both"/>
        <w:outlineLvl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南方医科大学第五附属医院：</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本公司愿接受贵单位邀请，积极</w:t>
      </w:r>
      <w:r>
        <w:rPr>
          <w:rFonts w:hint="eastAsia"/>
          <w:color w:val="auto"/>
          <w:sz w:val="21"/>
          <w:szCs w:val="21"/>
          <w:highlight w:val="yellow"/>
          <w:lang w:val="en-US" w:eastAsia="zh-CN"/>
        </w:rPr>
        <w:t>参加</w:t>
      </w:r>
      <w:r>
        <w:rPr>
          <w:rFonts w:hint="eastAsia"/>
          <w:color w:val="auto"/>
          <w:sz w:val="21"/>
          <w:szCs w:val="21"/>
          <w:highlight w:val="yellow"/>
          <w:u w:val="single"/>
          <w:lang w:val="en-US" w:eastAsia="zh-CN"/>
        </w:rPr>
        <w:t>*******项目（项目编号：******）</w:t>
      </w:r>
      <w:r>
        <w:rPr>
          <w:rFonts w:hint="eastAsia"/>
          <w:color w:val="auto"/>
          <w:sz w:val="21"/>
          <w:szCs w:val="21"/>
          <w:highlight w:val="yellow"/>
          <w:lang w:val="en-US" w:eastAsia="zh-CN"/>
        </w:rPr>
        <w:t xml:space="preserve"> </w:t>
      </w:r>
      <w:r>
        <w:rPr>
          <w:rFonts w:hint="eastAsia"/>
          <w:color w:val="auto"/>
          <w:sz w:val="21"/>
          <w:szCs w:val="21"/>
          <w:lang w:val="en-US" w:eastAsia="zh-CN"/>
        </w:rPr>
        <w:t>的采购活动。为杜绝商业贿赂现象，维护良好管理秩序，共同营造公平、公正的竞争环境，我方郑重承诺：</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1.遵守贵单位就项目采购所制定的所有相关流程及要求，并保证所提交《响应文件》中相关资料与描述真实有效。 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2.坚持投标独立性，保证不以任何手段了解或意图了解其他参与人情况及其信息。 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3.保证不私下接触贵单位负责采购组织工作的人员及相关领导。 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4.保证不对贵单位负责采购组织工作的人员及相关领导进行宴请、招待，或赠送及承诺赠送礼金、礼品、礼券、其他利益。 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5.除贵院公开渠道获取相关信息外，保证不以其它方式刺探或意图刺探贵司采购信息及其进展。 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6.保证采取内部约束措施，禁止具体经办人或其他相关人员私自实施前述各项禁止性行为，并对其违规后果承担连带责任。 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7.保证所提交的相关资质文件和证明材料的真实性，有良好的历史诚信记录，并将依法参与项目的公平竞争，不以任何不正当行为谋取不当利益，否则愿意承担相应的法律责任。</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8.如出现违反上述各项承诺情况，自愿接受贵院取消资格等处罚措施，并对贵院因此所受损失进行全额赔偿。 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9.如贵院负责招投标组织工作的人员及相关领导，明示或暗示要求宴请、招待，或索取礼金、礼品、礼券、其他利益，或故意刁难、显失公平的，保证立即向贵院监察部门进行举报。  </w:t>
      </w:r>
    </w:p>
    <w:p>
      <w:pPr>
        <w:pStyle w:val="5"/>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特此承诺。                                     </w:t>
      </w:r>
    </w:p>
    <w:p>
      <w:pPr>
        <w:pStyle w:val="22"/>
        <w:rPr>
          <w:rFonts w:hint="eastAsia"/>
          <w:color w:val="auto"/>
          <w:sz w:val="21"/>
          <w:szCs w:val="21"/>
        </w:rPr>
      </w:pPr>
    </w:p>
    <w:p>
      <w:pPr>
        <w:pStyle w:val="22"/>
        <w:spacing w:line="360" w:lineRule="auto"/>
        <w:jc w:val="center"/>
        <w:rPr>
          <w:rFonts w:hint="default" w:eastAsia="宋体"/>
          <w:color w:val="auto"/>
          <w:sz w:val="21"/>
          <w:szCs w:val="21"/>
          <w:lang w:val="en-US" w:eastAsia="zh-CN"/>
        </w:rPr>
      </w:pPr>
      <w:r>
        <w:rPr>
          <w:rFonts w:hint="eastAsia"/>
          <w:color w:val="auto"/>
          <w:sz w:val="21"/>
          <w:szCs w:val="21"/>
          <w:lang w:val="en-US" w:eastAsia="zh-CN"/>
        </w:rPr>
        <w:t xml:space="preserve">                            公司名称</w:t>
      </w:r>
      <w:r>
        <w:rPr>
          <w:rFonts w:hint="eastAsia"/>
          <w:color w:val="auto"/>
          <w:sz w:val="21"/>
          <w:szCs w:val="21"/>
        </w:rPr>
        <w:t xml:space="preserve">（盖章）： </w:t>
      </w:r>
      <w:r>
        <w:rPr>
          <w:rFonts w:hint="eastAsia"/>
          <w:color w:val="auto"/>
          <w:sz w:val="21"/>
          <w:szCs w:val="21"/>
          <w:lang w:val="en-US" w:eastAsia="zh-CN"/>
        </w:rPr>
        <w:t>****公司</w:t>
      </w:r>
    </w:p>
    <w:p>
      <w:pPr>
        <w:pStyle w:val="22"/>
        <w:spacing w:line="360" w:lineRule="auto"/>
        <w:jc w:val="left"/>
        <w:rPr>
          <w:rFonts w:hint="eastAsia"/>
          <w:color w:val="auto"/>
          <w:sz w:val="21"/>
          <w:szCs w:val="21"/>
          <w:lang w:val="en-US" w:eastAsia="zh-CN"/>
        </w:rPr>
      </w:pPr>
      <w:r>
        <w:rPr>
          <w:rFonts w:hint="eastAsia"/>
          <w:color w:val="auto"/>
          <w:sz w:val="21"/>
          <w:szCs w:val="21"/>
          <w:lang w:val="en-US" w:eastAsia="zh-CN"/>
        </w:rPr>
        <w:t xml:space="preserve">         </w:t>
      </w:r>
    </w:p>
    <w:p>
      <w:pPr>
        <w:pStyle w:val="22"/>
        <w:spacing w:line="360" w:lineRule="auto"/>
        <w:ind w:firstLine="1260" w:firstLineChars="600"/>
        <w:jc w:val="left"/>
        <w:rPr>
          <w:rFonts w:hint="eastAsia"/>
          <w:color w:val="auto"/>
          <w:sz w:val="21"/>
          <w:szCs w:val="21"/>
        </w:rPr>
      </w:pPr>
      <w:r>
        <w:rPr>
          <w:rFonts w:hint="eastAsia"/>
          <w:color w:val="auto"/>
          <w:sz w:val="21"/>
          <w:szCs w:val="21"/>
          <w:lang w:val="en-US" w:eastAsia="zh-CN"/>
        </w:rPr>
        <w:t>公司法定代表人（或法定代表人授权代表）（签字或盖章）</w:t>
      </w:r>
      <w:r>
        <w:rPr>
          <w:rFonts w:hint="eastAsia"/>
          <w:color w:val="auto"/>
          <w:sz w:val="21"/>
          <w:szCs w:val="21"/>
        </w:rPr>
        <w:t>：</w:t>
      </w:r>
    </w:p>
    <w:p>
      <w:pPr>
        <w:pStyle w:val="22"/>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2"/>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2"/>
        <w:spacing w:line="360" w:lineRule="auto"/>
        <w:jc w:val="center"/>
        <w:rPr>
          <w:color w:val="auto"/>
          <w:sz w:val="21"/>
          <w:szCs w:val="21"/>
        </w:rPr>
      </w:pPr>
      <w:r>
        <w:rPr>
          <w:rFonts w:hint="eastAsia"/>
          <w:color w:val="auto"/>
          <w:sz w:val="21"/>
          <w:szCs w:val="21"/>
          <w:lang w:val="en-US" w:eastAsia="zh-CN"/>
        </w:rPr>
        <w:t xml:space="preserve">                                              日 期：     </w:t>
      </w:r>
      <w:r>
        <w:rPr>
          <w:rFonts w:hint="eastAsia"/>
          <w:color w:val="auto"/>
          <w:sz w:val="21"/>
          <w:szCs w:val="21"/>
        </w:rPr>
        <w:t>年    月    日</w:t>
      </w:r>
    </w:p>
    <w:p>
      <w:pPr>
        <w:widowControl/>
        <w:spacing w:line="500" w:lineRule="atLeast"/>
        <w:rPr>
          <w:rFonts w:hint="eastAsia" w:ascii="仿宋" w:hAnsi="仿宋" w:eastAsia="仿宋" w:cs="宋体"/>
          <w:b/>
          <w:color w:val="auto"/>
          <w:kern w:val="0"/>
          <w:sz w:val="24"/>
          <w:szCs w:val="32"/>
          <w:highlight w:val="none"/>
        </w:rPr>
      </w:pPr>
    </w:p>
    <w:p>
      <w:pPr>
        <w:widowControl/>
        <w:spacing w:line="500" w:lineRule="atLeast"/>
        <w:rPr>
          <w:rFonts w:hint="eastAsia" w:ascii="仿宋" w:hAnsi="仿宋" w:eastAsia="仿宋" w:cs="宋体"/>
          <w:b/>
          <w:color w:val="auto"/>
          <w:kern w:val="0"/>
          <w:sz w:val="24"/>
          <w:szCs w:val="32"/>
          <w:highlight w:val="none"/>
        </w:rPr>
      </w:pPr>
    </w:p>
    <w:p>
      <w:pPr>
        <w:widowControl/>
        <w:spacing w:line="500" w:lineRule="atLeast"/>
        <w:rPr>
          <w:rFonts w:hint="eastAsia" w:ascii="仿宋" w:hAnsi="仿宋" w:eastAsia="仿宋" w:cs="宋体"/>
          <w:b/>
          <w:color w:val="auto"/>
          <w:kern w:val="0"/>
          <w:sz w:val="24"/>
          <w:szCs w:val="32"/>
          <w:highlight w:val="none"/>
        </w:rPr>
      </w:pPr>
    </w:p>
    <w:p>
      <w:pPr>
        <w:pStyle w:val="25"/>
        <w:spacing w:line="360" w:lineRule="auto"/>
        <w:jc w:val="center"/>
        <w:outlineLvl w:val="0"/>
        <w:rPr>
          <w:b/>
          <w:bCs/>
          <w:color w:val="auto"/>
          <w:sz w:val="32"/>
          <w:szCs w:val="32"/>
          <w:highlight w:val="none"/>
        </w:rPr>
      </w:pPr>
      <w:bookmarkStart w:id="259" w:name="_Toc22349"/>
      <w:bookmarkStart w:id="260" w:name="_Toc9813"/>
      <w:bookmarkStart w:id="261" w:name="_Toc6773"/>
      <w:bookmarkStart w:id="262" w:name="_Toc5237"/>
      <w:bookmarkStart w:id="263" w:name="_Toc9308"/>
      <w:bookmarkStart w:id="264" w:name="_Toc20949"/>
      <w:bookmarkStart w:id="265" w:name="_Toc12567"/>
      <w:bookmarkStart w:id="266" w:name="_Toc9333"/>
      <w:bookmarkStart w:id="267" w:name="_Toc29986"/>
      <w:bookmarkStart w:id="268" w:name="_Toc4538"/>
      <w:bookmarkStart w:id="269" w:name="_Toc12986"/>
      <w:bookmarkStart w:id="270" w:name="_Toc9085"/>
      <w:r>
        <w:rPr>
          <w:rFonts w:hint="eastAsia"/>
          <w:b/>
          <w:bCs/>
          <w:color w:val="auto"/>
          <w:sz w:val="32"/>
          <w:szCs w:val="32"/>
          <w:highlight w:val="none"/>
        </w:rPr>
        <w:t>关于资格和响应文件的声明函</w:t>
      </w:r>
      <w:bookmarkEnd w:id="259"/>
      <w:bookmarkEnd w:id="260"/>
      <w:bookmarkEnd w:id="261"/>
      <w:bookmarkEnd w:id="262"/>
      <w:bookmarkEnd w:id="263"/>
      <w:bookmarkEnd w:id="264"/>
      <w:bookmarkEnd w:id="265"/>
      <w:bookmarkEnd w:id="266"/>
      <w:bookmarkEnd w:id="267"/>
      <w:bookmarkEnd w:id="268"/>
      <w:bookmarkEnd w:id="269"/>
      <w:bookmarkEnd w:id="270"/>
    </w:p>
    <w:p>
      <w:pPr>
        <w:spacing w:line="276" w:lineRule="auto"/>
        <w:rPr>
          <w:rFonts w:hint="eastAsia" w:ascii="宋体" w:hAnsi="宋体"/>
          <w:sz w:val="24"/>
          <w:highlight w:val="none"/>
        </w:rPr>
      </w:pPr>
      <w:r>
        <w:rPr>
          <w:rFonts w:hint="eastAsia" w:ascii="宋体" w:hAnsi="宋体"/>
          <w:sz w:val="24"/>
          <w:highlight w:val="none"/>
        </w:rPr>
        <w:t>致：南方医科大学第五附属医院</w:t>
      </w:r>
    </w:p>
    <w:p>
      <w:pPr>
        <w:spacing w:line="276" w:lineRule="auto"/>
        <w:ind w:firstLine="480" w:firstLineChars="200"/>
        <w:rPr>
          <w:rFonts w:hint="eastAsia" w:ascii="宋体" w:hAnsi="宋体"/>
          <w:sz w:val="24"/>
          <w:highlight w:val="none"/>
        </w:rPr>
      </w:pPr>
      <w:r>
        <w:rPr>
          <w:rFonts w:hint="eastAsia" w:ascii="宋体" w:hAnsi="宋体"/>
          <w:sz w:val="24"/>
          <w:highlight w:val="none"/>
        </w:rPr>
        <w:t>关于贵方院内采购项目名称：</w:t>
      </w:r>
      <w:r>
        <w:rPr>
          <w:rFonts w:hint="eastAsia" w:ascii="宋体" w:hAnsi="宋体"/>
          <w:sz w:val="24"/>
          <w:highlight w:val="yellow"/>
        </w:rPr>
        <w:t>南方医科大学第五附属医院****项目(项目编号：****)，</w:t>
      </w:r>
      <w:r>
        <w:rPr>
          <w:rFonts w:hint="eastAsia" w:ascii="宋体" w:hAnsi="宋体"/>
          <w:sz w:val="24"/>
          <w:highlight w:val="none"/>
        </w:rPr>
        <w:t>本签字人愿意参加本项目的院内采购活动，提供采购文件中规定的货物</w:t>
      </w:r>
      <w:r>
        <w:rPr>
          <w:rFonts w:hint="eastAsia" w:ascii="宋体" w:hAnsi="宋体"/>
          <w:sz w:val="24"/>
          <w:highlight w:val="none"/>
          <w:lang w:eastAsia="zh-CN"/>
        </w:rPr>
        <w:t>、工程</w:t>
      </w:r>
      <w:r>
        <w:rPr>
          <w:rFonts w:hint="eastAsia" w:ascii="宋体" w:hAnsi="宋体"/>
          <w:sz w:val="24"/>
          <w:highlight w:val="none"/>
        </w:rPr>
        <w:t>及服务，并证明提交的下列文件和说明是准确的和真实的，并作出如下声明：</w:t>
      </w:r>
    </w:p>
    <w:p>
      <w:pPr>
        <w:spacing w:line="276" w:lineRule="auto"/>
        <w:rPr>
          <w:rFonts w:hint="eastAsia" w:ascii="宋体" w:hAnsi="宋体"/>
          <w:sz w:val="24"/>
          <w:highlight w:val="none"/>
        </w:rPr>
      </w:pPr>
      <w:r>
        <w:rPr>
          <w:rFonts w:hint="eastAsia" w:ascii="宋体" w:hAnsi="宋体"/>
          <w:sz w:val="24"/>
          <w:highlight w:val="none"/>
        </w:rPr>
        <w:t>1.我方具有独立承担民事责任的能力；</w:t>
      </w:r>
    </w:p>
    <w:p>
      <w:pPr>
        <w:spacing w:line="276" w:lineRule="auto"/>
        <w:rPr>
          <w:rFonts w:hint="eastAsia" w:ascii="宋体" w:hAnsi="宋体"/>
          <w:sz w:val="24"/>
          <w:highlight w:val="none"/>
        </w:rPr>
      </w:pPr>
      <w:r>
        <w:rPr>
          <w:rFonts w:hint="eastAsia" w:ascii="宋体" w:hAnsi="宋体"/>
          <w:sz w:val="24"/>
          <w:highlight w:val="none"/>
        </w:rPr>
        <w:t>2.我方具有良好的商业信誉和健全的财务会计制度；</w:t>
      </w:r>
    </w:p>
    <w:p>
      <w:pPr>
        <w:spacing w:line="276" w:lineRule="auto"/>
        <w:rPr>
          <w:rFonts w:hint="eastAsia" w:ascii="宋体" w:hAnsi="宋体"/>
          <w:sz w:val="24"/>
          <w:highlight w:val="none"/>
        </w:rPr>
      </w:pPr>
      <w:r>
        <w:rPr>
          <w:rFonts w:hint="eastAsia" w:ascii="宋体" w:hAnsi="宋体"/>
          <w:sz w:val="24"/>
          <w:highlight w:val="none"/>
        </w:rPr>
        <w:t>3.我方有依法缴纳税收和社会保障资金的良好记录；</w:t>
      </w:r>
    </w:p>
    <w:p>
      <w:pPr>
        <w:spacing w:line="276" w:lineRule="auto"/>
        <w:rPr>
          <w:rFonts w:hint="eastAsia" w:ascii="宋体" w:hAnsi="宋体"/>
          <w:sz w:val="24"/>
          <w:highlight w:val="none"/>
        </w:rPr>
      </w:pPr>
      <w:r>
        <w:rPr>
          <w:rFonts w:hint="eastAsia" w:ascii="宋体" w:hAnsi="宋体"/>
          <w:sz w:val="24"/>
          <w:highlight w:val="none"/>
        </w:rPr>
        <w:t>4.我方具有履行合同所必需的设备和专业技术能力；</w:t>
      </w:r>
    </w:p>
    <w:p>
      <w:pPr>
        <w:spacing w:line="276" w:lineRule="auto"/>
        <w:rPr>
          <w:rFonts w:hint="eastAsia" w:ascii="宋体" w:hAnsi="宋体"/>
          <w:sz w:val="24"/>
          <w:highlight w:val="none"/>
          <w:lang w:val="en-US" w:eastAsia="zh-CN"/>
        </w:rPr>
      </w:pPr>
      <w:r>
        <w:rPr>
          <w:rFonts w:hint="eastAsia" w:ascii="宋体" w:hAnsi="宋体"/>
          <w:sz w:val="24"/>
          <w:highlight w:val="none"/>
          <w:lang w:val="en-US" w:eastAsia="zh-CN"/>
        </w:rPr>
        <w:t>5.</w:t>
      </w:r>
      <w:r>
        <w:rPr>
          <w:rFonts w:hint="eastAsia" w:ascii="宋体" w:hAnsi="宋体"/>
          <w:sz w:val="24"/>
          <w:highlight w:val="none"/>
        </w:rPr>
        <w:t>我方不</w:t>
      </w:r>
      <w:r>
        <w:rPr>
          <w:rFonts w:hint="eastAsia" w:ascii="宋体" w:hAnsi="宋体" w:eastAsia="宋体"/>
          <w:sz w:val="24"/>
          <w:highlight w:val="none"/>
          <w:lang w:val="en-US" w:eastAsia="zh-CN"/>
        </w:rPr>
        <w:t>存在以下情况：以联合体形式参加本项目院内采购活动</w:t>
      </w:r>
      <w:r>
        <w:rPr>
          <w:rFonts w:hint="eastAsia" w:ascii="宋体" w:hAnsi="宋体"/>
          <w:sz w:val="24"/>
          <w:highlight w:val="none"/>
          <w:lang w:val="en-US" w:eastAsia="zh-CN"/>
        </w:rPr>
        <w:t>；</w:t>
      </w:r>
    </w:p>
    <w:p>
      <w:pPr>
        <w:spacing w:line="276" w:lineRule="auto"/>
        <w:rPr>
          <w:rFonts w:hint="eastAsia"/>
          <w:lang w:val="en-US" w:eastAsia="zh-CN"/>
        </w:rPr>
      </w:pPr>
      <w:r>
        <w:rPr>
          <w:rFonts w:hint="eastAsia" w:ascii="宋体" w:hAnsi="宋体"/>
          <w:sz w:val="24"/>
          <w:highlight w:val="none"/>
          <w:lang w:val="en-US" w:eastAsia="zh-CN"/>
        </w:rPr>
        <w:t>6.</w:t>
      </w:r>
      <w:r>
        <w:rPr>
          <w:rFonts w:hint="eastAsia" w:ascii="宋体" w:hAnsi="宋体"/>
          <w:sz w:val="24"/>
          <w:highlight w:val="none"/>
        </w:rPr>
        <w:t>我方不</w:t>
      </w:r>
      <w:r>
        <w:rPr>
          <w:rFonts w:hint="eastAsia" w:ascii="宋体" w:hAnsi="宋体" w:eastAsia="宋体"/>
          <w:sz w:val="24"/>
          <w:highlight w:val="none"/>
          <w:lang w:val="en-US" w:eastAsia="zh-CN"/>
        </w:rPr>
        <w:t>存在以下情况：以</w:t>
      </w:r>
      <w:r>
        <w:rPr>
          <w:rFonts w:hint="default" w:ascii="Times New Roman" w:hAnsi="宋体" w:eastAsia="宋体" w:cs="Times New Roman"/>
          <w:color w:val="000000"/>
          <w:sz w:val="24"/>
        </w:rPr>
        <w:t>转包，分包</w:t>
      </w:r>
      <w:r>
        <w:rPr>
          <w:rFonts w:hint="eastAsia" w:ascii="宋体" w:hAnsi="宋体" w:eastAsia="宋体"/>
          <w:sz w:val="24"/>
          <w:highlight w:val="none"/>
          <w:lang w:val="en-US" w:eastAsia="zh-CN"/>
        </w:rPr>
        <w:t>形式参加本项目院内采购活动</w:t>
      </w:r>
      <w:r>
        <w:rPr>
          <w:rFonts w:hint="eastAsia" w:ascii="宋体" w:hAnsi="宋体"/>
          <w:sz w:val="24"/>
          <w:highlight w:val="none"/>
          <w:lang w:val="en-US" w:eastAsia="zh-CN"/>
        </w:rPr>
        <w:t>；</w:t>
      </w:r>
    </w:p>
    <w:p>
      <w:pPr>
        <w:spacing w:line="276" w:lineRule="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7.我方在参加政府采购活动前3年内在经营活动中没有重大违法、违规及刑事犯罪记录；</w:t>
      </w:r>
    </w:p>
    <w:p>
      <w:pPr>
        <w:spacing w:line="276" w:lineRule="auto"/>
        <w:rPr>
          <w:rFonts w:hint="eastAsia" w:ascii="宋体" w:hAnsi="宋体" w:eastAsia="宋体"/>
          <w:sz w:val="24"/>
          <w:highlight w:val="none"/>
          <w:lang w:eastAsia="zh-CN"/>
        </w:rPr>
      </w:pPr>
      <w:r>
        <w:rPr>
          <w:rFonts w:hint="eastAsia" w:ascii="宋体" w:hAnsi="宋体" w:eastAsia="宋体"/>
          <w:sz w:val="24"/>
          <w:highlight w:val="none"/>
          <w:lang w:val="en-US" w:eastAsia="zh-CN"/>
        </w:rPr>
        <w:t>8.我方不存在以下情况：法定代表人或单位负责人为同一人或者存在直接控股、管理关系的不同供应商，不同时</w:t>
      </w:r>
      <w:r>
        <w:rPr>
          <w:rFonts w:hint="eastAsia" w:ascii="宋体" w:hAnsi="宋体"/>
          <w:sz w:val="24"/>
          <w:highlight w:val="none"/>
        </w:rPr>
        <w:t>参加本采购项目的院内采购活动</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9.</w:t>
      </w:r>
      <w:r>
        <w:rPr>
          <w:rFonts w:hint="eastAsia" w:ascii="宋体" w:hAnsi="宋体"/>
          <w:sz w:val="24"/>
          <w:highlight w:val="none"/>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10.</w:t>
      </w:r>
      <w:r>
        <w:rPr>
          <w:rFonts w:hint="eastAsia" w:ascii="宋体" w:hAnsi="宋体"/>
          <w:sz w:val="24"/>
          <w:highlight w:val="none"/>
        </w:rPr>
        <w:t>我方为本次磋商所提交的所有证明其合格和资格的文件是真实的和正确的，并愿为其真实性和正确性承担法律责任</w:t>
      </w:r>
      <w:r>
        <w:rPr>
          <w:rFonts w:hint="eastAsia" w:ascii="宋体" w:hAnsi="宋体"/>
          <w:sz w:val="24"/>
          <w:highlight w:val="none"/>
          <w:lang w:eastAsia="zh-CN"/>
        </w:rPr>
        <w:t>。</w:t>
      </w:r>
    </w:p>
    <w:p>
      <w:pPr>
        <w:spacing w:line="276" w:lineRule="auto"/>
        <w:rPr>
          <w:rFonts w:hint="eastAsia" w:ascii="宋体" w:hAnsi="宋体"/>
          <w:sz w:val="24"/>
          <w:highlight w:val="none"/>
        </w:rPr>
      </w:pPr>
    </w:p>
    <w:p>
      <w:pPr>
        <w:spacing w:line="276" w:lineRule="auto"/>
        <w:rPr>
          <w:rFonts w:hint="eastAsia" w:ascii="宋体" w:hAnsi="宋体"/>
          <w:sz w:val="24"/>
          <w:highlight w:val="none"/>
        </w:rPr>
      </w:pPr>
      <w:r>
        <w:rPr>
          <w:rFonts w:hint="eastAsia" w:ascii="宋体" w:hAnsi="宋体"/>
          <w:sz w:val="24"/>
          <w:highlight w:val="none"/>
        </w:rPr>
        <w:t>如有违法、违规、弄虚作假行为，所造成的损失、不良后果及法律责任，一律由我方承担。</w:t>
      </w:r>
    </w:p>
    <w:p>
      <w:pPr>
        <w:spacing w:line="276" w:lineRule="auto"/>
        <w:rPr>
          <w:rFonts w:hint="eastAsia" w:ascii="宋体" w:hAnsi="宋体"/>
          <w:sz w:val="24"/>
          <w:highlight w:val="none"/>
        </w:rPr>
      </w:pPr>
      <w:r>
        <w:rPr>
          <w:rFonts w:hint="eastAsia" w:ascii="宋体" w:hAnsi="宋体"/>
          <w:sz w:val="24"/>
          <w:highlight w:val="none"/>
        </w:rPr>
        <w:t>特此声明！</w:t>
      </w:r>
    </w:p>
    <w:p>
      <w:pPr>
        <w:spacing w:line="276" w:lineRule="auto"/>
        <w:rPr>
          <w:rFonts w:ascii="宋体" w:hAnsi="宋体"/>
          <w:sz w:val="24"/>
          <w:highlight w:val="none"/>
        </w:rPr>
      </w:pPr>
    </w:p>
    <w:p>
      <w:pPr>
        <w:spacing w:line="360" w:lineRule="auto"/>
        <w:rPr>
          <w:rFonts w:ascii="宋体" w:hAnsi="宋体"/>
          <w:sz w:val="24"/>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供应商名称（盖章）：</w:t>
      </w:r>
    </w:p>
    <w:p>
      <w:pPr>
        <w:pStyle w:val="21"/>
        <w:jc w:val="left"/>
        <w:rPr>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供应商法定代表人（或法定代表人授权代表）（签字或盖章）：</w:t>
      </w:r>
    </w:p>
    <w:p>
      <w:pPr>
        <w:pStyle w:val="21"/>
        <w:jc w:val="left"/>
        <w:rPr>
          <w:highlight w:val="none"/>
        </w:rPr>
      </w:pPr>
    </w:p>
    <w:p>
      <w:pPr>
        <w:spacing w:line="360" w:lineRule="auto"/>
        <w:jc w:val="left"/>
        <w:rPr>
          <w:rFonts w:ascii="宋体" w:hAnsi="宋体"/>
          <w:sz w:val="24"/>
          <w:highlight w:val="none"/>
        </w:rPr>
      </w:pPr>
      <w:r>
        <w:rPr>
          <w:rFonts w:hint="eastAsia" w:ascii="宋体" w:hAnsi="宋体"/>
          <w:sz w:val="24"/>
          <w:highlight w:val="none"/>
        </w:rPr>
        <w:t>日期：　　年　  月　  日</w:t>
      </w:r>
    </w:p>
    <w:p>
      <w:pPr>
        <w:pStyle w:val="21"/>
        <w:rPr>
          <w:rFonts w:hint="eastAsia" w:ascii="宋体" w:hAnsi="宋体"/>
          <w:color w:val="auto"/>
          <w:sz w:val="24"/>
          <w:highlight w:val="none"/>
        </w:rPr>
      </w:pPr>
    </w:p>
    <w:p>
      <w:pPr>
        <w:pStyle w:val="21"/>
        <w:rPr>
          <w:rFonts w:hint="eastAsia" w:ascii="宋体" w:hAnsi="宋体"/>
          <w:color w:val="auto"/>
          <w:sz w:val="24"/>
          <w:highlight w:val="none"/>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3"/>
        <w:numPr>
          <w:ilvl w:val="0"/>
          <w:numId w:val="4"/>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71" w:name="_Toc17933"/>
      <w:r>
        <w:rPr>
          <w:rFonts w:hint="eastAsia" w:ascii="宋体" w:hAnsi="宋体" w:eastAsia="宋体"/>
          <w:color w:val="auto"/>
          <w:sz w:val="40"/>
          <w:lang w:eastAsia="zh-CN"/>
        </w:rPr>
        <w:t>合同模板</w:t>
      </w:r>
      <w:bookmarkEnd w:id="271"/>
      <w:r>
        <w:rPr>
          <w:rFonts w:hint="eastAsia" w:ascii="宋体" w:hAnsi="宋体" w:eastAsia="宋体"/>
          <w:color w:val="auto"/>
          <w:sz w:val="40"/>
          <w:lang w:eastAsia="zh-CN"/>
        </w:rPr>
        <w:t>（另附）</w:t>
      </w:r>
    </w:p>
    <w:p>
      <w:pPr>
        <w:widowControl w:val="0"/>
        <w:numPr>
          <w:ilvl w:val="0"/>
          <w:numId w:val="0"/>
        </w:numPr>
        <w:jc w:val="both"/>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sectPr>
      <w:head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10</w:t>
                          </w:r>
                          <w:r>
                            <w:fldChar w:fldCharType="end"/>
                          </w:r>
                          <w:r>
                            <w:t xml:space="preserve"> 页 共 </w:t>
                          </w:r>
                          <w:r>
                            <w:rPr>
                              <w:rFonts w:hint="eastAsia"/>
                              <w:lang w:val="en-US" w:eastAsia="zh-CN"/>
                            </w:rPr>
                            <w:t>16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10</w:t>
                    </w:r>
                    <w:r>
                      <w:fldChar w:fldCharType="end"/>
                    </w:r>
                    <w:r>
                      <w:t xml:space="preserve"> 页 共 </w:t>
                    </w:r>
                    <w:r>
                      <w:rPr>
                        <w:rFonts w:hint="eastAsia"/>
                        <w:lang w:val="en-US" w:eastAsia="zh-CN"/>
                      </w:rPr>
                      <w:t>16</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FFC5B4C"/>
    <w:multiLevelType w:val="singleLevel"/>
    <w:tmpl w:val="7FFC5B4C"/>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2337B5"/>
    <w:rsid w:val="034404CF"/>
    <w:rsid w:val="039B179B"/>
    <w:rsid w:val="04EE7118"/>
    <w:rsid w:val="054E169D"/>
    <w:rsid w:val="05907E7A"/>
    <w:rsid w:val="066F5ED2"/>
    <w:rsid w:val="07862043"/>
    <w:rsid w:val="079C2FAC"/>
    <w:rsid w:val="07ED5D2D"/>
    <w:rsid w:val="0A9C5E28"/>
    <w:rsid w:val="0AA45825"/>
    <w:rsid w:val="0B0A3975"/>
    <w:rsid w:val="0B6E199F"/>
    <w:rsid w:val="0BCD2048"/>
    <w:rsid w:val="0C705246"/>
    <w:rsid w:val="0CAD27D4"/>
    <w:rsid w:val="0ED05230"/>
    <w:rsid w:val="10014154"/>
    <w:rsid w:val="10277357"/>
    <w:rsid w:val="12EB2AD0"/>
    <w:rsid w:val="14331D3D"/>
    <w:rsid w:val="147A5AF1"/>
    <w:rsid w:val="1489025A"/>
    <w:rsid w:val="15325191"/>
    <w:rsid w:val="16133E5E"/>
    <w:rsid w:val="164C7363"/>
    <w:rsid w:val="16B65E2B"/>
    <w:rsid w:val="17562ADF"/>
    <w:rsid w:val="1A812401"/>
    <w:rsid w:val="1AF93CE3"/>
    <w:rsid w:val="1CAC7FE6"/>
    <w:rsid w:val="1DE30DB3"/>
    <w:rsid w:val="1F187406"/>
    <w:rsid w:val="20995391"/>
    <w:rsid w:val="20B81B4B"/>
    <w:rsid w:val="21282075"/>
    <w:rsid w:val="21D627A8"/>
    <w:rsid w:val="22A53EBB"/>
    <w:rsid w:val="24E1111B"/>
    <w:rsid w:val="262F2952"/>
    <w:rsid w:val="26C20E41"/>
    <w:rsid w:val="26F058DC"/>
    <w:rsid w:val="274618E3"/>
    <w:rsid w:val="27715F5E"/>
    <w:rsid w:val="28084236"/>
    <w:rsid w:val="28716EFA"/>
    <w:rsid w:val="298D7034"/>
    <w:rsid w:val="2A241B69"/>
    <w:rsid w:val="2B694EC9"/>
    <w:rsid w:val="2BC8683E"/>
    <w:rsid w:val="2BD8709E"/>
    <w:rsid w:val="2BE11C14"/>
    <w:rsid w:val="2C1134D3"/>
    <w:rsid w:val="2D07550B"/>
    <w:rsid w:val="2DA7679B"/>
    <w:rsid w:val="2FD82C2E"/>
    <w:rsid w:val="30D03C68"/>
    <w:rsid w:val="31120C66"/>
    <w:rsid w:val="31EA386E"/>
    <w:rsid w:val="32E15A65"/>
    <w:rsid w:val="3DBE51F4"/>
    <w:rsid w:val="3EBA1C45"/>
    <w:rsid w:val="3EFF6336"/>
    <w:rsid w:val="3F8955E2"/>
    <w:rsid w:val="3FF52FF7"/>
    <w:rsid w:val="41B60C35"/>
    <w:rsid w:val="42A321BA"/>
    <w:rsid w:val="42AF6223"/>
    <w:rsid w:val="435B5C8B"/>
    <w:rsid w:val="44546201"/>
    <w:rsid w:val="451E6F60"/>
    <w:rsid w:val="45244DEA"/>
    <w:rsid w:val="46D069DB"/>
    <w:rsid w:val="485129D4"/>
    <w:rsid w:val="48687F8B"/>
    <w:rsid w:val="48F44CB0"/>
    <w:rsid w:val="4A391992"/>
    <w:rsid w:val="4C981BA5"/>
    <w:rsid w:val="4D72553A"/>
    <w:rsid w:val="4DDF729F"/>
    <w:rsid w:val="4E4C452A"/>
    <w:rsid w:val="4E5E5E11"/>
    <w:rsid w:val="4E98699E"/>
    <w:rsid w:val="4ED23FAB"/>
    <w:rsid w:val="51A73BDA"/>
    <w:rsid w:val="52726854"/>
    <w:rsid w:val="52AF0E96"/>
    <w:rsid w:val="53A776AF"/>
    <w:rsid w:val="5623033B"/>
    <w:rsid w:val="5658445F"/>
    <w:rsid w:val="568F6108"/>
    <w:rsid w:val="58A758D2"/>
    <w:rsid w:val="58D76A1B"/>
    <w:rsid w:val="5A4B59E1"/>
    <w:rsid w:val="5A6E3589"/>
    <w:rsid w:val="5A9647D7"/>
    <w:rsid w:val="5A9814EF"/>
    <w:rsid w:val="5B245060"/>
    <w:rsid w:val="5C8E6CC1"/>
    <w:rsid w:val="5D453D32"/>
    <w:rsid w:val="5D6F1865"/>
    <w:rsid w:val="5F0B7BE8"/>
    <w:rsid w:val="5FA82935"/>
    <w:rsid w:val="603C7BC2"/>
    <w:rsid w:val="60423FDD"/>
    <w:rsid w:val="614B10EF"/>
    <w:rsid w:val="635941B3"/>
    <w:rsid w:val="64C02086"/>
    <w:rsid w:val="658925AF"/>
    <w:rsid w:val="6772399F"/>
    <w:rsid w:val="6780006F"/>
    <w:rsid w:val="684D2239"/>
    <w:rsid w:val="689C77C3"/>
    <w:rsid w:val="68B72DD1"/>
    <w:rsid w:val="68E3749B"/>
    <w:rsid w:val="69BE6F9C"/>
    <w:rsid w:val="6A274C05"/>
    <w:rsid w:val="6D971A88"/>
    <w:rsid w:val="6EFB13D7"/>
    <w:rsid w:val="6F32730A"/>
    <w:rsid w:val="705C256B"/>
    <w:rsid w:val="7139323E"/>
    <w:rsid w:val="743D52CE"/>
    <w:rsid w:val="752E6281"/>
    <w:rsid w:val="76CE06C3"/>
    <w:rsid w:val="77AA1F2C"/>
    <w:rsid w:val="783919C4"/>
    <w:rsid w:val="78D00495"/>
    <w:rsid w:val="78FA1F51"/>
    <w:rsid w:val="795067BF"/>
    <w:rsid w:val="79FA6E97"/>
    <w:rsid w:val="7A597865"/>
    <w:rsid w:val="7B1665E7"/>
    <w:rsid w:val="7BFE5B74"/>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autoRedefine/>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Body Text"/>
    <w:basedOn w:val="1"/>
    <w:link w:val="37"/>
    <w:autoRedefine/>
    <w:qFormat/>
    <w:uiPriority w:val="0"/>
    <w:pPr>
      <w:spacing w:after="120"/>
    </w:pPr>
  </w:style>
  <w:style w:type="paragraph" w:styleId="7">
    <w:name w:val="Body Text Indent"/>
    <w:basedOn w:val="1"/>
    <w:autoRedefine/>
    <w:qFormat/>
    <w:uiPriority w:val="0"/>
    <w:pPr>
      <w:ind w:firstLine="830" w:firstLineChars="352"/>
    </w:pPr>
    <w:rPr>
      <w:rFonts w:ascii="仿宋_GB2312" w:eastAsia="仿宋_GB2312"/>
      <w:sz w:val="32"/>
    </w:rPr>
  </w:style>
  <w:style w:type="paragraph" w:styleId="8">
    <w:name w:val="List Bullet 2"/>
    <w:basedOn w:val="1"/>
    <w:qFormat/>
    <w:uiPriority w:val="0"/>
    <w:pPr>
      <w:numPr>
        <w:ilvl w:val="0"/>
        <w:numId w:val="1"/>
      </w:numPr>
    </w:p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29"/>
    <w:autoRedefine/>
    <w:qFormat/>
    <w:uiPriority w:val="0"/>
    <w:rPr>
      <w:sz w:val="18"/>
      <w:szCs w:val="18"/>
    </w:rPr>
  </w:style>
  <w:style w:type="paragraph" w:styleId="11">
    <w:name w:val="footer"/>
    <w:basedOn w:val="1"/>
    <w:link w:val="35"/>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ascii="Tahoma" w:hAnsi="Tahoma" w:eastAsia="宋体"/>
      <w:b/>
      <w:bCs/>
      <w:spacing w:val="10"/>
      <w:kern w:val="2"/>
      <w:sz w:val="24"/>
      <w:szCs w:val="24"/>
      <w:lang w:val="en-US" w:eastAsia="zh-CN" w:bidi="ar-SA"/>
    </w:rPr>
  </w:style>
  <w:style w:type="character" w:styleId="19">
    <w:name w:val="page number"/>
    <w:autoRedefine/>
    <w:qFormat/>
    <w:uiPriority w:val="0"/>
    <w:rPr>
      <w:lang w:val="en-US" w:eastAsia="zh-CN" w:bidi="ar-SA"/>
    </w:rPr>
  </w:style>
  <w:style w:type="character" w:styleId="20">
    <w:name w:val="Hyperlink"/>
    <w:autoRedefine/>
    <w:qFormat/>
    <w:uiPriority w:val="99"/>
    <w:rPr>
      <w:rFonts w:eastAsia="宋体"/>
      <w:color w:val="0000FF"/>
      <w:kern w:val="2"/>
      <w:sz w:val="24"/>
      <w:szCs w:val="24"/>
      <w:u w:val="single"/>
      <w:lang w:val="en-US" w:eastAsia="zh-CN" w:bidi="ar-SA"/>
    </w:rPr>
  </w:style>
  <w:style w:type="paragraph" w:customStyle="1" w:styleId="21">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autoRedefine/>
    <w:qFormat/>
    <w:uiPriority w:val="0"/>
    <w:rPr>
      <w:rFonts w:ascii="Times New Roman" w:hAnsi="Times New Roman" w:eastAsia="宋体" w:cs="Times New Roman"/>
      <w:lang w:val="en-US" w:eastAsia="zh-CN" w:bidi="ar-SA"/>
    </w:rPr>
  </w:style>
  <w:style w:type="paragraph" w:styleId="24">
    <w:name w:val="List Paragraph"/>
    <w:basedOn w:val="1"/>
    <w:autoRedefine/>
    <w:qFormat/>
    <w:uiPriority w:val="0"/>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paragraph" w:customStyle="1" w:styleId="2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autoRedefine/>
    <w:qFormat/>
    <w:uiPriority w:val="0"/>
  </w:style>
  <w:style w:type="character" w:customStyle="1" w:styleId="29">
    <w:name w:val="批注框文本 Char"/>
    <w:basedOn w:val="17"/>
    <w:link w:val="10"/>
    <w:autoRedefine/>
    <w:qFormat/>
    <w:uiPriority w:val="0"/>
    <w:rPr>
      <w:rFonts w:ascii="Times New Roman" w:hAnsi="Times New Roman" w:eastAsia="宋体" w:cs="Times New Roman"/>
      <w:kern w:val="2"/>
      <w:sz w:val="18"/>
      <w:szCs w:val="18"/>
    </w:rPr>
  </w:style>
  <w:style w:type="character" w:customStyle="1" w:styleId="30">
    <w:name w:val="标题 3 Char"/>
    <w:basedOn w:val="17"/>
    <w:link w:val="4"/>
    <w:autoRedefine/>
    <w:semiHidden/>
    <w:qFormat/>
    <w:uiPriority w:val="0"/>
    <w:rPr>
      <w:rFonts w:ascii="Times New Roman" w:hAnsi="Times New Roman" w:eastAsia="宋体" w:cs="Times New Roman"/>
      <w:b/>
      <w:bCs/>
      <w:kern w:val="2"/>
      <w:sz w:val="32"/>
      <w:szCs w:val="32"/>
    </w:rPr>
  </w:style>
  <w:style w:type="paragraph" w:customStyle="1" w:styleId="31">
    <w:name w:val="--规划正文"/>
    <w:basedOn w:val="1"/>
    <w:autoRedefine/>
    <w:qFormat/>
    <w:uiPriority w:val="0"/>
    <w:pPr>
      <w:spacing w:line="360" w:lineRule="auto"/>
      <w:ind w:firstLine="200" w:firstLineChars="200"/>
    </w:pPr>
    <w:rPr>
      <w:rFonts w:ascii="宋体"/>
      <w:kern w:val="0"/>
      <w:sz w:val="24"/>
      <w:szCs w:val="20"/>
    </w:rPr>
  </w:style>
  <w:style w:type="paragraph" w:customStyle="1" w:styleId="32">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7"/>
    <w:link w:val="11"/>
    <w:autoRedefine/>
    <w:qFormat/>
    <w:uiPriority w:val="99"/>
    <w:rPr>
      <w:rFonts w:ascii="Times New Roman" w:hAnsi="Times New Roman" w:eastAsia="宋体" w:cs="Times New Roman"/>
      <w:kern w:val="2"/>
      <w:sz w:val="18"/>
      <w:szCs w:val="18"/>
    </w:rPr>
  </w:style>
  <w:style w:type="paragraph" w:customStyle="1" w:styleId="36">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7">
    <w:name w:val="正文文本 Char"/>
    <w:basedOn w:val="17"/>
    <w:link w:val="6"/>
    <w:autoRedefine/>
    <w:qFormat/>
    <w:uiPriority w:val="0"/>
    <w:rPr>
      <w:rFonts w:ascii="Times New Roman" w:hAnsi="Times New Roman" w:eastAsia="宋体" w:cs="Times New Roman"/>
      <w:kern w:val="2"/>
      <w:sz w:val="21"/>
      <w:szCs w:val="24"/>
    </w:rPr>
  </w:style>
  <w:style w:type="paragraph" w:customStyle="1" w:styleId="38">
    <w:name w:val="正文文本_0"/>
    <w:basedOn w:val="1"/>
    <w:autoRedefine/>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19</Pages>
  <Words>5226</Words>
  <Characters>5527</Characters>
  <Lines>93</Lines>
  <Paragraphs>26</Paragraphs>
  <TotalTime>0</TotalTime>
  <ScaleCrop>false</ScaleCrop>
  <LinksUpToDate>false</LinksUpToDate>
  <CharactersWithSpaces>6227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2023-02-16T02:52:00Z</cp:lastPrinted>
  <dcterms:modified xsi:type="dcterms:W3CDTF">2024-04-18T10:24:56Z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222C360A81D343FAAFC796000A4406F4</vt:lpwstr>
  </property>
</Properties>
</file>