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360" w:lineRule="auto"/>
        <w:jc w:val="center"/>
        <w:outlineLvl w:val="0"/>
        <w:rPr>
          <w:rFonts w:ascii="黑体" w:hAnsi="黑体" w:eastAsia="黑体"/>
          <w:b/>
          <w:sz w:val="44"/>
          <w:szCs w:val="44"/>
        </w:rPr>
      </w:pPr>
      <w:bookmarkStart w:id="0" w:name="_Toc29141"/>
      <w:r>
        <w:rPr>
          <w:rFonts w:hint="eastAsia" w:ascii="黑体" w:hAnsi="黑体" w:eastAsia="黑体"/>
          <w:b/>
          <w:sz w:val="44"/>
          <w:szCs w:val="44"/>
        </w:rPr>
        <w:t>南方医科大学第五附属医院</w:t>
      </w:r>
      <w:bookmarkEnd w:id="0"/>
    </w:p>
    <w:p>
      <w:pPr>
        <w:spacing w:line="360" w:lineRule="auto"/>
        <w:jc w:val="center"/>
        <w:outlineLvl w:val="0"/>
        <w:rPr>
          <w:rFonts w:ascii="宋体" w:hAnsi="宋体"/>
          <w:b/>
          <w:kern w:val="0"/>
          <w:sz w:val="44"/>
          <w:szCs w:val="44"/>
        </w:rPr>
      </w:pPr>
      <w:bookmarkStart w:id="1" w:name="_Toc17327"/>
      <w:r>
        <w:rPr>
          <w:rFonts w:hint="eastAsia" w:ascii="黑体" w:hAnsi="黑体" w:eastAsia="黑体"/>
          <w:b/>
          <w:sz w:val="44"/>
          <w:szCs w:val="44"/>
        </w:rPr>
        <w:t>医院感染实时监测管理系统模块升级建设项目</w:t>
      </w:r>
      <w:bookmarkEnd w:id="1"/>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p>
    <w:p>
      <w:pPr>
        <w:spacing w:line="480" w:lineRule="auto"/>
        <w:jc w:val="center"/>
        <w:outlineLvl w:val="0"/>
        <w:rPr>
          <w:rFonts w:ascii="宋体" w:hAnsi="宋体"/>
          <w:b/>
          <w:bCs/>
          <w:sz w:val="44"/>
          <w:szCs w:val="44"/>
        </w:rPr>
      </w:pPr>
      <w:bookmarkStart w:id="2" w:name="_Toc15716"/>
      <w:r>
        <w:rPr>
          <w:rFonts w:hint="eastAsia" w:ascii="宋体" w:hAnsi="宋体"/>
          <w:b/>
          <w:bCs/>
          <w:sz w:val="44"/>
          <w:szCs w:val="44"/>
        </w:rPr>
        <w:t>院内采购文件</w:t>
      </w:r>
      <w:bookmarkEnd w:id="2"/>
    </w:p>
    <w:p>
      <w:pPr>
        <w:spacing w:line="480" w:lineRule="auto"/>
        <w:ind w:firstLine="843" w:firstLineChars="300"/>
        <w:jc w:val="center"/>
        <w:rPr>
          <w:rFonts w:ascii="宋体" w:hAnsi="宋体"/>
          <w:b/>
          <w:bCs/>
          <w:sz w:val="28"/>
          <w:szCs w:val="28"/>
        </w:rPr>
      </w:pPr>
    </w:p>
    <w:p>
      <w:pPr>
        <w:pStyle w:val="25"/>
      </w:pPr>
    </w:p>
    <w:p>
      <w:pPr>
        <w:pStyle w:val="25"/>
        <w:spacing w:line="360" w:lineRule="auto"/>
        <w:rPr>
          <w:rFonts w:ascii="方正小标宋简体" w:hAnsi="宋体" w:eastAsia="方正小标宋简体"/>
          <w:sz w:val="32"/>
        </w:rPr>
      </w:pPr>
    </w:p>
    <w:p>
      <w:pPr>
        <w:adjustRightInd w:val="0"/>
        <w:snapToGrid w:val="0"/>
        <w:spacing w:line="360" w:lineRule="auto"/>
        <w:jc w:val="center"/>
        <w:outlineLvl w:val="0"/>
        <w:rPr>
          <w:rFonts w:hint="eastAsia" w:ascii="宋体" w:hAnsi="宋体" w:eastAsia="宋体"/>
          <w:b/>
          <w:bCs/>
          <w:sz w:val="30"/>
          <w:szCs w:val="30"/>
          <w:lang w:val="en-US" w:eastAsia="zh-CN"/>
        </w:rPr>
      </w:pPr>
      <w:bookmarkStart w:id="3" w:name="_Toc22764"/>
      <w:r>
        <w:rPr>
          <w:rFonts w:hint="eastAsia" w:ascii="宋体" w:hAnsi="宋体"/>
          <w:b/>
          <w:bCs/>
          <w:sz w:val="30"/>
          <w:szCs w:val="30"/>
        </w:rPr>
        <w:t>项目编号：NYWYF2024000</w:t>
      </w:r>
      <w:r>
        <w:rPr>
          <w:rFonts w:hint="eastAsia" w:ascii="宋体" w:hAnsi="宋体"/>
          <w:b/>
          <w:bCs/>
          <w:sz w:val="30"/>
          <w:szCs w:val="30"/>
          <w:lang w:val="en-US" w:eastAsia="zh-CN"/>
        </w:rPr>
        <w:t>8</w:t>
      </w:r>
      <w:bookmarkEnd w:id="3"/>
    </w:p>
    <w:p>
      <w:pPr>
        <w:pStyle w:val="25"/>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4" w:name="_Toc10511"/>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bookmarkEnd w:id="4"/>
    </w:p>
    <w:sdt>
      <w:sdtPr>
        <w:rPr>
          <w:rFonts w:ascii="宋体" w:hAnsi="宋体" w:eastAsia="宋体" w:cs="Times New Roman"/>
          <w:kern w:val="2"/>
          <w:sz w:val="21"/>
          <w:szCs w:val="24"/>
          <w:lang w:val="en-US" w:eastAsia="zh-CN" w:bidi="ar-SA"/>
        </w:rPr>
        <w:id w:val="147456251"/>
        <w15:color w:val="DBDBDB"/>
        <w:docPartObj>
          <w:docPartGallery w:val="Table of Contents"/>
          <w:docPartUnique/>
        </w:docPartObj>
      </w:sdtPr>
      <w:sdtEndPr>
        <w:rPr>
          <w:rFonts w:hint="eastAsia" w:ascii="宋体" w:hAnsi="宋体" w:eastAsia="宋体" w:cs="宋体"/>
          <w:b/>
          <w:bCs/>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27"/>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p>
        <w:p>
          <w:pPr>
            <w:pStyle w:val="27"/>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_Toc23144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_Toc23144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7"/>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_Toc835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 xml:space="preserve">第二部分 </w:t>
          </w:r>
          <w:r>
            <w:rPr>
              <w:rFonts w:hint="eastAsia" w:ascii="宋体" w:hAnsi="宋体" w:eastAsia="宋体" w:cs="宋体"/>
              <w:b/>
              <w:bCs/>
              <w:sz w:val="28"/>
              <w:szCs w:val="28"/>
              <w:lang w:eastAsia="zh-CN"/>
            </w:rPr>
            <w:t>采购</w:t>
          </w:r>
          <w:r>
            <w:rPr>
              <w:rFonts w:hint="eastAsia" w:ascii="宋体" w:hAnsi="宋体" w:eastAsia="宋体" w:cs="宋体"/>
              <w:b/>
              <w:bCs/>
              <w:sz w:val="28"/>
              <w:szCs w:val="28"/>
            </w:rPr>
            <w:t>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7"/>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_Toc11115 </w:instrText>
          </w:r>
          <w:r>
            <w:rPr>
              <w:rFonts w:hint="eastAsia" w:ascii="宋体" w:hAnsi="宋体" w:eastAsia="宋体" w:cs="宋体"/>
              <w:b/>
              <w:bCs/>
              <w:kern w:val="0"/>
              <w:sz w:val="28"/>
              <w:szCs w:val="28"/>
            </w:rPr>
            <w:fldChar w:fldCharType="separate"/>
          </w:r>
          <w:r>
            <w:rPr>
              <w:rFonts w:hint="eastAsia" w:ascii="宋体" w:hAnsi="宋体" w:eastAsia="宋体" w:cs="宋体"/>
              <w:b/>
              <w:bCs/>
              <w:kern w:val="0"/>
              <w:sz w:val="28"/>
              <w:szCs w:val="28"/>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_Toc11115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7"/>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_Toc32376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_Toc32376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8</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7"/>
            <w:tabs>
              <w:tab w:val="right" w:leader="dot" w:pos="9638"/>
            </w:tabs>
            <w:spacing w:line="360" w:lineRule="auto"/>
            <w:rPr>
              <w:rFonts w:hint="eastAsia" w:ascii="宋体" w:hAnsi="宋体" w:eastAsia="宋体" w:cs="宋体"/>
              <w:b/>
              <w:bCs/>
              <w:sz w:val="28"/>
              <w:szCs w:val="28"/>
              <w:lang w:val="en-US" w:eastAsia="zh-CN"/>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_Toc20014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第五部分 合同模板</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kern w:val="0"/>
              <w:sz w:val="28"/>
              <w:szCs w:val="28"/>
            </w:rPr>
            <w:fldChar w:fldCharType="end"/>
          </w:r>
          <w:r>
            <w:rPr>
              <w:rFonts w:hint="eastAsia" w:ascii="宋体" w:hAnsi="宋体" w:cs="宋体"/>
              <w:b/>
              <w:bCs/>
              <w:kern w:val="0"/>
              <w:sz w:val="28"/>
              <w:szCs w:val="28"/>
              <w:lang w:val="en-US" w:eastAsia="zh-CN"/>
            </w:rPr>
            <w:t>8</w:t>
          </w:r>
        </w:p>
        <w:p>
          <w:pPr>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fldChar w:fldCharType="end"/>
          </w:r>
        </w:p>
      </w:sdtContent>
    </w:sdt>
    <w:p>
      <w:pPr>
        <w:spacing w:line="360" w:lineRule="auto"/>
        <w:jc w:val="center"/>
        <w:rPr>
          <w:rFonts w:hint="eastAsia" w:ascii="宋体" w:hAnsi="宋体" w:eastAsia="宋体" w:cs="宋体"/>
          <w:b/>
          <w:bCs/>
          <w:kern w:val="0"/>
          <w:sz w:val="28"/>
          <w:szCs w:val="28"/>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5" w:name="_Toc19427"/>
    </w:p>
    <w:p>
      <w:pPr>
        <w:spacing w:line="360" w:lineRule="auto"/>
        <w:jc w:val="center"/>
        <w:outlineLvl w:val="0"/>
        <w:rPr>
          <w:rFonts w:ascii="仿宋" w:hAnsi="仿宋" w:eastAsia="仿宋" w:cs="Helvetica"/>
          <w:sz w:val="30"/>
          <w:szCs w:val="30"/>
        </w:rPr>
      </w:pPr>
      <w:bookmarkStart w:id="6" w:name="_Toc23144"/>
      <w:bookmarkStart w:id="7"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5"/>
      <w:bookmarkEnd w:id="6"/>
      <w:bookmarkEnd w:id="7"/>
    </w:p>
    <w:p>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kern w:val="0"/>
          <w:sz w:val="21"/>
          <w:szCs w:val="21"/>
        </w:rPr>
      </w:pPr>
      <w:bookmarkStart w:id="8" w:name="_Toc27350"/>
      <w:bookmarkStart w:id="9" w:name="_Toc1526"/>
      <w:bookmarkStart w:id="10" w:name="_Toc25861"/>
      <w:r>
        <w:rPr>
          <w:rFonts w:hint="eastAsia" w:cs="宋体" w:asciiTheme="minorEastAsia" w:hAnsiTheme="minorEastAsia" w:eastAsiaTheme="minorEastAsia"/>
          <w:kern w:val="0"/>
          <w:sz w:val="24"/>
          <w:szCs w:val="27"/>
        </w:rPr>
        <w:t xml:space="preserve"> </w:t>
      </w:r>
      <w:r>
        <w:rPr>
          <w:rFonts w:hint="eastAsia" w:cs="宋体" w:asciiTheme="minorEastAsia" w:hAnsiTheme="minorEastAsia" w:eastAsiaTheme="minorEastAsia"/>
          <w:kern w:val="0"/>
          <w:sz w:val="21"/>
          <w:szCs w:val="21"/>
        </w:rPr>
        <w:t xml:space="preserve">  </w:t>
      </w:r>
      <w:r>
        <w:rPr>
          <w:rFonts w:hint="eastAsia" w:ascii="宋体" w:hAnsi="宋体" w:eastAsia="宋体" w:cs="宋体"/>
          <w:kern w:val="0"/>
          <w:sz w:val="21"/>
          <w:szCs w:val="21"/>
        </w:rPr>
        <w:t xml:space="preserve"> 根据我院业务发展需要，需采购</w:t>
      </w:r>
      <w:r>
        <w:rPr>
          <w:rFonts w:hint="eastAsia" w:ascii="宋体" w:hAnsi="宋体" w:cs="宋体"/>
          <w:kern w:val="0"/>
          <w:sz w:val="21"/>
          <w:szCs w:val="21"/>
          <w:lang w:eastAsia="zh-CN"/>
        </w:rPr>
        <w:t>医院</w:t>
      </w:r>
      <w:r>
        <w:rPr>
          <w:rFonts w:hint="eastAsia" w:ascii="宋体" w:hAnsi="宋体" w:eastAsia="宋体" w:cs="宋体"/>
          <w:kern w:val="0"/>
          <w:sz w:val="21"/>
          <w:szCs w:val="21"/>
        </w:rPr>
        <w:t>感染实时监测管理系统模块升级建设项目，现根据相关规定特此公告，任何供应商、单位或者个人对此项目采用单一来源采购公示有异议的，可以在公示期内将书面意见反馈给我院招标采购办公室。</w:t>
      </w:r>
    </w:p>
    <w:p>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lang w:eastAsia="zh-CN"/>
        </w:rPr>
        <w:t>一、</w:t>
      </w:r>
      <w:r>
        <w:rPr>
          <w:rFonts w:hint="eastAsia" w:ascii="宋体" w:hAnsi="宋体" w:eastAsia="宋体" w:cs="宋体"/>
          <w:b/>
          <w:kern w:val="0"/>
          <w:sz w:val="21"/>
          <w:szCs w:val="21"/>
        </w:rPr>
        <w:t>采购需求</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1.项目编号：NYWYF2024000</w:t>
      </w:r>
      <w:r>
        <w:rPr>
          <w:rFonts w:hint="eastAsia" w:ascii="宋体" w:hAnsi="宋体" w:cs="宋体"/>
          <w:kern w:val="0"/>
          <w:sz w:val="21"/>
          <w:szCs w:val="21"/>
          <w:lang w:val="en-US" w:eastAsia="zh-CN"/>
        </w:rPr>
        <w:t>8</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2.项目名称：南方医科大学第五附属医院医院感染实时监测管理系统模块升级建设项目</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3.项目预算:</w:t>
      </w:r>
      <w:r>
        <w:rPr>
          <w:rFonts w:hint="eastAsia" w:ascii="宋体" w:hAnsi="宋体" w:cs="宋体"/>
          <w:kern w:val="0"/>
          <w:sz w:val="21"/>
          <w:szCs w:val="21"/>
          <w:lang w:val="en-US" w:eastAsia="zh-CN"/>
        </w:rPr>
        <w:t>6.8</w:t>
      </w:r>
      <w:r>
        <w:rPr>
          <w:rFonts w:hint="eastAsia" w:ascii="宋体" w:hAnsi="宋体" w:eastAsia="宋体" w:cs="宋体"/>
          <w:kern w:val="0"/>
          <w:sz w:val="21"/>
          <w:szCs w:val="21"/>
          <w:lang w:val="en-US" w:eastAsia="zh-CN"/>
        </w:rPr>
        <w:t>万元</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4.采购内容及要求：详见第二部分用户需求书</w:t>
      </w:r>
    </w:p>
    <w:p>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二、单一来源采购方式的原因及相关说明</w:t>
      </w:r>
    </w:p>
    <w:p>
      <w:pPr>
        <w:keepNext w:val="0"/>
        <w:keepLines w:val="0"/>
        <w:pageBreakBefore w:val="0"/>
        <w:widowControl/>
        <w:kinsoku/>
        <w:wordWrap/>
        <w:overflowPunct/>
        <w:topLinePunct w:val="0"/>
        <w:autoSpaceDE/>
        <w:autoSpaceDN/>
        <w:bidi w:val="0"/>
        <w:spacing w:line="240" w:lineRule="auto"/>
        <w:ind w:firstLine="210" w:firstLineChars="1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本次采购的医院感染实时监测管理系统模块升级建设项目</w:t>
      </w:r>
      <w:r>
        <w:rPr>
          <w:rFonts w:hint="eastAsia" w:ascii="宋体" w:hAnsi="宋体" w:cs="宋体"/>
          <w:kern w:val="0"/>
          <w:sz w:val="21"/>
          <w:szCs w:val="21"/>
          <w:lang w:eastAsia="zh-CN"/>
        </w:rPr>
        <w:t>需在原系统基础上进行功能开发，我院原系统供应商拥有现系统代码、数据库设计的知识产权和著作权</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只能从</w:t>
      </w:r>
      <w:r>
        <w:rPr>
          <w:rFonts w:hint="eastAsia" w:ascii="宋体" w:hAnsi="宋体" w:cs="宋体"/>
          <w:kern w:val="0"/>
          <w:sz w:val="21"/>
          <w:szCs w:val="21"/>
          <w:lang w:eastAsia="zh-CN"/>
        </w:rPr>
        <w:t>系统原供应商</w:t>
      </w:r>
      <w:r>
        <w:rPr>
          <w:rFonts w:hint="eastAsia" w:ascii="宋体" w:hAnsi="宋体" w:eastAsia="宋体" w:cs="宋体"/>
          <w:kern w:val="0"/>
          <w:sz w:val="21"/>
          <w:szCs w:val="21"/>
        </w:rPr>
        <w:t>采购。</w:t>
      </w:r>
    </w:p>
    <w:p>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三、拟定的唯一供应商名称、地址</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供应商名称：广州市曦鸿信息科技有限公司</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b/>
          <w:kern w:val="0"/>
          <w:sz w:val="21"/>
          <w:szCs w:val="21"/>
        </w:rPr>
      </w:pPr>
      <w:r>
        <w:rPr>
          <w:rFonts w:hint="eastAsia" w:ascii="宋体" w:hAnsi="宋体" w:eastAsia="宋体" w:cs="宋体"/>
          <w:kern w:val="0"/>
          <w:sz w:val="21"/>
          <w:szCs w:val="21"/>
        </w:rPr>
        <w:t>供应商地址：广州市天河区高唐路239号1105房</w:t>
      </w:r>
    </w:p>
    <w:p>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四、公示期限：</w:t>
      </w:r>
      <w:r>
        <w:rPr>
          <w:rFonts w:hint="eastAsia" w:ascii="宋体" w:hAnsi="宋体" w:eastAsia="宋体" w:cs="宋体"/>
          <w:kern w:val="0"/>
          <w:sz w:val="21"/>
          <w:szCs w:val="21"/>
        </w:rPr>
        <w:t>202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15</w:t>
      </w:r>
      <w:r>
        <w:rPr>
          <w:rFonts w:hint="eastAsia" w:ascii="宋体" w:hAnsi="宋体" w:eastAsia="宋体" w:cs="宋体"/>
          <w:kern w:val="0"/>
          <w:sz w:val="21"/>
          <w:szCs w:val="21"/>
        </w:rPr>
        <w:t>日～202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18</w:t>
      </w:r>
      <w:r>
        <w:rPr>
          <w:rFonts w:hint="eastAsia" w:ascii="宋体" w:hAnsi="宋体" w:eastAsia="宋体" w:cs="宋体"/>
          <w:kern w:val="0"/>
          <w:sz w:val="21"/>
          <w:szCs w:val="21"/>
        </w:rPr>
        <w:t>日</w:t>
      </w:r>
    </w:p>
    <w:p>
      <w:pPr>
        <w:keepNext w:val="0"/>
        <w:keepLines w:val="0"/>
        <w:pageBreakBefore w:val="0"/>
        <w:widowControl/>
        <w:kinsoku/>
        <w:wordWrap/>
        <w:overflowPunct/>
        <w:topLinePunct w:val="0"/>
        <w:autoSpaceDE/>
        <w:autoSpaceDN/>
        <w:bidi w:val="0"/>
        <w:spacing w:line="240" w:lineRule="auto"/>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五、公示及报名截止时间：</w:t>
      </w:r>
      <w:r>
        <w:rPr>
          <w:rFonts w:hint="eastAsia" w:ascii="宋体" w:hAnsi="宋体" w:eastAsia="宋体" w:cs="宋体"/>
          <w:kern w:val="0"/>
          <w:sz w:val="21"/>
          <w:szCs w:val="21"/>
        </w:rPr>
        <w:t>202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18</w:t>
      </w:r>
      <w:r>
        <w:rPr>
          <w:rFonts w:hint="eastAsia" w:ascii="宋体" w:hAnsi="宋体" w:eastAsia="宋体" w:cs="宋体"/>
          <w:kern w:val="0"/>
          <w:sz w:val="21"/>
          <w:szCs w:val="21"/>
        </w:rPr>
        <w:t>日 下午5:30</w:t>
      </w:r>
    </w:p>
    <w:p>
      <w:pPr>
        <w:keepNext w:val="0"/>
        <w:keepLines w:val="0"/>
        <w:pageBreakBefore w:val="0"/>
        <w:kinsoku/>
        <w:wordWrap/>
        <w:overflowPunct/>
        <w:topLinePunct w:val="0"/>
        <w:autoSpaceDE/>
        <w:autoSpaceDN/>
        <w:bidi w:val="0"/>
        <w:spacing w:line="240" w:lineRule="auto"/>
        <w:ind w:firstLine="422" w:firstLineChars="200"/>
        <w:contextualSpacing/>
        <w:textAlignment w:val="auto"/>
        <w:rPr>
          <w:rFonts w:hint="eastAsia" w:ascii="宋体" w:hAnsi="宋体" w:eastAsia="宋体" w:cs="宋体"/>
          <w:kern w:val="0"/>
          <w:sz w:val="21"/>
          <w:szCs w:val="21"/>
        </w:rPr>
      </w:pPr>
      <w:r>
        <w:rPr>
          <w:rFonts w:hint="eastAsia" w:ascii="宋体" w:hAnsi="宋体" w:eastAsia="宋体" w:cs="宋体"/>
          <w:b/>
          <w:bCs/>
          <w:kern w:val="0"/>
          <w:sz w:val="21"/>
          <w:szCs w:val="21"/>
        </w:rPr>
        <w:t>六、报名方式：</w:t>
      </w:r>
      <w:r>
        <w:rPr>
          <w:rFonts w:hint="eastAsia" w:ascii="宋体" w:hAnsi="宋体" w:eastAsia="宋体" w:cs="宋体"/>
          <w:kern w:val="0"/>
          <w:sz w:val="21"/>
          <w:szCs w:val="21"/>
        </w:rPr>
        <w:t>电子邮件报名。</w:t>
      </w:r>
    </w:p>
    <w:p>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七、报名所需提供资料及要求</w:t>
      </w:r>
      <w:r>
        <w:rPr>
          <w:rFonts w:hint="eastAsia" w:ascii="宋体" w:hAnsi="宋体" w:eastAsia="宋体" w:cs="宋体"/>
          <w:kern w:val="0"/>
          <w:sz w:val="21"/>
          <w:szCs w:val="21"/>
        </w:rPr>
        <w:t>：详见</w:t>
      </w:r>
      <w:r>
        <w:rPr>
          <w:rFonts w:hint="eastAsia" w:ascii="宋体" w:hAnsi="宋体" w:eastAsia="宋体" w:cs="宋体"/>
          <w:kern w:val="0"/>
          <w:sz w:val="21"/>
          <w:szCs w:val="21"/>
          <w:lang w:eastAsia="zh-CN"/>
        </w:rPr>
        <w:t>公告</w:t>
      </w:r>
      <w:r>
        <w:rPr>
          <w:rFonts w:hint="eastAsia" w:ascii="宋体" w:hAnsi="宋体" w:eastAsia="宋体" w:cs="宋体"/>
          <w:kern w:val="0"/>
          <w:sz w:val="21"/>
          <w:szCs w:val="21"/>
        </w:rPr>
        <w:t>附件3报名资料。</w:t>
      </w:r>
    </w:p>
    <w:p>
      <w:pPr>
        <w:keepNext w:val="0"/>
        <w:keepLines w:val="0"/>
        <w:pageBreakBefore w:val="0"/>
        <w:kinsoku/>
        <w:wordWrap/>
        <w:overflowPunct/>
        <w:topLinePunct w:val="0"/>
        <w:autoSpaceDE/>
        <w:autoSpaceDN/>
        <w:bidi w:val="0"/>
        <w:spacing w:line="24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
          <w:bCs/>
          <w:color w:val="FF0000"/>
          <w:sz w:val="21"/>
          <w:szCs w:val="21"/>
        </w:rPr>
        <w:t>*温馨告知：</w:t>
      </w:r>
      <w:r>
        <w:rPr>
          <w:rFonts w:hint="eastAsia" w:ascii="宋体" w:hAnsi="宋体" w:eastAsia="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rPr>
      </w:pPr>
      <w:r>
        <w:rPr>
          <w:rFonts w:hint="eastAsia" w:ascii="宋体" w:hAnsi="宋体" w:eastAsia="宋体" w:cs="宋体"/>
          <w:b/>
          <w:kern w:val="0"/>
          <w:sz w:val="21"/>
          <w:szCs w:val="21"/>
        </w:rPr>
        <w:t>八、</w:t>
      </w:r>
      <w:r>
        <w:rPr>
          <w:rFonts w:hint="eastAsia" w:ascii="宋体" w:hAnsi="宋体" w:eastAsia="宋体" w:cs="宋体"/>
          <w:b/>
          <w:bCs/>
          <w:sz w:val="21"/>
          <w:szCs w:val="21"/>
        </w:rPr>
        <w:t>评审时间及地点：</w:t>
      </w:r>
      <w:r>
        <w:rPr>
          <w:rFonts w:hint="eastAsia" w:ascii="宋体" w:hAnsi="宋体" w:eastAsia="宋体" w:cs="宋体"/>
          <w:sz w:val="21"/>
          <w:szCs w:val="21"/>
        </w:rPr>
        <w:t>待定（根据医院工作安排通知符合要求报名代表）</w:t>
      </w:r>
    </w:p>
    <w:p>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九、供应商资质要求</w:t>
      </w:r>
    </w:p>
    <w:p>
      <w:pPr>
        <w:pStyle w:val="28"/>
        <w:keepNext w:val="0"/>
        <w:keepLines w:val="0"/>
        <w:pageBreakBefore w:val="0"/>
        <w:kinsoku/>
        <w:wordWrap/>
        <w:overflowPunct/>
        <w:topLinePunct w:val="0"/>
        <w:autoSpaceDE/>
        <w:autoSpaceDN/>
        <w:bidi w:val="0"/>
        <w:spacing w:line="240" w:lineRule="auto"/>
        <w:ind w:firstLine="480"/>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1.在中华人民共和国境内注册，具有独立承担民事责任的能力。</w:t>
      </w:r>
      <w:r>
        <w:rPr>
          <w:rFonts w:hint="eastAsia" w:ascii="宋体" w:hAnsi="宋体" w:eastAsia="宋体" w:cs="宋体"/>
          <w:b/>
          <w:bCs/>
          <w:kern w:val="0"/>
          <w:sz w:val="21"/>
          <w:szCs w:val="21"/>
          <w:lang w:val="en-US" w:eastAsia="zh-CN" w:bidi="ar-SA"/>
        </w:rPr>
        <w:t>提交有效的营业执照（或事业法人登记证或身份证等相关证明） 副本复印件并加盖供应商公章</w:t>
      </w:r>
      <w:r>
        <w:rPr>
          <w:rFonts w:hint="eastAsia" w:ascii="宋体" w:hAnsi="宋体" w:eastAsia="宋体" w:cs="宋体"/>
          <w:kern w:val="0"/>
          <w:sz w:val="21"/>
          <w:szCs w:val="21"/>
          <w:lang w:val="en-US" w:eastAsia="zh-CN" w:bidi="ar-SA"/>
        </w:rPr>
        <w:t>；分公司报名的，</w:t>
      </w:r>
      <w:r>
        <w:rPr>
          <w:rFonts w:hint="eastAsia" w:ascii="宋体" w:hAnsi="宋体" w:eastAsia="宋体" w:cs="宋体"/>
          <w:b/>
          <w:bCs/>
          <w:kern w:val="0"/>
          <w:sz w:val="21"/>
          <w:szCs w:val="21"/>
          <w:lang w:val="en-US" w:eastAsia="zh-CN" w:bidi="ar-SA"/>
        </w:rPr>
        <w:t>必须提供总公司的营业执照副本复印件及总公司针对本项目授权复印件,并加盖供应商公章。</w:t>
      </w:r>
    </w:p>
    <w:p>
      <w:pPr>
        <w:pStyle w:val="28"/>
        <w:keepNext w:val="0"/>
        <w:keepLines w:val="0"/>
        <w:pageBreakBefore w:val="0"/>
        <w:kinsoku/>
        <w:wordWrap/>
        <w:overflowPunct/>
        <w:topLinePunct w:val="0"/>
        <w:autoSpaceDE/>
        <w:autoSpaceDN/>
        <w:bidi w:val="0"/>
        <w:spacing w:line="240" w:lineRule="auto"/>
        <w:ind w:firstLine="480"/>
        <w:jc w:val="left"/>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kern w:val="0"/>
          <w:sz w:val="21"/>
          <w:szCs w:val="21"/>
          <w:lang w:val="en-US" w:eastAsia="zh-CN" w:bidi="ar-SA"/>
        </w:rPr>
        <w:t>2.参加本次采购活动前三年内，在经营活动中没有重大违法记录。</w:t>
      </w:r>
      <w:r>
        <w:rPr>
          <w:rFonts w:hint="eastAsia" w:ascii="宋体" w:hAnsi="宋体" w:eastAsia="宋体" w:cs="宋体"/>
          <w:b/>
          <w:bCs/>
          <w:kern w:val="0"/>
          <w:sz w:val="21"/>
          <w:szCs w:val="21"/>
          <w:lang w:val="en-US" w:eastAsia="zh-CN" w:bidi="ar-SA"/>
        </w:rPr>
        <w:t>需提供承诺函，格式自拟，并加盖供应商公章。</w:t>
      </w:r>
    </w:p>
    <w:p>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kern w:val="0"/>
          <w:sz w:val="21"/>
          <w:szCs w:val="21"/>
        </w:rPr>
      </w:pPr>
      <w:r>
        <w:rPr>
          <w:rFonts w:hint="eastAsia" w:ascii="宋体" w:hAnsi="宋体" w:eastAsia="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宋体"/>
          <w:b/>
          <w:bCs/>
          <w:color w:val="FF0000"/>
          <w:sz w:val="21"/>
          <w:szCs w:val="21"/>
          <w:shd w:val="clear" w:color="auto" w:fill="FFFFFF"/>
        </w:rPr>
      </w:pPr>
      <w:r>
        <w:rPr>
          <w:rFonts w:hint="eastAsia" w:ascii="宋体" w:hAnsi="宋体" w:eastAsia="宋体" w:cs="宋体"/>
          <w:b/>
          <w:kern w:val="0"/>
          <w:sz w:val="21"/>
          <w:szCs w:val="21"/>
        </w:rPr>
        <w:t>十、联系方式</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冯老师：020-62236261（采购业务咨询）  邮箱：nywycgb@126.com</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sz w:val="21"/>
          <w:szCs w:val="21"/>
        </w:rPr>
        <w:t>陆老师：020-62236250（项目需求咨询）</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黄老师：020-62236105（投诉举报电话）</w:t>
      </w:r>
    </w:p>
    <w:p>
      <w:pPr>
        <w:keepNext w:val="0"/>
        <w:keepLines w:val="0"/>
        <w:pageBreakBefore w:val="0"/>
        <w:widowControl/>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联系时间（工作日）：上午 8:30-12:00，下午14:30-17:30</w:t>
      </w:r>
    </w:p>
    <w:p>
      <w:pPr>
        <w:widowControl/>
        <w:spacing w:line="240" w:lineRule="auto"/>
        <w:ind w:firstLine="4410" w:firstLineChars="2100"/>
        <w:jc w:val="left"/>
        <w:rPr>
          <w:rFonts w:hint="eastAsia" w:cs="宋体" w:asciiTheme="minorEastAsia" w:hAnsiTheme="minorEastAsia" w:eastAsiaTheme="minorEastAsia"/>
          <w:kern w:val="0"/>
          <w:sz w:val="21"/>
          <w:szCs w:val="21"/>
        </w:rPr>
      </w:pPr>
    </w:p>
    <w:p>
      <w:pPr>
        <w:widowControl/>
        <w:spacing w:line="240" w:lineRule="auto"/>
        <w:ind w:firstLine="4410" w:firstLineChars="2100"/>
        <w:jc w:val="left"/>
        <w:rPr>
          <w:rFonts w:hint="eastAsia" w:cs="宋体" w:asciiTheme="minorEastAsia" w:hAnsiTheme="minorEastAsia" w:eastAsiaTheme="minorEastAsia"/>
          <w:kern w:val="0"/>
          <w:sz w:val="21"/>
          <w:szCs w:val="21"/>
        </w:rPr>
      </w:pPr>
    </w:p>
    <w:p>
      <w:pPr>
        <w:widowControl/>
        <w:spacing w:line="240" w:lineRule="auto"/>
        <w:ind w:firstLine="4410" w:firstLineChars="2100"/>
        <w:jc w:val="left"/>
        <w:rPr>
          <w:rFonts w:hint="eastAsia" w:cs="宋体" w:asciiTheme="minorEastAsia" w:hAnsiTheme="minorEastAsia" w:eastAsiaTheme="minorEastAsia"/>
          <w:kern w:val="0"/>
          <w:sz w:val="21"/>
          <w:szCs w:val="21"/>
        </w:rPr>
      </w:pPr>
    </w:p>
    <w:p>
      <w:pPr>
        <w:widowControl/>
        <w:spacing w:line="240" w:lineRule="auto"/>
        <w:ind w:firstLine="4410" w:firstLineChars="2100"/>
        <w:jc w:val="righ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南方医科大学第五附属医院</w:t>
      </w:r>
    </w:p>
    <w:p>
      <w:pPr>
        <w:widowControl/>
        <w:spacing w:line="240" w:lineRule="auto"/>
        <w:ind w:firstLine="210" w:firstLineChars="100"/>
        <w:jc w:val="righ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202</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年</w:t>
      </w:r>
      <w:r>
        <w:rPr>
          <w:rFonts w:hint="eastAsia" w:cs="宋体" w:asciiTheme="minorEastAsia" w:hAnsiTheme="minorEastAsia" w:eastAsiaTheme="minorEastAsia"/>
          <w:kern w:val="0"/>
          <w:sz w:val="21"/>
          <w:szCs w:val="21"/>
          <w:lang w:val="en-US" w:eastAsia="zh-CN"/>
        </w:rPr>
        <w:t>4</w:t>
      </w:r>
      <w:r>
        <w:rPr>
          <w:rFonts w:hint="eastAsia" w:cs="宋体" w:asciiTheme="minorEastAsia" w:hAnsiTheme="minorEastAsia" w:eastAsiaTheme="minorEastAsia"/>
          <w:kern w:val="0"/>
          <w:sz w:val="21"/>
          <w:szCs w:val="21"/>
        </w:rPr>
        <w:t>月</w:t>
      </w:r>
      <w:r>
        <w:rPr>
          <w:rFonts w:hint="eastAsia" w:cs="宋体" w:asciiTheme="minorEastAsia" w:hAnsiTheme="minorEastAsia" w:eastAsiaTheme="minorEastAsia"/>
          <w:kern w:val="0"/>
          <w:sz w:val="21"/>
          <w:szCs w:val="21"/>
          <w:lang w:val="en-US" w:eastAsia="zh-CN"/>
        </w:rPr>
        <w:t>18</w:t>
      </w:r>
      <w:bookmarkStart w:id="316" w:name="_GoBack"/>
      <w:bookmarkEnd w:id="316"/>
      <w:r>
        <w:rPr>
          <w:rFonts w:hint="eastAsia" w:cs="宋体" w:asciiTheme="minorEastAsia" w:hAnsiTheme="minorEastAsia" w:eastAsiaTheme="minorEastAsia"/>
          <w:kern w:val="0"/>
          <w:sz w:val="21"/>
          <w:szCs w:val="21"/>
        </w:rPr>
        <w:t>日</w:t>
      </w:r>
    </w:p>
    <w:p>
      <w:pPr>
        <w:widowControl/>
        <w:spacing w:line="240" w:lineRule="auto"/>
        <w:ind w:firstLine="210" w:firstLineChars="100"/>
        <w:jc w:val="right"/>
        <w:rPr>
          <w:rFonts w:cs="宋体" w:asciiTheme="minorEastAsia" w:hAnsiTheme="minorEastAsia" w:eastAsiaTheme="minorEastAsia"/>
          <w:kern w:val="0"/>
          <w:sz w:val="21"/>
          <w:szCs w:val="21"/>
        </w:rPr>
      </w:pPr>
    </w:p>
    <w:p>
      <w:pPr>
        <w:widowControl/>
        <w:spacing w:line="240" w:lineRule="auto"/>
        <w:ind w:firstLine="210" w:firstLineChars="100"/>
        <w:jc w:val="right"/>
        <w:rPr>
          <w:rFonts w:ascii="宋体" w:hAnsi="宋体" w:cs="宋体"/>
          <w:kern w:val="0"/>
          <w:sz w:val="21"/>
          <w:szCs w:val="21"/>
        </w:rPr>
      </w:pPr>
    </w:p>
    <w:p>
      <w:pPr>
        <w:widowControl/>
        <w:spacing w:line="240" w:lineRule="auto"/>
        <w:jc w:val="left"/>
        <w:rPr>
          <w:rFonts w:cs="宋体" w:asciiTheme="minorEastAsia" w:hAnsiTheme="minorEastAsia" w:eastAsiaTheme="minorEastAsia"/>
          <w:kern w:val="0"/>
          <w:sz w:val="21"/>
          <w:szCs w:val="21"/>
        </w:rPr>
      </w:pPr>
    </w:p>
    <w:p>
      <w:pPr>
        <w:pStyle w:val="25"/>
        <w:rPr>
          <w:rFonts w:cs="宋体" w:asciiTheme="minorEastAsia" w:hAnsiTheme="minorEastAsia" w:eastAsiaTheme="minorEastAsia"/>
          <w:kern w:val="0"/>
          <w:sz w:val="21"/>
          <w:szCs w:val="21"/>
        </w:rPr>
      </w:pPr>
    </w:p>
    <w:p>
      <w:pPr>
        <w:pStyle w:val="25"/>
        <w:rPr>
          <w:rFonts w:cs="宋体" w:asciiTheme="minorEastAsia" w:hAnsiTheme="minorEastAsia" w:eastAsiaTheme="minorEastAsia"/>
          <w:kern w:val="0"/>
          <w:sz w:val="21"/>
          <w:szCs w:val="21"/>
        </w:rPr>
      </w:pPr>
    </w:p>
    <w:p>
      <w:pPr>
        <w:pStyle w:val="25"/>
        <w:rPr>
          <w:rFonts w:cs="宋体" w:asciiTheme="minorEastAsia" w:hAnsiTheme="minorEastAsia" w:eastAsiaTheme="minorEastAsia"/>
          <w:kern w:val="0"/>
          <w:sz w:val="21"/>
          <w:szCs w:val="21"/>
        </w:rPr>
      </w:pPr>
    </w:p>
    <w:p>
      <w:pPr>
        <w:pStyle w:val="25"/>
      </w:pPr>
    </w:p>
    <w:p>
      <w:pPr>
        <w:pStyle w:val="25"/>
      </w:pPr>
    </w:p>
    <w:p>
      <w:pPr>
        <w:numPr>
          <w:ilvl w:val="0"/>
          <w:numId w:val="3"/>
        </w:numPr>
        <w:spacing w:line="360" w:lineRule="auto"/>
        <w:jc w:val="center"/>
        <w:outlineLvl w:val="0"/>
        <w:rPr>
          <w:rFonts w:ascii="宋体" w:hAnsi="宋体"/>
          <w:b/>
          <w:bCs/>
          <w:sz w:val="30"/>
          <w:szCs w:val="30"/>
        </w:rPr>
        <w:sectPr>
          <w:footerReference r:id="rId9" w:type="default"/>
          <w:pgSz w:w="11906" w:h="16838"/>
          <w:pgMar w:top="1440" w:right="1134" w:bottom="1440" w:left="1134" w:header="851" w:footer="992" w:gutter="0"/>
          <w:pgNumType w:fmt="decimal" w:start="1"/>
          <w:cols w:space="720" w:num="1"/>
          <w:docGrid w:linePitch="312" w:charSpace="0"/>
        </w:sectPr>
      </w:pPr>
      <w:bookmarkStart w:id="11" w:name="_Toc835"/>
    </w:p>
    <w:p>
      <w:pPr>
        <w:numPr>
          <w:ilvl w:val="0"/>
          <w:numId w:val="3"/>
        </w:numPr>
        <w:spacing w:line="360" w:lineRule="auto"/>
        <w:jc w:val="center"/>
        <w:outlineLvl w:val="0"/>
        <w:rPr>
          <w:rFonts w:ascii="宋体" w:hAnsi="宋体"/>
          <w:b/>
          <w:bCs/>
          <w:sz w:val="30"/>
          <w:szCs w:val="30"/>
        </w:rPr>
      </w:pPr>
      <w:r>
        <w:rPr>
          <w:rFonts w:hint="eastAsia" w:ascii="宋体" w:hAnsi="宋体"/>
          <w:b/>
          <w:bCs/>
          <w:sz w:val="30"/>
          <w:szCs w:val="30"/>
          <w:lang w:eastAsia="zh-CN"/>
        </w:rPr>
        <w:t>采购</w:t>
      </w:r>
      <w:r>
        <w:rPr>
          <w:rFonts w:hint="eastAsia" w:ascii="宋体" w:hAnsi="宋体"/>
          <w:b/>
          <w:bCs/>
          <w:sz w:val="30"/>
          <w:szCs w:val="30"/>
        </w:rPr>
        <w:t>需求</w:t>
      </w:r>
      <w:bookmarkEnd w:id="8"/>
      <w:bookmarkEnd w:id="9"/>
      <w:bookmarkEnd w:id="10"/>
      <w:bookmarkEnd w:id="11"/>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b/>
          <w:bCs w:val="0"/>
          <w:color w:val="000000"/>
          <w:kern w:val="0"/>
          <w:sz w:val="21"/>
          <w:szCs w:val="21"/>
          <w:lang w:val="en-US" w:eastAsia="zh-CN"/>
        </w:rPr>
      </w:pPr>
      <w:r>
        <w:rPr>
          <w:rFonts w:hint="eastAsia" w:ascii="宋体" w:hAnsi="宋体" w:eastAsia="宋体" w:cs="宋体"/>
          <w:b/>
          <w:bCs w:val="0"/>
          <w:color w:val="000000"/>
          <w:kern w:val="0"/>
          <w:sz w:val="21"/>
          <w:szCs w:val="21"/>
          <w:lang w:val="en-US" w:eastAsia="zh-CN"/>
        </w:rPr>
        <w:t>一、项目基本情况</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1.项目名称：</w:t>
      </w:r>
      <w:r>
        <w:rPr>
          <w:rFonts w:hint="eastAsia" w:ascii="宋体" w:hAnsi="宋体" w:eastAsia="宋体" w:cs="宋体"/>
          <w:sz w:val="21"/>
          <w:szCs w:val="21"/>
          <w:lang w:val="en-US" w:eastAsia="zh-CN"/>
        </w:rPr>
        <w:t>南方医科大学第五附属医院医院感染实时监测管理系统模块升级建设项目</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2.项目预算</w:t>
      </w:r>
      <w:r>
        <w:rPr>
          <w:rFonts w:hint="eastAsia" w:ascii="宋体" w:hAnsi="宋体" w:eastAsia="宋体" w:cs="宋体"/>
          <w:sz w:val="21"/>
          <w:szCs w:val="21"/>
          <w:lang w:val="en-US" w:eastAsia="zh-CN"/>
        </w:rPr>
        <w:t>：6.8万元</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3.报价要求:</w:t>
      </w:r>
      <w:r>
        <w:rPr>
          <w:rFonts w:hint="eastAsia" w:ascii="宋体" w:hAnsi="宋体" w:eastAsia="宋体" w:cs="宋体"/>
          <w:sz w:val="21"/>
          <w:szCs w:val="21"/>
          <w:lang w:val="en-US" w:eastAsia="zh-CN"/>
        </w:rPr>
        <w:t>服务费用采取含税总价包干的形式。包括但不限于各种税费、与第三方系统或信息平台对接所需要的各种接口或改造费用、服务器软件购置费、中间件等第三方软件购置费、服务器及数据库的安装部署等劳务费用等直至验收合格交付完毕等全部所有可预见和不可预见的一切费用。</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000000"/>
          <w:kern w:val="0"/>
          <w:sz w:val="21"/>
          <w:szCs w:val="21"/>
          <w:lang w:val="en-US" w:eastAsia="zh-CN"/>
        </w:rPr>
      </w:pPr>
      <w:r>
        <w:rPr>
          <w:rFonts w:hint="eastAsia" w:ascii="宋体" w:hAnsi="宋体" w:eastAsia="宋体" w:cs="宋体"/>
          <w:b/>
          <w:bCs/>
          <w:sz w:val="21"/>
          <w:szCs w:val="21"/>
          <w:lang w:val="en-US" w:eastAsia="zh-CN"/>
        </w:rPr>
        <w:t>4.建设背景</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依据《关于印发“提高住院患者抗菌药物治疗前病原学送检率”专项行动指导意见的函》、《提高住院患者抗菌药物治疗前病原学送检率”专项行动》、 《哨点医院监测过程数据交换规范V1.0》相关规定，要求医院在日常管理中关注抗菌药物治疗前病原学送检率、医院感染诊断相关病原学送检率、联合使用重点药物前病原学送检率等指标。按月上传.主要上传数据如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摘要表（packInfo）</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科室表（deptList）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患者表（inOutHosp）</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感染表（infectList）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送检表（InspecteList）</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抗菌药物表（antibiList）</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5.建设目标</w:t>
      </w:r>
    </w:p>
    <w:p>
      <w:pPr>
        <w:keepNext w:val="0"/>
        <w:keepLines w:val="0"/>
        <w:widowControl/>
        <w:numPr>
          <w:ilvl w:val="0"/>
          <w:numId w:val="0"/>
        </w:numPr>
        <w:suppressLineNumbers w:val="0"/>
        <w:shd w:val="clear" w:color="auto" w:fill="auto"/>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5.1根据采购人要求匹配的内容系统自动分析数据。</w:t>
      </w:r>
    </w:p>
    <w:p>
      <w:pPr>
        <w:keepNext w:val="0"/>
        <w:keepLines w:val="0"/>
        <w:widowControl/>
        <w:numPr>
          <w:ilvl w:val="0"/>
          <w:numId w:val="0"/>
        </w:numPr>
        <w:suppressLineNumbers w:val="0"/>
        <w:shd w:val="clear" w:color="auto" w:fill="auto"/>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5.2按规范格式要求导出数据，进行国家网上报。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000000"/>
          <w:kern w:val="0"/>
          <w:sz w:val="21"/>
          <w:szCs w:val="21"/>
          <w:lang w:val="en-US" w:eastAsia="zh-CN" w:bidi="ar-SA"/>
        </w:rPr>
      </w:pPr>
      <w:r>
        <w:rPr>
          <w:rFonts w:hint="eastAsia" w:ascii="宋体" w:hAnsi="宋体" w:eastAsia="宋体" w:cs="宋体"/>
          <w:b/>
          <w:bCs w:val="0"/>
          <w:color w:val="000000"/>
          <w:kern w:val="0"/>
          <w:sz w:val="21"/>
          <w:szCs w:val="21"/>
          <w:lang w:val="en-US" w:eastAsia="zh-CN" w:bidi="ar-SA"/>
        </w:rPr>
        <w:t>二、技术要求</w:t>
      </w:r>
    </w:p>
    <w:p>
      <w:pPr>
        <w:bidi w:val="0"/>
        <w:spacing w:line="360" w:lineRule="auto"/>
        <w:ind w:firstLine="420" w:firstLineChars="200"/>
        <w:rPr>
          <w:rFonts w:hint="eastAsia"/>
          <w:lang w:val="en-US" w:eastAsia="zh-CN"/>
        </w:rPr>
      </w:pPr>
      <w:r>
        <w:rPr>
          <w:rFonts w:hint="eastAsia"/>
          <w:lang w:val="en-US" w:eastAsia="zh-CN"/>
        </w:rPr>
        <w:t>1.总体要求</w:t>
      </w:r>
    </w:p>
    <w:p>
      <w:pPr>
        <w:bidi w:val="0"/>
        <w:spacing w:line="360" w:lineRule="auto"/>
        <w:ind w:firstLine="420" w:firstLineChars="200"/>
        <w:rPr>
          <w:rFonts w:hint="eastAsia"/>
          <w:lang w:val="en-US" w:eastAsia="zh-CN"/>
        </w:rPr>
      </w:pPr>
      <w:r>
        <w:rPr>
          <w:rFonts w:hint="eastAsia"/>
          <w:lang w:val="en-US" w:eastAsia="zh-CN"/>
        </w:rPr>
        <w:t>完成院感系统升级工作，能按照国家网报要求完成数据统计、生成、上报等工作。</w:t>
      </w:r>
    </w:p>
    <w:p>
      <w:pPr>
        <w:bidi w:val="0"/>
        <w:spacing w:line="360" w:lineRule="auto"/>
        <w:ind w:firstLine="420" w:firstLineChars="200"/>
        <w:rPr>
          <w:rFonts w:hint="eastAsia"/>
          <w:lang w:val="en-US" w:eastAsia="zh-CN"/>
        </w:rPr>
      </w:pPr>
      <w:r>
        <w:rPr>
          <w:rFonts w:hint="eastAsia"/>
          <w:lang w:val="en-US" w:eastAsia="zh-CN"/>
        </w:rPr>
        <w:t>2.技术参数内容</w:t>
      </w:r>
    </w:p>
    <w:p>
      <w:pPr>
        <w:bidi w:val="0"/>
        <w:spacing w:line="360" w:lineRule="auto"/>
        <w:ind w:firstLine="422" w:firstLineChars="200"/>
        <w:rPr>
          <w:rFonts w:hint="eastAsia" w:ascii="Times New Roman" w:hAnsi="Times New Roman" w:eastAsia="宋体" w:cs="Times New Roman"/>
          <w:lang w:val="en-US" w:eastAsia="zh-CN"/>
        </w:rPr>
      </w:pPr>
      <w:r>
        <w:rPr>
          <w:rFonts w:hint="eastAsia" w:ascii="宋体" w:hAnsi="宋体" w:eastAsia="宋体" w:cs="宋体"/>
          <w:b/>
          <w:bCs/>
          <w:kern w:val="2"/>
          <w:sz w:val="21"/>
          <w:szCs w:val="21"/>
          <w:lang w:val="en-US" w:eastAsia="zh-CN" w:bidi="ar-SA"/>
        </w:rPr>
        <w:t>2.1上报数据文件结构规范</w:t>
      </w:r>
    </w:p>
    <w:p>
      <w:pPr>
        <w:numPr>
          <w:ilvl w:val="0"/>
          <w:numId w:val="4"/>
        </w:numPr>
        <w:bidi w:val="0"/>
        <w:spacing w:line="360" w:lineRule="auto"/>
        <w:ind w:firstLine="420" w:firstLineChars="200"/>
        <w:rPr>
          <w:rFonts w:hint="eastAsia" w:ascii="Times New Roman" w:hAnsi="Times New Roman" w:eastAsia="宋体" w:cs="Times New Roman"/>
          <w:b/>
          <w:bCs/>
          <w:lang w:val="en-US" w:eastAsia="zh-CN"/>
        </w:rPr>
      </w:pPr>
      <w:r>
        <w:rPr>
          <w:rFonts w:hint="eastAsia" w:ascii="Times New Roman" w:hAnsi="Times New Roman" w:eastAsia="宋体" w:cs="Times New Roman"/>
          <w:lang w:val="en-US" w:eastAsia="zh-CN"/>
        </w:rPr>
        <w:t>采购人每次向国家医院感染管理专业质控中心哨点医院信息上报系统 http://nishim.ncis.cn/上报时，应将 DBF 格式的文件压缩成 ZIP 文件进行上报。</w:t>
      </w:r>
      <w:r>
        <w:rPr>
          <w:rFonts w:hint="eastAsia" w:ascii="Times New Roman" w:hAnsi="Times New Roman" w:eastAsia="宋体" w:cs="Times New Roman"/>
          <w:b/>
          <w:bCs/>
          <w:lang w:val="en-US" w:eastAsia="zh-CN"/>
        </w:rPr>
        <w:t>注意：压缩包需要设置对应的密码才能上报成功，密码为注册医院编码，对应 packInfo 文件中的 unitId。</w:t>
      </w:r>
    </w:p>
    <w:p>
      <w:pPr>
        <w:numPr>
          <w:ilvl w:val="0"/>
          <w:numId w:val="4"/>
        </w:numPr>
        <w:bidi w:val="0"/>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NIDP 文件夹及其全部数据文件来自软件系统或软件工具的自动生成。</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软件系统包括但不限于医院感染监测系统、医院其他业务系统、医院信息平台等拥有住院患者感染相关临床数据的系统软件。</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软件工具包括但不限于信息科工程师使用计算机语言编写的数据加载转换工具。</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ZIP 文件夹名称规范："NIDP-"+流水号。</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流水号的规范： "2024-01-01 00:00:00.000"至生成数据包的时点所有的毫秒数,左移 20 位。</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流水号应具有唯一性。</w:t>
      </w:r>
    </w:p>
    <w:p>
      <w:pPr>
        <w:numPr>
          <w:ilvl w:val="0"/>
          <w:numId w:val="4"/>
        </w:numPr>
        <w:bidi w:val="0"/>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ZIP 文件中的数据文件有两种类型，摘要数据文件和表文件,其中摘要文件是对上报数据情况的说明，以 2024 年 2 月 15 日 09:00:00 生成的数据包为例，ZIP 文件的格式为 NIDP-20240215090000.zip，改文件下包含所有 DBF 格式</w:t>
      </w:r>
      <w:r>
        <w:rPr>
          <w:rFonts w:hint="eastAsia" w:ascii="宋体" w:hAnsi="宋体" w:eastAsia="宋体" w:cs="宋体"/>
          <w:kern w:val="2"/>
          <w:sz w:val="21"/>
          <w:szCs w:val="21"/>
          <w:highlight w:val="none"/>
          <w:lang w:val="en-US" w:eastAsia="zh-CN" w:bidi="ar-SA"/>
        </w:rPr>
        <w:t>的数据文件和标文件。</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摘要数据文件名称规范为："packInfo.dbf",科室表文件应为："deptList.dbf",患者表文件应为："inOutHosp.dbf",感染表文件应为："infectList.dbf",送检表文件应为："inspecteList.dbf",抗菌药物表文件应为："antibiList.dbf",即将住院患者的相关的科室、感染、送检等数据都导成对应的表。</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导出每个月或者季度的数据时，应导出该月或季度全院住院患者人数。</w:t>
      </w:r>
    </w:p>
    <w:p>
      <w:pPr>
        <w:numPr>
          <w:ilvl w:val="0"/>
          <w:numId w:val="4"/>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数据导出时，以患者 ZYID 为主索引，导出患者所有的感染、送检、抗菌药物使用信息。</w:t>
      </w:r>
    </w:p>
    <w:p>
      <w:pPr>
        <w:numPr>
          <w:ilvl w:val="0"/>
          <w:numId w:val="0"/>
        </w:numPr>
        <w:bidi w:val="0"/>
        <w:spacing w:line="360" w:lineRule="auto"/>
        <w:ind w:firstLine="422" w:firstLineChars="200"/>
        <w:rPr>
          <w:rFonts w:hint="eastAsia" w:ascii="宋体" w:hAnsi="宋体" w:eastAsia="宋体" w:cs="宋体"/>
          <w:b/>
          <w:bCs/>
          <w:kern w:val="2"/>
          <w:sz w:val="21"/>
          <w:szCs w:val="21"/>
          <w:lang w:val="en-US" w:eastAsia="zh-CN" w:bidi="ar-SA"/>
        </w:rPr>
      </w:pPr>
      <w:bookmarkStart w:id="12" w:name="_Toc27192"/>
      <w:bookmarkStart w:id="13" w:name="_Toc4991"/>
      <w:r>
        <w:rPr>
          <w:rFonts w:hint="eastAsia" w:ascii="宋体" w:hAnsi="宋体" w:eastAsia="宋体" w:cs="宋体"/>
          <w:b/>
          <w:bCs/>
          <w:kern w:val="2"/>
          <w:sz w:val="21"/>
          <w:szCs w:val="21"/>
          <w:lang w:val="en-US" w:eastAsia="zh-CN" w:bidi="ar-SA"/>
        </w:rPr>
        <w:t>2.2升级</w:t>
      </w:r>
      <w:bookmarkEnd w:id="12"/>
      <w:bookmarkEnd w:id="13"/>
      <w:r>
        <w:rPr>
          <w:rFonts w:hint="eastAsia" w:ascii="宋体" w:hAnsi="宋体" w:eastAsia="宋体" w:cs="宋体"/>
          <w:b/>
          <w:bCs/>
          <w:kern w:val="2"/>
          <w:sz w:val="21"/>
          <w:szCs w:val="21"/>
          <w:lang w:val="en-US" w:eastAsia="zh-CN" w:bidi="ar-SA"/>
        </w:rPr>
        <w:t>功能要求</w:t>
      </w:r>
    </w:p>
    <w:p>
      <w:pPr>
        <w:numPr>
          <w:ilvl w:val="0"/>
          <w:numId w:val="0"/>
        </w:numPr>
        <w:bidi w:val="0"/>
        <w:spacing w:line="360" w:lineRule="auto"/>
        <w:ind w:firstLine="420" w:firstLineChars="200"/>
        <w:rPr>
          <w:rFonts w:hint="eastAsia" w:ascii="宋体" w:hAnsi="宋体" w:eastAsia="宋体" w:cs="宋体"/>
          <w:kern w:val="2"/>
          <w:sz w:val="21"/>
          <w:szCs w:val="21"/>
          <w:lang w:val="en-US" w:eastAsia="zh-CN" w:bidi="ar-SA"/>
        </w:rPr>
      </w:pPr>
      <w:bookmarkStart w:id="14" w:name="_Toc1749"/>
      <w:bookmarkStart w:id="15" w:name="_Toc760"/>
      <w:r>
        <w:rPr>
          <w:rFonts w:hint="eastAsia" w:ascii="宋体" w:hAnsi="宋体" w:eastAsia="宋体" w:cs="宋体"/>
          <w:kern w:val="2"/>
          <w:sz w:val="21"/>
          <w:szCs w:val="21"/>
          <w:lang w:val="en-US" w:eastAsia="zh-CN" w:bidi="ar-SA"/>
        </w:rPr>
        <w:t>（1）国家标准字典匹配工具</w:t>
      </w:r>
      <w:bookmarkEnd w:id="14"/>
      <w:bookmarkEnd w:id="15"/>
    </w:p>
    <w:p>
      <w:pPr>
        <w:numPr>
          <w:ilvl w:val="0"/>
          <w:numId w:val="0"/>
        </w:numPr>
        <w:bidi w:val="0"/>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根据国家标准字典进行设计，主要用来与采购人院内数据匹配，便于精确上传数据。自动保存匹配结果，自动提示未匹配的项目，提醒管理人员进行匹配。</w:t>
      </w:r>
    </w:p>
    <w:p>
      <w:pPr>
        <w:keepNext w:val="0"/>
        <w:keepLines w:val="0"/>
        <w:widowControl/>
        <w:numPr>
          <w:ilvl w:val="0"/>
          <w:numId w:val="5"/>
        </w:numPr>
        <w:suppressLineNumbers w:val="0"/>
        <w:shd w:val="clear" w:color="auto" w:fill="auto"/>
        <w:spacing w:line="360" w:lineRule="auto"/>
        <w:ind w:left="420" w:leftChars="0" w:firstLine="6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标准科室匹配</w:t>
      </w:r>
    </w:p>
    <w:p>
      <w:pPr>
        <w:keepNext w:val="0"/>
        <w:keepLines w:val="0"/>
        <w:widowControl/>
        <w:numPr>
          <w:ilvl w:val="0"/>
          <w:numId w:val="5"/>
        </w:numPr>
        <w:suppressLineNumbers w:val="0"/>
        <w:shd w:val="clear" w:color="auto" w:fill="auto"/>
        <w:spacing w:line="360" w:lineRule="auto"/>
        <w:ind w:left="420" w:leftChars="0" w:firstLine="6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医疗机构感染病例感染部位代码表</w:t>
      </w:r>
    </w:p>
    <w:p>
      <w:pPr>
        <w:keepNext w:val="0"/>
        <w:keepLines w:val="0"/>
        <w:widowControl/>
        <w:numPr>
          <w:ilvl w:val="0"/>
          <w:numId w:val="5"/>
        </w:numPr>
        <w:suppressLineNumbers w:val="0"/>
        <w:shd w:val="clear" w:color="auto" w:fill="auto"/>
        <w:spacing w:line="360" w:lineRule="auto"/>
        <w:ind w:left="420" w:leftChars="0" w:firstLine="6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病原学检验项目匹配</w:t>
      </w:r>
    </w:p>
    <w:p>
      <w:pPr>
        <w:keepNext w:val="0"/>
        <w:keepLines w:val="0"/>
        <w:widowControl/>
        <w:numPr>
          <w:ilvl w:val="0"/>
          <w:numId w:val="5"/>
        </w:numPr>
        <w:suppressLineNumbers w:val="0"/>
        <w:shd w:val="clear" w:color="auto" w:fill="auto"/>
        <w:spacing w:line="360" w:lineRule="auto"/>
        <w:ind w:left="420" w:leftChars="0" w:firstLine="6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病原学检验送检标本</w:t>
      </w:r>
    </w:p>
    <w:p>
      <w:pPr>
        <w:keepNext w:val="0"/>
        <w:keepLines w:val="0"/>
        <w:widowControl/>
        <w:numPr>
          <w:ilvl w:val="0"/>
          <w:numId w:val="5"/>
        </w:numPr>
        <w:suppressLineNumbers w:val="0"/>
        <w:shd w:val="clear" w:color="auto" w:fill="auto"/>
        <w:spacing w:line="360" w:lineRule="auto"/>
        <w:ind w:left="420" w:leftChars="0" w:firstLine="6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抗菌药物匹配</w:t>
      </w:r>
    </w:p>
    <w:p>
      <w:pPr>
        <w:numPr>
          <w:ilvl w:val="0"/>
          <w:numId w:val="0"/>
        </w:numPr>
        <w:spacing w:line="360" w:lineRule="auto"/>
        <w:ind w:firstLine="420" w:firstLineChars="200"/>
        <w:rPr>
          <w:rFonts w:hint="eastAsia" w:ascii="宋体" w:hAnsi="宋体" w:eastAsia="宋体" w:cs="宋体"/>
          <w:b w:val="0"/>
          <w:bCs w:val="0"/>
          <w:kern w:val="2"/>
          <w:sz w:val="21"/>
          <w:szCs w:val="21"/>
          <w:lang w:val="en-US" w:eastAsia="zh-CN" w:bidi="ar-SA"/>
        </w:rPr>
      </w:pPr>
      <w:bookmarkStart w:id="16" w:name="_Toc6654"/>
      <w:bookmarkStart w:id="17" w:name="_Toc18998"/>
      <w:r>
        <w:rPr>
          <w:rFonts w:hint="eastAsia" w:ascii="宋体" w:hAnsi="宋体" w:eastAsia="宋体" w:cs="宋体"/>
          <w:b w:val="0"/>
          <w:bCs w:val="0"/>
          <w:kern w:val="2"/>
          <w:sz w:val="21"/>
          <w:szCs w:val="21"/>
          <w:lang w:val="en-US" w:eastAsia="zh-CN" w:bidi="ar-SA"/>
        </w:rPr>
        <w:t>（2）数据查询导出</w:t>
      </w:r>
      <w:bookmarkEnd w:id="16"/>
      <w:bookmarkEnd w:id="17"/>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根据匹配的内容系统自动分析数据，一键查询与导出，根据规范格式导出，支持国家网上传。</w:t>
      </w:r>
    </w:p>
    <w:p>
      <w:pPr>
        <w:numPr>
          <w:ilvl w:val="4"/>
          <w:numId w:val="1"/>
        </w:numPr>
        <w:bidi w:val="0"/>
        <w:rPr>
          <w:rFonts w:hint="eastAsia"/>
          <w:b/>
          <w:bCs/>
          <w:lang w:val="en-US" w:eastAsia="zh-CN"/>
        </w:rPr>
      </w:pPr>
      <w:r>
        <w:rPr>
          <w:rFonts w:hint="eastAsia"/>
          <w:b/>
          <w:bCs/>
          <w:lang w:val="en-US" w:eastAsia="zh-CN"/>
        </w:rPr>
        <w:t>摘要表(packInfo)</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1418"/>
        <w:gridCol w:w="6382"/>
        <w:gridCol w:w="9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元素</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名称</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说明</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30" w:line="240" w:lineRule="auto"/>
              <w:ind w:left="114"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nidpSn</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31" w:line="240" w:lineRule="auto"/>
              <w:ind w:left="119"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唯一标识</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1" w:line="240" w:lineRule="auto"/>
              <w:ind w:left="115"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数据包的唯一性标识，最大字段长度32。</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31"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303" w:line="240" w:lineRule="auto"/>
              <w:ind w:left="12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type</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303" w:line="240" w:lineRule="auto"/>
              <w:ind w:left="11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数据包的类型</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3" w:line="240" w:lineRule="auto"/>
              <w:ind w:left="116" w:right="10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上报数据包的类型，目前取值为1，表示按照时间段上报该时间段内同期住院患者的医院感染过程数据，最大字段</w:t>
            </w:r>
          </w:p>
          <w:p>
            <w:pPr>
              <w:keepNext w:val="0"/>
              <w:keepLines w:val="0"/>
              <w:pageBreakBefore w:val="0"/>
              <w:widowControl w:val="0"/>
              <w:kinsoku/>
              <w:wordWrap/>
              <w:overflowPunct/>
              <w:topLinePunct w:val="0"/>
              <w:autoSpaceDE/>
              <w:autoSpaceDN/>
              <w:bidi w:val="0"/>
              <w:adjustRightInd/>
              <w:snapToGrid/>
              <w:spacing w:before="1" w:line="240" w:lineRule="auto"/>
              <w:ind w:left="114"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长度1</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303"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2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dateFrom</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1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上报开始时间</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2" w:line="240" w:lineRule="auto"/>
              <w:ind w:left="113" w:right="10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表示上报开始时间，格式为yyyy-MM-dd。若想上报2023年9月份的数据，开始时间应为：2023-09-01，含义是从2023-09-0100:00:00开始到结束时间段期间的所有住院患者均上报</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2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dateTo</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1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上报结束时间</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1" w:line="240" w:lineRule="auto"/>
              <w:ind w:left="113" w:right="103"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表示上报结束时间，格式为yyyy-MM-dd。若想上报2023年9月份的数据，结束时间应为：2023-09-30，含义是从开始时间到2023-09-3023:59:59时间段期间的所有住院患者均上报</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14"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note</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1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文本备注</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5" w:line="240" w:lineRule="auto"/>
              <w:ind w:left="107" w:right="104"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上报数据包医院为其进行的文本备注，建议为：yyyy年MM月的院感过程化数据，最大字段长度128</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170"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2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exportDate</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36" w:line="240" w:lineRule="auto"/>
              <w:ind w:left="126" w:right="107"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数据包的生成时间</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15"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数据包的生成时间，格式为：yyyy-MM-ddhh24:mm:ss</w:t>
            </w:r>
          </w:p>
        </w:tc>
        <w:tc>
          <w:tcPr>
            <w:tcW w:w="969"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before="170" w:line="240" w:lineRule="auto"/>
              <w:ind w:left="12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caseCount</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before="169" w:line="240" w:lineRule="auto"/>
              <w:ind w:left="12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患者的数量</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5" w:line="240" w:lineRule="auto"/>
              <w:ind w:left="114" w:right="104"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上报数据包中患者的数量，应与患者表(inOutHosp)中的记录数一致</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170"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20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1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unitId</w:t>
            </w:r>
          </w:p>
        </w:tc>
        <w:tc>
          <w:tcPr>
            <w:tcW w:w="1418"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before="65" w:line="240" w:lineRule="auto"/>
              <w:ind w:left="11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注册医院编码</w:t>
            </w:r>
          </w:p>
        </w:tc>
        <w:tc>
          <w:tcPr>
            <w:tcW w:w="6382" w:type="dxa"/>
            <w:noWrap w:val="0"/>
            <w:vAlign w:val="top"/>
          </w:tcPr>
          <w:p>
            <w:pPr>
              <w:keepNext w:val="0"/>
              <w:keepLines w:val="0"/>
              <w:pageBreakBefore w:val="0"/>
              <w:widowControl w:val="0"/>
              <w:kinsoku/>
              <w:wordWrap/>
              <w:overflowPunct/>
              <w:topLinePunct w:val="0"/>
              <w:autoSpaceDE/>
              <w:autoSpaceDN/>
              <w:bidi w:val="0"/>
              <w:adjustRightInd/>
              <w:snapToGrid/>
              <w:spacing w:before="35" w:line="240" w:lineRule="auto"/>
              <w:ind w:left="113"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创建上报数据包的注册医院编码，由平台</w:t>
            </w:r>
          </w:p>
          <w:p>
            <w:pPr>
              <w:keepNext w:val="0"/>
              <w:keepLines w:val="0"/>
              <w:pageBreakBefore w:val="0"/>
              <w:widowControl w:val="0"/>
              <w:kinsoku/>
              <w:wordWrap/>
              <w:overflowPunct/>
              <w:topLinePunct w:val="0"/>
              <w:autoSpaceDE/>
              <w:autoSpaceDN/>
              <w:bidi w:val="0"/>
              <w:adjustRightInd/>
              <w:snapToGrid/>
              <w:spacing w:before="25" w:line="240" w:lineRule="auto"/>
              <w:ind w:left="116" w:right="232"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"http://nishim.ncis.cn/"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http://nishim.ncis.cn/</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分发,可登录后再数据上报界面查看，没有此编码无法进行数据上报</w:t>
            </w:r>
          </w:p>
        </w:tc>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before="65"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bl>
    <w:p>
      <w:pPr>
        <w:numPr>
          <w:ilvl w:val="4"/>
          <w:numId w:val="1"/>
        </w:numPr>
        <w:bidi w:val="0"/>
        <w:rPr>
          <w:rFonts w:hint="eastAsia"/>
          <w:b/>
          <w:bCs/>
          <w:lang w:val="en-US" w:eastAsia="zh-CN"/>
        </w:rPr>
      </w:pPr>
      <w:r>
        <w:rPr>
          <w:rFonts w:hint="eastAsia"/>
          <w:b/>
          <w:bCs/>
          <w:lang w:val="en-US" w:eastAsia="zh-CN"/>
        </w:rPr>
        <w:t>科室表(deptList)</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754"/>
        <w:gridCol w:w="548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元素</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名称</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说明</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depCode</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科室代码</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科室代码，最大字段长度20</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depName</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科室名称</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科室名称，最大字段长度64</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icu</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是否为ICU</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是否为ICU科室，是为1，否为0，默认为0。</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newborn</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是否为新生儿科室</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位是否为新生儿科室，是为1，否为0，默认为0。</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bl>
    <w:p>
      <w:pPr>
        <w:pStyle w:val="10"/>
        <w:numPr>
          <w:ilvl w:val="4"/>
          <w:numId w:val="1"/>
        </w:numPr>
        <w:bidi w:val="0"/>
        <w:rPr>
          <w:rFonts w:hint="eastAsia"/>
          <w:b/>
          <w:bCs/>
          <w:lang w:val="en-US" w:eastAsia="zh-CN"/>
        </w:rPr>
      </w:pPr>
      <w:r>
        <w:rPr>
          <w:rFonts w:hint="eastAsia"/>
          <w:b/>
          <w:bCs/>
          <w:lang w:val="en-US" w:eastAsia="zh-CN"/>
        </w:rPr>
        <w:t>患者表(inOutHosp)</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344"/>
        <w:gridCol w:w="589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元素</w:t>
            </w:r>
          </w:p>
        </w:tc>
        <w:tc>
          <w:tcPr>
            <w:tcW w:w="1344"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名称</w:t>
            </w:r>
          </w:p>
        </w:tc>
        <w:tc>
          <w:tcPr>
            <w:tcW w:w="5896"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说明</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zyid</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住院标识符</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住院患者住院标识符，患者表中的唯一主键，与患者在医疗机构的一次住院过程对应，最大字段长度64</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visitId</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住院次数</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住院患者在该医疗机构的第几次住院过程，应为大于0的自然数，最大字段长度4</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patientId</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住院号</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住院患者的住院号，同一患者在本医疗机构的多次住院保持一致，最大字段长度32</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sex</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性别</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住院患者的性别，值为：男或女</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birthDay</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出生日期</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住院患者的出生日期，格式为yyyy-MM-dd</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inHospAt</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入院时间</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住院患者的入院时间，格式为yyyy-MM-ddHH24:mm:ss</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outHospAt</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出院时间</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住院患者的出院时间，格式为yyyy-MM-ddHH24:mm:ss，</w:t>
            </w:r>
          </w:p>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患者未出院时，该字段值为空</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outDeptId</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出院科室</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住院患者的出院科室编码，最大字段长度32(内容需按数据元值域代码表1标准提供)，患者未出院时，该字段值为空。</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inHospDig</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入院诊断</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住院患者的入院诊断，最大字段长度256</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outDig</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出院诊断</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住院患者的出院诊断，最大字段长度256</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otherDig</w:t>
            </w:r>
          </w:p>
        </w:tc>
        <w:tc>
          <w:tcPr>
            <w:tcW w:w="134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其他诊断</w:t>
            </w:r>
          </w:p>
        </w:tc>
        <w:tc>
          <w:tcPr>
            <w:tcW w:w="589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住院患者的其他诊断，最大字段长度256</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bl>
    <w:p>
      <w:pPr>
        <w:numPr>
          <w:ilvl w:val="4"/>
          <w:numId w:val="1"/>
        </w:numPr>
        <w:bidi w:val="0"/>
        <w:rPr>
          <w:rFonts w:hint="eastAsia"/>
          <w:b/>
          <w:bCs/>
          <w:lang w:val="en-US" w:eastAsia="zh-CN"/>
        </w:rPr>
      </w:pPr>
      <w:r>
        <w:rPr>
          <w:rFonts w:hint="eastAsia"/>
          <w:b/>
          <w:bCs/>
          <w:lang w:val="en-US" w:eastAsia="zh-CN"/>
        </w:rPr>
        <w:t>、感染表(infectList)</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385"/>
        <w:gridCol w:w="6014"/>
        <w:gridCol w:w="10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元素</w:t>
            </w:r>
          </w:p>
        </w:tc>
        <w:tc>
          <w:tcPr>
            <w:tcW w:w="1385"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名称</w:t>
            </w:r>
          </w:p>
        </w:tc>
        <w:tc>
          <w:tcPr>
            <w:tcW w:w="6014"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说明</w:t>
            </w:r>
          </w:p>
        </w:tc>
        <w:tc>
          <w:tcPr>
            <w:tcW w:w="1078"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zyid</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住院标识符</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住院患者住院标识符，与患者在医疗机构的一次住院过程对应，最大字段长度64</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infectCode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感染部位编码</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住院患者的感染部位编码(内容需按数据元值域代码表2标准提供)</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infectName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感染部位名称</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住院患者的感染部位名，必填。(内容需按数据元值域代</w:t>
            </w:r>
          </w:p>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码表2标准提供)</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infectDate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感染时间</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住院患者的感染时间，格式为yyyy-MM-ddHH24:mm:ss</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conDate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确诊时间</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住院患者的确诊时间，格式为yyyy-MM-ddHH24:mm:ss</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reportDate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感染上报时间</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住院患者的感染上报时间，格式为yyyy-MM-ddHH24:mm:ss</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infectType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感染类型</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住院患者的感染类型，可填值为：1、2(1-医院感染，2-社区感染)</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infectDept</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感染科室编码</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住院患者的感染科室编码，最大字段长度32</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interCode</w:t>
            </w:r>
          </w:p>
        </w:tc>
        <w:tc>
          <w:tcPr>
            <w:tcW w:w="1385"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唯一性标识</w:t>
            </w:r>
          </w:p>
        </w:tc>
        <w:tc>
          <w:tcPr>
            <w:tcW w:w="601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感染表的唯一性标识</w:t>
            </w:r>
          </w:p>
        </w:tc>
        <w:tc>
          <w:tcPr>
            <w:tcW w:w="1078"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bl>
    <w:p>
      <w:pPr>
        <w:pStyle w:val="10"/>
        <w:numPr>
          <w:ilvl w:val="4"/>
          <w:numId w:val="1"/>
        </w:numPr>
        <w:bidi w:val="0"/>
        <w:rPr>
          <w:rFonts w:hint="eastAsia"/>
          <w:b/>
          <w:bCs/>
          <w:lang w:val="en-US" w:eastAsia="zh-CN"/>
        </w:rPr>
      </w:pPr>
      <w:r>
        <w:rPr>
          <w:rFonts w:hint="eastAsia"/>
          <w:b/>
          <w:bCs/>
          <w:lang w:val="en-US" w:eastAsia="zh-CN"/>
        </w:rPr>
        <w:t>、送检表(inspecteList)</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754"/>
        <w:gridCol w:w="548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元素</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名称</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zyid</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住院标识符</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住院患者住院标识符，患者表中的唯一主键，与患者在医疗机构的一次住院过程对应，最大字段长度64</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testNo</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送检单号</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住院患者的送检单号，最大字段长度64</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typeCode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检验项目类型编码</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住院患者的检验项目类型名称在特定编码体系中的代码(内容需按数据元值域代码表3标准提供)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typeName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检验项目类型名称</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住院患者的检验项目类型名称，最大字段长度128，必填。(内容需按数据元值域代码表3标准提供)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sourceName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源系统检验项目名称</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在检验系统中的原始检验项目名称</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itemCode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送检标本编号</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住院患者的送检标本编号，最大字段长度32(内容需按数据元值域代码表4标准提供)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itemName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送检标本名称</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住院患者的送检标本名称，最大字段长度32(内容需按数据元值域代码表4标准提供)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submitAt</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送检时间</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住院患者的送检时间，格式为yyyy-MM-ddHH24:mm:ss</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infectId</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感染送检</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该字段取值应为感染表(infectList)中interCode字段值，关联此次送检的感染诊断。该字段可为空。</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interCode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唯一性标识</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送检表的唯一性标识</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bl>
    <w:p>
      <w:pPr>
        <w:pStyle w:val="10"/>
        <w:numPr>
          <w:ilvl w:val="4"/>
          <w:numId w:val="1"/>
        </w:numPr>
        <w:bidi w:val="0"/>
        <w:rPr>
          <w:rFonts w:hint="eastAsia"/>
          <w:b/>
          <w:bCs/>
          <w:lang w:val="en-US" w:eastAsia="zh-CN"/>
        </w:rPr>
      </w:pPr>
      <w:r>
        <w:rPr>
          <w:rFonts w:hint="eastAsia"/>
          <w:b/>
          <w:bCs/>
          <w:lang w:val="en-US" w:eastAsia="zh-CN"/>
        </w:rPr>
        <w:t>、抗菌药物表(antibiList)</w:t>
      </w:r>
    </w:p>
    <w:tbl>
      <w:tblPr>
        <w:tblStyle w:val="48"/>
        <w:tblW w:w="99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3"/>
        <w:gridCol w:w="1754"/>
        <w:gridCol w:w="548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493"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7"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元素</w:t>
            </w:r>
          </w:p>
        </w:tc>
        <w:tc>
          <w:tcPr>
            <w:tcW w:w="1754"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3"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名称</w:t>
            </w:r>
          </w:p>
        </w:tc>
        <w:tc>
          <w:tcPr>
            <w:tcW w:w="5486" w:type="dxa"/>
            <w:noWrap w:val="0"/>
            <w:vAlign w:val="top"/>
          </w:tcPr>
          <w:p>
            <w:pPr>
              <w:keepNext w:val="0"/>
              <w:keepLines w:val="0"/>
              <w:pageBreakBefore w:val="0"/>
              <w:widowControl w:val="0"/>
              <w:kinsoku/>
              <w:wordWrap/>
              <w:overflowPunct/>
              <w:topLinePunct w:val="0"/>
              <w:autoSpaceDE/>
              <w:autoSpaceDN/>
              <w:bidi w:val="0"/>
              <w:adjustRightInd/>
              <w:snapToGrid/>
              <w:spacing w:before="99" w:line="240" w:lineRule="auto"/>
              <w:ind w:left="116"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说明</w:t>
            </w:r>
          </w:p>
        </w:tc>
        <w:tc>
          <w:tcPr>
            <w:tcW w:w="1237" w:type="dxa"/>
            <w:noWrap w:val="0"/>
            <w:vAlign w:val="top"/>
          </w:tcPr>
          <w:p>
            <w:pPr>
              <w:keepNext w:val="0"/>
              <w:keepLines w:val="0"/>
              <w:pageBreakBefore w:val="0"/>
              <w:widowControl w:val="0"/>
              <w:kinsoku/>
              <w:wordWrap/>
              <w:overflowPunct/>
              <w:topLinePunct w:val="0"/>
              <w:autoSpaceDE/>
              <w:autoSpaceDN/>
              <w:bidi w:val="0"/>
              <w:adjustRightInd/>
              <w:snapToGrid/>
              <w:spacing w:before="100" w:line="240" w:lineRule="auto"/>
              <w:ind w:left="119"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是否必填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zyid</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住院标识符</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住院患者住院标识符，患者表中的唯一主键，与患者在医疗机构的一次住院过程对应，最大字段长度64</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orderAt</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开嘱时间</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抗菌药物医嘱的开嘱时间，格式为yyyy-MM-ddHH24:mm:ss</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stopAt</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停嘱时间</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抗菌药物医嘱的停嘱时间，格式为</w:t>
            </w:r>
          </w:p>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yyyy-MM-ddHH24:mm:ss，临时医嘱与开医嘱时间一致，长期未停医嘱时，该字段值为空。</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orderId</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抗菌药物医嘱编号</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抗菌药物医嘱的医嘱编号，最大字段长度32(内容需按数据元值域代码表5标准提供)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orderName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抗菌药物医嘱名称</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抗菌药物医嘱的医嘱名称，最大字段长度50(内容需按数据元值域代码表5标准提供)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routeId</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给药途径</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抗菌药物的给药途径，如：静脉注射、口服、胸腔冲洗等(内容需按数据元值域代码表6标准提供)</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usePurpose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用药目的</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抗菌药物的用药目的，可填值为：1、2、(1-预防，2-治</w:t>
            </w:r>
          </w:p>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疗)</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drugLine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线别</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抗菌药物的线别，可填值为：1、2、3(1-非限制，2-限制，3-特殊)</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interCode</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唯一性标识</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抗菌药物表的唯一性标识</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jc w:val="center"/>
        </w:trPr>
        <w:tc>
          <w:tcPr>
            <w:tcW w:w="14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execAt</w:t>
            </w:r>
          </w:p>
        </w:tc>
        <w:tc>
          <w:tcPr>
            <w:tcW w:w="1754"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首次给药时间</w:t>
            </w:r>
          </w:p>
        </w:tc>
        <w:tc>
          <w:tcPr>
            <w:tcW w:w="548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抗菌药物医嘱的首次给药时间，如果信息系统中没有首次给药时间，可取医生开医嘱的时间</w:t>
            </w:r>
          </w:p>
        </w:tc>
        <w:tc>
          <w:tcPr>
            <w:tcW w:w="123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是</w:t>
            </w:r>
          </w:p>
        </w:tc>
      </w:tr>
    </w:tbl>
    <w:p>
      <w:pPr>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三、商务要求</w:t>
      </w:r>
    </w:p>
    <w:p>
      <w:pPr>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1.开发及调试时间</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合同签订生效日起45个工作日内完成系统的开发、部署、调试等工作。</w:t>
      </w:r>
      <w:bookmarkStart w:id="18" w:name="_Toc108018885"/>
      <w:r>
        <w:rPr>
          <w:rFonts w:hint="eastAsia" w:ascii="宋体" w:hAnsi="宋体" w:eastAsia="宋体" w:cs="宋体"/>
          <w:b w:val="0"/>
          <w:bCs w:val="0"/>
          <w:kern w:val="2"/>
          <w:sz w:val="21"/>
          <w:szCs w:val="21"/>
          <w:lang w:val="en-US" w:eastAsia="zh-CN" w:bidi="ar-SA"/>
        </w:rPr>
        <w:t>系统上线后无故障运行至少一个月后，由采购人组织验收。</w:t>
      </w:r>
    </w:p>
    <w:p>
      <w:pPr>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2.接口部署地点</w:t>
      </w:r>
      <w:bookmarkEnd w:id="18"/>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南方医科大学第五附属医院</w:t>
      </w:r>
      <w:bookmarkStart w:id="19" w:name="_Toc108018886"/>
    </w:p>
    <w:p>
      <w:pPr>
        <w:bidi w:val="0"/>
        <w:spacing w:line="360" w:lineRule="auto"/>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3.售后服务要求</w:t>
      </w:r>
      <w:bookmarkEnd w:id="19"/>
    </w:p>
    <w:p>
      <w:pPr>
        <w:pStyle w:val="12"/>
        <w:numPr>
          <w:ilvl w:val="0"/>
          <w:numId w:val="0"/>
        </w:numPr>
        <w:adjustRightInd w:val="0"/>
        <w:snapToGrid w:val="0"/>
        <w:spacing w:line="360" w:lineRule="auto"/>
        <w:ind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3.1供应商应对本次升级所提供的功能，提供一年的免费维修服务。</w:t>
      </w:r>
    </w:p>
    <w:p>
      <w:pPr>
        <w:pStyle w:val="12"/>
        <w:numPr>
          <w:ilvl w:val="0"/>
          <w:numId w:val="0"/>
        </w:numPr>
        <w:adjustRightInd w:val="0"/>
        <w:snapToGrid w:val="0"/>
        <w:spacing w:line="360" w:lineRule="auto"/>
        <w:ind w:firstLine="420" w:firstLineChars="2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3.2发生故障要求2小时内远程响应，远程无法解决的，应6小时工程师到达现场，12小时内修复。</w:t>
      </w:r>
      <w:bookmarkStart w:id="20" w:name="_Toc108018887"/>
    </w:p>
    <w:p>
      <w:pPr>
        <w:pStyle w:val="12"/>
        <w:numPr>
          <w:ilvl w:val="0"/>
          <w:numId w:val="0"/>
        </w:numPr>
        <w:adjustRightInd w:val="0"/>
        <w:snapToGrid w:val="0"/>
        <w:spacing w:line="360" w:lineRule="auto"/>
        <w:ind w:firstLine="422" w:firstLineChars="20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4.付款方式</w:t>
      </w:r>
      <w:bookmarkEnd w:id="20"/>
    </w:p>
    <w:p>
      <w:pPr>
        <w:pStyle w:val="28"/>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4.1合同签订后15天内，支付合同总金额25%的首付款</w:t>
      </w:r>
    </w:p>
    <w:p>
      <w:pPr>
        <w:pStyle w:val="28"/>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4.2系统上线后，通过上线初验，支付合同总金额35%的初验款</w:t>
      </w:r>
    </w:p>
    <w:p>
      <w:pPr>
        <w:pStyle w:val="28"/>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4.3通过系统终验后，支付合同总金额35%的验收款</w:t>
      </w:r>
    </w:p>
    <w:p>
      <w:pPr>
        <w:pStyle w:val="28"/>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4.4一年维保期结束后，支付合同总金额5%的尾款。</w:t>
      </w:r>
    </w:p>
    <w:p>
      <w:pPr>
        <w:pStyle w:val="28"/>
        <w:numPr>
          <w:ilvl w:val="0"/>
          <w:numId w:val="0"/>
        </w:numPr>
        <w:spacing w:line="36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5.验收标准</w:t>
      </w:r>
    </w:p>
    <w:p>
      <w:pPr>
        <w:pStyle w:val="28"/>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5.1符合我国国家有关技术规范和技术标准。供应商负责与有关施工方的配合，为采购人提供免费安装，保证正常使用。</w:t>
      </w:r>
    </w:p>
    <w:p>
      <w:pPr>
        <w:pStyle w:val="28"/>
        <w:numPr>
          <w:ilvl w:val="0"/>
          <w:numId w:val="0"/>
        </w:numPr>
        <w:spacing w:line="360" w:lineRule="auto"/>
        <w:ind w:firstLine="420" w:firstLineChars="200"/>
        <w:rPr>
          <w:rFonts w:hint="eastAsia" w:ascii="宋体" w:hAnsi="宋体" w:eastAsia="宋体" w:cs="宋体"/>
          <w:b/>
          <w:bCs w:val="0"/>
          <w:color w:val="000000"/>
          <w:kern w:val="0"/>
          <w:sz w:val="21"/>
          <w:szCs w:val="21"/>
          <w:lang w:eastAsia="zh-CN"/>
        </w:rPr>
      </w:pPr>
      <w:r>
        <w:rPr>
          <w:rFonts w:hint="eastAsia" w:ascii="宋体" w:hAnsi="宋体" w:eastAsia="宋体" w:cs="宋体"/>
          <w:kern w:val="2"/>
          <w:sz w:val="21"/>
          <w:szCs w:val="21"/>
          <w:lang w:val="en-US" w:eastAsia="zh-CN" w:bidi="ar-SA"/>
        </w:rPr>
        <w:t>5.2系统研究开发所完成的技术成果，达到了本合同第三条所列技术指标，以双方签字确认的《医院感染实时监测管理系统模块升级建设项目需求说明书》为验收依据，由采购人联合专家成立验收小组，组织验收并出具项目验收报告。</w:t>
      </w:r>
    </w:p>
    <w:p>
      <w:pPr>
        <w:pStyle w:val="25"/>
        <w:spacing w:line="400" w:lineRule="exact"/>
        <w:rPr>
          <w:rFonts w:ascii="宋体" w:hAnsi="宋体"/>
          <w:b/>
          <w:sz w:val="24"/>
        </w:rPr>
      </w:pPr>
      <w:bookmarkStart w:id="21" w:name="_Toc8122"/>
      <w:bookmarkStart w:id="22" w:name="_Toc6416"/>
      <w:bookmarkStart w:id="23" w:name="_Toc20606"/>
      <w:bookmarkStart w:id="24" w:name="_Toc26796"/>
      <w:bookmarkStart w:id="25" w:name="_Toc20762"/>
      <w:bookmarkStart w:id="26" w:name="_Toc28850"/>
      <w:bookmarkStart w:id="27" w:name="_Toc27614"/>
      <w:r>
        <w:rPr>
          <w:rFonts w:hint="eastAsia" w:ascii="宋体" w:hAnsi="宋体"/>
          <w:b/>
          <w:sz w:val="24"/>
        </w:rPr>
        <w:t>备注：</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5"/>
        <w:spacing w:line="360" w:lineRule="auto"/>
        <w:ind w:firstLine="420" w:firstLineChars="200"/>
        <w:rPr>
          <w:rFonts w:hint="eastAsia" w:ascii="宋体" w:hAnsi="宋体" w:cs="宋体"/>
          <w:sz w:val="21"/>
          <w:szCs w:val="21"/>
        </w:rPr>
      </w:pPr>
      <w:r>
        <w:rPr>
          <w:rFonts w:hint="eastAsia" w:ascii="宋体" w:hAnsi="宋体" w:cs="宋体"/>
          <w:sz w:val="21"/>
          <w:szCs w:val="21"/>
        </w:rPr>
        <w:t>2.标有“▲”的条款均为评审的重要评分指标，报价人若有部分“▲”条款未响应或不满足，将导致其响应性评审严重扣分。</w:t>
      </w:r>
      <w:bookmarkEnd w:id="21"/>
      <w:bookmarkEnd w:id="22"/>
      <w:bookmarkEnd w:id="23"/>
      <w:bookmarkEnd w:id="24"/>
      <w:bookmarkEnd w:id="25"/>
      <w:bookmarkEnd w:id="26"/>
      <w:bookmarkEnd w:id="27"/>
      <w:bookmarkStart w:id="28" w:name="_Toc4075"/>
      <w:bookmarkStart w:id="29" w:name="_Toc3222"/>
      <w:bookmarkStart w:id="30" w:name="_Toc11917"/>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3.供应商有下列情形之一的，将列入我院黑名单管理，在此后的三年内不得参与我院任何采买活动：</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360" w:lineRule="auto"/>
        <w:jc w:val="center"/>
        <w:rPr>
          <w:b/>
          <w:bCs/>
          <w:kern w:val="0"/>
          <w:sz w:val="21"/>
          <w:szCs w:val="21"/>
        </w:rPr>
      </w:pPr>
    </w:p>
    <w:p>
      <w:pPr>
        <w:pStyle w:val="8"/>
        <w:spacing w:line="380" w:lineRule="exact"/>
        <w:rPr>
          <w:rFonts w:ascii="宋体" w:hAnsi="宋体" w:cs="宋体"/>
          <w:sz w:val="24"/>
        </w:rPr>
      </w:pPr>
    </w:p>
    <w:p>
      <w:pPr>
        <w:jc w:val="center"/>
        <w:outlineLvl w:val="9"/>
        <w:rPr>
          <w:b/>
          <w:bCs/>
          <w:kern w:val="0"/>
          <w:sz w:val="32"/>
          <w:szCs w:val="36"/>
        </w:rPr>
      </w:pPr>
      <w:bookmarkStart w:id="31" w:name="_Toc2432"/>
    </w:p>
    <w:p>
      <w:pPr>
        <w:jc w:val="center"/>
        <w:outlineLvl w:val="9"/>
        <w:rPr>
          <w:b/>
          <w:bCs/>
          <w:kern w:val="0"/>
          <w:sz w:val="32"/>
          <w:szCs w:val="36"/>
        </w:rPr>
      </w:pPr>
    </w:p>
    <w:p>
      <w:pPr>
        <w:jc w:val="center"/>
        <w:outlineLvl w:val="9"/>
        <w:rPr>
          <w:b/>
          <w:bCs/>
          <w:kern w:val="0"/>
          <w:sz w:val="32"/>
          <w:szCs w:val="36"/>
        </w:rPr>
      </w:pPr>
    </w:p>
    <w:p>
      <w:pPr>
        <w:jc w:val="center"/>
        <w:outlineLvl w:val="9"/>
        <w:rPr>
          <w:b/>
          <w:bCs/>
          <w:kern w:val="0"/>
          <w:sz w:val="32"/>
          <w:szCs w:val="36"/>
        </w:rPr>
      </w:pPr>
    </w:p>
    <w:p>
      <w:pPr>
        <w:jc w:val="center"/>
        <w:outlineLvl w:val="9"/>
        <w:rPr>
          <w:b/>
          <w:bCs/>
          <w:kern w:val="0"/>
          <w:sz w:val="32"/>
          <w:szCs w:val="36"/>
        </w:rPr>
      </w:pPr>
    </w:p>
    <w:p>
      <w:pPr>
        <w:jc w:val="center"/>
        <w:outlineLvl w:val="9"/>
        <w:rPr>
          <w:b/>
          <w:bCs/>
          <w:kern w:val="0"/>
          <w:sz w:val="32"/>
          <w:szCs w:val="36"/>
        </w:rPr>
      </w:pPr>
    </w:p>
    <w:p>
      <w:pPr>
        <w:jc w:val="center"/>
        <w:outlineLvl w:val="0"/>
        <w:rPr>
          <w:rFonts w:ascii="宋体" w:hAnsi="宋体"/>
          <w:sz w:val="24"/>
        </w:rPr>
      </w:pPr>
      <w:bookmarkStart w:id="32" w:name="_Toc11115"/>
      <w:r>
        <w:rPr>
          <w:rFonts w:hint="eastAsia"/>
          <w:b/>
          <w:bCs/>
          <w:kern w:val="0"/>
          <w:sz w:val="32"/>
          <w:szCs w:val="36"/>
        </w:rPr>
        <w:t xml:space="preserve">第三部分  </w:t>
      </w:r>
      <w:bookmarkStart w:id="33" w:name="_Toc270"/>
      <w:r>
        <w:rPr>
          <w:rFonts w:hint="eastAsia"/>
          <w:b/>
          <w:bCs/>
          <w:kern w:val="0"/>
          <w:sz w:val="32"/>
          <w:szCs w:val="36"/>
        </w:rPr>
        <w:t>资料整理注意事项</w:t>
      </w:r>
      <w:bookmarkEnd w:id="28"/>
      <w:bookmarkEnd w:id="29"/>
      <w:bookmarkEnd w:id="30"/>
      <w:bookmarkEnd w:id="31"/>
      <w:bookmarkEnd w:id="32"/>
      <w:bookmarkEnd w:id="33"/>
    </w:p>
    <w:p>
      <w:pPr>
        <w:spacing w:line="380" w:lineRule="exact"/>
        <w:ind w:firstLine="360" w:firstLineChars="150"/>
        <w:rPr>
          <w:rFonts w:ascii="宋体" w:hAnsi="宋体"/>
          <w:sz w:val="24"/>
        </w:rPr>
      </w:pPr>
    </w:p>
    <w:p>
      <w:pPr>
        <w:spacing w:line="360" w:lineRule="auto"/>
        <w:ind w:firstLine="315" w:firstLineChars="150"/>
        <w:rPr>
          <w:rFonts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315" w:firstLineChars="150"/>
        <w:rPr>
          <w:rFonts w:ascii="宋体" w:hAnsi="宋体"/>
          <w:sz w:val="21"/>
          <w:szCs w:val="21"/>
        </w:rPr>
      </w:pPr>
      <w:r>
        <w:rPr>
          <w:rFonts w:hint="eastAsia" w:ascii="宋体" w:hAnsi="宋体"/>
          <w:sz w:val="21"/>
          <w:szCs w:val="21"/>
        </w:rPr>
        <w:t>2.响应文件除封面外，其他材料须双面打印，打印出来后一定要清晰，看不清或者模糊当不提供该项资料处理。</w:t>
      </w:r>
    </w:p>
    <w:p>
      <w:pPr>
        <w:spacing w:line="360" w:lineRule="auto"/>
        <w:ind w:firstLine="315" w:firstLineChars="150"/>
        <w:rPr>
          <w:rFonts w:ascii="宋体" w:hAnsi="宋体"/>
          <w:sz w:val="21"/>
          <w:szCs w:val="21"/>
        </w:rPr>
      </w:pPr>
      <w:r>
        <w:rPr>
          <w:rFonts w:hint="eastAsia" w:ascii="宋体" w:hAnsi="宋体"/>
          <w:sz w:val="21"/>
          <w:szCs w:val="21"/>
        </w:rPr>
        <w:t>3.响应文件需要一正</w:t>
      </w:r>
      <w:r>
        <w:rPr>
          <w:rFonts w:hint="eastAsia" w:ascii="宋体" w:hAnsi="宋体"/>
          <w:sz w:val="21"/>
          <w:szCs w:val="21"/>
          <w:lang w:eastAsia="zh-CN"/>
        </w:rPr>
        <w:t>四</w:t>
      </w:r>
      <w:r>
        <w:rPr>
          <w:rFonts w:hint="eastAsia" w:ascii="宋体" w:hAnsi="宋体"/>
          <w:sz w:val="21"/>
          <w:szCs w:val="21"/>
        </w:rPr>
        <w:t>副共</w:t>
      </w:r>
      <w:r>
        <w:rPr>
          <w:rFonts w:hint="eastAsia" w:ascii="宋体" w:hAnsi="宋体"/>
          <w:sz w:val="21"/>
          <w:szCs w:val="21"/>
          <w:lang w:eastAsia="zh-CN"/>
        </w:rPr>
        <w:t>伍</w:t>
      </w:r>
      <w:r>
        <w:rPr>
          <w:rFonts w:hint="eastAsia" w:ascii="宋体" w:hAnsi="宋体"/>
          <w:sz w:val="21"/>
          <w:szCs w:val="21"/>
        </w:rPr>
        <w:t>份，封面应注明“正本”、“副本”字样并加盖公章、装订成册，副本可用正本复印并在封面上加盖公章。</w:t>
      </w:r>
    </w:p>
    <w:p>
      <w:pPr>
        <w:spacing w:line="360" w:lineRule="auto"/>
        <w:ind w:firstLine="315" w:firstLineChars="150"/>
        <w:rPr>
          <w:rFonts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4.所有响应文件须密封在一个不透明的外层封装中；并在封口位置处加盖公章，如因响应文件未密封导致不能进入商谈环节者，一切后果由供应商自负。</w:t>
      </w:r>
    </w:p>
    <w:p>
      <w:pPr>
        <w:spacing w:line="360" w:lineRule="auto"/>
        <w:ind w:firstLine="315" w:firstLineChars="150"/>
        <w:rPr>
          <w:rFonts w:ascii="宋体" w:hAnsi="宋体"/>
          <w:sz w:val="21"/>
          <w:szCs w:val="21"/>
        </w:rPr>
      </w:pPr>
      <w:r>
        <w:rPr>
          <w:rFonts w:hint="eastAsia" w:ascii="宋体" w:hAnsi="宋体"/>
          <w:sz w:val="21"/>
          <w:szCs w:val="21"/>
        </w:rPr>
        <w:t>5.供应商携带密封的响应文件参加院内采购评审会议。</w:t>
      </w:r>
    </w:p>
    <w:p>
      <w:pPr>
        <w:spacing w:line="360" w:lineRule="auto"/>
        <w:ind w:firstLine="315" w:firstLineChars="150"/>
        <w:rPr>
          <w:rFonts w:ascii="宋体" w:hAnsi="宋体"/>
          <w:sz w:val="21"/>
          <w:szCs w:val="21"/>
        </w:rPr>
      </w:pPr>
      <w:r>
        <w:rPr>
          <w:rFonts w:hint="eastAsia" w:ascii="宋体" w:hAnsi="宋体"/>
          <w:sz w:val="21"/>
          <w:szCs w:val="21"/>
        </w:rPr>
        <w:t>6.报名时提供的资料与响应文件不一致时以响应文件为准。</w:t>
      </w:r>
    </w:p>
    <w:p>
      <w:pPr>
        <w:spacing w:line="360" w:lineRule="auto"/>
        <w:ind w:firstLine="315" w:firstLineChars="150"/>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pPr>
        <w:spacing w:line="360" w:lineRule="auto"/>
        <w:ind w:firstLine="315" w:firstLineChars="150"/>
        <w:rPr>
          <w:rFonts w:ascii="宋体" w:hAnsi="宋体"/>
          <w:sz w:val="21"/>
          <w:szCs w:val="21"/>
        </w:rPr>
      </w:pPr>
      <w:r>
        <w:rPr>
          <w:rFonts w:hint="eastAsia" w:ascii="宋体" w:hAnsi="宋体"/>
          <w:sz w:val="21"/>
          <w:szCs w:val="21"/>
        </w:rPr>
        <w:t>8.各供应商需认真阅读以上注意事项，不按要求提供响应文件者后果自负。</w:t>
      </w: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10" w:type="default"/>
          <w:pgSz w:w="11906" w:h="16838"/>
          <w:pgMar w:top="1440" w:right="1134" w:bottom="1440" w:left="1134" w:header="851" w:footer="992" w:gutter="0"/>
          <w:pgNumType w:fmt="decimal"/>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outlineLvl w:val="9"/>
        <w:rPr>
          <w:rFonts w:ascii="宋体" w:hAnsi="宋体" w:eastAsia="宋体"/>
          <w:sz w:val="40"/>
        </w:rPr>
      </w:pPr>
      <w:bookmarkStart w:id="34" w:name="_Toc19354"/>
      <w:bookmarkStart w:id="35" w:name="_Toc32164"/>
      <w:bookmarkStart w:id="36" w:name="_Toc30230"/>
      <w:bookmarkStart w:id="37" w:name="_Toc9461"/>
      <w:bookmarkStart w:id="38" w:name="_Toc30326"/>
      <w:bookmarkStart w:id="39" w:name="_Toc2347"/>
      <w:bookmarkStart w:id="40" w:name="_Toc7581"/>
      <w:bookmarkStart w:id="41" w:name="_Toc5829"/>
      <w:bookmarkStart w:id="42" w:name="_Toc2647"/>
      <w:bookmarkStart w:id="43" w:name="_Toc40776108"/>
      <w:bookmarkStart w:id="44" w:name="_Toc40346213"/>
      <w:bookmarkStart w:id="45" w:name="_Toc32228"/>
      <w:bookmarkStart w:id="46" w:name="_Toc13814"/>
    </w:p>
    <w:p>
      <w:pPr>
        <w:pStyle w:val="5"/>
        <w:jc w:val="center"/>
        <w:outlineLvl w:val="9"/>
        <w:rPr>
          <w:rFonts w:ascii="宋体" w:hAnsi="宋体" w:eastAsia="宋体"/>
          <w:sz w:val="40"/>
        </w:rPr>
      </w:pPr>
    </w:p>
    <w:p>
      <w:pPr>
        <w:pStyle w:val="5"/>
        <w:jc w:val="center"/>
        <w:outlineLvl w:val="0"/>
        <w:rPr>
          <w:rFonts w:ascii="宋体" w:hAnsi="宋体" w:eastAsia="宋体" w:cs="Courier New"/>
          <w:sz w:val="40"/>
        </w:rPr>
      </w:pPr>
      <w:bookmarkStart w:id="47" w:name="_Toc32376"/>
      <w:bookmarkStart w:id="48" w:name="_Toc1634"/>
      <w:r>
        <w:rPr>
          <w:rFonts w:hint="eastAsia" w:ascii="宋体" w:hAnsi="宋体" w:eastAsia="宋体"/>
          <w:sz w:val="40"/>
        </w:rPr>
        <w:t>第四部分  相关格式文件</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6"/>
      </w:pPr>
      <w:bookmarkStart w:id="49" w:name="_Toc11236"/>
      <w:bookmarkStart w:id="50" w:name="_Toc10941"/>
      <w:bookmarkStart w:id="51" w:name="_Toc40346373"/>
      <w:bookmarkStart w:id="52" w:name="_Toc10842"/>
      <w:bookmarkStart w:id="53" w:name="_Toc17987"/>
      <w:bookmarkStart w:id="54" w:name="_Toc30201"/>
      <w:bookmarkStart w:id="55" w:name="_Toc40346214"/>
      <w:bookmarkStart w:id="56" w:name="_Toc23126"/>
      <w:bookmarkStart w:id="57" w:name="_Toc40776109"/>
      <w:bookmarkStart w:id="58" w:name="_Toc26336"/>
      <w:bookmarkStart w:id="59" w:name="_Toc13972"/>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60" w:name="_Toc13293"/>
      <w:bookmarkStart w:id="61" w:name="_Toc12695"/>
      <w:bookmarkStart w:id="62"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63" w:name="_Toc2926"/>
      <w:bookmarkStart w:id="64" w:name="_Toc18355"/>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jc w:val="center"/>
        <w:rPr>
          <w:rFonts w:ascii="宋体" w:hAnsi="宋体" w:cs="宋体"/>
          <w:b/>
          <w:kern w:val="0"/>
          <w:sz w:val="52"/>
          <w:szCs w:val="52"/>
        </w:rPr>
      </w:pPr>
      <w:bookmarkStart w:id="65" w:name="_Toc4407"/>
      <w:bookmarkStart w:id="66" w:name="_Toc22864"/>
      <w:bookmarkStart w:id="67" w:name="_Toc25470"/>
      <w:bookmarkStart w:id="68" w:name="_Toc23156"/>
      <w:bookmarkStart w:id="69" w:name="_Toc22145"/>
      <w:bookmarkStart w:id="70" w:name="_Toc10213"/>
      <w:bookmarkStart w:id="71" w:name="_Toc18837"/>
      <w:bookmarkStart w:id="72" w:name="_Toc28217"/>
      <w:bookmarkStart w:id="73" w:name="_Toc3784"/>
      <w:bookmarkStart w:id="74" w:name="_Toc40346381"/>
      <w:bookmarkStart w:id="75" w:name="_Toc40776117"/>
      <w:bookmarkStart w:id="76" w:name="_Toc40346222"/>
      <w:bookmarkStart w:id="77" w:name="_Toc12431"/>
      <w:bookmarkStart w:id="78" w:name="_Toc9134"/>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79" w:name="_Toc11075"/>
      <w:bookmarkStart w:id="80" w:name="_Toc21249"/>
      <w:bookmarkStart w:id="81" w:name="_Toc8364"/>
      <w:bookmarkStart w:id="82" w:name="_Toc12520"/>
      <w:bookmarkStart w:id="83" w:name="_Toc40346375"/>
      <w:bookmarkStart w:id="84" w:name="_Toc28703"/>
      <w:bookmarkStart w:id="85" w:name="_Toc435"/>
      <w:bookmarkStart w:id="86" w:name="_Toc3471"/>
      <w:bookmarkStart w:id="87" w:name="_Toc7291"/>
      <w:bookmarkStart w:id="88" w:name="_Toc15870"/>
      <w:bookmarkStart w:id="89" w:name="_Toc40346216"/>
      <w:bookmarkStart w:id="90" w:name="_Toc40776111"/>
      <w:bookmarkStart w:id="91" w:name="_Toc6547"/>
      <w:bookmarkStart w:id="92" w:name="_Toc11305"/>
      <w:bookmarkStart w:id="93" w:name="_Toc1994"/>
      <w:bookmarkStart w:id="94" w:name="_Toc29113"/>
      <w:bookmarkStart w:id="95" w:name="_Toc26267"/>
    </w:p>
    <w:p>
      <w:pPr>
        <w:widowControl/>
        <w:spacing w:line="360" w:lineRule="auto"/>
        <w:ind w:firstLine="600"/>
        <w:outlineLvl w:val="0"/>
      </w:pPr>
      <w:bookmarkStart w:id="96" w:name="_Toc30219"/>
      <w:bookmarkStart w:id="97" w:name="_Toc4769"/>
      <w:r>
        <w:rPr>
          <w:rFonts w:ascii="宋体" w:hAnsi="宋体" w:cs="宋体"/>
          <w:kern w:val="0"/>
          <w:sz w:val="30"/>
          <w:szCs w:val="30"/>
        </w:rPr>
        <w:t>项目编号：</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Start w:id="98" w:name="_Toc2916"/>
      <w:bookmarkStart w:id="99" w:name="_Toc40346217"/>
      <w:bookmarkStart w:id="100" w:name="_Toc1743"/>
      <w:bookmarkStart w:id="101" w:name="_Toc20884"/>
      <w:bookmarkStart w:id="102" w:name="_Toc40776112"/>
      <w:bookmarkStart w:id="103" w:name="_Toc40346376"/>
      <w:bookmarkStart w:id="104" w:name="_Toc27997"/>
      <w:bookmarkStart w:id="105" w:name="_Toc17709"/>
    </w:p>
    <w:p>
      <w:pPr>
        <w:widowControl/>
        <w:spacing w:line="360" w:lineRule="auto"/>
        <w:ind w:firstLine="600"/>
        <w:outlineLvl w:val="0"/>
        <w:rPr>
          <w:rFonts w:cs="宋体"/>
          <w:kern w:val="0"/>
          <w:sz w:val="30"/>
          <w:szCs w:val="30"/>
        </w:rPr>
      </w:pPr>
      <w:bookmarkStart w:id="106" w:name="_Toc29102"/>
      <w:bookmarkStart w:id="107" w:name="_Toc5238"/>
      <w:bookmarkStart w:id="108" w:name="_Toc6490"/>
      <w:bookmarkStart w:id="109" w:name="_Toc2012"/>
      <w:bookmarkStart w:id="110" w:name="_Toc11485"/>
      <w:bookmarkStart w:id="111" w:name="_Toc31538"/>
      <w:bookmarkStart w:id="112" w:name="_Toc23992"/>
      <w:bookmarkStart w:id="113" w:name="_Toc23097"/>
      <w:bookmarkStart w:id="114" w:name="_Toc30979"/>
      <w:bookmarkStart w:id="115" w:name="_Toc2029"/>
      <w:bookmarkStart w:id="116" w:name="_Toc19699"/>
      <w:r>
        <w:rPr>
          <w:rFonts w:ascii="宋体" w:hAnsi="宋体" w:cs="宋体"/>
          <w:kern w:val="0"/>
          <w:sz w:val="30"/>
          <w:szCs w:val="30"/>
        </w:rPr>
        <w:t>公司名称：</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widowControl/>
        <w:spacing w:line="360" w:lineRule="auto"/>
        <w:ind w:firstLine="600"/>
        <w:outlineLvl w:val="0"/>
        <w:rPr>
          <w:rFonts w:cs="宋体"/>
          <w:kern w:val="0"/>
          <w:sz w:val="30"/>
          <w:szCs w:val="30"/>
        </w:rPr>
      </w:pPr>
      <w:bookmarkStart w:id="117" w:name="_Toc40346377"/>
      <w:bookmarkStart w:id="118" w:name="_Toc31993"/>
      <w:bookmarkStart w:id="119" w:name="_Toc24763"/>
      <w:bookmarkStart w:id="120" w:name="_Toc7052"/>
      <w:bookmarkStart w:id="121" w:name="_Toc11141"/>
      <w:bookmarkStart w:id="122" w:name="_Toc12645"/>
      <w:bookmarkStart w:id="123" w:name="_Toc40346218"/>
      <w:bookmarkStart w:id="124" w:name="_Toc40776113"/>
      <w:bookmarkStart w:id="125" w:name="_Toc17930"/>
      <w:bookmarkStart w:id="126" w:name="_Toc4013"/>
      <w:bookmarkStart w:id="127" w:name="_Toc11558"/>
      <w:bookmarkStart w:id="128" w:name="_Toc14824"/>
      <w:bookmarkStart w:id="129" w:name="_Toc21483"/>
      <w:bookmarkStart w:id="130" w:name="_Toc12113"/>
      <w:bookmarkStart w:id="131" w:name="_Toc27867"/>
      <w:bookmarkStart w:id="132" w:name="_Toc16794"/>
      <w:bookmarkStart w:id="133" w:name="_Toc29767"/>
      <w:bookmarkStart w:id="134" w:name="_Toc32536"/>
      <w:bookmarkStart w:id="135" w:name="_Toc28064"/>
      <w:r>
        <w:rPr>
          <w:rFonts w:ascii="宋体" w:hAnsi="宋体" w:cs="宋体"/>
          <w:kern w:val="0"/>
          <w:sz w:val="30"/>
          <w:szCs w:val="30"/>
        </w:rPr>
        <w:t>业务代表：</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widowControl/>
        <w:spacing w:line="360" w:lineRule="auto"/>
        <w:ind w:firstLine="600"/>
        <w:outlineLvl w:val="0"/>
        <w:rPr>
          <w:rFonts w:cs="宋体"/>
          <w:kern w:val="0"/>
          <w:sz w:val="30"/>
          <w:szCs w:val="30"/>
        </w:rPr>
      </w:pPr>
      <w:bookmarkStart w:id="136" w:name="_Toc9883"/>
      <w:bookmarkStart w:id="137" w:name="_Toc40346378"/>
      <w:bookmarkStart w:id="138" w:name="_Toc4563"/>
      <w:bookmarkStart w:id="139" w:name="_Toc40346219"/>
      <w:bookmarkStart w:id="140" w:name="_Toc31197"/>
      <w:bookmarkStart w:id="141" w:name="_Toc25370"/>
      <w:bookmarkStart w:id="142" w:name="_Toc3789"/>
      <w:bookmarkStart w:id="143" w:name="_Toc19831"/>
      <w:bookmarkStart w:id="144" w:name="_Toc24651"/>
      <w:bookmarkStart w:id="145" w:name="_Toc11334"/>
      <w:bookmarkStart w:id="146" w:name="_Toc32709"/>
      <w:bookmarkStart w:id="147" w:name="_Toc1324"/>
      <w:bookmarkStart w:id="148" w:name="_Toc40776114"/>
      <w:bookmarkStart w:id="149" w:name="_Toc26029"/>
      <w:bookmarkStart w:id="150" w:name="_Toc16813"/>
      <w:bookmarkStart w:id="151" w:name="_Toc14287"/>
      <w:bookmarkStart w:id="152" w:name="_Toc27771"/>
      <w:bookmarkStart w:id="153" w:name="_Toc6438"/>
      <w:bookmarkStart w:id="154" w:name="_Toc17537"/>
      <w:r>
        <w:rPr>
          <w:rFonts w:ascii="宋体" w:hAnsi="宋体" w:cs="宋体"/>
          <w:kern w:val="0"/>
          <w:sz w:val="30"/>
          <w:szCs w:val="30"/>
        </w:rPr>
        <w:t>联系电话：</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widowControl/>
        <w:spacing w:line="360" w:lineRule="auto"/>
        <w:ind w:firstLine="600"/>
        <w:outlineLvl w:val="0"/>
        <w:rPr>
          <w:rFonts w:cs="宋体"/>
          <w:kern w:val="0"/>
          <w:sz w:val="30"/>
          <w:szCs w:val="30"/>
        </w:rPr>
      </w:pPr>
      <w:bookmarkStart w:id="155" w:name="_Toc12650"/>
      <w:bookmarkStart w:id="156" w:name="_Toc21686"/>
      <w:bookmarkStart w:id="157" w:name="_Toc19057"/>
      <w:bookmarkStart w:id="158" w:name="_Toc18353"/>
      <w:bookmarkStart w:id="159" w:name="_Toc27868"/>
      <w:bookmarkStart w:id="160" w:name="_Toc5634"/>
      <w:bookmarkStart w:id="161" w:name="_Toc3895"/>
      <w:bookmarkStart w:id="162" w:name="_Toc40346379"/>
      <w:bookmarkStart w:id="163" w:name="_Toc30336"/>
      <w:bookmarkStart w:id="164" w:name="_Toc19732"/>
      <w:bookmarkStart w:id="165" w:name="_Toc40346220"/>
      <w:bookmarkStart w:id="166" w:name="_Toc40776115"/>
      <w:bookmarkStart w:id="167" w:name="_Toc17483"/>
      <w:bookmarkStart w:id="168" w:name="_Toc27206"/>
      <w:bookmarkStart w:id="169" w:name="_Toc5189"/>
      <w:bookmarkStart w:id="170" w:name="_Toc21940"/>
      <w:bookmarkStart w:id="171" w:name="_Toc20994"/>
      <w:bookmarkStart w:id="172" w:name="_Toc13222"/>
      <w:bookmarkStart w:id="173" w:name="_Toc14586"/>
      <w:r>
        <w:rPr>
          <w:rFonts w:ascii="宋体" w:hAnsi="宋体" w:cs="宋体"/>
          <w:kern w:val="0"/>
          <w:sz w:val="30"/>
          <w:szCs w:val="30"/>
        </w:rPr>
        <w:t>联系邮箱：</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widowControl/>
        <w:spacing w:line="360" w:lineRule="auto"/>
        <w:ind w:firstLine="600"/>
        <w:outlineLvl w:val="0"/>
        <w:rPr>
          <w:rFonts w:cs="宋体"/>
          <w:kern w:val="0"/>
          <w:sz w:val="30"/>
          <w:szCs w:val="30"/>
        </w:rPr>
      </w:pPr>
      <w:bookmarkStart w:id="174" w:name="_Toc30856"/>
      <w:bookmarkStart w:id="175" w:name="_Toc22276"/>
      <w:bookmarkStart w:id="176" w:name="_Toc40346380"/>
      <w:bookmarkStart w:id="177" w:name="_Toc40346221"/>
      <w:bookmarkStart w:id="178" w:name="_Toc27646"/>
      <w:bookmarkStart w:id="179" w:name="_Toc8526"/>
      <w:bookmarkStart w:id="180" w:name="_Toc21449"/>
      <w:bookmarkStart w:id="181" w:name="_Toc40776116"/>
      <w:bookmarkStart w:id="182" w:name="_Toc30904"/>
      <w:bookmarkStart w:id="183" w:name="_Toc3498"/>
      <w:bookmarkStart w:id="184" w:name="_Toc31102"/>
      <w:bookmarkStart w:id="185" w:name="_Toc10454"/>
      <w:bookmarkStart w:id="186" w:name="_Toc14462"/>
      <w:bookmarkStart w:id="187" w:name="_Toc27009"/>
      <w:bookmarkStart w:id="188" w:name="_Toc11547"/>
      <w:bookmarkStart w:id="189" w:name="_Toc32371"/>
      <w:bookmarkStart w:id="190" w:name="_Toc12127"/>
      <w:bookmarkStart w:id="191" w:name="_Toc5220"/>
      <w:bookmarkStart w:id="192" w:name="_Toc9282"/>
      <w:r>
        <w:rPr>
          <w:rFonts w:ascii="宋体" w:hAnsi="宋体" w:cs="宋体"/>
          <w:kern w:val="0"/>
          <w:sz w:val="30"/>
          <w:szCs w:val="30"/>
        </w:rPr>
        <w:t>日    期：</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bookmarkEnd w:id="65"/>
    <w:bookmarkEnd w:id="66"/>
    <w:bookmarkEnd w:id="67"/>
    <w:bookmarkEnd w:id="68"/>
    <w:bookmarkEnd w:id="69"/>
    <w:bookmarkEnd w:id="70"/>
    <w:bookmarkEnd w:id="71"/>
    <w:bookmarkEnd w:id="72"/>
    <w:bookmarkEnd w:id="73"/>
    <w:bookmarkEnd w:id="74"/>
    <w:bookmarkEnd w:id="75"/>
    <w:bookmarkEnd w:id="76"/>
    <w:bookmarkEnd w:id="77"/>
    <w:bookmarkEnd w:id="78"/>
    <w:p>
      <w:pPr>
        <w:pStyle w:val="25"/>
        <w:jc w:val="center"/>
        <w:rPr>
          <w:b/>
          <w:bCs/>
          <w:sz w:val="30"/>
          <w:szCs w:val="30"/>
        </w:rPr>
      </w:pPr>
      <w:bookmarkStart w:id="193" w:name="_Toc31006"/>
      <w:bookmarkStart w:id="194" w:name="_Toc6985"/>
      <w:bookmarkStart w:id="195" w:name="_Toc24584"/>
      <w:bookmarkStart w:id="196" w:name="_Toc27920"/>
      <w:r>
        <w:rPr>
          <w:rFonts w:hint="eastAsia"/>
          <w:b/>
          <w:bCs/>
          <w:sz w:val="30"/>
          <w:szCs w:val="30"/>
        </w:rPr>
        <w:t>目  录</w:t>
      </w:r>
      <w:bookmarkEnd w:id="193"/>
      <w:bookmarkEnd w:id="194"/>
      <w:bookmarkEnd w:id="195"/>
      <w:bookmarkEnd w:id="196"/>
    </w:p>
    <w:tbl>
      <w:tblPr>
        <w:tblStyle w:val="19"/>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ascii="宋体" w:hAnsi="宋体"/>
                <w:sz w:val="21"/>
                <w:szCs w:val="21"/>
              </w:rPr>
            </w:pPr>
            <w:r>
              <w:rPr>
                <w:rFonts w:hint="eastAsia" w:ascii="宋体" w:hAnsi="宋体" w:eastAsia="宋体" w:cs="宋体"/>
                <w:kern w:val="0"/>
                <w:sz w:val="21"/>
                <w:szCs w:val="21"/>
                <w:lang w:val="en-US" w:eastAsia="zh-CN" w:bidi="ar-SA"/>
              </w:rPr>
              <w:t>参加本次采购活动前三年内，在经营活动中没有重大违法记录。</w:t>
            </w:r>
            <w:r>
              <w:rPr>
                <w:rFonts w:hint="eastAsia" w:ascii="宋体" w:hAnsi="宋体" w:eastAsia="宋体" w:cs="宋体"/>
                <w:b/>
                <w:bCs/>
                <w:kern w:val="0"/>
                <w:sz w:val="21"/>
                <w:szCs w:val="21"/>
                <w:lang w:val="en-US" w:eastAsia="zh-CN" w:bidi="ar-SA"/>
              </w:rPr>
              <w:t>需提供承诺函，格式自拟，并加盖供应商公章。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8</w:t>
            </w:r>
          </w:p>
        </w:tc>
        <w:tc>
          <w:tcPr>
            <w:tcW w:w="8272" w:type="dxa"/>
            <w:tcBorders>
              <w:top w:val="single" w:color="000000" w:sz="4" w:space="0"/>
              <w:left w:val="nil"/>
              <w:bottom w:val="single" w:color="000000" w:sz="4" w:space="0"/>
              <w:right w:val="single" w:color="000000" w:sz="4" w:space="0"/>
            </w:tcBorders>
            <w:vAlign w:val="center"/>
          </w:tcPr>
          <w:p>
            <w:pPr>
              <w:pStyle w:val="28"/>
              <w:spacing w:line="240" w:lineRule="exact"/>
              <w:ind w:firstLine="0" w:firstLineChars="0"/>
              <w:rPr>
                <w:rFonts w:ascii="宋体" w:hAnsi="宋体"/>
                <w:sz w:val="21"/>
                <w:szCs w:val="21"/>
              </w:rPr>
            </w:pPr>
            <w:r>
              <w:rPr>
                <w:rFonts w:hint="eastAsia" w:ascii="宋体" w:hAnsi="宋体"/>
                <w:sz w:val="21"/>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9</w:t>
            </w:r>
          </w:p>
        </w:tc>
        <w:tc>
          <w:tcPr>
            <w:tcW w:w="8272" w:type="dxa"/>
            <w:tcBorders>
              <w:top w:val="single" w:color="000000" w:sz="4" w:space="0"/>
              <w:left w:val="nil"/>
              <w:bottom w:val="single" w:color="000000" w:sz="4" w:space="0"/>
              <w:right w:val="single" w:color="000000" w:sz="4" w:space="0"/>
            </w:tcBorders>
            <w:vAlign w:val="center"/>
          </w:tcPr>
          <w:p>
            <w:pPr>
              <w:pStyle w:val="28"/>
              <w:keepNext w:val="0"/>
              <w:keepLines w:val="0"/>
              <w:pageBreakBefore w:val="0"/>
              <w:kinsoku/>
              <w:wordWrap/>
              <w:overflowPunct/>
              <w:topLinePunct w:val="0"/>
              <w:autoSpaceDE/>
              <w:autoSpaceDN/>
              <w:bidi w:val="0"/>
              <w:spacing w:line="240" w:lineRule="auto"/>
              <w:ind w:left="0" w:leftChars="0" w:firstLine="0" w:firstLineChars="0"/>
              <w:jc w:val="left"/>
              <w:textAlignment w:val="auto"/>
              <w:rPr>
                <w:rFonts w:hint="eastAsia"/>
                <w:sz w:val="21"/>
                <w:szCs w:val="21"/>
              </w:rPr>
            </w:pPr>
            <w:r>
              <w:rPr>
                <w:rFonts w:hint="eastAsia" w:ascii="宋体" w:hAnsi="宋体"/>
                <w:sz w:val="21"/>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10</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atLeast"/>
              <w:textAlignment w:val="auto"/>
              <w:rPr>
                <w:rFonts w:ascii="宋体" w:hAnsi="宋体"/>
                <w:sz w:val="21"/>
                <w:szCs w:val="21"/>
              </w:rPr>
            </w:pPr>
            <w:r>
              <w:rPr>
                <w:rFonts w:hint="eastAsia" w:ascii="宋体" w:hAnsi="宋体" w:eastAsia="宋体" w:cs="宋体"/>
                <w:kern w:val="0"/>
                <w:sz w:val="21"/>
                <w:szCs w:val="21"/>
                <w:lang w:val="en-US" w:eastAsia="zh-CN" w:bidi="ar-SA"/>
              </w:rPr>
              <w:t>项目实施方案</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11</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hint="eastAsia" w:ascii="宋体" w:hAnsi="宋体" w:eastAsia="宋体"/>
                <w:sz w:val="21"/>
                <w:szCs w:val="21"/>
                <w:lang w:eastAsia="zh-CN"/>
              </w:rPr>
            </w:pPr>
            <w:r>
              <w:rPr>
                <w:rFonts w:hint="eastAsia" w:ascii="宋体" w:hAnsi="宋体"/>
                <w:sz w:val="21"/>
                <w:szCs w:val="21"/>
                <w:lang w:eastAsia="zh-CN"/>
              </w:rPr>
              <w:t>项目技术参数</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12</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jc w:val="left"/>
              <w:rPr>
                <w:sz w:val="21"/>
                <w:szCs w:val="21"/>
                <w:lang w:val="zh-CN"/>
              </w:rPr>
            </w:pPr>
            <w:r>
              <w:rPr>
                <w:rFonts w:hint="eastAsia"/>
                <w:sz w:val="21"/>
                <w:szCs w:val="21"/>
                <w:lang w:val="zh-CN"/>
              </w:rPr>
              <w:t>项目售后服务</w:t>
            </w:r>
            <w:r>
              <w:rPr>
                <w:rFonts w:hint="eastAsia" w:ascii="宋体" w:hAnsi="宋体"/>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13</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jc w:val="left"/>
              <w:rPr>
                <w:strike/>
                <w:color w:val="0000FF"/>
                <w:sz w:val="21"/>
                <w:szCs w:val="21"/>
              </w:rPr>
            </w:pPr>
            <w:r>
              <w:rPr>
                <w:rFonts w:hint="eastAsia" w:ascii="宋体" w:hAnsi="宋体"/>
                <w:sz w:val="21"/>
                <w:szCs w:val="21"/>
              </w:rPr>
              <w:t>2021年</w:t>
            </w:r>
            <w:r>
              <w:rPr>
                <w:rFonts w:hint="eastAsia" w:ascii="宋体" w:hAnsi="宋体"/>
                <w:sz w:val="21"/>
                <w:szCs w:val="21"/>
                <w:lang w:val="en-US" w:eastAsia="zh-CN"/>
              </w:rPr>
              <w:t>1月1日</w:t>
            </w:r>
            <w:r>
              <w:rPr>
                <w:rFonts w:hint="eastAsia" w:ascii="宋体" w:hAnsi="宋体"/>
                <w:sz w:val="21"/>
                <w:szCs w:val="21"/>
              </w:rPr>
              <w:t>至今同类项目的业绩用户名单（需提供合同关键页复印件或中标通知书复印件，并加盖供应商公章）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14</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 w:val="21"/>
                <w:szCs w:val="21"/>
              </w:rPr>
            </w:pPr>
            <w:r>
              <w:rPr>
                <w:rFonts w:hint="eastAsia" w:ascii="宋体" w:hAnsi="宋体"/>
                <w:bCs/>
                <w:sz w:val="21"/>
                <w:szCs w:val="21"/>
              </w:rPr>
              <w:t>15</w:t>
            </w:r>
          </w:p>
        </w:tc>
        <w:tc>
          <w:tcPr>
            <w:tcW w:w="8272" w:type="dxa"/>
            <w:tcBorders>
              <w:top w:val="single" w:color="000000" w:sz="4" w:space="0"/>
              <w:left w:val="nil"/>
              <w:bottom w:val="single" w:color="000000" w:sz="4" w:space="0"/>
              <w:right w:val="single" w:color="000000" w:sz="4" w:space="0"/>
            </w:tcBorders>
            <w:vAlign w:val="center"/>
          </w:tcPr>
          <w:p>
            <w:pPr>
              <w:pStyle w:val="28"/>
              <w:ind w:firstLine="0" w:firstLineChars="0"/>
              <w:rPr>
                <w:rFonts w:ascii="宋体" w:hAnsi="宋体"/>
                <w:sz w:val="21"/>
                <w:szCs w:val="21"/>
                <w:lang w:val="zh-CN"/>
              </w:rPr>
            </w:pPr>
            <w:r>
              <w:rPr>
                <w:rFonts w:hint="eastAsia" w:ascii="宋体" w:hAnsi="宋体"/>
                <w:sz w:val="21"/>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auto" w:sz="4" w:space="0"/>
              <w:right w:val="single" w:color="000000" w:sz="4" w:space="0"/>
            </w:tcBorders>
            <w:vAlign w:val="center"/>
          </w:tcPr>
          <w:p>
            <w:pPr>
              <w:pStyle w:val="28"/>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16</w:t>
            </w:r>
          </w:p>
        </w:tc>
        <w:tc>
          <w:tcPr>
            <w:tcW w:w="8272" w:type="dxa"/>
            <w:tcBorders>
              <w:top w:val="single" w:color="000000" w:sz="4" w:space="0"/>
              <w:left w:val="nil"/>
              <w:bottom w:val="single" w:color="auto" w:sz="4" w:space="0"/>
              <w:right w:val="single" w:color="000000" w:sz="4" w:space="0"/>
            </w:tcBorders>
            <w:vAlign w:val="center"/>
          </w:tcPr>
          <w:p>
            <w:pPr>
              <w:pStyle w:val="28"/>
              <w:ind w:firstLine="0" w:firstLineChars="0"/>
              <w:rPr>
                <w:rFonts w:ascii="宋体" w:hAnsi="宋体"/>
                <w:sz w:val="21"/>
                <w:szCs w:val="21"/>
              </w:rPr>
            </w:pPr>
            <w:r>
              <w:rPr>
                <w:rFonts w:hint="eastAsia" w:ascii="宋体" w:hAnsi="宋体"/>
                <w:sz w:val="21"/>
                <w:szCs w:val="21"/>
              </w:rPr>
              <w:t>公司认为需补充的相关资格文件或证明（格式自拟）</w:t>
            </w:r>
          </w:p>
        </w:tc>
        <w:tc>
          <w:tcPr>
            <w:tcW w:w="1824" w:type="dxa"/>
            <w:tcBorders>
              <w:top w:val="single" w:color="000000" w:sz="4" w:space="0"/>
              <w:left w:val="nil"/>
              <w:bottom w:val="single" w:color="auto"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bl>
    <w:p>
      <w:pPr>
        <w:widowControl/>
        <w:spacing w:line="360" w:lineRule="auto"/>
        <w:jc w:val="left"/>
        <w:rPr>
          <w:rFonts w:ascii="仿宋" w:hAnsi="仿宋" w:eastAsia="仿宋" w:cs="宋体"/>
          <w:b/>
          <w:kern w:val="0"/>
          <w:sz w:val="24"/>
          <w:szCs w:val="32"/>
        </w:rPr>
      </w:pPr>
      <w:bookmarkStart w:id="197" w:name="_Toc21936"/>
      <w:bookmarkStart w:id="198" w:name="_Toc11232"/>
      <w:bookmarkStart w:id="199" w:name="_Toc24508"/>
      <w:bookmarkStart w:id="200" w:name="_Toc562"/>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p>
      <w:pPr>
        <w:pStyle w:val="8"/>
        <w:rPr>
          <w:rFonts w:ascii="仿宋" w:hAnsi="仿宋" w:eastAsia="仿宋" w:cs="宋体"/>
          <w:b/>
          <w:kern w:val="0"/>
          <w:sz w:val="24"/>
          <w:szCs w:val="32"/>
        </w:rPr>
      </w:pPr>
    </w:p>
    <w:bookmarkEnd w:id="197"/>
    <w:bookmarkEnd w:id="198"/>
    <w:bookmarkEnd w:id="199"/>
    <w:bookmarkEnd w:id="200"/>
    <w:p>
      <w:pPr>
        <w:pStyle w:val="29"/>
        <w:tabs>
          <w:tab w:val="left" w:pos="1050"/>
          <w:tab w:val="center" w:pos="4535"/>
        </w:tabs>
        <w:jc w:val="center"/>
        <w:outlineLvl w:val="0"/>
        <w:rPr>
          <w:b/>
          <w:bCs/>
          <w:szCs w:val="21"/>
        </w:rPr>
      </w:pPr>
      <w:bookmarkStart w:id="201" w:name="_Toc8481"/>
      <w:bookmarkStart w:id="202" w:name="_Toc20065"/>
      <w:bookmarkStart w:id="203" w:name="_Toc10605"/>
      <w:bookmarkStart w:id="204" w:name="_Toc31804"/>
      <w:bookmarkStart w:id="205" w:name="_Toc24565"/>
      <w:bookmarkStart w:id="206" w:name="_Toc31025"/>
      <w:bookmarkStart w:id="207" w:name="_Toc29101"/>
      <w:bookmarkStart w:id="208" w:name="_Toc10771"/>
      <w:bookmarkStart w:id="209" w:name="_Toc11212"/>
      <w:bookmarkStart w:id="210" w:name="_Toc9683"/>
      <w:bookmarkStart w:id="211" w:name="_Toc17219"/>
      <w:bookmarkStart w:id="212" w:name="_Toc25102"/>
      <w:bookmarkStart w:id="213" w:name="_Toc28877"/>
      <w:bookmarkStart w:id="214" w:name="_Toc26391"/>
      <w:bookmarkStart w:id="215" w:name="_Toc20169"/>
      <w:r>
        <w:rPr>
          <w:rFonts w:hint="eastAsia"/>
          <w:b/>
          <w:bCs/>
        </w:rPr>
        <w:t>用户需求偏离表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6" w:name="_Toc6232"/>
      <w:bookmarkStart w:id="217" w:name="_Toc10398"/>
      <w:bookmarkStart w:id="218" w:name="_Toc7019"/>
      <w:bookmarkStart w:id="219" w:name="_Toc24550"/>
      <w:bookmarkStart w:id="220" w:name="_Toc24286"/>
      <w:bookmarkStart w:id="221" w:name="_Toc15079"/>
      <w:bookmarkStart w:id="222" w:name="_Toc32295"/>
    </w:p>
    <w:p>
      <w:pPr>
        <w:spacing w:line="360" w:lineRule="auto"/>
        <w:ind w:left="420" w:firstLine="241" w:firstLineChars="100"/>
        <w:rPr>
          <w:rFonts w:ascii="宋体" w:hAnsi="宋体" w:cs="宋体"/>
          <w:b/>
          <w:bCs/>
          <w:sz w:val="24"/>
        </w:rPr>
      </w:pPr>
      <w:bookmarkStart w:id="223" w:name="_Toc31638"/>
      <w:bookmarkStart w:id="224" w:name="_Toc1548"/>
      <w:bookmarkStart w:id="225" w:name="_Toc14009"/>
      <w:bookmarkStart w:id="226" w:name="_Toc13551"/>
      <w:bookmarkStart w:id="227" w:name="_Toc17416"/>
      <w:bookmarkStart w:id="228" w:name="_Toc21905"/>
      <w:r>
        <w:rPr>
          <w:rFonts w:hint="eastAsia" w:ascii="宋体" w:hAnsi="宋体" w:cs="宋体"/>
          <w:b/>
          <w:bCs/>
          <w:sz w:val="24"/>
        </w:rPr>
        <w:t>一、</w:t>
      </w:r>
      <w:bookmarkEnd w:id="223"/>
      <w:bookmarkEnd w:id="224"/>
      <w:bookmarkEnd w:id="225"/>
      <w:bookmarkEnd w:id="226"/>
      <w:bookmarkEnd w:id="227"/>
      <w:bookmarkEnd w:id="228"/>
      <w:r>
        <w:rPr>
          <w:rFonts w:hint="eastAsia"/>
          <w:b/>
          <w:bCs/>
          <w:sz w:val="24"/>
        </w:rPr>
        <w:t>项目概况</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ind w:firstLine="482" w:firstLineChars="200"/>
        <w:rPr>
          <w:rFonts w:ascii="宋体" w:hAnsi="宋体" w:cs="宋体"/>
          <w:b/>
          <w:bCs/>
          <w:color w:val="0000FF"/>
          <w:sz w:val="24"/>
        </w:rPr>
      </w:pPr>
    </w:p>
    <w:p>
      <w:pPr>
        <w:spacing w:line="400" w:lineRule="exact"/>
        <w:ind w:firstLine="420"/>
        <w:rPr>
          <w:rFonts w:hint="eastAsia" w:ascii="宋体" w:hAnsi="宋体" w:eastAsia="宋体" w:cs="宋体"/>
          <w:b/>
          <w:bCs/>
          <w:sz w:val="24"/>
          <w:lang w:val="en-US" w:eastAsia="zh-CN"/>
        </w:rPr>
      </w:pPr>
      <w:r>
        <w:rPr>
          <w:rFonts w:hint="eastAsia"/>
          <w:b/>
          <w:bCs/>
          <w:sz w:val="24"/>
        </w:rPr>
        <w:t>二、</w:t>
      </w:r>
      <w:r>
        <w:rPr>
          <w:rFonts w:hint="eastAsia"/>
          <w:b/>
          <w:bCs/>
          <w:sz w:val="24"/>
          <w:lang w:eastAsia="zh-CN"/>
        </w:rPr>
        <w:t>技术要求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adjustRightInd w:val="0"/>
        <w:snapToGrid w:val="0"/>
        <w:spacing w:line="400" w:lineRule="exact"/>
        <w:rPr>
          <w:rFonts w:ascii="宋体" w:hAnsi="宋体" w:cs="宋体"/>
          <w:b/>
          <w:bCs/>
          <w:color w:val="0000FF"/>
          <w:sz w:val="24"/>
        </w:rPr>
      </w:pPr>
    </w:p>
    <w:p>
      <w:pPr>
        <w:spacing w:line="360" w:lineRule="auto"/>
        <w:ind w:left="420" w:firstLine="241" w:firstLineChars="100"/>
        <w:rPr>
          <w:rFonts w:hint="eastAsia" w:eastAsia="宋体" w:asciiTheme="majorEastAsia" w:hAnsiTheme="majorEastAsia"/>
          <w:b/>
          <w:sz w:val="22"/>
          <w:lang w:eastAsia="zh-CN"/>
        </w:rPr>
      </w:pPr>
      <w:r>
        <w:rPr>
          <w:rFonts w:hint="eastAsia" w:ascii="宋体" w:hAnsi="宋体" w:cs="宋体"/>
          <w:b/>
          <w:bCs/>
          <w:sz w:val="24"/>
        </w:rPr>
        <w:t>三、</w:t>
      </w:r>
      <w:r>
        <w:rPr>
          <w:rFonts w:hint="eastAsia" w:ascii="宋体" w:hAnsi="宋体" w:cs="宋体"/>
          <w:b/>
          <w:bCs/>
          <w:sz w:val="24"/>
          <w:lang w:eastAsia="zh-CN"/>
        </w:rPr>
        <w:t>商务要求</w:t>
      </w:r>
    </w:p>
    <w:bookmarkEnd w:id="216"/>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29" w:name="_Toc19330"/>
      <w:bookmarkStart w:id="230" w:name="_Toc16131"/>
      <w:bookmarkStart w:id="231" w:name="_Toc26114"/>
      <w:bookmarkStart w:id="232" w:name="_Toc28342"/>
      <w:bookmarkStart w:id="233" w:name="_Toc14718"/>
      <w:bookmarkStart w:id="234" w:name="_Toc15903"/>
      <w:bookmarkStart w:id="235" w:name="_Toc31897"/>
    </w:p>
    <w:p>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rPr>
        <w:t>四、</w:t>
      </w:r>
      <w:bookmarkEnd w:id="217"/>
      <w:bookmarkEnd w:id="218"/>
      <w:bookmarkEnd w:id="219"/>
      <w:bookmarkEnd w:id="220"/>
      <w:bookmarkEnd w:id="221"/>
      <w:bookmarkEnd w:id="222"/>
      <w:bookmarkEnd w:id="229"/>
      <w:bookmarkEnd w:id="230"/>
      <w:bookmarkEnd w:id="231"/>
      <w:bookmarkEnd w:id="232"/>
      <w:bookmarkEnd w:id="233"/>
      <w:bookmarkEnd w:id="234"/>
      <w:bookmarkEnd w:id="235"/>
      <w:r>
        <w:rPr>
          <w:rFonts w:hint="eastAsia" w:ascii="宋体" w:hAnsi="宋体" w:cs="宋体"/>
          <w:b/>
          <w:bCs/>
          <w:color w:val="000000"/>
          <w:sz w:val="24"/>
          <w:lang w:eastAsia="zh-CN"/>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9"/>
        <w:rPr>
          <w:rFonts w:asciiTheme="majorEastAsia" w:hAnsiTheme="majorEastAsia" w:eastAsiaTheme="majorEastAsia"/>
          <w:b/>
          <w:bCs/>
          <w:sz w:val="22"/>
        </w:rPr>
      </w:pPr>
    </w:p>
    <w:p>
      <w:pPr>
        <w:adjustRightInd w:val="0"/>
        <w:snapToGrid w:val="0"/>
        <w:spacing w:line="400" w:lineRule="exact"/>
        <w:ind w:firstLine="723" w:firstLineChars="300"/>
        <w:rPr>
          <w:rFonts w:hint="eastAsia" w:ascii="宋体" w:hAnsi="宋体" w:eastAsia="宋体" w:cs="宋体"/>
          <w:b/>
          <w:bCs/>
          <w:sz w:val="24"/>
          <w:lang w:eastAsia="zh-CN"/>
        </w:rPr>
      </w:pPr>
      <w:r>
        <w:rPr>
          <w:rFonts w:hint="eastAsia" w:ascii="宋体" w:hAnsi="宋体" w:cs="宋体"/>
          <w:b/>
          <w:bCs/>
          <w:sz w:val="24"/>
          <w:lang w:eastAsia="zh-CN"/>
        </w:rPr>
        <w:t>五</w:t>
      </w:r>
      <w:r>
        <w:rPr>
          <w:rFonts w:hint="eastAsia" w:ascii="宋体" w:hAnsi="宋体" w:cs="宋体"/>
          <w:b/>
          <w:bCs/>
          <w:sz w:val="24"/>
        </w:rPr>
        <w:t>、</w:t>
      </w:r>
      <w:r>
        <w:rPr>
          <w:rFonts w:hint="eastAsia" w:ascii="宋体" w:hAnsi="宋体" w:cs="宋体"/>
          <w:b/>
          <w:bCs/>
          <w:color w:val="000000"/>
          <w:sz w:val="24"/>
          <w:lang w:eastAsia="zh-CN"/>
        </w:rPr>
        <w:t>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4"/>
        <w:outlineLvl w:val="9"/>
        <w:sectPr>
          <w:pgSz w:w="11906" w:h="16838"/>
          <w:pgMar w:top="850" w:right="454" w:bottom="850" w:left="454" w:header="851" w:footer="992" w:gutter="0"/>
          <w:pgNumType w:fmt="decimal"/>
          <w:cols w:space="720" w:num="1"/>
          <w:docGrid w:linePitch="312" w:charSpace="0"/>
        </w:sectPr>
      </w:pPr>
    </w:p>
    <w:p>
      <w:pPr>
        <w:pStyle w:val="25"/>
        <w:spacing w:line="360" w:lineRule="auto"/>
        <w:ind w:firstLine="602" w:firstLineChars="200"/>
        <w:jc w:val="center"/>
        <w:outlineLvl w:val="0"/>
        <w:rPr>
          <w:rFonts w:ascii="仿宋" w:hAnsi="仿宋" w:eastAsia="仿宋" w:cs="宋体"/>
          <w:b/>
          <w:kern w:val="0"/>
          <w:sz w:val="30"/>
          <w:szCs w:val="30"/>
        </w:rPr>
      </w:pPr>
      <w:bookmarkStart w:id="236" w:name="_Toc25540"/>
      <w:bookmarkStart w:id="237" w:name="_Toc28851"/>
      <w:bookmarkStart w:id="238" w:name="_Toc6214"/>
      <w:bookmarkStart w:id="239" w:name="_Toc21213"/>
      <w:bookmarkStart w:id="240" w:name="_Toc31077"/>
      <w:bookmarkStart w:id="241" w:name="_Toc21561"/>
      <w:bookmarkStart w:id="242" w:name="_Toc31674"/>
      <w:r>
        <w:rPr>
          <w:rFonts w:hint="eastAsia" w:ascii="仿宋" w:hAnsi="仿宋" w:eastAsia="仿宋" w:cs="宋体"/>
          <w:b/>
          <w:kern w:val="0"/>
          <w:sz w:val="30"/>
          <w:szCs w:val="30"/>
        </w:rPr>
        <w:t>报价单</w:t>
      </w:r>
      <w:bookmarkEnd w:id="236"/>
    </w:p>
    <w:tbl>
      <w:tblPr>
        <w:tblStyle w:val="19"/>
        <w:tblW w:w="5171" w:type="pct"/>
        <w:tblInd w:w="-26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5471"/>
        <w:gridCol w:w="203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trPr>
        <w:tc>
          <w:tcPr>
            <w:tcW w:w="1245" w:type="pct"/>
            <w:tcBorders>
              <w:bottom w:val="single" w:color="000000" w:sz="4" w:space="0"/>
              <w:right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b/>
                <w:bCs/>
                <w:sz w:val="24"/>
                <w:lang w:val="zh-CN"/>
              </w:rPr>
              <w:t>内容</w:t>
            </w:r>
          </w:p>
        </w:tc>
        <w:tc>
          <w:tcPr>
            <w:tcW w:w="2735" w:type="pct"/>
            <w:tcBorders>
              <w:left w:val="single" w:color="000000" w:sz="4" w:space="0"/>
              <w:bottom w:val="single" w:color="000000" w:sz="4" w:space="0"/>
            </w:tcBorders>
            <w:vAlign w:val="center"/>
          </w:tcPr>
          <w:p>
            <w:pPr>
              <w:spacing w:line="365" w:lineRule="auto"/>
              <w:ind w:right="221"/>
              <w:jc w:val="center"/>
              <w:rPr>
                <w:rFonts w:ascii="宋体" w:hAnsi="宋体"/>
                <w:b/>
                <w:bCs/>
                <w:sz w:val="24"/>
                <w:lang w:val="zh-CN"/>
              </w:rPr>
            </w:pPr>
            <w:r>
              <w:rPr>
                <w:rFonts w:hint="eastAsia" w:ascii="宋体" w:hAnsi="宋体" w:cs="宋体"/>
                <w:b/>
                <w:bCs/>
                <w:kern w:val="0"/>
                <w:sz w:val="24"/>
              </w:rPr>
              <w:t>含税报价（人民币：元）</w:t>
            </w:r>
          </w:p>
        </w:tc>
        <w:tc>
          <w:tcPr>
            <w:tcW w:w="1019" w:type="pct"/>
            <w:tcBorders>
              <w:left w:val="single" w:color="000000" w:sz="4" w:space="0"/>
              <w:bottom w:val="single" w:color="000000" w:sz="4" w:space="0"/>
            </w:tcBorders>
            <w:vAlign w:val="center"/>
          </w:tcPr>
          <w:p>
            <w:pPr>
              <w:spacing w:line="365" w:lineRule="auto"/>
              <w:ind w:right="221"/>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245" w:type="pct"/>
            <w:tcBorders>
              <w:top w:val="single" w:color="000000" w:sz="4" w:space="0"/>
              <w:right w:val="single" w:color="000000" w:sz="4" w:space="0"/>
            </w:tcBorders>
            <w:vAlign w:val="center"/>
          </w:tcPr>
          <w:p>
            <w:pPr>
              <w:spacing w:line="360" w:lineRule="exact"/>
              <w:ind w:right="221"/>
              <w:rPr>
                <w:rFonts w:ascii="宋体" w:hAnsi="宋体"/>
                <w:sz w:val="24"/>
                <w:lang w:val="zh-CN"/>
              </w:rPr>
            </w:pPr>
            <w:r>
              <w:rPr>
                <w:rFonts w:hint="eastAsia" w:ascii="宋体" w:hAnsi="宋体" w:eastAsia="宋体" w:cs="宋体"/>
                <w:sz w:val="24"/>
                <w:szCs w:val="24"/>
                <w:lang w:val="en-US" w:eastAsia="zh-CN"/>
              </w:rPr>
              <w:t>医院感染实时监测管理系统模块升级建设项目</w:t>
            </w:r>
          </w:p>
        </w:tc>
        <w:tc>
          <w:tcPr>
            <w:tcW w:w="2735" w:type="pct"/>
            <w:tcBorders>
              <w:top w:val="single" w:color="000000" w:sz="4" w:space="0"/>
              <w:left w:val="single" w:color="000000" w:sz="4" w:space="0"/>
            </w:tcBorders>
            <w:vAlign w:val="center"/>
          </w:tcPr>
          <w:p>
            <w:pPr>
              <w:spacing w:line="365" w:lineRule="auto"/>
              <w:ind w:right="221"/>
              <w:jc w:val="left"/>
              <w:rPr>
                <w:rFonts w:ascii="宋体" w:hAnsi="宋体" w:cs="宋体"/>
                <w:b/>
                <w:bCs/>
                <w:kern w:val="0"/>
                <w:sz w:val="24"/>
              </w:rPr>
            </w:pPr>
            <w:r>
              <w:rPr>
                <w:rFonts w:hint="eastAsia" w:ascii="宋体" w:hAnsi="宋体" w:cs="宋体"/>
                <w:b/>
                <w:bCs/>
                <w:kern w:val="0"/>
                <w:sz w:val="24"/>
              </w:rPr>
              <w:t xml:space="preserve">人民币大写：                   </w:t>
            </w:r>
          </w:p>
          <w:p>
            <w:pPr>
              <w:spacing w:line="365" w:lineRule="auto"/>
              <w:ind w:right="221"/>
              <w:jc w:val="left"/>
              <w:rPr>
                <w:rFonts w:ascii="宋体" w:hAnsi="宋体"/>
                <w:sz w:val="24"/>
                <w:lang w:val="zh-CN"/>
              </w:rPr>
            </w:pPr>
            <w:r>
              <w:rPr>
                <w:rFonts w:hint="eastAsia" w:ascii="宋体" w:hAnsi="宋体" w:cs="宋体"/>
                <w:b/>
                <w:bCs/>
                <w:sz w:val="24"/>
              </w:rPr>
              <w:t>小写：</w:t>
            </w:r>
            <w:r>
              <w:rPr>
                <w:rFonts w:hint="eastAsia" w:ascii="宋体" w:hAnsi="宋体" w:cs="宋体"/>
                <w:sz w:val="24"/>
              </w:rPr>
              <w:t xml:space="preserve">￥     </w:t>
            </w:r>
          </w:p>
        </w:tc>
        <w:tc>
          <w:tcPr>
            <w:tcW w:w="1019" w:type="pct"/>
            <w:tcBorders>
              <w:top w:val="single" w:color="000000" w:sz="4" w:space="0"/>
              <w:left w:val="single" w:color="000000" w:sz="4" w:space="0"/>
            </w:tcBorders>
            <w:vAlign w:val="center"/>
          </w:tcPr>
          <w:p>
            <w:pPr>
              <w:spacing w:line="365" w:lineRule="auto"/>
              <w:ind w:right="221"/>
              <w:jc w:val="center"/>
              <w:rPr>
                <w:rFonts w:ascii="宋体" w:hAnsi="宋体" w:cs="宋体"/>
                <w:b/>
                <w:bCs/>
                <w:kern w:val="0"/>
                <w:sz w:val="24"/>
              </w:rPr>
            </w:pPr>
          </w:p>
        </w:tc>
      </w:tr>
    </w:tbl>
    <w:p>
      <w:pPr>
        <w:pStyle w:val="25"/>
        <w:spacing w:line="360" w:lineRule="auto"/>
        <w:ind w:firstLine="602" w:firstLineChars="200"/>
        <w:jc w:val="center"/>
        <w:outlineLvl w:val="9"/>
        <w:rPr>
          <w:rFonts w:ascii="仿宋" w:hAnsi="仿宋" w:eastAsia="仿宋" w:cs="宋体"/>
          <w:b/>
          <w:kern w:val="0"/>
          <w:sz w:val="30"/>
          <w:szCs w:val="30"/>
        </w:rPr>
      </w:pPr>
    </w:p>
    <w:p>
      <w:pPr>
        <w:pStyle w:val="25"/>
        <w:spacing w:line="360" w:lineRule="exact"/>
        <w:rPr>
          <w:rFonts w:ascii="宋体" w:hAnsi="宋体"/>
          <w:b/>
          <w:bCs/>
          <w:sz w:val="24"/>
        </w:rPr>
      </w:pPr>
      <w:r>
        <w:rPr>
          <w:rFonts w:hint="eastAsia" w:ascii="宋体" w:hAnsi="宋体"/>
          <w:b/>
          <w:bCs/>
          <w:sz w:val="24"/>
          <w:lang w:val="zh-CN"/>
        </w:rPr>
        <w:t>备注：</w:t>
      </w:r>
    </w:p>
    <w:p>
      <w:pPr>
        <w:pStyle w:val="25"/>
        <w:spacing w:line="360" w:lineRule="exact"/>
        <w:rPr>
          <w:rFonts w:ascii="宋体" w:hAnsi="宋体"/>
          <w:sz w:val="24"/>
        </w:rPr>
      </w:pPr>
      <w:r>
        <w:rPr>
          <w:rFonts w:hint="eastAsia" w:ascii="宋体" w:hAnsi="宋体"/>
          <w:b/>
          <w:bCs/>
          <w:sz w:val="24"/>
        </w:rPr>
        <w:t>1.温馨提示（金额大写）：</w:t>
      </w:r>
      <w:r>
        <w:rPr>
          <w:rFonts w:hint="eastAsia" w:ascii="宋体" w:hAnsi="宋体"/>
          <w:sz w:val="24"/>
        </w:rPr>
        <w:t>壹、贰、叁、肆、伍、陆、柒、捌、玖、拾 、佰、仟、万</w:t>
      </w:r>
    </w:p>
    <w:p>
      <w:pPr>
        <w:widowControl/>
        <w:spacing w:line="400" w:lineRule="exact"/>
        <w:jc w:val="left"/>
        <w:rPr>
          <w:rFonts w:ascii="宋体" w:hAnsi="宋体"/>
          <w:b/>
          <w:bCs/>
          <w:sz w:val="24"/>
        </w:rPr>
      </w:pPr>
      <w:bookmarkStart w:id="243" w:name="_Toc22248"/>
      <w:r>
        <w:rPr>
          <w:rFonts w:hint="eastAsia" w:ascii="宋体" w:hAnsi="宋体"/>
          <w:b/>
          <w:bCs/>
          <w:sz w:val="24"/>
          <w:lang w:val="en-US" w:eastAsia="zh-CN"/>
        </w:rPr>
        <w:t>2.</w:t>
      </w:r>
      <w:r>
        <w:rPr>
          <w:rFonts w:hint="eastAsia" w:ascii="宋体" w:hAnsi="宋体"/>
          <w:b/>
          <w:bCs/>
          <w:sz w:val="24"/>
        </w:rPr>
        <w:t>其他承诺：</w:t>
      </w:r>
      <w:bookmarkEnd w:id="243"/>
    </w:p>
    <w:p>
      <w:pPr>
        <w:widowControl/>
        <w:spacing w:line="360" w:lineRule="auto"/>
        <w:ind w:firstLine="6720" w:firstLineChars="2800"/>
        <w:jc w:val="left"/>
        <w:rPr>
          <w:rFonts w:ascii="宋体" w:hAnsi="宋体"/>
          <w:sz w:val="24"/>
        </w:rPr>
      </w:pPr>
    </w:p>
    <w:p>
      <w:pPr>
        <w:pStyle w:val="8"/>
        <w:rPr>
          <w:rFonts w:ascii="宋体" w:hAnsi="宋体"/>
          <w:sz w:val="24"/>
        </w:rPr>
      </w:pPr>
    </w:p>
    <w:p>
      <w:pPr>
        <w:pStyle w:val="25"/>
        <w:rPr>
          <w:rFonts w:ascii="宋体" w:hAnsi="宋体"/>
          <w:sz w:val="24"/>
        </w:rPr>
      </w:pPr>
    </w:p>
    <w:p>
      <w:pPr>
        <w:pStyle w:val="25"/>
        <w:rPr>
          <w:rFonts w:ascii="宋体" w:hAnsi="宋体"/>
          <w:sz w:val="24"/>
        </w:rPr>
      </w:pPr>
    </w:p>
    <w:p>
      <w:pPr>
        <w:widowControl/>
        <w:spacing w:line="360" w:lineRule="auto"/>
        <w:ind w:firstLine="3840" w:firstLineChars="1600"/>
        <w:jc w:val="left"/>
        <w:outlineLvl w:val="0"/>
        <w:rPr>
          <w:rFonts w:ascii="宋体" w:hAnsi="宋体"/>
          <w:sz w:val="24"/>
        </w:rPr>
      </w:pPr>
      <w:bookmarkStart w:id="244" w:name="_Toc16161"/>
      <w:bookmarkStart w:id="245" w:name="_Toc14199"/>
      <w:r>
        <w:rPr>
          <w:rFonts w:hint="eastAsia" w:ascii="宋体" w:hAnsi="宋体"/>
          <w:sz w:val="24"/>
        </w:rPr>
        <w:t>公司名称（加盖公章）：</w:t>
      </w:r>
      <w:bookmarkEnd w:id="244"/>
      <w:bookmarkEnd w:id="245"/>
    </w:p>
    <w:p>
      <w:pPr>
        <w:widowControl/>
        <w:spacing w:line="360" w:lineRule="auto"/>
        <w:ind w:firstLine="6000" w:firstLineChars="2500"/>
        <w:jc w:val="left"/>
        <w:outlineLvl w:val="9"/>
        <w:rPr>
          <w:rFonts w:ascii="宋体" w:hAnsi="宋体"/>
          <w:sz w:val="24"/>
        </w:rPr>
      </w:pPr>
      <w:bookmarkStart w:id="246" w:name="_Toc16792"/>
    </w:p>
    <w:p>
      <w:pPr>
        <w:widowControl/>
        <w:spacing w:line="360" w:lineRule="auto"/>
        <w:ind w:firstLine="2640" w:firstLineChars="1100"/>
        <w:jc w:val="left"/>
        <w:outlineLvl w:val="0"/>
        <w:rPr>
          <w:rFonts w:ascii="宋体" w:hAnsi="宋体"/>
          <w:sz w:val="24"/>
        </w:rPr>
      </w:pPr>
      <w:bookmarkStart w:id="247" w:name="_Toc21867"/>
      <w:r>
        <w:rPr>
          <w:rFonts w:hint="eastAsia" w:ascii="宋体" w:hAnsi="宋体"/>
          <w:sz w:val="24"/>
        </w:rPr>
        <w:t>公司法定代表人或授权代表签名：</w:t>
      </w:r>
      <w:bookmarkEnd w:id="246"/>
      <w:bookmarkEnd w:id="247"/>
      <w:r>
        <w:rPr>
          <w:rFonts w:hint="eastAsia" w:ascii="宋体" w:hAnsi="宋体"/>
          <w:sz w:val="24"/>
        </w:rPr>
        <w:t xml:space="preserve">           </w:t>
      </w:r>
    </w:p>
    <w:p>
      <w:pPr>
        <w:widowControl/>
        <w:spacing w:line="360" w:lineRule="auto"/>
        <w:ind w:firstLine="6720" w:firstLineChars="2800"/>
        <w:jc w:val="left"/>
        <w:outlineLvl w:val="9"/>
        <w:rPr>
          <w:rFonts w:ascii="宋体" w:hAnsi="宋体"/>
          <w:sz w:val="24"/>
        </w:rPr>
      </w:pPr>
      <w:bookmarkStart w:id="248" w:name="_Toc17664"/>
    </w:p>
    <w:p>
      <w:pPr>
        <w:widowControl/>
        <w:spacing w:line="360" w:lineRule="auto"/>
        <w:ind w:firstLine="5280" w:firstLineChars="2200"/>
        <w:jc w:val="left"/>
        <w:outlineLvl w:val="0"/>
        <w:rPr>
          <w:rFonts w:ascii="宋体" w:hAnsi="宋体"/>
          <w:sz w:val="24"/>
        </w:rPr>
      </w:pPr>
      <w:bookmarkStart w:id="249" w:name="_Toc18009"/>
      <w:r>
        <w:rPr>
          <w:rFonts w:hint="eastAsia" w:ascii="宋体" w:hAnsi="宋体"/>
          <w:sz w:val="24"/>
        </w:rPr>
        <w:t>日  期：    年    月     日</w:t>
      </w:r>
      <w:bookmarkEnd w:id="248"/>
      <w:bookmarkEnd w:id="249"/>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int="eastAsia" w:hAnsi="宋体" w:cs="宋体"/>
          <w:b/>
          <w:sz w:val="28"/>
          <w:szCs w:val="22"/>
          <w:lang w:val="zh-CN" w:bidi="zh-CN"/>
        </w:rPr>
      </w:pPr>
    </w:p>
    <w:p>
      <w:pPr>
        <w:pStyle w:val="8"/>
        <w:jc w:val="center"/>
        <w:rPr>
          <w:rFonts w:hint="eastAsia"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8"/>
        <w:jc w:val="center"/>
        <w:rPr>
          <w:rFonts w:hAnsi="宋体" w:cs="宋体"/>
          <w:b/>
          <w:sz w:val="28"/>
          <w:szCs w:val="22"/>
          <w:lang w:val="zh-CN" w:bidi="zh-CN"/>
        </w:rPr>
      </w:pPr>
    </w:p>
    <w:p>
      <w:pPr>
        <w:pStyle w:val="29"/>
        <w:tabs>
          <w:tab w:val="left" w:pos="1050"/>
          <w:tab w:val="center" w:pos="4535"/>
        </w:tabs>
        <w:spacing w:line="360" w:lineRule="auto"/>
        <w:jc w:val="center"/>
        <w:outlineLvl w:val="0"/>
        <w:rPr>
          <w:b/>
          <w:bCs/>
          <w:sz w:val="32"/>
          <w:szCs w:val="32"/>
        </w:rPr>
      </w:pPr>
      <w:bookmarkStart w:id="250" w:name="_Toc4448"/>
      <w:bookmarkStart w:id="251" w:name="_Toc11748"/>
      <w:r>
        <w:rPr>
          <w:rFonts w:hint="eastAsia"/>
          <w:b/>
          <w:bCs/>
          <w:sz w:val="32"/>
          <w:szCs w:val="32"/>
        </w:rPr>
        <w:t>法定代表人资格证明书</w:t>
      </w:r>
      <w:bookmarkEnd w:id="237"/>
      <w:bookmarkEnd w:id="238"/>
      <w:bookmarkEnd w:id="239"/>
      <w:bookmarkEnd w:id="240"/>
      <w:bookmarkEnd w:id="250"/>
      <w:bookmarkEnd w:id="251"/>
    </w:p>
    <w:p>
      <w:pPr>
        <w:pStyle w:val="29"/>
        <w:spacing w:line="360" w:lineRule="auto"/>
        <w:jc w:val="center"/>
        <w:rPr>
          <w:b/>
          <w:bCs/>
          <w:sz w:val="30"/>
          <w:szCs w:val="30"/>
        </w:rPr>
      </w:pPr>
    </w:p>
    <w:p>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9"/>
        <w:spacing w:line="360" w:lineRule="auto"/>
        <w:ind w:firstLine="560"/>
        <w:rPr>
          <w:sz w:val="28"/>
          <w:szCs w:val="28"/>
        </w:rPr>
      </w:pPr>
    </w:p>
    <w:p>
      <w:pPr>
        <w:pStyle w:val="29"/>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rPr>
          <w:b/>
          <w:bCs/>
          <w:sz w:val="32"/>
          <w:szCs w:val="32"/>
        </w:rPr>
      </w:pPr>
      <w:bookmarkStart w:id="252" w:name="_Toc15050"/>
      <w:bookmarkStart w:id="253" w:name="_Toc14591"/>
      <w:bookmarkStart w:id="254" w:name="_Toc14020"/>
      <w:bookmarkStart w:id="255" w:name="_Toc3758"/>
      <w:bookmarkStart w:id="256" w:name="_Toc14853"/>
      <w:bookmarkStart w:id="257" w:name="_Toc22175"/>
      <w:bookmarkStart w:id="258" w:name="_Toc23685"/>
      <w:bookmarkStart w:id="259" w:name="_Toc28957"/>
      <w:bookmarkStart w:id="260" w:name="_Toc18443"/>
      <w:bookmarkStart w:id="261" w:name="_Toc3241"/>
      <w:bookmarkStart w:id="262" w:name="_Toc7276"/>
    </w:p>
    <w:p>
      <w:pPr>
        <w:pStyle w:val="29"/>
        <w:spacing w:line="360" w:lineRule="auto"/>
        <w:jc w:val="center"/>
        <w:outlineLvl w:val="0"/>
        <w:rPr>
          <w:b/>
          <w:bCs/>
          <w:sz w:val="32"/>
          <w:szCs w:val="32"/>
        </w:rPr>
      </w:pPr>
      <w:bookmarkStart w:id="263" w:name="_Toc11289"/>
      <w:bookmarkStart w:id="264" w:name="_Toc7237"/>
      <w:r>
        <w:rPr>
          <w:rFonts w:hint="eastAsia"/>
          <w:b/>
          <w:bCs/>
          <w:sz w:val="32"/>
          <w:szCs w:val="32"/>
        </w:rPr>
        <w:t>法定代表人授权委托书</w:t>
      </w:r>
      <w:bookmarkEnd w:id="252"/>
      <w:bookmarkEnd w:id="253"/>
      <w:bookmarkEnd w:id="254"/>
      <w:bookmarkEnd w:id="255"/>
      <w:bookmarkEnd w:id="256"/>
      <w:bookmarkEnd w:id="257"/>
      <w:bookmarkEnd w:id="258"/>
      <w:bookmarkEnd w:id="259"/>
      <w:bookmarkEnd w:id="260"/>
      <w:bookmarkEnd w:id="261"/>
      <w:bookmarkEnd w:id="262"/>
      <w:bookmarkEnd w:id="263"/>
      <w:bookmarkEnd w:id="264"/>
    </w:p>
    <w:p>
      <w:pPr>
        <w:pStyle w:val="30"/>
        <w:spacing w:line="360" w:lineRule="auto"/>
        <w:jc w:val="left"/>
        <w:rPr>
          <w:b/>
          <w:bCs/>
          <w:sz w:val="28"/>
          <w:szCs w:val="28"/>
        </w:rPr>
      </w:pPr>
      <w:r>
        <w:rPr>
          <w:rFonts w:hint="eastAsia"/>
          <w:b/>
          <w:bCs/>
          <w:sz w:val="28"/>
          <w:szCs w:val="28"/>
        </w:rPr>
        <w:t>本授权书声明：</w:t>
      </w:r>
    </w:p>
    <w:p>
      <w:pPr>
        <w:pStyle w:val="29"/>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w:t>
      </w:r>
      <w:r>
        <w:rPr>
          <w:rFonts w:hint="eastAsia"/>
          <w:color w:val="FF0000"/>
          <w:sz w:val="28"/>
          <w:szCs w:val="28"/>
        </w:rPr>
        <w:t>单一来源</w:t>
      </w:r>
      <w:r>
        <w:rPr>
          <w:rFonts w:hint="eastAsia"/>
          <w:sz w:val="28"/>
          <w:szCs w:val="28"/>
        </w:rPr>
        <w:t>采购活动中参加</w:t>
      </w:r>
      <w:r>
        <w:rPr>
          <w:rFonts w:hint="eastAsia"/>
          <w:color w:val="0000FF"/>
          <w:sz w:val="28"/>
          <w:szCs w:val="28"/>
        </w:rPr>
        <w:t>谈判、</w:t>
      </w:r>
      <w:r>
        <w:rPr>
          <w:rFonts w:hint="eastAsia"/>
          <w:sz w:val="28"/>
          <w:szCs w:val="28"/>
        </w:rPr>
        <w:t>报价、签订合同等相关事宜。</w:t>
      </w:r>
    </w:p>
    <w:p>
      <w:pPr>
        <w:pStyle w:val="29"/>
        <w:spacing w:line="360" w:lineRule="auto"/>
        <w:ind w:firstLine="560"/>
        <w:rPr>
          <w:sz w:val="28"/>
          <w:szCs w:val="28"/>
        </w:rPr>
      </w:pPr>
      <w:r>
        <w:rPr>
          <w:rFonts w:hint="eastAsia"/>
          <w:sz w:val="28"/>
          <w:szCs w:val="28"/>
        </w:rPr>
        <w:t>本授权书在签字盖章后生效，特此声明。</w:t>
      </w:r>
    </w:p>
    <w:p>
      <w:pPr>
        <w:pStyle w:val="29"/>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5"/>
        <w:ind w:firstLine="3975" w:firstLineChars="1100"/>
        <w:rPr>
          <w:b/>
          <w:bCs/>
          <w:sz w:val="36"/>
          <w:szCs w:val="36"/>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b/>
          <w:bCs/>
          <w:sz w:val="32"/>
          <w:szCs w:val="32"/>
        </w:rPr>
      </w:pPr>
      <w:bookmarkStart w:id="265" w:name="_Toc10212"/>
      <w:bookmarkStart w:id="266" w:name="_Toc10077"/>
      <w:bookmarkStart w:id="267" w:name="_Toc31757"/>
      <w:bookmarkStart w:id="268" w:name="_Toc32281"/>
      <w:r>
        <w:rPr>
          <w:rFonts w:hint="eastAsia"/>
          <w:b/>
          <w:bCs/>
          <w:sz w:val="32"/>
          <w:szCs w:val="32"/>
        </w:rPr>
        <w:t>2021年1月1日以来同类项目经验情况一览表</w:t>
      </w:r>
      <w:bookmarkEnd w:id="241"/>
      <w:bookmarkEnd w:id="242"/>
      <w:bookmarkEnd w:id="265"/>
      <w:bookmarkEnd w:id="266"/>
      <w:bookmarkEnd w:id="267"/>
      <w:bookmarkEnd w:id="268"/>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5"/>
        <w:rPr>
          <w:rFonts w:ascii="宋体" w:hAnsi="宋体"/>
          <w:sz w:val="24"/>
        </w:rPr>
      </w:pPr>
    </w:p>
    <w:p>
      <w:pPr>
        <w:pStyle w:val="25"/>
        <w:spacing w:line="360" w:lineRule="auto"/>
        <w:ind w:firstLine="480" w:firstLineChars="200"/>
        <w:outlineLvl w:val="0"/>
        <w:rPr>
          <w:b/>
          <w:bCs/>
          <w:sz w:val="36"/>
          <w:szCs w:val="36"/>
        </w:rPr>
      </w:pPr>
      <w:bookmarkStart w:id="269" w:name="_Toc6536"/>
      <w:bookmarkStart w:id="270" w:name="_Toc29613"/>
      <w:bookmarkStart w:id="271" w:name="_Toc3109"/>
      <w:bookmarkStart w:id="272" w:name="_Toc16613"/>
      <w:r>
        <w:rPr>
          <w:rFonts w:hint="eastAsia" w:ascii="宋体" w:hAnsi="宋体"/>
          <w:sz w:val="24"/>
        </w:rPr>
        <w:t>注：2021年</w:t>
      </w:r>
      <w:r>
        <w:rPr>
          <w:rFonts w:hint="eastAsia" w:ascii="宋体" w:hAnsi="宋体"/>
          <w:sz w:val="24"/>
          <w:lang w:val="en-US" w:eastAsia="zh-CN"/>
        </w:rPr>
        <w:t>1月1日</w:t>
      </w:r>
      <w:r>
        <w:rPr>
          <w:rFonts w:hint="eastAsia" w:ascii="宋体" w:hAnsi="宋体"/>
          <w:sz w:val="24"/>
        </w:rPr>
        <w:t>至今同类项目的业绩用户名单及证明材料（同关键页复印件或中标通知书复印件，并加盖供应商公章。）</w:t>
      </w:r>
      <w:bookmarkEnd w:id="269"/>
      <w:bookmarkEnd w:id="270"/>
      <w:bookmarkEnd w:id="271"/>
      <w:bookmarkEnd w:id="272"/>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pStyle w:val="25"/>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73" w:name="_Toc21435"/>
      <w:bookmarkStart w:id="274" w:name="_Toc24877"/>
      <w:bookmarkStart w:id="275" w:name="_Toc9749"/>
      <w:bookmarkStart w:id="276" w:name="_Toc30558"/>
      <w:bookmarkStart w:id="277" w:name="_Toc40346226"/>
      <w:bookmarkStart w:id="278" w:name="_Toc17929"/>
      <w:bookmarkStart w:id="279" w:name="_Toc40346385"/>
      <w:bookmarkStart w:id="280" w:name="_Toc23732"/>
      <w:bookmarkStart w:id="281" w:name="_Toc27180"/>
      <w:bookmarkStart w:id="282" w:name="_Toc16505"/>
      <w:bookmarkStart w:id="283" w:name="_Toc40776119"/>
      <w:bookmarkStart w:id="284" w:name="_Toc20164"/>
    </w:p>
    <w:bookmarkEnd w:id="273"/>
    <w:bookmarkEnd w:id="274"/>
    <w:bookmarkEnd w:id="275"/>
    <w:bookmarkEnd w:id="276"/>
    <w:bookmarkEnd w:id="277"/>
    <w:bookmarkEnd w:id="278"/>
    <w:bookmarkEnd w:id="279"/>
    <w:bookmarkEnd w:id="280"/>
    <w:bookmarkEnd w:id="281"/>
    <w:bookmarkEnd w:id="282"/>
    <w:bookmarkEnd w:id="283"/>
    <w:bookmarkEnd w:id="284"/>
    <w:p>
      <w:pPr>
        <w:pStyle w:val="29"/>
        <w:spacing w:line="360" w:lineRule="auto"/>
        <w:jc w:val="center"/>
        <w:outlineLvl w:val="0"/>
        <w:rPr>
          <w:b/>
          <w:bCs/>
          <w:color w:val="auto"/>
          <w:sz w:val="28"/>
          <w:szCs w:val="28"/>
        </w:rPr>
      </w:pPr>
      <w:bookmarkStart w:id="285" w:name="_Toc2196"/>
      <w:bookmarkStart w:id="286" w:name="_Toc24705"/>
      <w:bookmarkStart w:id="287" w:name="_Toc16193"/>
      <w:bookmarkStart w:id="288" w:name="_Toc1521"/>
      <w:bookmarkStart w:id="289" w:name="_Toc5396"/>
      <w:bookmarkStart w:id="290" w:name="_Toc17932"/>
      <w:bookmarkStart w:id="291" w:name="_Toc14321"/>
      <w:bookmarkStart w:id="292" w:name="_Toc16816"/>
      <w:bookmarkStart w:id="293" w:name="_Toc27834"/>
      <w:bookmarkStart w:id="294" w:name="_Toc11836"/>
      <w:bookmarkStart w:id="295" w:name="_Toc14093"/>
      <w:bookmarkStart w:id="296" w:name="_Toc19803"/>
      <w:bookmarkStart w:id="297" w:name="_Toc13089"/>
      <w:bookmarkStart w:id="298" w:name="_Toc25012"/>
      <w:r>
        <w:rPr>
          <w:rFonts w:hint="eastAsia"/>
          <w:b/>
          <w:bCs/>
          <w:color w:val="auto"/>
          <w:sz w:val="28"/>
          <w:szCs w:val="28"/>
        </w:rPr>
        <w:t>公平竞争承诺书</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26"/>
        <w:rPr>
          <w:rFonts w:hint="eastAsia"/>
          <w:b/>
          <w:bCs/>
          <w:color w:val="auto"/>
          <w:sz w:val="21"/>
          <w:szCs w:val="21"/>
        </w:rPr>
      </w:pPr>
      <w:r>
        <w:rPr>
          <w:rFonts w:hint="eastAsia"/>
          <w:b/>
          <w:bCs/>
          <w:color w:val="auto"/>
          <w:sz w:val="21"/>
          <w:szCs w:val="21"/>
          <w:lang w:eastAsia="zh-CN"/>
        </w:rPr>
        <w:t>南方医科大学第五附属医院</w:t>
      </w:r>
      <w:r>
        <w:rPr>
          <w:rFonts w:hint="eastAsia"/>
          <w:b/>
          <w:bCs/>
          <w:color w:val="auto"/>
          <w:sz w:val="21"/>
          <w:szCs w:val="21"/>
        </w:rPr>
        <w:t>：</w:t>
      </w:r>
    </w:p>
    <w:p>
      <w:pPr>
        <w:pStyle w:val="26"/>
        <w:rPr>
          <w:rFonts w:hint="eastAsia"/>
          <w:b/>
          <w:bCs/>
          <w:color w:val="auto"/>
          <w:sz w:val="21"/>
          <w:szCs w:val="21"/>
        </w:rPr>
      </w:pP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本公司愿接受贵单位邀请，积极参加</w:t>
      </w:r>
      <w:r>
        <w:rPr>
          <w:rFonts w:hint="eastAsia"/>
          <w:color w:val="auto"/>
          <w:sz w:val="21"/>
          <w:szCs w:val="21"/>
          <w:u w:val="single"/>
          <w:lang w:val="en-US" w:eastAsia="zh-CN"/>
        </w:rPr>
        <w:t>*******项目（项目编号：******）</w:t>
      </w:r>
      <w:r>
        <w:rPr>
          <w:rFonts w:hint="eastAsia"/>
          <w:color w:val="auto"/>
          <w:sz w:val="21"/>
          <w:szCs w:val="21"/>
          <w:lang w:val="en-US" w:eastAsia="zh-CN"/>
        </w:rPr>
        <w:t xml:space="preserve"> 的采购活动。为杜绝商业贿赂现象，维护良好管理秩序，共同营造公平、公正的竞争环境，我方郑重承诺：</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1.遵守贵单位就项目采购所制定的所有相关流程及要求，并保证所提交《响应文件》中相关资料与描述真实有效。 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2.坚持投标独立性，保证不以任何手段了解或意图了解其他参与人情况及其信息。  </w:t>
      </w:r>
    </w:p>
    <w:p>
      <w:pPr>
        <w:pStyle w:val="8"/>
        <w:spacing w:line="360" w:lineRule="auto"/>
        <w:ind w:firstLine="420" w:firstLineChars="200"/>
        <w:outlineLvl w:val="2"/>
        <w:rPr>
          <w:rFonts w:hint="eastAsia"/>
          <w:color w:val="auto"/>
          <w:sz w:val="21"/>
          <w:szCs w:val="21"/>
          <w:lang w:val="en-US" w:eastAsia="zh-CN"/>
        </w:rPr>
      </w:pPr>
      <w:bookmarkStart w:id="299" w:name="_Toc13586"/>
      <w:r>
        <w:rPr>
          <w:rFonts w:hint="eastAsia"/>
          <w:color w:val="auto"/>
          <w:sz w:val="21"/>
          <w:szCs w:val="21"/>
          <w:lang w:val="en-US" w:eastAsia="zh-CN"/>
        </w:rPr>
        <w:t>3.保证不私下接触贵单位负责采购组织工作的人员及相关领导。 </w:t>
      </w:r>
      <w:bookmarkEnd w:id="299"/>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4.保证不对贵单位负责采购组织工作的人员及相关领导进行宴请、招待，或赠送及承诺赠送礼金、礼品、礼券、其他利益。 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5.除贵院公开渠道获取相关信息外，保证不以其它方式刺探或意图刺探贵司采购信息及其进展。 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6.保证采取内部约束措施，禁止具体经办人或其他相关人员私自实施前述各项禁止性行为，并对其违规后果承担连带责任。 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7.保证所提交的相关资质文件和证明材料的真实性，有良好的历史诚信记录，并将依法参与项目的公平竞争，不以任何不正当行为谋取不当利益，否则愿意承担相应的法律责任。</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8.如出现违反上述各项承诺情况，自愿接受贵院取消资格等处罚措施，并对贵院因此所受损失进行全额赔偿。 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 xml:space="preserve">9.如贵院负责招投标组织工作的人员及相关领导，明示或暗示要求宴请、招待，或索取礼金、礼品、礼券、其他利益，或故意刁难、显失公平的，保证立即向贵院监察部门进行举报。  </w:t>
      </w:r>
    </w:p>
    <w:p>
      <w:pPr>
        <w:pStyle w:val="8"/>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特此承诺。                                     </w:t>
      </w:r>
    </w:p>
    <w:p>
      <w:pPr>
        <w:pStyle w:val="26"/>
        <w:rPr>
          <w:rFonts w:hint="eastAsia"/>
          <w:color w:val="auto"/>
          <w:sz w:val="21"/>
          <w:szCs w:val="21"/>
        </w:rPr>
      </w:pPr>
    </w:p>
    <w:p>
      <w:pPr>
        <w:pStyle w:val="26"/>
        <w:spacing w:line="360" w:lineRule="auto"/>
        <w:jc w:val="center"/>
        <w:rPr>
          <w:rFonts w:hint="default" w:eastAsia="宋体"/>
          <w:color w:val="auto"/>
          <w:sz w:val="21"/>
          <w:szCs w:val="21"/>
          <w:lang w:val="en-US" w:eastAsia="zh-CN"/>
        </w:rPr>
      </w:pPr>
      <w:r>
        <w:rPr>
          <w:rFonts w:hint="eastAsia"/>
          <w:color w:val="auto"/>
          <w:sz w:val="21"/>
          <w:szCs w:val="21"/>
          <w:lang w:val="en-US" w:eastAsia="zh-CN"/>
        </w:rPr>
        <w:t xml:space="preserve">                            公司名称</w:t>
      </w:r>
      <w:r>
        <w:rPr>
          <w:rFonts w:hint="eastAsia"/>
          <w:color w:val="auto"/>
          <w:sz w:val="21"/>
          <w:szCs w:val="21"/>
        </w:rPr>
        <w:t xml:space="preserve">（盖章）： </w:t>
      </w:r>
      <w:r>
        <w:rPr>
          <w:rFonts w:hint="eastAsia"/>
          <w:color w:val="auto"/>
          <w:sz w:val="21"/>
          <w:szCs w:val="21"/>
          <w:lang w:val="en-US" w:eastAsia="zh-CN"/>
        </w:rPr>
        <w:t>****公司</w:t>
      </w:r>
    </w:p>
    <w:p>
      <w:pPr>
        <w:pStyle w:val="26"/>
        <w:spacing w:line="360" w:lineRule="auto"/>
        <w:jc w:val="left"/>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ind w:firstLine="420" w:firstLineChars="200"/>
        <w:jc w:val="left"/>
        <w:rPr>
          <w:rFonts w:hint="eastAsia"/>
          <w:color w:val="auto"/>
          <w:sz w:val="21"/>
          <w:szCs w:val="21"/>
        </w:rPr>
      </w:pPr>
      <w:r>
        <w:rPr>
          <w:rFonts w:hint="eastAsia"/>
          <w:color w:val="auto"/>
          <w:sz w:val="21"/>
          <w:szCs w:val="21"/>
          <w:lang w:val="en-US" w:eastAsia="zh-CN"/>
        </w:rPr>
        <w:t>公司法定代表人（或法定代表人授权代表）（签字或盖章）</w:t>
      </w:r>
      <w:r>
        <w:rPr>
          <w:rFonts w:hint="eastAsia"/>
          <w:color w:val="auto"/>
          <w:sz w:val="21"/>
          <w:szCs w:val="21"/>
        </w:rPr>
        <w:t>：</w:t>
      </w:r>
    </w:p>
    <w:p>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jc w:val="center"/>
        <w:rPr>
          <w:rFonts w:hint="eastAsia"/>
          <w:color w:val="auto"/>
          <w:sz w:val="21"/>
          <w:szCs w:val="21"/>
          <w:lang w:val="en-US" w:eastAsia="zh-CN"/>
        </w:rPr>
      </w:pPr>
      <w:r>
        <w:rPr>
          <w:rFonts w:hint="eastAsia"/>
          <w:color w:val="auto"/>
          <w:sz w:val="21"/>
          <w:szCs w:val="21"/>
          <w:lang w:val="en-US" w:eastAsia="zh-CN"/>
        </w:rPr>
        <w:t xml:space="preserve">                                                               </w:t>
      </w:r>
    </w:p>
    <w:p>
      <w:pPr>
        <w:pStyle w:val="26"/>
        <w:spacing w:line="360" w:lineRule="auto"/>
        <w:jc w:val="center"/>
        <w:rPr>
          <w:color w:val="auto"/>
          <w:sz w:val="21"/>
          <w:szCs w:val="21"/>
        </w:rPr>
      </w:pPr>
      <w:r>
        <w:rPr>
          <w:rFonts w:hint="eastAsia"/>
          <w:color w:val="auto"/>
          <w:sz w:val="21"/>
          <w:szCs w:val="21"/>
          <w:lang w:val="en-US" w:eastAsia="zh-CN"/>
        </w:rPr>
        <w:t xml:space="preserve">                                              日 期：     </w:t>
      </w:r>
      <w:r>
        <w:rPr>
          <w:rFonts w:hint="eastAsia"/>
          <w:color w:val="auto"/>
          <w:sz w:val="21"/>
          <w:szCs w:val="21"/>
        </w:rPr>
        <w:t>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9"/>
        <w:spacing w:line="360" w:lineRule="auto"/>
        <w:jc w:val="center"/>
        <w:outlineLvl w:val="0"/>
        <w:rPr>
          <w:b/>
          <w:bCs/>
          <w:color w:val="auto"/>
          <w:sz w:val="32"/>
          <w:szCs w:val="32"/>
          <w:highlight w:val="none"/>
        </w:rPr>
      </w:pPr>
      <w:bookmarkStart w:id="300" w:name="_Toc10"/>
      <w:bookmarkStart w:id="301" w:name="_Toc31298"/>
      <w:bookmarkStart w:id="302" w:name="_Toc9308"/>
      <w:bookmarkStart w:id="303" w:name="_Toc29986"/>
      <w:bookmarkStart w:id="304" w:name="_Toc22349"/>
      <w:bookmarkStart w:id="305" w:name="_Toc9085"/>
      <w:bookmarkStart w:id="306" w:name="_Toc6773"/>
      <w:bookmarkStart w:id="307" w:name="_Toc12567"/>
      <w:bookmarkStart w:id="308" w:name="_Toc5237"/>
      <w:bookmarkStart w:id="309" w:name="_Toc20949"/>
      <w:bookmarkStart w:id="310" w:name="_Toc12986"/>
      <w:bookmarkStart w:id="311" w:name="_Toc4538"/>
      <w:bookmarkStart w:id="312" w:name="_Toc9813"/>
      <w:r>
        <w:rPr>
          <w:rFonts w:hint="eastAsia"/>
          <w:b/>
          <w:bCs/>
          <w:color w:val="auto"/>
          <w:sz w:val="32"/>
          <w:szCs w:val="32"/>
          <w:highlight w:val="none"/>
        </w:rPr>
        <w:t>关于资格和响应文件的声明函</w:t>
      </w:r>
      <w:bookmarkEnd w:id="300"/>
      <w:bookmarkEnd w:id="301"/>
      <w:bookmarkEnd w:id="302"/>
      <w:bookmarkEnd w:id="303"/>
      <w:bookmarkEnd w:id="304"/>
      <w:bookmarkEnd w:id="305"/>
      <w:bookmarkEnd w:id="306"/>
      <w:bookmarkEnd w:id="307"/>
      <w:bookmarkEnd w:id="308"/>
      <w:bookmarkEnd w:id="309"/>
      <w:bookmarkEnd w:id="310"/>
      <w:bookmarkEnd w:id="311"/>
      <w:bookmarkEnd w:id="312"/>
    </w:p>
    <w:p>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pPr>
        <w:pStyle w:val="10"/>
        <w:rPr>
          <w:color w:val="auto"/>
          <w:highlight w:val="none"/>
        </w:rPr>
      </w:pPr>
      <w:r>
        <w:rPr>
          <w:rFonts w:hint="eastAsia" w:ascii="宋体" w:hAnsi="宋体"/>
          <w:color w:val="auto"/>
          <w:sz w:val="24"/>
          <w:highlight w:val="none"/>
        </w:rPr>
        <w:t>6.我方不存在以下情况：以分包、转包形式参加本项目院内采购活动；</w:t>
      </w:r>
    </w:p>
    <w:p>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7.我方在参加政府采购活动前3年内在经营活动中没有重大违法、违规及刑事犯罪记录；</w:t>
      </w:r>
    </w:p>
    <w:p>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8.我方不存在以下情况：法定代表人或单位负责人为同一人或者存在直接控股、管理关系的不同供应商，不同时参加本采购项目的院内采购活动；</w:t>
      </w:r>
    </w:p>
    <w:p>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pPr>
        <w:pStyle w:val="10"/>
        <w:rPr>
          <w:color w:val="auto"/>
          <w:highlight w:val="none"/>
        </w:rPr>
      </w:pPr>
    </w:p>
    <w:p>
      <w:pPr>
        <w:spacing w:line="276" w:lineRule="auto"/>
        <w:rPr>
          <w:rFonts w:ascii="宋体" w:hAnsi="宋体"/>
          <w:color w:val="auto"/>
          <w:sz w:val="24"/>
          <w:highlight w:val="none"/>
        </w:rPr>
      </w:pPr>
    </w:p>
    <w:p>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pPr>
        <w:spacing w:line="276" w:lineRule="auto"/>
        <w:rPr>
          <w:rFonts w:ascii="宋体" w:hAnsi="宋体"/>
          <w:color w:val="auto"/>
          <w:sz w:val="24"/>
          <w:highlight w:val="none"/>
        </w:rPr>
      </w:pPr>
      <w:r>
        <w:rPr>
          <w:rFonts w:hint="eastAsia" w:ascii="宋体" w:hAnsi="宋体"/>
          <w:color w:val="auto"/>
          <w:sz w:val="24"/>
          <w:highlight w:val="none"/>
        </w:rPr>
        <w:t>特此声明！</w:t>
      </w:r>
    </w:p>
    <w:p>
      <w:pPr>
        <w:spacing w:line="276"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名称（盖章）：</w:t>
      </w:r>
    </w:p>
    <w:p>
      <w:pPr>
        <w:pStyle w:val="25"/>
        <w:jc w:val="left"/>
        <w:rPr>
          <w:color w:val="auto"/>
          <w:highlight w:val="none"/>
        </w:rPr>
      </w:pPr>
    </w:p>
    <w:p>
      <w:pPr>
        <w:spacing w:line="360" w:lineRule="auto"/>
        <w:jc w:val="left"/>
        <w:rPr>
          <w:rFonts w:ascii="宋体" w:hAnsi="宋体"/>
          <w:color w:val="auto"/>
          <w:sz w:val="24"/>
          <w:highlight w:val="none"/>
        </w:rPr>
      </w:pPr>
      <w:r>
        <w:rPr>
          <w:rFonts w:hint="eastAsia" w:ascii="宋体" w:hAnsi="宋体"/>
          <w:color w:val="auto"/>
          <w:sz w:val="24"/>
          <w:highlight w:val="none"/>
          <w:lang w:eastAsia="zh-CN"/>
        </w:rPr>
        <w:t>公司</w:t>
      </w:r>
      <w:r>
        <w:rPr>
          <w:rFonts w:hint="eastAsia" w:ascii="宋体" w:hAnsi="宋体"/>
          <w:color w:val="auto"/>
          <w:sz w:val="24"/>
          <w:highlight w:val="none"/>
        </w:rPr>
        <w:t>法定代表人（或法定代表人授权代表）（签字或盖章）：</w:t>
      </w:r>
    </w:p>
    <w:p>
      <w:pPr>
        <w:pStyle w:val="25"/>
        <w:jc w:val="left"/>
        <w:rPr>
          <w:color w:val="auto"/>
          <w:highlight w:val="none"/>
        </w:rPr>
      </w:pPr>
    </w:p>
    <w:p>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5"/>
        <w:numPr>
          <w:ilvl w:val="0"/>
          <w:numId w:val="6"/>
        </w:numPr>
        <w:jc w:val="center"/>
        <w:outlineLvl w:val="0"/>
        <w:rPr>
          <w:rFonts w:ascii="宋体" w:hAnsi="宋体" w:eastAsia="宋体"/>
          <w:sz w:val="40"/>
        </w:rPr>
      </w:pPr>
      <w:r>
        <w:rPr>
          <w:rFonts w:hint="eastAsia" w:ascii="宋体" w:hAnsi="宋体" w:eastAsia="宋体"/>
          <w:sz w:val="40"/>
        </w:rPr>
        <w:t xml:space="preserve"> </w:t>
      </w:r>
      <w:bookmarkStart w:id="313" w:name="_Toc17933"/>
      <w:bookmarkStart w:id="314" w:name="_Toc26773"/>
      <w:bookmarkStart w:id="315" w:name="_Toc20014"/>
      <w:r>
        <w:rPr>
          <w:rFonts w:hint="eastAsia" w:ascii="宋体" w:hAnsi="宋体" w:eastAsia="宋体"/>
          <w:sz w:val="40"/>
        </w:rPr>
        <w:t>合同模板</w:t>
      </w:r>
      <w:bookmarkEnd w:id="313"/>
      <w:bookmarkEnd w:id="314"/>
      <w:bookmarkEnd w:id="315"/>
      <w:r>
        <w:rPr>
          <w:rFonts w:hint="eastAsia" w:ascii="宋体" w:hAnsi="宋体" w:eastAsia="宋体"/>
          <w:sz w:val="40"/>
          <w:lang w:val="en-US" w:eastAsia="zh-CN"/>
        </w:rPr>
        <w:t>(另附）</w:t>
      </w:r>
    </w:p>
    <w:p/>
    <w:p>
      <w:pPr>
        <w:pStyle w:val="25"/>
        <w:rPr>
          <w:highlight w:val="yellow"/>
        </w:rPr>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19</w:t>
                    </w:r>
                    <w:r>
                      <w:fldChar w:fldCharType="end"/>
                    </w:r>
                    <w:r>
                      <w:t xml:space="preserve"> 页 共 </w:t>
                    </w:r>
                    <w:r>
                      <w:rPr>
                        <w:rFonts w:hint="eastAsia"/>
                        <w:lang w:val="en-US" w:eastAsia="zh-CN"/>
                      </w:rPr>
                      <w:t>18</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47CCE"/>
    <w:multiLevelType w:val="singleLevel"/>
    <w:tmpl w:val="AD947CCE"/>
    <w:lvl w:ilvl="0" w:tentative="0">
      <w:start w:val="1"/>
      <w:numFmt w:val="bullet"/>
      <w:lvlText w:val=""/>
      <w:lvlJc w:val="left"/>
      <w:pPr>
        <w:ind w:left="420" w:hanging="420"/>
      </w:pPr>
      <w:rPr>
        <w:rFonts w:hint="default" w:ascii="Wingdings" w:hAnsi="Wingdings"/>
      </w:rPr>
    </w:lvl>
  </w:abstractNum>
  <w:abstractNum w:abstractNumId="1">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11443F40"/>
    <w:multiLevelType w:val="multilevel"/>
    <w:tmpl w:val="11443F40"/>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4D561F03"/>
    <w:multiLevelType w:val="singleLevel"/>
    <w:tmpl w:val="4D561F03"/>
    <w:lvl w:ilvl="0" w:tentative="0">
      <w:start w:val="2"/>
      <w:numFmt w:val="chineseCounting"/>
      <w:suff w:val="space"/>
      <w:lvlText w:val="第%1部分"/>
      <w:lvlJc w:val="left"/>
      <w:rPr>
        <w:rFonts w:hint="eastAsia"/>
      </w:rPr>
    </w:lvl>
  </w:abstractNum>
  <w:abstractNum w:abstractNumId="5">
    <w:nsid w:val="56027E0D"/>
    <w:multiLevelType w:val="singleLevel"/>
    <w:tmpl w:val="56027E0D"/>
    <w:lvl w:ilvl="0" w:tentative="0">
      <w:start w:val="1"/>
      <w:numFmt w:val="decimal"/>
      <w:suff w:val="nothing"/>
      <w:lvlText w:val="（%1）"/>
      <w:lvlJc w:val="left"/>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73B53"/>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17287"/>
    <w:rsid w:val="0023790F"/>
    <w:rsid w:val="00243C3C"/>
    <w:rsid w:val="00265A24"/>
    <w:rsid w:val="002736DC"/>
    <w:rsid w:val="0028517E"/>
    <w:rsid w:val="00286969"/>
    <w:rsid w:val="00295B31"/>
    <w:rsid w:val="002B04DE"/>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87FCF"/>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E5883"/>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A4C48"/>
    <w:rsid w:val="005B5EC9"/>
    <w:rsid w:val="005E4C48"/>
    <w:rsid w:val="005F558E"/>
    <w:rsid w:val="00604160"/>
    <w:rsid w:val="00611401"/>
    <w:rsid w:val="0061638D"/>
    <w:rsid w:val="006172FF"/>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2C77"/>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83EC2"/>
    <w:rsid w:val="00996FA2"/>
    <w:rsid w:val="009A06D0"/>
    <w:rsid w:val="009A4B55"/>
    <w:rsid w:val="009A723E"/>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3845"/>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5CF7"/>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446AA"/>
    <w:rsid w:val="00D57F96"/>
    <w:rsid w:val="00D7253F"/>
    <w:rsid w:val="00D914DD"/>
    <w:rsid w:val="00DA4DCE"/>
    <w:rsid w:val="00DC141D"/>
    <w:rsid w:val="00DC3B2E"/>
    <w:rsid w:val="00DD130B"/>
    <w:rsid w:val="00DE0195"/>
    <w:rsid w:val="00DF0AC4"/>
    <w:rsid w:val="00E10F3F"/>
    <w:rsid w:val="00E172C1"/>
    <w:rsid w:val="00E2604C"/>
    <w:rsid w:val="00E426B7"/>
    <w:rsid w:val="00E535C8"/>
    <w:rsid w:val="00E53FC3"/>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0FF042A"/>
    <w:rsid w:val="0141572E"/>
    <w:rsid w:val="01AE423C"/>
    <w:rsid w:val="02607008"/>
    <w:rsid w:val="02AE70ED"/>
    <w:rsid w:val="031C04E2"/>
    <w:rsid w:val="034404CF"/>
    <w:rsid w:val="035A45AA"/>
    <w:rsid w:val="039B179B"/>
    <w:rsid w:val="04151569"/>
    <w:rsid w:val="04E57AC0"/>
    <w:rsid w:val="04EE7118"/>
    <w:rsid w:val="053803CD"/>
    <w:rsid w:val="054E169D"/>
    <w:rsid w:val="05907E7A"/>
    <w:rsid w:val="05C673E7"/>
    <w:rsid w:val="060B47C1"/>
    <w:rsid w:val="062C2FAB"/>
    <w:rsid w:val="066F5ED2"/>
    <w:rsid w:val="07862043"/>
    <w:rsid w:val="079C2FAC"/>
    <w:rsid w:val="07ED2710"/>
    <w:rsid w:val="07ED5D2D"/>
    <w:rsid w:val="08A76D63"/>
    <w:rsid w:val="0A7A06CD"/>
    <w:rsid w:val="0A9C5E28"/>
    <w:rsid w:val="0AA45825"/>
    <w:rsid w:val="0B3E4FB5"/>
    <w:rsid w:val="0B876DA6"/>
    <w:rsid w:val="0B991F07"/>
    <w:rsid w:val="0BCD2048"/>
    <w:rsid w:val="0C1C35A2"/>
    <w:rsid w:val="0C4A143D"/>
    <w:rsid w:val="0C705246"/>
    <w:rsid w:val="0CAD27D4"/>
    <w:rsid w:val="0D1F6A7A"/>
    <w:rsid w:val="0D8C4DA7"/>
    <w:rsid w:val="0E826940"/>
    <w:rsid w:val="0E970697"/>
    <w:rsid w:val="0ED05230"/>
    <w:rsid w:val="0EE9378D"/>
    <w:rsid w:val="0F2B5904"/>
    <w:rsid w:val="11B73ED3"/>
    <w:rsid w:val="12795449"/>
    <w:rsid w:val="12EB2AD0"/>
    <w:rsid w:val="130C0799"/>
    <w:rsid w:val="136354E7"/>
    <w:rsid w:val="14331D3D"/>
    <w:rsid w:val="14DF7EC1"/>
    <w:rsid w:val="15325191"/>
    <w:rsid w:val="158C2B6D"/>
    <w:rsid w:val="15D22F3B"/>
    <w:rsid w:val="16066C26"/>
    <w:rsid w:val="16133E5E"/>
    <w:rsid w:val="164C7363"/>
    <w:rsid w:val="17087F4C"/>
    <w:rsid w:val="17562ADF"/>
    <w:rsid w:val="18714DB4"/>
    <w:rsid w:val="18DE6649"/>
    <w:rsid w:val="19A1106F"/>
    <w:rsid w:val="1A812401"/>
    <w:rsid w:val="1A9405BB"/>
    <w:rsid w:val="1AF93CE3"/>
    <w:rsid w:val="1B977D90"/>
    <w:rsid w:val="1BAF27D5"/>
    <w:rsid w:val="1C346633"/>
    <w:rsid w:val="1CAC7FE6"/>
    <w:rsid w:val="1CD21130"/>
    <w:rsid w:val="1DE30DB3"/>
    <w:rsid w:val="1E4F22B0"/>
    <w:rsid w:val="1F187406"/>
    <w:rsid w:val="1F835E87"/>
    <w:rsid w:val="20995391"/>
    <w:rsid w:val="20B81B4B"/>
    <w:rsid w:val="21282075"/>
    <w:rsid w:val="21B11E81"/>
    <w:rsid w:val="21CF3215"/>
    <w:rsid w:val="21D627A8"/>
    <w:rsid w:val="22765FFC"/>
    <w:rsid w:val="22A53EBB"/>
    <w:rsid w:val="22F85FBE"/>
    <w:rsid w:val="22FB2B87"/>
    <w:rsid w:val="233A2E2B"/>
    <w:rsid w:val="25394189"/>
    <w:rsid w:val="254863CC"/>
    <w:rsid w:val="255D353C"/>
    <w:rsid w:val="25673FA5"/>
    <w:rsid w:val="262F2952"/>
    <w:rsid w:val="26C20E41"/>
    <w:rsid w:val="26F058DC"/>
    <w:rsid w:val="272975C1"/>
    <w:rsid w:val="274618E3"/>
    <w:rsid w:val="27715F5E"/>
    <w:rsid w:val="27E21FC8"/>
    <w:rsid w:val="28046DFD"/>
    <w:rsid w:val="28084236"/>
    <w:rsid w:val="282633A8"/>
    <w:rsid w:val="28664D21"/>
    <w:rsid w:val="28716EFA"/>
    <w:rsid w:val="2886681A"/>
    <w:rsid w:val="28EF5E90"/>
    <w:rsid w:val="29422067"/>
    <w:rsid w:val="298D7034"/>
    <w:rsid w:val="29A16A58"/>
    <w:rsid w:val="2A241B69"/>
    <w:rsid w:val="2A8A0209"/>
    <w:rsid w:val="2B694EC9"/>
    <w:rsid w:val="2BD8709E"/>
    <w:rsid w:val="2BE11C14"/>
    <w:rsid w:val="2C1134D3"/>
    <w:rsid w:val="2C695F59"/>
    <w:rsid w:val="2D07550B"/>
    <w:rsid w:val="2D862465"/>
    <w:rsid w:val="2DA7679B"/>
    <w:rsid w:val="2E6862C2"/>
    <w:rsid w:val="2F60056B"/>
    <w:rsid w:val="2F950255"/>
    <w:rsid w:val="2FB56247"/>
    <w:rsid w:val="2FD823C2"/>
    <w:rsid w:val="2FD82C2E"/>
    <w:rsid w:val="30395C43"/>
    <w:rsid w:val="311010E0"/>
    <w:rsid w:val="31120C66"/>
    <w:rsid w:val="31EA386E"/>
    <w:rsid w:val="33AB7453"/>
    <w:rsid w:val="340F44BF"/>
    <w:rsid w:val="36A677E9"/>
    <w:rsid w:val="370B587C"/>
    <w:rsid w:val="377A2F71"/>
    <w:rsid w:val="37A66C3A"/>
    <w:rsid w:val="380B2F5F"/>
    <w:rsid w:val="382C5388"/>
    <w:rsid w:val="39761AE9"/>
    <w:rsid w:val="398F4544"/>
    <w:rsid w:val="39D13924"/>
    <w:rsid w:val="3A5F5D2A"/>
    <w:rsid w:val="3BDF5305"/>
    <w:rsid w:val="3C683C2C"/>
    <w:rsid w:val="3C943841"/>
    <w:rsid w:val="3CC720E3"/>
    <w:rsid w:val="3CF94A44"/>
    <w:rsid w:val="3D6A0B18"/>
    <w:rsid w:val="3DBE51F4"/>
    <w:rsid w:val="3EBA1C45"/>
    <w:rsid w:val="3F8955E2"/>
    <w:rsid w:val="3FF52FF7"/>
    <w:rsid w:val="40065B1F"/>
    <w:rsid w:val="40264B87"/>
    <w:rsid w:val="4136207C"/>
    <w:rsid w:val="416135FA"/>
    <w:rsid w:val="41B60C35"/>
    <w:rsid w:val="41CD076A"/>
    <w:rsid w:val="423061C3"/>
    <w:rsid w:val="42A321BA"/>
    <w:rsid w:val="42AF6223"/>
    <w:rsid w:val="43367ADD"/>
    <w:rsid w:val="435B5C8B"/>
    <w:rsid w:val="44062D00"/>
    <w:rsid w:val="44546201"/>
    <w:rsid w:val="44581F51"/>
    <w:rsid w:val="449832F3"/>
    <w:rsid w:val="451E6F60"/>
    <w:rsid w:val="45244DEA"/>
    <w:rsid w:val="46D069DB"/>
    <w:rsid w:val="47425BCF"/>
    <w:rsid w:val="484E4553"/>
    <w:rsid w:val="485129D4"/>
    <w:rsid w:val="48F44CB0"/>
    <w:rsid w:val="49040430"/>
    <w:rsid w:val="49054F84"/>
    <w:rsid w:val="49386EF2"/>
    <w:rsid w:val="4A3B6FBA"/>
    <w:rsid w:val="4A944362"/>
    <w:rsid w:val="4A950DCF"/>
    <w:rsid w:val="4C6043FF"/>
    <w:rsid w:val="4C981BA5"/>
    <w:rsid w:val="4CAF6F6C"/>
    <w:rsid w:val="4CC32F7E"/>
    <w:rsid w:val="4CC4300C"/>
    <w:rsid w:val="4CED0E45"/>
    <w:rsid w:val="4D72553A"/>
    <w:rsid w:val="4DDF729F"/>
    <w:rsid w:val="4E011820"/>
    <w:rsid w:val="4E2D698F"/>
    <w:rsid w:val="4E4C452A"/>
    <w:rsid w:val="4E5E5E11"/>
    <w:rsid w:val="4E98699E"/>
    <w:rsid w:val="4ED23FAB"/>
    <w:rsid w:val="4F6F2610"/>
    <w:rsid w:val="4F907A4A"/>
    <w:rsid w:val="50452550"/>
    <w:rsid w:val="50C82D96"/>
    <w:rsid w:val="50FC2A30"/>
    <w:rsid w:val="51403B6E"/>
    <w:rsid w:val="514C42EA"/>
    <w:rsid w:val="51A73BDA"/>
    <w:rsid w:val="525330A4"/>
    <w:rsid w:val="52726854"/>
    <w:rsid w:val="538E410D"/>
    <w:rsid w:val="53A776AF"/>
    <w:rsid w:val="53C0399E"/>
    <w:rsid w:val="54543638"/>
    <w:rsid w:val="554140D3"/>
    <w:rsid w:val="55D55D03"/>
    <w:rsid w:val="56187F25"/>
    <w:rsid w:val="5623033B"/>
    <w:rsid w:val="56553C8D"/>
    <w:rsid w:val="5658445F"/>
    <w:rsid w:val="568F6108"/>
    <w:rsid w:val="56CE1A20"/>
    <w:rsid w:val="579161E1"/>
    <w:rsid w:val="580660B1"/>
    <w:rsid w:val="584A1AA0"/>
    <w:rsid w:val="5851284C"/>
    <w:rsid w:val="58D76A1B"/>
    <w:rsid w:val="58F3500B"/>
    <w:rsid w:val="59EC68B8"/>
    <w:rsid w:val="5A4B59E1"/>
    <w:rsid w:val="5A6E3589"/>
    <w:rsid w:val="5A9814EF"/>
    <w:rsid w:val="5B245060"/>
    <w:rsid w:val="5BD64AC1"/>
    <w:rsid w:val="5C8E6CC1"/>
    <w:rsid w:val="5CD4150B"/>
    <w:rsid w:val="5D453D32"/>
    <w:rsid w:val="5D6F1865"/>
    <w:rsid w:val="5D8E3A90"/>
    <w:rsid w:val="5E1A4807"/>
    <w:rsid w:val="5E986140"/>
    <w:rsid w:val="5ED21E8E"/>
    <w:rsid w:val="5ED7519A"/>
    <w:rsid w:val="5F0B7BE8"/>
    <w:rsid w:val="5F7243E2"/>
    <w:rsid w:val="60423FDD"/>
    <w:rsid w:val="60636240"/>
    <w:rsid w:val="61306A6A"/>
    <w:rsid w:val="614B10EF"/>
    <w:rsid w:val="61A14189"/>
    <w:rsid w:val="629F0EFE"/>
    <w:rsid w:val="62FC7815"/>
    <w:rsid w:val="63234C06"/>
    <w:rsid w:val="635941B3"/>
    <w:rsid w:val="63D27641"/>
    <w:rsid w:val="64C02086"/>
    <w:rsid w:val="65877B96"/>
    <w:rsid w:val="658925AF"/>
    <w:rsid w:val="66845C96"/>
    <w:rsid w:val="673451CA"/>
    <w:rsid w:val="6772399F"/>
    <w:rsid w:val="6780006F"/>
    <w:rsid w:val="6783093A"/>
    <w:rsid w:val="684D2239"/>
    <w:rsid w:val="689C77C3"/>
    <w:rsid w:val="68B72DD1"/>
    <w:rsid w:val="695A5C90"/>
    <w:rsid w:val="6A274C05"/>
    <w:rsid w:val="6B1B462D"/>
    <w:rsid w:val="6D971A88"/>
    <w:rsid w:val="6DA25BA6"/>
    <w:rsid w:val="6EE41F08"/>
    <w:rsid w:val="6EEF65B2"/>
    <w:rsid w:val="6F32730A"/>
    <w:rsid w:val="705C256B"/>
    <w:rsid w:val="7139323E"/>
    <w:rsid w:val="7263292A"/>
    <w:rsid w:val="72944127"/>
    <w:rsid w:val="73093017"/>
    <w:rsid w:val="737B68A8"/>
    <w:rsid w:val="741D0B3E"/>
    <w:rsid w:val="743D52CE"/>
    <w:rsid w:val="74E04D56"/>
    <w:rsid w:val="752A0A70"/>
    <w:rsid w:val="752E6281"/>
    <w:rsid w:val="754135B9"/>
    <w:rsid w:val="75656114"/>
    <w:rsid w:val="756B3B40"/>
    <w:rsid w:val="75B80778"/>
    <w:rsid w:val="76A9700F"/>
    <w:rsid w:val="771B2AA9"/>
    <w:rsid w:val="776963DA"/>
    <w:rsid w:val="783919C4"/>
    <w:rsid w:val="78703A36"/>
    <w:rsid w:val="78D00495"/>
    <w:rsid w:val="78EA426B"/>
    <w:rsid w:val="78FA1F51"/>
    <w:rsid w:val="795067BF"/>
    <w:rsid w:val="79A57AB6"/>
    <w:rsid w:val="79CB3169"/>
    <w:rsid w:val="79FA6E97"/>
    <w:rsid w:val="7A597865"/>
    <w:rsid w:val="7A6F193F"/>
    <w:rsid w:val="7B1665E7"/>
    <w:rsid w:val="7BCD3C95"/>
    <w:rsid w:val="7C4A0BE1"/>
    <w:rsid w:val="7C66738C"/>
    <w:rsid w:val="7C6737CC"/>
    <w:rsid w:val="7CC01DE0"/>
    <w:rsid w:val="7D056BA5"/>
    <w:rsid w:val="7E5425CE"/>
    <w:rsid w:val="7E7B76A5"/>
    <w:rsid w:val="7EB4618D"/>
    <w:rsid w:val="7F4D74FA"/>
    <w:rsid w:val="7F5319DC"/>
    <w:rsid w:val="7FC931CF"/>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4"/>
    <w:autoRedefine/>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autoRedefine/>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autoRedefine/>
    <w:qFormat/>
    <w:uiPriority w:val="0"/>
    <w:pPr>
      <w:ind w:firstLine="830" w:firstLineChars="352"/>
    </w:pPr>
    <w:rPr>
      <w:rFonts w:ascii="仿宋_GB2312" w:eastAsia="仿宋_GB2312"/>
      <w:sz w:val="32"/>
    </w:rPr>
  </w:style>
  <w:style w:type="paragraph" w:styleId="8">
    <w:name w:val="Normal Indent"/>
    <w:basedOn w:val="1"/>
    <w:autoRedefine/>
    <w:qFormat/>
    <w:uiPriority w:val="99"/>
    <w:pPr>
      <w:ind w:firstLine="420"/>
    </w:pPr>
  </w:style>
  <w:style w:type="paragraph" w:styleId="9">
    <w:name w:val="annotation text"/>
    <w:basedOn w:val="1"/>
    <w:autoRedefine/>
    <w:qFormat/>
    <w:uiPriority w:val="0"/>
    <w:pPr>
      <w:jc w:val="left"/>
    </w:pPr>
  </w:style>
  <w:style w:type="paragraph" w:styleId="10">
    <w:name w:val="Body Text"/>
    <w:basedOn w:val="1"/>
    <w:link w:val="41"/>
    <w:autoRedefine/>
    <w:qFormat/>
    <w:uiPriority w:val="0"/>
    <w:pPr>
      <w:spacing w:after="120"/>
    </w:pPr>
  </w:style>
  <w:style w:type="paragraph" w:styleId="11">
    <w:name w:val="List Bullet 2"/>
    <w:basedOn w:val="1"/>
    <w:autoRedefine/>
    <w:qFormat/>
    <w:uiPriority w:val="0"/>
    <w:pPr>
      <w:numPr>
        <w:ilvl w:val="0"/>
        <w:numId w:val="2"/>
      </w:numPr>
    </w:pPr>
  </w:style>
  <w:style w:type="paragraph" w:styleId="12">
    <w:name w:val="Plain Text"/>
    <w:basedOn w:val="1"/>
    <w:autoRedefine/>
    <w:qFormat/>
    <w:uiPriority w:val="0"/>
    <w:rPr>
      <w:rFonts w:ascii="宋体" w:hAnsi="Courier New" w:cs="Courier New"/>
      <w:szCs w:val="21"/>
    </w:rPr>
  </w:style>
  <w:style w:type="paragraph" w:styleId="13">
    <w:name w:val="Balloon Text"/>
    <w:basedOn w:val="1"/>
    <w:link w:val="33"/>
    <w:autoRedefine/>
    <w:qFormat/>
    <w:uiPriority w:val="0"/>
    <w:rPr>
      <w:sz w:val="18"/>
      <w:szCs w:val="18"/>
    </w:rPr>
  </w:style>
  <w:style w:type="paragraph" w:styleId="14">
    <w:name w:val="footer"/>
    <w:basedOn w:val="1"/>
    <w:link w:val="39"/>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autoRedefine/>
    <w:qFormat/>
    <w:uiPriority w:val="0"/>
    <w:pPr>
      <w:spacing w:after="120"/>
      <w:ind w:left="420" w:leftChars="200"/>
    </w:pPr>
    <w:rPr>
      <w:sz w:val="16"/>
      <w:szCs w:val="16"/>
    </w:rPr>
  </w:style>
  <w:style w:type="paragraph" w:styleId="17">
    <w:name w:val="Body Text 2"/>
    <w:basedOn w:val="1"/>
    <w:autoRedefine/>
    <w:unhideWhenUsed/>
    <w:qFormat/>
    <w:uiPriority w:val="99"/>
    <w:pPr>
      <w:widowControl/>
      <w:spacing w:after="120" w:line="480" w:lineRule="auto"/>
      <w:jc w:val="left"/>
    </w:pPr>
    <w:rPr>
      <w:rFonts w:ascii="宋体" w:hAnsi="宋体"/>
      <w:kern w:val="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21"/>
    <w:link w:val="13"/>
    <w:autoRedefine/>
    <w:qFormat/>
    <w:uiPriority w:val="0"/>
    <w:rPr>
      <w:rFonts w:ascii="Times New Roman" w:hAnsi="Times New Roman" w:eastAsia="宋体" w:cs="Times New Roman"/>
      <w:kern w:val="2"/>
      <w:sz w:val="18"/>
      <w:szCs w:val="18"/>
    </w:rPr>
  </w:style>
  <w:style w:type="character" w:customStyle="1" w:styleId="34">
    <w:name w:val="标题 3 Char"/>
    <w:basedOn w:val="21"/>
    <w:link w:val="6"/>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4"/>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10"/>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paragraph" w:customStyle="1" w:styleId="4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定格"/>
    <w:basedOn w:val="1"/>
    <w:autoRedefine/>
    <w:qFormat/>
    <w:uiPriority w:val="0"/>
    <w:pPr>
      <w:spacing w:line="360" w:lineRule="auto"/>
      <w:ind w:left="200" w:hanging="200" w:hangingChars="200"/>
    </w:pPr>
    <w:rPr>
      <w:kern w:val="0"/>
      <w:sz w:val="24"/>
      <w:szCs w:val="20"/>
    </w:rPr>
  </w:style>
  <w:style w:type="table" w:customStyle="1" w:styleId="46">
    <w:name w:val="网格型1"/>
    <w:basedOn w:val="19"/>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7">
    <w:name w:val="网格型2"/>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22</Pages>
  <Words>1344</Words>
  <Characters>7662</Characters>
  <Lines>63</Lines>
  <Paragraphs>17</Paragraphs>
  <TotalTime>3</TotalTime>
  <ScaleCrop>false</ScaleCrop>
  <LinksUpToDate>false</LinksUpToDate>
  <CharactersWithSpaces>8989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2024-04-12T00:46:00Z</cp:lastPrinted>
  <dcterms:modified xsi:type="dcterms:W3CDTF">2024-04-15T03:12:25Z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47429C040DC449BB8D491E4A4BA5268A</vt:lpwstr>
  </property>
</Properties>
</file>