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22601"/>
      <w:bookmarkStart w:id="1" w:name="_Toc4061"/>
      <w:bookmarkStart w:id="2" w:name="_Toc14280"/>
      <w:bookmarkStart w:id="3" w:name="_Toc32317"/>
      <w:bookmarkStart w:id="4" w:name="_Toc13578"/>
      <w:r>
        <w:rPr>
          <w:rFonts w:hint="eastAsia" w:ascii="宋体" w:hAnsi="宋体"/>
          <w:b/>
          <w:kern w:val="0"/>
          <w:sz w:val="44"/>
          <w:szCs w:val="44"/>
        </w:rPr>
        <w:t>南方医科大学第五附属医院</w:t>
      </w:r>
      <w:bookmarkEnd w:id="0"/>
      <w:bookmarkEnd w:id="1"/>
      <w:bookmarkEnd w:id="2"/>
      <w:bookmarkEnd w:id="3"/>
      <w:bookmarkEnd w:id="4"/>
    </w:p>
    <w:p>
      <w:pPr>
        <w:jc w:val="center"/>
        <w:rPr>
          <w:rFonts w:ascii="宋体" w:hAnsi="宋体"/>
          <w:b/>
          <w:kern w:val="0"/>
          <w:sz w:val="44"/>
          <w:szCs w:val="44"/>
        </w:rPr>
      </w:pPr>
    </w:p>
    <w:p>
      <w:pPr>
        <w:jc w:val="center"/>
        <w:outlineLvl w:val="0"/>
        <w:rPr>
          <w:rFonts w:hint="eastAsia" w:ascii="宋体" w:hAnsi="宋体" w:eastAsia="宋体"/>
          <w:b/>
          <w:kern w:val="0"/>
          <w:sz w:val="44"/>
          <w:szCs w:val="44"/>
          <w:lang w:eastAsia="zh-CN"/>
        </w:rPr>
      </w:pPr>
      <w:bookmarkStart w:id="5" w:name="_Toc21805"/>
      <w:bookmarkStart w:id="6" w:name="_Toc27817"/>
      <w:r>
        <w:rPr>
          <w:rFonts w:hint="eastAsia" w:ascii="宋体" w:hAnsi="宋体"/>
          <w:b/>
          <w:kern w:val="0"/>
          <w:sz w:val="44"/>
          <w:szCs w:val="44"/>
          <w:lang w:eastAsia="zh-CN"/>
        </w:rPr>
        <w:t>窗口微信支付宝扫码支付项目</w:t>
      </w:r>
      <w:bookmarkEnd w:id="5"/>
      <w:bookmarkEnd w:id="6"/>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7" w:name="_Toc31231"/>
      <w:bookmarkStart w:id="8" w:name="_Toc32344"/>
      <w:bookmarkStart w:id="9" w:name="_Toc9490"/>
      <w:bookmarkStart w:id="10" w:name="_Toc27225"/>
      <w:bookmarkStart w:id="11" w:name="_Toc6813"/>
      <w:r>
        <w:rPr>
          <w:rFonts w:hint="eastAsia" w:ascii="宋体" w:hAnsi="宋体"/>
          <w:b/>
          <w:bCs/>
          <w:sz w:val="72"/>
          <w:szCs w:val="72"/>
        </w:rPr>
        <w:t>院内采购文件</w:t>
      </w:r>
      <w:bookmarkEnd w:id="7"/>
      <w:bookmarkEnd w:id="8"/>
      <w:bookmarkEnd w:id="9"/>
      <w:bookmarkEnd w:id="10"/>
      <w:bookmarkEnd w:id="11"/>
    </w:p>
    <w:p>
      <w:pPr>
        <w:spacing w:line="480" w:lineRule="auto"/>
        <w:ind w:firstLine="843" w:firstLineChars="300"/>
        <w:jc w:val="center"/>
        <w:rPr>
          <w:rFonts w:ascii="宋体" w:hAnsi="宋体"/>
          <w:b/>
          <w:bCs/>
          <w:sz w:val="28"/>
          <w:szCs w:val="28"/>
        </w:rPr>
      </w:pPr>
    </w:p>
    <w:p>
      <w:pPr>
        <w:pStyle w:val="28"/>
      </w:pPr>
    </w:p>
    <w:p>
      <w:pPr>
        <w:pStyle w:val="28"/>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eastAsia" w:ascii="宋体" w:hAnsi="宋体" w:eastAsia="宋体"/>
          <w:b/>
          <w:bCs/>
          <w:sz w:val="36"/>
          <w:szCs w:val="36"/>
          <w:lang w:val="en-US" w:eastAsia="zh-CN"/>
        </w:rPr>
      </w:pPr>
      <w:bookmarkStart w:id="12" w:name="_Toc8823"/>
      <w:bookmarkStart w:id="13" w:name="_Toc354"/>
      <w:bookmarkStart w:id="14" w:name="_Toc18620"/>
      <w:bookmarkStart w:id="15" w:name="_Toc2184"/>
      <w:bookmarkStart w:id="16" w:name="_Toc21120"/>
      <w:r>
        <w:rPr>
          <w:rFonts w:hint="eastAsia" w:ascii="宋体" w:hAnsi="宋体"/>
          <w:b/>
          <w:bCs/>
          <w:sz w:val="36"/>
          <w:szCs w:val="36"/>
        </w:rPr>
        <w:t>项目编号：</w:t>
      </w:r>
      <w:bookmarkEnd w:id="12"/>
      <w:r>
        <w:rPr>
          <w:rFonts w:hint="eastAsia" w:ascii="宋体" w:hAnsi="宋体"/>
          <w:b/>
          <w:bCs/>
          <w:sz w:val="36"/>
          <w:szCs w:val="36"/>
        </w:rPr>
        <w:t>NYWYF202400</w:t>
      </w:r>
      <w:bookmarkEnd w:id="13"/>
      <w:bookmarkEnd w:id="14"/>
      <w:r>
        <w:rPr>
          <w:rFonts w:hint="eastAsia" w:ascii="宋体" w:hAnsi="宋体"/>
          <w:b/>
          <w:bCs/>
          <w:sz w:val="36"/>
          <w:szCs w:val="36"/>
        </w:rPr>
        <w:t>0</w:t>
      </w:r>
      <w:r>
        <w:rPr>
          <w:rFonts w:hint="eastAsia" w:ascii="宋体" w:hAnsi="宋体"/>
          <w:b/>
          <w:bCs/>
          <w:sz w:val="36"/>
          <w:szCs w:val="36"/>
          <w:lang w:val="en-US" w:eastAsia="zh-CN"/>
        </w:rPr>
        <w:t>7</w:t>
      </w:r>
      <w:bookmarkEnd w:id="15"/>
      <w:bookmarkEnd w:id="16"/>
    </w:p>
    <w:p>
      <w:pPr>
        <w:pStyle w:val="28"/>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7" w:name="_Toc20952"/>
      <w:bookmarkStart w:id="18" w:name="_Toc25070"/>
      <w:bookmarkStart w:id="19" w:name="_Toc32738"/>
      <w:bookmarkStart w:id="20" w:name="_Toc32511"/>
      <w:bookmarkStart w:id="21" w:name="_Toc24872"/>
      <w:r>
        <w:rPr>
          <w:rFonts w:hint="eastAsia" w:ascii="宋体" w:hAnsi="宋体"/>
          <w:b/>
          <w:bCs/>
          <w:sz w:val="32"/>
          <w:szCs w:val="32"/>
        </w:rPr>
        <w:t>日 期：2024年</w:t>
      </w:r>
      <w:r>
        <w:rPr>
          <w:rFonts w:hint="eastAsia" w:ascii="宋体" w:hAnsi="宋体"/>
          <w:b/>
          <w:bCs/>
          <w:sz w:val="32"/>
          <w:szCs w:val="32"/>
          <w:lang w:val="en-US" w:eastAsia="zh-CN"/>
        </w:rPr>
        <w:t>4</w:t>
      </w:r>
      <w:r>
        <w:rPr>
          <w:rFonts w:hint="eastAsia" w:ascii="宋体" w:hAnsi="宋体"/>
          <w:b/>
          <w:bCs/>
          <w:sz w:val="32"/>
          <w:szCs w:val="32"/>
        </w:rPr>
        <w:t>月</w:t>
      </w:r>
      <w:bookmarkEnd w:id="17"/>
      <w:bookmarkEnd w:id="18"/>
      <w:bookmarkEnd w:id="19"/>
      <w:bookmarkEnd w:id="20"/>
      <w:bookmarkEnd w:id="21"/>
    </w:p>
    <w:sdt>
      <w:sdtPr>
        <w:rPr>
          <w:rFonts w:ascii="宋体" w:hAnsi="宋体" w:eastAsia="宋体" w:cs="Times New Roman"/>
          <w:b/>
          <w:bCs/>
          <w:kern w:val="2"/>
          <w:sz w:val="32"/>
          <w:szCs w:val="32"/>
          <w:lang w:val="en-US" w:eastAsia="zh-CN" w:bidi="ar-SA"/>
        </w:rPr>
        <w:id w:val="147452070"/>
        <w15:color w:val="DBDBDB"/>
        <w:docPartObj>
          <w:docPartGallery w:val="Table of Contents"/>
          <w:docPartUnique/>
        </w:docPartObj>
      </w:sdtPr>
      <w:sdtEndPr>
        <w:rPr>
          <w:rFonts w:hint="eastAsia" w:ascii="宋体" w:hAnsi="宋体" w:eastAsia="宋体" w:cs="宋体"/>
          <w:b/>
          <w:bCs/>
          <w:kern w:val="0"/>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b/>
              <w:bCs/>
              <w:kern w:val="2"/>
              <w:sz w:val="32"/>
              <w:szCs w:val="3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b/>
              <w:bCs/>
              <w:kern w:val="2"/>
              <w:sz w:val="32"/>
              <w:szCs w:val="32"/>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sz w:val="24"/>
              <w:szCs w:val="24"/>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rFonts w:hint="eastAsia" w:ascii="宋体" w:hAnsi="宋体" w:eastAsia="宋体"/>
              <w:b/>
              <w:bCs/>
              <w:sz w:val="32"/>
              <w:szCs w:val="32"/>
              <w:lang w:val="en-US" w:eastAsia="zh-CN"/>
            </w:rPr>
            <w:t xml:space="preserve">  </w:t>
          </w: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TOC \o "1-1" \h \u </w:instrText>
          </w:r>
          <w:r>
            <w:rPr>
              <w:rFonts w:hint="eastAsia" w:ascii="宋体" w:hAnsi="宋体" w:eastAsia="宋体" w:cs="宋体"/>
              <w:b/>
              <w:bCs/>
              <w:kern w:val="0"/>
              <w:sz w:val="24"/>
              <w:szCs w:val="24"/>
            </w:rPr>
            <w:fldChar w:fldCharType="separate"/>
          </w:r>
        </w:p>
        <w:p>
          <w:pPr>
            <w:pStyle w:val="30"/>
            <w:tabs>
              <w:tab w:val="right" w:leader="dot" w:pos="9638"/>
            </w:tabs>
            <w:spacing w:line="360" w:lineRule="auto"/>
            <w:rPr>
              <w:rFonts w:hint="eastAsia" w:ascii="宋体" w:hAnsi="宋体" w:eastAsia="宋体" w:cs="宋体"/>
              <w:b/>
              <w:bCs/>
              <w:kern w:val="0"/>
              <w:sz w:val="24"/>
              <w:szCs w:val="24"/>
            </w:rPr>
          </w:pPr>
        </w:p>
        <w:p>
          <w:pPr>
            <w:pStyle w:val="30"/>
            <w:tabs>
              <w:tab w:val="right" w:leader="dot" w:pos="9638"/>
            </w:tabs>
            <w:spacing w:line="360" w:lineRule="auto"/>
            <w:rPr>
              <w:rFonts w:hint="eastAsia" w:ascii="宋体" w:hAnsi="宋体" w:eastAsia="宋体" w:cs="宋体"/>
              <w:b/>
              <w:bCs/>
              <w:kern w:val="0"/>
              <w:sz w:val="24"/>
              <w:szCs w:val="24"/>
            </w:rPr>
          </w:pP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_Toc8993 </w:instrText>
          </w:r>
          <w:r>
            <w:rPr>
              <w:rFonts w:hint="eastAsia" w:ascii="宋体" w:hAnsi="宋体" w:eastAsia="宋体" w:cs="宋体"/>
              <w:b/>
              <w:bCs/>
              <w:kern w:val="0"/>
              <w:sz w:val="24"/>
              <w:szCs w:val="24"/>
            </w:rPr>
            <w:fldChar w:fldCharType="separate"/>
          </w:r>
          <w:r>
            <w:rPr>
              <w:rFonts w:hint="eastAsia" w:ascii="宋体" w:hAnsi="宋体" w:eastAsia="宋体" w:cs="宋体"/>
              <w:b/>
              <w:bCs/>
              <w:sz w:val="24"/>
              <w:szCs w:val="24"/>
            </w:rPr>
            <w:t>第一部分 报名邀请函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_Toc8993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_Toc1775 </w:instrText>
          </w:r>
          <w:r>
            <w:rPr>
              <w:rFonts w:hint="eastAsia" w:ascii="宋体" w:hAnsi="宋体" w:eastAsia="宋体" w:cs="宋体"/>
              <w:b/>
              <w:bCs/>
              <w:kern w:val="0"/>
              <w:sz w:val="24"/>
              <w:szCs w:val="24"/>
            </w:rPr>
            <w:fldChar w:fldCharType="separate"/>
          </w:r>
          <w:r>
            <w:rPr>
              <w:rFonts w:hint="eastAsia" w:ascii="宋体" w:hAnsi="宋体" w:eastAsia="宋体" w:cs="宋体"/>
              <w:b/>
              <w:bCs/>
              <w:sz w:val="24"/>
              <w:szCs w:val="24"/>
            </w:rPr>
            <w:t xml:space="preserve">第二部分 </w:t>
          </w:r>
          <w:r>
            <w:rPr>
              <w:rFonts w:hint="eastAsia" w:ascii="宋体" w:hAnsi="宋体" w:eastAsia="宋体" w:cs="宋体"/>
              <w:b/>
              <w:bCs/>
              <w:sz w:val="24"/>
              <w:szCs w:val="24"/>
              <w:lang w:eastAsia="zh-CN"/>
            </w:rPr>
            <w:t>采购</w:t>
          </w:r>
          <w:r>
            <w:rPr>
              <w:rFonts w:hint="eastAsia" w:ascii="宋体" w:hAnsi="宋体" w:eastAsia="宋体" w:cs="宋体"/>
              <w:b/>
              <w:bCs/>
              <w:sz w:val="24"/>
              <w:szCs w:val="24"/>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_Toc1775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_Toc30350 </w:instrText>
          </w:r>
          <w:r>
            <w:rPr>
              <w:rFonts w:hint="eastAsia" w:ascii="宋体" w:hAnsi="宋体" w:eastAsia="宋体" w:cs="宋体"/>
              <w:b/>
              <w:bCs/>
              <w:kern w:val="0"/>
              <w:sz w:val="24"/>
              <w:szCs w:val="24"/>
            </w:rPr>
            <w:fldChar w:fldCharType="separate"/>
          </w:r>
          <w:r>
            <w:rPr>
              <w:rFonts w:hint="eastAsia" w:ascii="宋体" w:hAnsi="宋体" w:eastAsia="宋体" w:cs="宋体"/>
              <w:b/>
              <w:bCs/>
              <w:kern w:val="0"/>
              <w:sz w:val="24"/>
              <w:szCs w:val="24"/>
              <w:lang w:eastAsia="zh-CN"/>
            </w:rPr>
            <w:t>第三部分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_Toc30350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_Toc2952 </w:instrText>
          </w:r>
          <w:r>
            <w:rPr>
              <w:rFonts w:hint="eastAsia" w:ascii="宋体" w:hAnsi="宋体" w:eastAsia="宋体" w:cs="宋体"/>
              <w:b/>
              <w:bCs/>
              <w:kern w:val="0"/>
              <w:sz w:val="24"/>
              <w:szCs w:val="24"/>
            </w:rPr>
            <w:fldChar w:fldCharType="separate"/>
          </w:r>
          <w:r>
            <w:rPr>
              <w:rFonts w:hint="eastAsia" w:ascii="宋体" w:hAnsi="宋体" w:eastAsia="宋体" w:cs="宋体"/>
              <w:b/>
              <w:bCs/>
              <w:kern w:val="0"/>
              <w:sz w:val="24"/>
              <w:szCs w:val="24"/>
            </w:rPr>
            <w:t>第</w:t>
          </w:r>
          <w:r>
            <w:rPr>
              <w:rFonts w:hint="eastAsia" w:ascii="宋体" w:hAnsi="宋体" w:eastAsia="宋体" w:cs="宋体"/>
              <w:b/>
              <w:bCs/>
              <w:kern w:val="0"/>
              <w:sz w:val="24"/>
              <w:szCs w:val="24"/>
              <w:lang w:eastAsia="zh-CN"/>
            </w:rPr>
            <w:t>四</w:t>
          </w:r>
          <w:r>
            <w:rPr>
              <w:rFonts w:hint="eastAsia" w:ascii="宋体" w:hAnsi="宋体" w:eastAsia="宋体" w:cs="宋体"/>
              <w:b/>
              <w:bCs/>
              <w:kern w:val="0"/>
              <w:sz w:val="24"/>
              <w:szCs w:val="24"/>
            </w:rPr>
            <w:t>部分  资料整理注意事项</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_Toc16968 </w:instrText>
          </w:r>
          <w:r>
            <w:rPr>
              <w:rFonts w:hint="eastAsia" w:ascii="宋体" w:hAnsi="宋体" w:eastAsia="宋体" w:cs="宋体"/>
              <w:b/>
              <w:bCs/>
              <w:kern w:val="0"/>
              <w:sz w:val="24"/>
              <w:szCs w:val="24"/>
            </w:rPr>
            <w:fldChar w:fldCharType="separate"/>
          </w:r>
          <w:r>
            <w:rPr>
              <w:rFonts w:hint="eastAsia" w:ascii="宋体" w:hAnsi="宋体" w:eastAsia="宋体" w:cs="宋体"/>
              <w:b/>
              <w:bCs/>
              <w:kern w:val="0"/>
              <w:sz w:val="24"/>
              <w:szCs w:val="24"/>
            </w:rPr>
            <w:t>第</w:t>
          </w: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rPr>
            <w:t>部分  相关格式文件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_Toc16968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pStyle w:val="30"/>
            <w:tabs>
              <w:tab w:val="right" w:leader="dot" w:pos="9638"/>
            </w:tabs>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rPr>
            <w:fldChar w:fldCharType="begin"/>
          </w:r>
          <w:r>
            <w:rPr>
              <w:rFonts w:hint="eastAsia" w:ascii="宋体" w:hAnsi="宋体" w:eastAsia="宋体" w:cs="宋体"/>
              <w:b/>
              <w:bCs/>
              <w:kern w:val="0"/>
              <w:sz w:val="24"/>
              <w:szCs w:val="24"/>
            </w:rPr>
            <w:instrText xml:space="preserve"> HYPERLINK \l _Toc26686 </w:instrText>
          </w:r>
          <w:r>
            <w:rPr>
              <w:rFonts w:hint="eastAsia" w:ascii="宋体" w:hAnsi="宋体" w:eastAsia="宋体" w:cs="宋体"/>
              <w:b/>
              <w:bCs/>
              <w:kern w:val="0"/>
              <w:sz w:val="24"/>
              <w:szCs w:val="24"/>
            </w:rPr>
            <w:fldChar w:fldCharType="separate"/>
          </w: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部分 合同模板（成功报名后获取）</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_Toc26686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21</w:t>
          </w:r>
          <w:r>
            <w:rPr>
              <w:rFonts w:hint="eastAsia" w:ascii="宋体" w:hAnsi="宋体" w:eastAsia="宋体" w:cs="宋体"/>
              <w:b/>
              <w:bCs/>
              <w:sz w:val="24"/>
              <w:szCs w:val="24"/>
            </w:rPr>
            <w:fldChar w:fldCharType="end"/>
          </w:r>
          <w:r>
            <w:rPr>
              <w:rFonts w:hint="eastAsia" w:ascii="宋体" w:hAnsi="宋体" w:eastAsia="宋体" w:cs="宋体"/>
              <w:b/>
              <w:bCs/>
              <w:kern w:val="0"/>
              <w:sz w:val="24"/>
              <w:szCs w:val="24"/>
            </w:rPr>
            <w:fldChar w:fldCharType="end"/>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fldChar w:fldCharType="end"/>
          </w:r>
        </w:p>
      </w:sdtContent>
    </w:sdt>
    <w:p>
      <w:pPr>
        <w:spacing w:line="360" w:lineRule="auto"/>
        <w:jc w:val="center"/>
        <w:rPr>
          <w:rFonts w:hint="eastAsia" w:ascii="宋体" w:hAnsi="宋体" w:eastAsia="宋体" w:cs="宋体"/>
          <w:b/>
          <w:bCs/>
          <w:kern w:val="0"/>
          <w:sz w:val="24"/>
          <w:szCs w:val="24"/>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22" w:name="_Toc24458"/>
      <w:bookmarkStart w:id="23" w:name="_Toc5276"/>
      <w:bookmarkStart w:id="24" w:name="_Toc8993"/>
      <w:bookmarkStart w:id="25" w:name="_Toc20919"/>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22"/>
      <w:bookmarkEnd w:id="23"/>
      <w:bookmarkEnd w:id="24"/>
      <w:bookmarkEnd w:id="25"/>
    </w:p>
    <w:p>
      <w:pPr>
        <w:keepNext w:val="0"/>
        <w:keepLines w:val="0"/>
        <w:pageBreakBefore w:val="0"/>
        <w:kinsoku/>
        <w:wordWrap/>
        <w:overflowPunct/>
        <w:topLinePunct w:val="0"/>
        <w:bidi w:val="0"/>
        <w:spacing w:line="360" w:lineRule="auto"/>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根据我院业务发展需要，近期拟采购</w:t>
      </w:r>
      <w:r>
        <w:rPr>
          <w:rFonts w:hint="eastAsia" w:ascii="宋体" w:hAnsi="宋体" w:cs="宋体"/>
          <w:color w:val="auto"/>
          <w:sz w:val="21"/>
          <w:szCs w:val="21"/>
          <w:lang w:eastAsia="zh-CN"/>
        </w:rPr>
        <w:t>窗口微信支付宝扫码支付项目</w:t>
      </w:r>
      <w:r>
        <w:rPr>
          <w:rFonts w:hint="eastAsia" w:ascii="宋体" w:hAnsi="宋体" w:eastAsia="宋体" w:cs="宋体"/>
          <w:color w:val="auto"/>
          <w:sz w:val="21"/>
          <w:szCs w:val="21"/>
        </w:rPr>
        <w:t>，现根据相关规定特此公告，欢迎符合条件的供应商参加。</w:t>
      </w:r>
    </w:p>
    <w:p>
      <w:pPr>
        <w:keepNext w:val="0"/>
        <w:keepLines w:val="0"/>
        <w:pageBreakBefore w:val="0"/>
        <w:kinsoku/>
        <w:wordWrap/>
        <w:overflowPunct/>
        <w:topLinePunct w:val="0"/>
        <w:bidi w:val="0"/>
        <w:spacing w:line="360" w:lineRule="auto"/>
        <w:ind w:firstLine="422" w:firstLineChars="200"/>
        <w:contextualSpacing/>
        <w:textAlignment w:val="auto"/>
        <w:outlineLvl w:val="1"/>
        <w:rPr>
          <w:rFonts w:hint="eastAsia" w:ascii="宋体" w:hAnsi="宋体" w:eastAsia="宋体" w:cs="宋体"/>
          <w:b/>
          <w:bCs/>
          <w:color w:val="auto"/>
          <w:sz w:val="21"/>
          <w:szCs w:val="21"/>
        </w:rPr>
      </w:pPr>
      <w:bookmarkStart w:id="26" w:name="_Toc22469"/>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采购需求</w:t>
      </w:r>
      <w:bookmarkEnd w:id="26"/>
    </w:p>
    <w:p>
      <w:pPr>
        <w:keepNext w:val="0"/>
        <w:keepLines w:val="0"/>
        <w:pageBreakBefore w:val="0"/>
        <w:kinsoku/>
        <w:wordWrap/>
        <w:overflowPunct/>
        <w:topLinePunct w:val="0"/>
        <w:bidi w:val="0"/>
        <w:spacing w:line="360" w:lineRule="auto"/>
        <w:ind w:firstLine="422" w:firstLineChars="200"/>
        <w:textAlignment w:val="auto"/>
        <w:rPr>
          <w:rFonts w:hint="default" w:ascii="宋体" w:hAnsi="宋体" w:eastAsia="宋体" w:cs="宋体"/>
          <w:b/>
          <w:bCs w:val="0"/>
          <w:color w:val="auto"/>
          <w:sz w:val="21"/>
          <w:szCs w:val="21"/>
          <w:lang w:val="en-US"/>
        </w:rPr>
      </w:pPr>
      <w:r>
        <w:rPr>
          <w:rFonts w:hint="eastAsia" w:ascii="宋体" w:hAnsi="宋体" w:eastAsia="宋体" w:cs="宋体"/>
          <w:b/>
          <w:bCs/>
          <w:color w:val="auto"/>
          <w:sz w:val="21"/>
          <w:szCs w:val="21"/>
          <w:lang w:val="en-US" w:eastAsia="zh-CN"/>
        </w:rPr>
        <w:t>1.项目编号：</w:t>
      </w:r>
      <w:r>
        <w:rPr>
          <w:rFonts w:hint="eastAsia" w:ascii="宋体" w:hAnsi="宋体" w:eastAsia="宋体" w:cs="宋体"/>
          <w:b w:val="0"/>
          <w:bCs w:val="0"/>
          <w:color w:val="auto"/>
          <w:sz w:val="21"/>
          <w:szCs w:val="21"/>
          <w:lang w:val="en-US" w:eastAsia="zh-CN"/>
        </w:rPr>
        <w:t>NYWYF2024000</w:t>
      </w:r>
      <w:r>
        <w:rPr>
          <w:rFonts w:hint="eastAsia" w:ascii="宋体" w:hAnsi="宋体" w:cs="宋体"/>
          <w:b w:val="0"/>
          <w:bCs w:val="0"/>
          <w:color w:val="auto"/>
          <w:sz w:val="21"/>
          <w:szCs w:val="21"/>
          <w:lang w:val="en-US" w:eastAsia="zh-CN"/>
        </w:rPr>
        <w:t>7</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000000"/>
          <w:sz w:val="21"/>
          <w:szCs w:val="21"/>
        </w:rPr>
        <w:t>南方医科大学第五附属医院</w:t>
      </w:r>
      <w:r>
        <w:rPr>
          <w:rFonts w:hint="eastAsia" w:ascii="宋体" w:hAnsi="宋体" w:cs="宋体"/>
          <w:color w:val="000000"/>
          <w:sz w:val="21"/>
          <w:szCs w:val="21"/>
          <w:lang w:eastAsia="zh-CN"/>
        </w:rPr>
        <w:t>窗口微信支付宝扫码支付项目</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3.项目限预算:</w:t>
      </w:r>
      <w:r>
        <w:rPr>
          <w:rFonts w:hint="eastAsia" w:ascii="宋体" w:hAnsi="宋体" w:cs="宋体"/>
          <w:color w:val="000000"/>
          <w:sz w:val="21"/>
          <w:szCs w:val="21"/>
          <w:lang w:val="en-US" w:eastAsia="zh-CN"/>
        </w:rPr>
        <w:t>15</w:t>
      </w:r>
      <w:r>
        <w:rPr>
          <w:rFonts w:hint="eastAsia" w:ascii="宋体" w:hAnsi="宋体" w:eastAsia="宋体" w:cs="宋体"/>
          <w:b w:val="0"/>
          <w:bCs w:val="0"/>
          <w:color w:val="000000"/>
          <w:sz w:val="21"/>
          <w:szCs w:val="21"/>
          <w:lang w:val="en-US" w:eastAsia="zh-CN"/>
        </w:rPr>
        <w:t>万</w:t>
      </w:r>
      <w:r>
        <w:rPr>
          <w:rFonts w:hint="eastAsia" w:ascii="宋体" w:hAnsi="宋体" w:eastAsia="宋体" w:cs="宋体"/>
          <w:b w:val="0"/>
          <w:bCs w:val="0"/>
          <w:color w:val="auto"/>
          <w:sz w:val="21"/>
          <w:szCs w:val="21"/>
          <w:lang w:val="en-US" w:eastAsia="zh-CN"/>
        </w:rPr>
        <w:t>元</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color w:val="auto"/>
          <w:sz w:val="21"/>
          <w:szCs w:val="21"/>
          <w:lang w:val="en-US" w:eastAsia="zh-CN"/>
        </w:rPr>
        <w:t>详见第二部分用户需求书</w:t>
      </w:r>
    </w:p>
    <w:p>
      <w:pPr>
        <w:keepNext w:val="0"/>
        <w:keepLines w:val="0"/>
        <w:pageBreakBefore w:val="0"/>
        <w:widowControl/>
        <w:kinsoku/>
        <w:wordWrap/>
        <w:overflowPunct/>
        <w:topLinePunct w:val="0"/>
        <w:bidi w:val="0"/>
        <w:spacing w:line="360" w:lineRule="auto"/>
        <w:ind w:firstLine="422" w:firstLineChars="200"/>
        <w:jc w:val="left"/>
        <w:textAlignment w:val="auto"/>
        <w:outlineLvl w:val="1"/>
        <w:rPr>
          <w:rFonts w:hint="eastAsia" w:ascii="宋体" w:hAnsi="宋体" w:eastAsia="宋体" w:cs="宋体"/>
          <w:b/>
          <w:bCs/>
          <w:color w:val="auto"/>
          <w:kern w:val="0"/>
          <w:sz w:val="21"/>
          <w:szCs w:val="21"/>
        </w:rPr>
      </w:pPr>
      <w:bookmarkStart w:id="27" w:name="_Toc32159"/>
      <w:r>
        <w:rPr>
          <w:rFonts w:hint="eastAsia" w:ascii="宋体" w:hAnsi="宋体" w:eastAsia="宋体" w:cs="宋体"/>
          <w:b/>
          <w:bCs/>
          <w:color w:val="auto"/>
          <w:kern w:val="0"/>
          <w:sz w:val="21"/>
          <w:szCs w:val="21"/>
        </w:rPr>
        <w:t>二、提供资料相关事项</w:t>
      </w:r>
      <w:bookmarkEnd w:id="27"/>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18</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auto"/>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kinsoku/>
        <w:wordWrap/>
        <w:overflowPunct/>
        <w:topLinePunct w:val="0"/>
        <w:bidi w:val="0"/>
        <w:spacing w:line="360" w:lineRule="auto"/>
        <w:ind w:firstLine="422" w:firstLineChars="200"/>
        <w:textAlignment w:val="auto"/>
        <w:outlineLvl w:val="1"/>
        <w:rPr>
          <w:rFonts w:hint="eastAsia" w:ascii="宋体" w:hAnsi="宋体" w:eastAsia="宋体" w:cs="宋体"/>
          <w:color w:val="auto"/>
          <w:sz w:val="21"/>
          <w:szCs w:val="21"/>
          <w:lang w:val="zh-CN" w:eastAsia="zh-CN"/>
        </w:rPr>
      </w:pPr>
      <w:bookmarkStart w:id="28" w:name="_Toc26214"/>
      <w:r>
        <w:rPr>
          <w:rFonts w:hint="eastAsia" w:ascii="宋体" w:hAnsi="宋体" w:eastAsia="宋体" w:cs="宋体"/>
          <w:b/>
          <w:bCs/>
          <w:color w:val="auto"/>
          <w:sz w:val="21"/>
          <w:szCs w:val="21"/>
          <w:lang w:val="zh-CN"/>
        </w:rPr>
        <w:t>三、供应商资格要求</w:t>
      </w:r>
      <w:bookmarkEnd w:id="28"/>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lang w:val="en-US" w:eastAsia="zh-CN" w:bidi="ar-SA"/>
        </w:rPr>
      </w:pPr>
      <w:bookmarkStart w:id="29" w:name="_Toc28359004"/>
      <w:bookmarkEnd w:id="29"/>
      <w:r>
        <w:rPr>
          <w:rFonts w:hint="eastAsia" w:ascii="宋体" w:hAnsi="宋体" w:eastAsia="宋体" w:cs="宋体"/>
          <w:color w:val="auto"/>
          <w:sz w:val="21"/>
          <w:szCs w:val="21"/>
          <w:lang w:eastAsia="zh-CN"/>
        </w:rPr>
        <w:t>1.必须是在中华人民共和国境内注册的具有独立承担民事责任能力</w:t>
      </w:r>
      <w:r>
        <w:rPr>
          <w:rFonts w:hint="eastAsia" w:ascii="宋体" w:hAnsi="宋体" w:eastAsia="宋体" w:cs="宋体"/>
          <w:color w:val="auto"/>
          <w:kern w:val="2"/>
          <w:sz w:val="21"/>
          <w:szCs w:val="21"/>
          <w:lang w:val="en-US" w:eastAsia="zh-CN" w:bidi="ar-SA"/>
        </w:rPr>
        <w:t>的法人</w:t>
      </w:r>
      <w:r>
        <w:rPr>
          <w:rFonts w:hint="eastAsia" w:ascii="宋体" w:hAnsi="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提交有效的营业执照（或事业法人登记证或身份证等相关证明） 副本复印件并加盖供应商公章；分公司报名的，必须提供总公司的营业执照副本复印件及总公司针对本项目授权复印件,并加盖供应商公章</w:t>
      </w:r>
      <w:r>
        <w:rPr>
          <w:rFonts w:hint="eastAsia" w:ascii="宋体" w:hAnsi="宋体" w:cs="宋体"/>
          <w:b/>
          <w:bCs/>
          <w:color w:val="auto"/>
          <w:kern w:val="2"/>
          <w:sz w:val="21"/>
          <w:szCs w:val="21"/>
          <w:lang w:val="en-US" w:eastAsia="zh-CN" w:bidi="ar-SA"/>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具备履行合同的设备和专业技术能力</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需</w:t>
      </w:r>
      <w:r>
        <w:rPr>
          <w:rFonts w:hint="eastAsia" w:ascii="宋体" w:hAnsi="宋体" w:cs="宋体"/>
          <w:b/>
          <w:bCs/>
          <w:color w:val="auto"/>
          <w:sz w:val="21"/>
          <w:szCs w:val="21"/>
          <w:lang w:eastAsia="zh-CN"/>
        </w:rPr>
        <w:t>提供承诺</w:t>
      </w:r>
      <w:r>
        <w:rPr>
          <w:rFonts w:hint="eastAsia" w:ascii="宋体" w:hAnsi="宋体" w:eastAsia="宋体" w:cs="宋体"/>
          <w:b/>
          <w:bCs/>
          <w:color w:val="auto"/>
          <w:sz w:val="21"/>
          <w:szCs w:val="21"/>
          <w:lang w:eastAsia="zh-CN"/>
        </w:rPr>
        <w:t>函，内容必须包含相关文字含义内容，并加盖供应商公章</w:t>
      </w:r>
      <w:r>
        <w:rPr>
          <w:rFonts w:hint="eastAsia" w:ascii="宋体" w:hAnsi="宋体" w:cs="宋体"/>
          <w:b/>
          <w:bCs/>
          <w:color w:val="auto"/>
          <w:sz w:val="21"/>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具有依法缴纳税收和社会保障资金的良好记录，</w:t>
      </w:r>
      <w:r>
        <w:rPr>
          <w:rFonts w:hint="eastAsia" w:ascii="宋体" w:hAnsi="宋体" w:eastAsia="宋体" w:cs="宋体"/>
          <w:b/>
          <w:bCs/>
          <w:color w:val="auto"/>
          <w:sz w:val="21"/>
          <w:szCs w:val="21"/>
          <w:lang w:eastAsia="zh-CN"/>
        </w:rPr>
        <w:t>提供202</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eastAsia="zh-CN"/>
        </w:rPr>
        <w:t>年以来任一个月依法缴纳税收和社会保障资金的相关材料，并加盖供应商公章。</w:t>
      </w:r>
      <w:r>
        <w:rPr>
          <w:rFonts w:hint="eastAsia" w:ascii="宋体" w:hAnsi="宋体" w:eastAsia="宋体" w:cs="宋体"/>
          <w:color w:val="auto"/>
          <w:sz w:val="21"/>
          <w:szCs w:val="21"/>
          <w:lang w:eastAsia="zh-CN"/>
        </w:rPr>
        <w:t>如依法免税或不需要缴纳社会保障资金的，</w:t>
      </w:r>
      <w:r>
        <w:rPr>
          <w:rFonts w:hint="eastAsia" w:ascii="宋体" w:hAnsi="宋体" w:eastAsia="宋体" w:cs="宋体"/>
          <w:b/>
          <w:bCs/>
          <w:color w:val="auto"/>
          <w:sz w:val="21"/>
          <w:szCs w:val="21"/>
          <w:lang w:eastAsia="zh-CN"/>
        </w:rPr>
        <w:t>提供相应证明材料并加盖供应商公章。</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提供参加本次采购活动前3年内在经营活动中没有重大违法记录，</w:t>
      </w:r>
      <w:r>
        <w:rPr>
          <w:rFonts w:hint="eastAsia" w:ascii="宋体" w:hAnsi="宋体" w:eastAsia="宋体" w:cs="宋体"/>
          <w:b/>
          <w:bCs/>
          <w:color w:val="auto"/>
          <w:sz w:val="21"/>
          <w:szCs w:val="21"/>
          <w:lang w:eastAsia="zh-CN"/>
        </w:rPr>
        <w:t>需出具声明函，内容必须包含相关文字含义内容，并加盖供应商公章。</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本项目不接受联合体报名。</w:t>
      </w:r>
      <w:r>
        <w:rPr>
          <w:rFonts w:hint="eastAsia" w:ascii="宋体" w:hAnsi="宋体" w:eastAsia="宋体" w:cs="宋体"/>
          <w:b/>
          <w:bCs/>
          <w:color w:val="auto"/>
          <w:sz w:val="21"/>
          <w:szCs w:val="21"/>
          <w:lang w:eastAsia="zh-CN"/>
        </w:rPr>
        <w:t>需提供书面承诺，内容必须包含相关文字含义内容，格式自拟，并加盖供应商公章。</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单位负责人为同一人或者存在控股、管理关系的不同单位，不得参加同一</w:t>
      </w:r>
      <w:r>
        <w:rPr>
          <w:rFonts w:hint="eastAsia" w:ascii="宋体" w:hAnsi="宋体" w:cs="宋体"/>
          <w:color w:val="auto"/>
          <w:sz w:val="21"/>
          <w:szCs w:val="21"/>
          <w:lang w:eastAsia="zh-CN"/>
        </w:rPr>
        <w:t>评审</w:t>
      </w:r>
      <w:r>
        <w:rPr>
          <w:rFonts w:hint="eastAsia" w:ascii="宋体" w:hAnsi="宋体" w:eastAsia="宋体" w:cs="宋体"/>
          <w:color w:val="auto"/>
          <w:sz w:val="21"/>
          <w:szCs w:val="21"/>
          <w:lang w:eastAsia="zh-CN"/>
        </w:rPr>
        <w:t>项目</w:t>
      </w:r>
      <w:r>
        <w:rPr>
          <w:rFonts w:hint="eastAsia" w:ascii="宋体" w:hAnsi="宋体" w:cs="宋体"/>
          <w:b/>
          <w:bCs/>
          <w:color w:val="auto"/>
          <w:sz w:val="21"/>
          <w:szCs w:val="21"/>
          <w:lang w:eastAsia="zh-CN"/>
        </w:rPr>
        <w:t>，需提供承诺函并加盖供应商公章。</w:t>
      </w:r>
    </w:p>
    <w:p>
      <w:pPr>
        <w:keepNext w:val="0"/>
        <w:keepLines w:val="0"/>
        <w:pageBreakBefore w:val="0"/>
        <w:kinsoku/>
        <w:wordWrap/>
        <w:overflowPunct/>
        <w:topLinePunct w:val="0"/>
        <w:autoSpaceDE w:val="0"/>
        <w:autoSpaceDN w:val="0"/>
        <w:bidi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auto"/>
        <w:ind w:firstLine="422" w:firstLineChars="200"/>
        <w:jc w:val="left"/>
        <w:textAlignment w:val="auto"/>
        <w:outlineLvl w:val="1"/>
        <w:rPr>
          <w:rFonts w:hint="eastAsia" w:ascii="宋体" w:hAnsi="宋体" w:eastAsia="宋体" w:cs="宋体"/>
          <w:b/>
          <w:color w:val="auto"/>
          <w:kern w:val="0"/>
          <w:sz w:val="21"/>
          <w:szCs w:val="21"/>
        </w:rPr>
      </w:pPr>
      <w:bookmarkStart w:id="30" w:name="_Toc19263"/>
      <w:r>
        <w:rPr>
          <w:rFonts w:hint="eastAsia" w:ascii="宋体" w:hAnsi="宋体" w:eastAsia="宋体" w:cs="宋体"/>
          <w:b/>
          <w:color w:val="auto"/>
          <w:kern w:val="0"/>
          <w:sz w:val="21"/>
          <w:szCs w:val="21"/>
        </w:rPr>
        <w:t>四、联系方式。</w:t>
      </w:r>
      <w:bookmarkEnd w:id="30"/>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cs="宋体"/>
          <w:color w:val="auto"/>
          <w:kern w:val="0"/>
          <w:sz w:val="21"/>
          <w:szCs w:val="21"/>
          <w:lang w:val="en-US" w:eastAsia="zh-CN"/>
        </w:rPr>
        <w:sectPr>
          <w:footerReference r:id="rId9" w:type="default"/>
          <w:pgSz w:w="11906" w:h="16838"/>
          <w:pgMar w:top="850" w:right="1134" w:bottom="567" w:left="1134" w:header="851" w:footer="992" w:gutter="0"/>
          <w:pgNumType w:fmt="decimal" w:start="1"/>
          <w:cols w:space="720" w:num="1"/>
          <w:docGrid w:linePitch="312" w:charSpace="0"/>
        </w:sectPr>
      </w:pP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汪</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250</w:t>
      </w:r>
      <w:r>
        <w:rPr>
          <w:rFonts w:hint="eastAsia" w:ascii="宋体" w:hAnsi="宋体" w:eastAsia="宋体" w:cs="宋体"/>
          <w:color w:val="auto"/>
          <w:kern w:val="0"/>
          <w:sz w:val="21"/>
          <w:szCs w:val="21"/>
          <w:lang w:val="en-US" w:eastAsia="zh-CN"/>
        </w:rPr>
        <w:t>（项目需求咨询）</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南方医科大学第五附属医院</w:t>
      </w:r>
    </w:p>
    <w:p>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月</w:t>
      </w:r>
      <w:r>
        <w:rPr>
          <w:rFonts w:hint="eastAsia" w:ascii="宋体" w:hAnsi="宋体" w:cs="宋体"/>
          <w:color w:val="auto"/>
          <w:kern w:val="0"/>
          <w:sz w:val="21"/>
          <w:szCs w:val="21"/>
          <w:lang w:val="en-US" w:eastAsia="zh-CN"/>
        </w:rPr>
        <w:t>15</w:t>
      </w:r>
      <w:r>
        <w:rPr>
          <w:rFonts w:hint="eastAsia" w:ascii="宋体" w:hAnsi="宋体" w:eastAsia="宋体" w:cs="宋体"/>
          <w:color w:val="auto"/>
          <w:kern w:val="0"/>
          <w:sz w:val="21"/>
          <w:szCs w:val="21"/>
        </w:rPr>
        <w:t>日</w:t>
      </w:r>
    </w:p>
    <w:p>
      <w:pPr>
        <w:pStyle w:val="4"/>
        <w:outlineLvl w:val="9"/>
        <w:rPr>
          <w:kern w:val="0"/>
          <w:sz w:val="21"/>
          <w:szCs w:val="21"/>
        </w:rPr>
      </w:pPr>
    </w:p>
    <w:p>
      <w:pPr>
        <w:rPr>
          <w:rFonts w:ascii="宋体" w:hAnsi="宋体" w:cs="宋体"/>
          <w:kern w:val="0"/>
          <w:szCs w:val="21"/>
        </w:rPr>
      </w:pPr>
      <w:bookmarkStart w:id="398" w:name="_GoBack"/>
      <w:bookmarkEnd w:id="398"/>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rFonts w:ascii="宋体" w:hAnsi="宋体" w:cs="宋体"/>
          <w:kern w:val="0"/>
          <w:szCs w:val="21"/>
        </w:rPr>
      </w:pPr>
    </w:p>
    <w:p>
      <w:pPr>
        <w:pStyle w:val="4"/>
        <w:outlineLvl w:val="9"/>
        <w:rPr>
          <w:kern w:val="0"/>
          <w:sz w:val="21"/>
          <w:szCs w:val="21"/>
        </w:rPr>
      </w:pPr>
    </w:p>
    <w:p>
      <w:pPr>
        <w:rPr>
          <w:kern w:val="0"/>
          <w:sz w:val="21"/>
          <w:szCs w:val="21"/>
        </w:rPr>
      </w:pPr>
    </w:p>
    <w:p>
      <w:pPr>
        <w:pStyle w:val="4"/>
        <w:outlineLvl w:val="9"/>
      </w:pPr>
    </w:p>
    <w:p/>
    <w:p>
      <w:pPr>
        <w:numPr>
          <w:ilvl w:val="0"/>
          <w:numId w:val="2"/>
        </w:numPr>
        <w:spacing w:line="360" w:lineRule="auto"/>
        <w:jc w:val="center"/>
        <w:outlineLvl w:val="0"/>
        <w:rPr>
          <w:rFonts w:ascii="宋体" w:hAnsi="宋体"/>
          <w:b/>
          <w:bCs/>
          <w:sz w:val="30"/>
          <w:szCs w:val="30"/>
        </w:rPr>
      </w:pPr>
      <w:bookmarkStart w:id="31" w:name="_Toc1775"/>
      <w:bookmarkStart w:id="32" w:name="_Toc29849"/>
      <w:bookmarkStart w:id="33" w:name="_Toc25861"/>
      <w:bookmarkStart w:id="34" w:name="_Toc1777"/>
      <w:bookmarkStart w:id="35" w:name="_Toc10377"/>
      <w:r>
        <w:rPr>
          <w:rFonts w:hint="eastAsia" w:ascii="宋体" w:hAnsi="宋体"/>
          <w:b/>
          <w:bCs/>
          <w:sz w:val="30"/>
          <w:szCs w:val="30"/>
          <w:lang w:eastAsia="zh-CN"/>
        </w:rPr>
        <w:t>采购</w:t>
      </w:r>
      <w:r>
        <w:rPr>
          <w:rFonts w:hint="eastAsia" w:ascii="宋体" w:hAnsi="宋体"/>
          <w:b/>
          <w:bCs/>
          <w:sz w:val="30"/>
          <w:szCs w:val="30"/>
        </w:rPr>
        <w:t>需求</w:t>
      </w:r>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lang w:eastAsia="zh-CN"/>
        </w:rPr>
      </w:pPr>
      <w:bookmarkStart w:id="36" w:name="_Toc4236"/>
      <w:bookmarkStart w:id="37" w:name="_Toc6416"/>
      <w:bookmarkStart w:id="38" w:name="_Toc20606"/>
      <w:bookmarkStart w:id="39" w:name="_Toc26796"/>
      <w:bookmarkStart w:id="40" w:name="_Toc20762"/>
      <w:bookmarkStart w:id="41" w:name="_Toc27614"/>
      <w:bookmarkStart w:id="42" w:name="_Toc28850"/>
      <w:bookmarkStart w:id="43" w:name="_Toc8122"/>
      <w:r>
        <w:rPr>
          <w:rFonts w:hint="eastAsia" w:ascii="宋体" w:hAnsi="宋体" w:cs="宋体"/>
          <w:b/>
          <w:bCs/>
          <w:sz w:val="21"/>
          <w:szCs w:val="21"/>
          <w:lang w:eastAsia="zh-CN"/>
        </w:rPr>
        <w:t>一、</w:t>
      </w:r>
      <w:r>
        <w:rPr>
          <w:rFonts w:hint="eastAsia" w:ascii="宋体" w:hAnsi="宋体" w:eastAsia="宋体" w:cs="宋体"/>
          <w:b/>
          <w:bCs/>
          <w:sz w:val="21"/>
          <w:szCs w:val="21"/>
        </w:rPr>
        <w:t>项目</w:t>
      </w:r>
      <w:r>
        <w:rPr>
          <w:rFonts w:hint="eastAsia" w:ascii="宋体" w:hAnsi="宋体" w:cs="宋体"/>
          <w:b/>
          <w:bCs/>
          <w:sz w:val="21"/>
          <w:szCs w:val="21"/>
          <w:lang w:eastAsia="zh-CN"/>
        </w:rPr>
        <w:t>概况</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cs="宋体"/>
          <w:sz w:val="21"/>
          <w:szCs w:val="21"/>
          <w:highlight w:val="none"/>
          <w:lang w:val="en-US" w:eastAsia="zh-CN"/>
        </w:rPr>
      </w:pPr>
      <w:bookmarkStart w:id="44" w:name="_Toc21913"/>
      <w:r>
        <w:rPr>
          <w:rFonts w:hint="eastAsia" w:ascii="宋体" w:hAnsi="宋体" w:cs="宋体"/>
          <w:b/>
          <w:bCs/>
          <w:sz w:val="21"/>
          <w:szCs w:val="21"/>
          <w:lang w:val="en-US" w:eastAsia="zh-CN"/>
        </w:rPr>
        <w:t>1.项目名称：</w:t>
      </w:r>
      <w:r>
        <w:rPr>
          <w:rFonts w:hint="eastAsia" w:ascii="宋体" w:hAnsi="宋体" w:cs="宋体"/>
          <w:sz w:val="21"/>
          <w:szCs w:val="21"/>
          <w:lang w:val="en-US" w:eastAsia="zh-CN"/>
        </w:rPr>
        <w:t>南方医科大学第五附属医院</w:t>
      </w:r>
      <w:r>
        <w:rPr>
          <w:rFonts w:hint="eastAsia" w:ascii="宋体" w:hAnsi="宋体" w:cs="宋体"/>
          <w:sz w:val="21"/>
          <w:szCs w:val="21"/>
          <w:highlight w:val="none"/>
          <w:lang w:val="en-US" w:eastAsia="zh-CN"/>
        </w:rPr>
        <w:t>窗口微信支付宝扫码支付项目</w:t>
      </w:r>
      <w:bookmarkEnd w:id="44"/>
    </w:p>
    <w:p>
      <w:pPr>
        <w:pStyle w:val="2"/>
        <w:spacing w:line="360" w:lineRule="auto"/>
        <w:ind w:left="0" w:leftChars="0" w:firstLine="422"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2.项目预算：</w:t>
      </w:r>
      <w:r>
        <w:rPr>
          <w:rFonts w:hint="eastAsia" w:ascii="宋体" w:hAnsi="宋体" w:eastAsia="宋体" w:cs="宋体"/>
          <w:b w:val="0"/>
          <w:bCs w:val="0"/>
          <w:kern w:val="2"/>
          <w:sz w:val="21"/>
          <w:szCs w:val="21"/>
          <w:lang w:val="en-US" w:eastAsia="zh-CN" w:bidi="ar-SA"/>
        </w:rPr>
        <w:t>15万元，报价</w:t>
      </w:r>
      <w:r>
        <w:rPr>
          <w:rFonts w:hint="eastAsia" w:ascii="宋体" w:hAnsi="宋体" w:eastAsia="宋体" w:cs="宋体"/>
          <w:kern w:val="2"/>
          <w:sz w:val="21"/>
          <w:szCs w:val="21"/>
          <w:lang w:val="en-US" w:eastAsia="zh-CN" w:bidi="ar-SA"/>
        </w:rPr>
        <w:t>包含但不限于购买窗口微信支付宝扫码支付项目合作期间发生的各种税费、系统功能模块及测试、接口对接调试、软件升级服务、质保期内维保等实施本项目一切费用及不可预见的费用。供应商在成交或合同履行过程中，出现任何遗漏内容需产生额外费用，均由供应商承担，采购人将不再支付任何费用。</w:t>
      </w:r>
    </w:p>
    <w:p>
      <w:pPr>
        <w:pStyle w:val="2"/>
        <w:spacing w:line="360" w:lineRule="auto"/>
        <w:ind w:left="0" w:leftChars="0" w:firstLine="422" w:firstLineChars="200"/>
        <w:jc w:val="left"/>
        <w:outlineLvl w:val="2"/>
        <w:rPr>
          <w:rFonts w:hint="default" w:ascii="宋体" w:hAnsi="宋体" w:eastAsia="宋体" w:cs="宋体"/>
          <w:b/>
          <w:bCs/>
          <w:kern w:val="2"/>
          <w:sz w:val="21"/>
          <w:szCs w:val="21"/>
          <w:lang w:val="en-US" w:eastAsia="zh-CN" w:bidi="ar-SA"/>
        </w:rPr>
      </w:pPr>
      <w:bookmarkStart w:id="45" w:name="_Toc22771"/>
      <w:r>
        <w:rPr>
          <w:rFonts w:hint="eastAsia" w:ascii="宋体" w:hAnsi="宋体" w:eastAsia="宋体" w:cs="宋体"/>
          <w:b/>
          <w:bCs/>
          <w:kern w:val="2"/>
          <w:sz w:val="21"/>
          <w:szCs w:val="21"/>
          <w:lang w:val="en-US" w:eastAsia="zh-CN" w:bidi="ar-SA"/>
        </w:rPr>
        <w:t>3.建设目标</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能满足</w:t>
      </w:r>
      <w:r>
        <w:rPr>
          <w:rFonts w:hint="eastAsia" w:ascii="宋体" w:hAnsi="宋体" w:cs="宋体"/>
          <w:sz w:val="21"/>
          <w:szCs w:val="21"/>
          <w:lang w:eastAsia="zh-CN"/>
        </w:rPr>
        <w:t>采购人医院</w:t>
      </w:r>
      <w:r>
        <w:rPr>
          <w:rFonts w:hint="eastAsia" w:ascii="宋体" w:hAnsi="宋体" w:eastAsia="宋体" w:cs="宋体"/>
          <w:sz w:val="21"/>
          <w:szCs w:val="21"/>
        </w:rPr>
        <w:t>患者窗口的日常缴费需求，维护</w:t>
      </w:r>
      <w:r>
        <w:rPr>
          <w:rFonts w:hint="eastAsia" w:ascii="宋体" w:hAnsi="宋体" w:cs="宋体"/>
          <w:sz w:val="21"/>
          <w:szCs w:val="21"/>
          <w:lang w:eastAsia="zh-CN"/>
        </w:rPr>
        <w:t>采购人</w:t>
      </w:r>
      <w:r>
        <w:rPr>
          <w:rFonts w:hint="eastAsia" w:ascii="宋体" w:hAnsi="宋体" w:eastAsia="宋体" w:cs="宋体"/>
          <w:sz w:val="21"/>
          <w:szCs w:val="21"/>
        </w:rPr>
        <w:t>资金安全，保障</w:t>
      </w:r>
      <w:r>
        <w:rPr>
          <w:rFonts w:hint="eastAsia" w:ascii="宋体" w:hAnsi="宋体" w:cs="宋体"/>
          <w:sz w:val="21"/>
          <w:szCs w:val="21"/>
          <w:lang w:eastAsia="zh-CN"/>
        </w:rPr>
        <w:t>采购人</w:t>
      </w:r>
      <w:r>
        <w:rPr>
          <w:rFonts w:hint="eastAsia" w:ascii="宋体" w:hAnsi="宋体" w:eastAsia="宋体" w:cs="宋体"/>
          <w:sz w:val="21"/>
          <w:szCs w:val="21"/>
        </w:rPr>
        <w:t>收入确认的及时性和准确性。</w:t>
      </w:r>
      <w:r>
        <w:rPr>
          <w:rFonts w:hint="eastAsia" w:ascii="宋体" w:hAnsi="宋体" w:cs="宋体"/>
          <w:sz w:val="21"/>
          <w:szCs w:val="21"/>
          <w:lang w:eastAsia="zh-CN"/>
        </w:rPr>
        <w:t>供应商</w:t>
      </w:r>
      <w:r>
        <w:rPr>
          <w:rFonts w:hint="eastAsia" w:ascii="宋体" w:hAnsi="宋体" w:eastAsia="宋体" w:cs="宋体"/>
          <w:sz w:val="21"/>
          <w:szCs w:val="21"/>
        </w:rPr>
        <w:t>应据此提供相应的技术方案以及实施方案。</w:t>
      </w:r>
    </w:p>
    <w:p>
      <w:pPr>
        <w:pStyle w:val="2"/>
        <w:spacing w:line="360" w:lineRule="auto"/>
        <w:rPr>
          <w:rFonts w:hint="default" w:eastAsia="宋体"/>
          <w:lang w:val="en-US" w:eastAsia="zh-CN"/>
        </w:rPr>
      </w:pPr>
      <w:r>
        <w:rPr>
          <w:rFonts w:hint="eastAsia" w:ascii="宋体" w:hAnsi="宋体" w:eastAsia="宋体" w:cs="宋体"/>
          <w:b/>
          <w:bCs/>
          <w:color w:val="auto"/>
          <w:sz w:val="21"/>
          <w:szCs w:val="21"/>
          <w:lang w:val="en-US" w:eastAsia="zh-CN"/>
        </w:rPr>
        <w:t>4.采购数量：</w:t>
      </w:r>
      <w:r>
        <w:rPr>
          <w:rFonts w:hint="eastAsia" w:ascii="宋体" w:hAnsi="宋体" w:eastAsia="宋体" w:cs="宋体"/>
          <w:sz w:val="21"/>
          <w:szCs w:val="21"/>
          <w:lang w:val="en-US" w:eastAsia="zh-CN"/>
        </w:rPr>
        <w:t>1套，功能包含但不限于支付拆分、POS机支付、微信支付、支付宝支付、现金支付、第三方支付支持、硬件支持。</w:t>
      </w:r>
    </w:p>
    <w:p>
      <w:pPr>
        <w:pStyle w:val="2"/>
        <w:spacing w:line="360" w:lineRule="auto"/>
        <w:rPr>
          <w:rFonts w:hint="eastAsia" w:ascii="宋体" w:hAnsi="宋体" w:eastAsia="宋体" w:cs="宋体"/>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技术参数要求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82"/>
        <w:gridCol w:w="668"/>
        <w:gridCol w:w="1384"/>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cs="宋体"/>
                <w:b/>
                <w:bCs/>
                <w:sz w:val="21"/>
                <w:szCs w:val="21"/>
                <w:lang w:eastAsia="zh-CN"/>
              </w:rPr>
              <w:t>系统</w:t>
            </w:r>
            <w:r>
              <w:rPr>
                <w:rFonts w:hint="eastAsia" w:ascii="宋体" w:hAnsi="宋体" w:eastAsia="宋体" w:cs="宋体"/>
                <w:b/>
                <w:bCs/>
                <w:sz w:val="21"/>
                <w:szCs w:val="21"/>
              </w:rPr>
              <w:t>名称</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功能</w:t>
            </w:r>
            <w:r>
              <w:rPr>
                <w:rFonts w:hint="eastAsia" w:ascii="宋体" w:hAnsi="宋体" w:eastAsia="宋体" w:cs="宋体"/>
                <w:b/>
                <w:bCs/>
                <w:sz w:val="21"/>
                <w:szCs w:val="21"/>
                <w:lang w:eastAsia="zh-CN"/>
              </w:rPr>
              <w:t>模块</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bookmarkStart w:id="46" w:name="_Hlk147563906"/>
            <w:r>
              <w:rPr>
                <w:rFonts w:hint="eastAsia" w:ascii="宋体" w:hAnsi="宋体" w:eastAsia="宋体" w:cs="宋体"/>
                <w:sz w:val="21"/>
                <w:szCs w:val="21"/>
                <w:highlight w:val="none"/>
              </w:rPr>
              <w:t>窗口结算支付系统</w:t>
            </w:r>
            <w:bookmarkEnd w:id="46"/>
          </w:p>
        </w:tc>
        <w:tc>
          <w:tcPr>
            <w:tcW w:w="6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6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支付拆分</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同笔业务订单支持拆分成多笔结算订单，采用不同方式进行支付，在收款金额上手动输入小于剩余支付金额数字并选择结算方式时，自动形成多笔结算订单。支持查看当前业务订单拆分成几笔结算订单，并显示结算方式、结算金额等信息，支持业务订单与his系统无缝对接完成结算，方便窗口工作人员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POS机支付</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通过接入POS机实现的POS机支付功能。允许患者使用银行卡、信用卡、医保卡等支付方式进行支付，无需现金交易。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微信支付</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通过接入扫码设备并实现的微信支付功能。患者可以通过出示微信支付二维码进行支付，无需现金交易。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支付宝支付</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通过接入扫码设备并实现的支付宝支付功能。患者可以通过出示支付宝支付二维码进行支付，无需现金交易。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现金支付</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窗口收费人员通过收取现金，人工确认无误后，在系统选择现金支付，形成结算订单，确保每笔订单都有信息记录。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第三方支付支持</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支持对接实现其他第三方支付方式，包括但不限于HIS系统的接口改造费。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硬件支持</w:t>
            </w:r>
          </w:p>
        </w:tc>
        <w:tc>
          <w:tcPr>
            <w:tcW w:w="50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能够支持USB通用的扫码设备，包括扫码枪、扫码盒子等，不支持第三方定制的专用扫码设备。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三</w:t>
      </w:r>
      <w:r>
        <w:rPr>
          <w:rFonts w:hint="eastAsia" w:ascii="宋体" w:hAnsi="宋体" w:eastAsia="宋体" w:cs="宋体"/>
          <w:b/>
          <w:bCs/>
          <w:sz w:val="21"/>
          <w:szCs w:val="21"/>
        </w:rPr>
        <w:t>、项目工期</w:t>
      </w:r>
      <w:r>
        <w:rPr>
          <w:rFonts w:hint="eastAsia" w:ascii="宋体" w:hAnsi="宋体" w:cs="宋体"/>
          <w:b/>
          <w:bCs/>
          <w:sz w:val="21"/>
          <w:szCs w:val="21"/>
          <w:lang w:eastAsia="zh-CN"/>
        </w:rPr>
        <w:t>及交货地点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cs="宋体"/>
          <w:b/>
          <w:bCs/>
          <w:color w:val="auto"/>
          <w:sz w:val="21"/>
          <w:szCs w:val="21"/>
          <w:lang w:val="en-US" w:eastAsia="zh-CN"/>
        </w:rPr>
        <w:t>1.</w:t>
      </w:r>
      <w:r>
        <w:rPr>
          <w:rFonts w:hint="eastAsia" w:ascii="宋体" w:hAnsi="宋体" w:cs="宋体"/>
          <w:b/>
          <w:bCs/>
          <w:color w:val="auto"/>
          <w:sz w:val="21"/>
          <w:szCs w:val="21"/>
          <w:lang w:eastAsia="zh-CN"/>
        </w:rPr>
        <w:t>工期</w:t>
      </w:r>
      <w:r>
        <w:rPr>
          <w:rFonts w:hint="eastAsia" w:ascii="宋体" w:hAnsi="宋体" w:eastAsia="宋体" w:cs="宋体"/>
          <w:b/>
          <w:bCs/>
          <w:color w:val="auto"/>
          <w:sz w:val="21"/>
          <w:szCs w:val="21"/>
        </w:rPr>
        <w:t>：</w:t>
      </w:r>
      <w:r>
        <w:rPr>
          <w:rFonts w:hint="eastAsia" w:ascii="宋体" w:hAnsi="宋体" w:eastAsia="宋体" w:cs="宋体"/>
          <w:color w:val="auto"/>
          <w:sz w:val="21"/>
          <w:szCs w:val="21"/>
        </w:rPr>
        <w:t>合</w:t>
      </w:r>
      <w:r>
        <w:rPr>
          <w:rFonts w:hint="eastAsia" w:ascii="宋体" w:hAnsi="宋体" w:eastAsia="宋体" w:cs="宋体"/>
          <w:sz w:val="21"/>
          <w:szCs w:val="21"/>
        </w:rPr>
        <w:t>同生效后62天内完成项目并交付使用。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交货地点：</w:t>
      </w:r>
      <w:r>
        <w:rPr>
          <w:rFonts w:hint="eastAsia" w:ascii="宋体" w:hAnsi="宋体" w:eastAsia="宋体" w:cs="宋体"/>
          <w:sz w:val="21"/>
          <w:szCs w:val="21"/>
        </w:rPr>
        <w:t>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rPr>
      </w:pPr>
      <w:bookmarkStart w:id="47" w:name="_Toc16343"/>
      <w:r>
        <w:rPr>
          <w:rFonts w:hint="eastAsia" w:ascii="宋体" w:hAnsi="宋体" w:cs="宋体"/>
          <w:b/>
          <w:bCs/>
          <w:sz w:val="21"/>
          <w:szCs w:val="21"/>
          <w:lang w:eastAsia="zh-CN"/>
        </w:rPr>
        <w:t>四</w:t>
      </w:r>
      <w:r>
        <w:rPr>
          <w:rFonts w:hint="eastAsia" w:ascii="宋体" w:hAnsi="宋体" w:eastAsia="宋体" w:cs="宋体"/>
          <w:b/>
          <w:bCs/>
          <w:sz w:val="21"/>
          <w:szCs w:val="21"/>
        </w:rPr>
        <w:t>、售后服务要求</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48" w:name="_Toc79595357"/>
      <w:bookmarkStart w:id="49" w:name="_Toc87975583"/>
      <w:bookmarkStart w:id="50" w:name="_Toc509094728"/>
      <w:bookmarkStart w:id="51" w:name="_Toc43227482"/>
      <w:bookmarkStart w:id="52" w:name="_Toc89788249"/>
      <w:bookmarkStart w:id="53" w:name="_Toc156919658"/>
      <w:bookmarkStart w:id="54" w:name="_Toc509098001"/>
      <w:bookmarkStart w:id="55" w:name="_Toc84597576"/>
      <w:r>
        <w:rPr>
          <w:rFonts w:hint="eastAsia" w:ascii="宋体" w:hAnsi="宋体" w:cs="宋体"/>
          <w:sz w:val="21"/>
          <w:szCs w:val="21"/>
          <w:lang w:val="en-US" w:eastAsia="zh-CN"/>
        </w:rPr>
        <w:t>1.</w:t>
      </w:r>
      <w:r>
        <w:rPr>
          <w:rFonts w:hint="eastAsia" w:ascii="宋体" w:hAnsi="宋体" w:eastAsia="宋体" w:cs="宋体"/>
          <w:sz w:val="21"/>
          <w:szCs w:val="21"/>
        </w:rPr>
        <w:t>系统故障的响应时间：</w:t>
      </w:r>
      <w:r>
        <w:rPr>
          <w:rFonts w:hint="eastAsia" w:ascii="宋体" w:hAnsi="宋体" w:cs="宋体"/>
          <w:sz w:val="21"/>
          <w:szCs w:val="21"/>
          <w:lang w:eastAsia="zh-CN"/>
        </w:rPr>
        <w:t>供应商</w:t>
      </w:r>
      <w:r>
        <w:rPr>
          <w:rFonts w:hint="eastAsia" w:ascii="宋体" w:hAnsi="宋体" w:eastAsia="宋体" w:cs="宋体"/>
          <w:sz w:val="21"/>
          <w:szCs w:val="21"/>
        </w:rPr>
        <w:t>必须提供7*24小时技术支持热线电话（</w:t>
      </w:r>
      <w:r>
        <w:rPr>
          <w:rFonts w:hint="eastAsia" w:ascii="宋体" w:hAnsi="宋体" w:cs="宋体"/>
          <w:sz w:val="21"/>
          <w:szCs w:val="21"/>
          <w:lang w:eastAsia="zh-CN"/>
        </w:rPr>
        <w:t>联系人、</w:t>
      </w:r>
      <w:r>
        <w:rPr>
          <w:rFonts w:hint="eastAsia" w:ascii="宋体" w:hAnsi="宋体" w:eastAsia="宋体" w:cs="宋体"/>
          <w:sz w:val="21"/>
          <w:szCs w:val="21"/>
        </w:rPr>
        <w:t>固话，手机）。当发生故障时，自报障时起算，1小时内响应，若远程维护无法解决，</w:t>
      </w:r>
      <w:r>
        <w:rPr>
          <w:rFonts w:hint="eastAsia" w:ascii="宋体" w:hAnsi="宋体" w:cs="宋体"/>
          <w:sz w:val="21"/>
          <w:szCs w:val="21"/>
          <w:lang w:eastAsia="zh-CN"/>
        </w:rPr>
        <w:t>供应商</w:t>
      </w:r>
      <w:r>
        <w:rPr>
          <w:rFonts w:hint="eastAsia" w:ascii="宋体" w:hAnsi="宋体" w:eastAsia="宋体" w:cs="宋体"/>
          <w:sz w:val="21"/>
          <w:szCs w:val="21"/>
        </w:rPr>
        <w:t>应及时安排人员前往现场处理故障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rPr>
      </w:pPr>
      <w:bookmarkStart w:id="56" w:name="_Toc16132"/>
      <w:r>
        <w:rPr>
          <w:rFonts w:hint="eastAsia" w:ascii="宋体" w:hAnsi="宋体" w:cs="宋体"/>
          <w:sz w:val="21"/>
          <w:szCs w:val="21"/>
          <w:lang w:val="en-US" w:eastAsia="zh-CN"/>
        </w:rPr>
        <w:t>2.</w:t>
      </w:r>
      <w:r>
        <w:rPr>
          <w:rFonts w:hint="eastAsia" w:ascii="宋体" w:hAnsi="宋体" w:eastAsia="宋体" w:cs="宋体"/>
          <w:sz w:val="21"/>
          <w:szCs w:val="21"/>
        </w:rPr>
        <w:t>软件升级服务</w:t>
      </w:r>
      <w:bookmarkEnd w:id="48"/>
      <w:bookmarkEnd w:id="49"/>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供应商应</w:t>
      </w:r>
      <w:r>
        <w:rPr>
          <w:rFonts w:hint="eastAsia" w:ascii="宋体" w:hAnsi="宋体" w:eastAsia="宋体" w:cs="宋体"/>
          <w:color w:val="auto"/>
          <w:sz w:val="21"/>
          <w:szCs w:val="21"/>
        </w:rPr>
        <w:t>定期</w:t>
      </w:r>
      <w:r>
        <w:rPr>
          <w:rFonts w:hint="eastAsia" w:ascii="宋体" w:hAnsi="宋体" w:cs="宋体"/>
          <w:color w:val="auto"/>
          <w:sz w:val="21"/>
          <w:szCs w:val="21"/>
          <w:lang w:eastAsia="zh-CN"/>
        </w:rPr>
        <w:t>将</w:t>
      </w:r>
      <w:r>
        <w:rPr>
          <w:rFonts w:hint="eastAsia" w:ascii="宋体" w:hAnsi="宋体" w:eastAsia="宋体" w:cs="宋体"/>
          <w:color w:val="auto"/>
          <w:sz w:val="21"/>
          <w:szCs w:val="21"/>
        </w:rPr>
        <w:t>发布的产品升级程序，及时提供给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，予以升级。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rPr>
      </w:pPr>
      <w:bookmarkStart w:id="57" w:name="_Toc43227483"/>
      <w:bookmarkStart w:id="58" w:name="_Toc87975584"/>
      <w:bookmarkStart w:id="59" w:name="_Toc79595358"/>
      <w:bookmarkStart w:id="60" w:name="_Toc509094729"/>
      <w:bookmarkStart w:id="61" w:name="_Toc89788250"/>
      <w:bookmarkStart w:id="62" w:name="_Toc509098002"/>
      <w:bookmarkStart w:id="63" w:name="_Toc84597577"/>
      <w:bookmarkStart w:id="64" w:name="_Toc156919659"/>
      <w:bookmarkStart w:id="65" w:name="_Toc20958"/>
      <w:r>
        <w:rPr>
          <w:rFonts w:hint="eastAsia" w:ascii="宋体" w:hAnsi="宋体" w:cs="宋体"/>
          <w:sz w:val="21"/>
          <w:szCs w:val="21"/>
          <w:lang w:val="en-US" w:eastAsia="zh-CN"/>
        </w:rPr>
        <w:t>3.</w:t>
      </w:r>
      <w:r>
        <w:rPr>
          <w:rFonts w:hint="eastAsia" w:ascii="宋体" w:hAnsi="宋体" w:eastAsia="宋体" w:cs="宋体"/>
          <w:sz w:val="21"/>
          <w:szCs w:val="21"/>
        </w:rPr>
        <w:t>售后服务期限</w:t>
      </w:r>
      <w:bookmarkEnd w:id="57"/>
      <w:bookmarkEnd w:id="58"/>
      <w:bookmarkEnd w:id="59"/>
      <w:bookmarkEnd w:id="60"/>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系统整体验收通过后，</w:t>
      </w:r>
      <w:r>
        <w:rPr>
          <w:rFonts w:hint="eastAsia" w:ascii="宋体" w:hAnsi="宋体" w:cs="宋体"/>
          <w:sz w:val="21"/>
          <w:szCs w:val="21"/>
          <w:lang w:eastAsia="zh-CN"/>
        </w:rPr>
        <w:t>供应商</w:t>
      </w:r>
      <w:r>
        <w:rPr>
          <w:rFonts w:hint="eastAsia" w:ascii="宋体" w:hAnsi="宋体" w:eastAsia="宋体" w:cs="宋体"/>
          <w:sz w:val="21"/>
          <w:szCs w:val="21"/>
        </w:rPr>
        <w:t>应提</w:t>
      </w:r>
      <w:r>
        <w:rPr>
          <w:rFonts w:hint="eastAsia" w:ascii="宋体" w:hAnsi="宋体" w:eastAsia="宋体" w:cs="宋体"/>
          <w:color w:val="auto"/>
          <w:sz w:val="21"/>
          <w:szCs w:val="21"/>
        </w:rPr>
        <w:t>供</w:t>
      </w:r>
      <w:r>
        <w:rPr>
          <w:rFonts w:hint="eastAsia" w:ascii="宋体" w:hAnsi="宋体" w:cs="宋体"/>
          <w:color w:val="auto"/>
          <w:sz w:val="21"/>
          <w:szCs w:val="21"/>
          <w:lang w:eastAsia="zh-CN"/>
        </w:rPr>
        <w:t>至少</w:t>
      </w:r>
      <w:r>
        <w:rPr>
          <w:rFonts w:hint="eastAsia" w:ascii="宋体" w:hAnsi="宋体" w:cs="宋体"/>
          <w:color w:val="auto"/>
          <w:sz w:val="21"/>
          <w:szCs w:val="21"/>
          <w:lang w:val="en-US" w:eastAsia="zh-CN"/>
        </w:rPr>
        <w:t>2年的</w:t>
      </w:r>
      <w:r>
        <w:rPr>
          <w:rFonts w:hint="eastAsia" w:ascii="宋体" w:hAnsi="宋体" w:eastAsia="宋体" w:cs="宋体"/>
          <w:sz w:val="21"/>
          <w:szCs w:val="21"/>
        </w:rPr>
        <w:t>免费维护</w:t>
      </w:r>
      <w:r>
        <w:rPr>
          <w:rFonts w:hint="eastAsia" w:ascii="宋体" w:hAnsi="宋体" w:cs="宋体"/>
          <w:sz w:val="21"/>
          <w:szCs w:val="21"/>
          <w:lang w:eastAsia="zh-CN"/>
        </w:rPr>
        <w:t>服务</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rPr>
      </w:pPr>
      <w:bookmarkStart w:id="66" w:name="_Toc9309"/>
      <w:r>
        <w:rPr>
          <w:rFonts w:hint="eastAsia" w:ascii="宋体" w:hAnsi="宋体" w:cs="宋体"/>
          <w:b/>
          <w:bCs/>
          <w:sz w:val="21"/>
          <w:szCs w:val="21"/>
          <w:lang w:eastAsia="zh-CN"/>
        </w:rPr>
        <w:t>五</w:t>
      </w:r>
      <w:r>
        <w:rPr>
          <w:rFonts w:hint="eastAsia" w:ascii="宋体" w:hAnsi="宋体" w:eastAsia="宋体" w:cs="宋体"/>
          <w:b/>
          <w:bCs/>
          <w:sz w:val="21"/>
          <w:szCs w:val="21"/>
        </w:rPr>
        <w:t>、验收标准</w:t>
      </w:r>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软件产品模块安装到位，所列功能齐备，软件产品功能已实现且安装部署调试完成；软件模块功能正常运行。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 w:val="21"/>
          <w:szCs w:val="21"/>
          <w:lang w:eastAsia="zh-CN"/>
        </w:rPr>
      </w:pPr>
      <w:bookmarkStart w:id="67" w:name="_Toc5932"/>
      <w:r>
        <w:rPr>
          <w:rFonts w:hint="eastAsia" w:ascii="宋体" w:hAnsi="宋体" w:cs="宋体"/>
          <w:b/>
          <w:bCs/>
          <w:sz w:val="21"/>
          <w:szCs w:val="21"/>
          <w:lang w:eastAsia="zh-CN"/>
        </w:rPr>
        <w:t>六、履约保证金</w:t>
      </w:r>
      <w:bookmarkEnd w:id="67"/>
    </w:p>
    <w:p>
      <w:pPr>
        <w:pStyle w:val="2"/>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合同生效后，供应商需要在15个工作日内向采购人支付合同总金</w:t>
      </w:r>
      <w:r>
        <w:rPr>
          <w:rFonts w:hint="eastAsia" w:ascii="宋体" w:hAnsi="宋体" w:eastAsia="宋体" w:cs="宋体"/>
          <w:color w:val="auto"/>
          <w:kern w:val="2"/>
          <w:sz w:val="21"/>
          <w:szCs w:val="21"/>
          <w:highlight w:val="none"/>
          <w:lang w:val="en-US" w:eastAsia="zh-CN" w:bidi="ar-SA"/>
        </w:rPr>
        <w:t>额5%的履</w:t>
      </w:r>
      <w:r>
        <w:rPr>
          <w:rFonts w:hint="eastAsia" w:ascii="宋体" w:hAnsi="宋体" w:eastAsia="宋体" w:cs="宋体"/>
          <w:kern w:val="2"/>
          <w:sz w:val="21"/>
          <w:szCs w:val="21"/>
          <w:lang w:val="en-US" w:eastAsia="zh-CN" w:bidi="ar-SA"/>
        </w:rPr>
        <w:t>约保证金，采购人确认供应商全部义务履行完毕且无违约责任后30个工作日内无息退回。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rPr>
      </w:pPr>
      <w:bookmarkStart w:id="68" w:name="_Toc7564"/>
      <w:r>
        <w:rPr>
          <w:rFonts w:hint="eastAsia" w:ascii="宋体" w:hAnsi="宋体" w:cs="宋体"/>
          <w:b/>
          <w:bCs/>
          <w:sz w:val="21"/>
          <w:szCs w:val="21"/>
          <w:lang w:eastAsia="zh-CN"/>
        </w:rPr>
        <w:t>七、</w:t>
      </w:r>
      <w:r>
        <w:rPr>
          <w:rFonts w:hint="eastAsia" w:ascii="宋体" w:hAnsi="宋体" w:eastAsia="宋体" w:cs="宋体"/>
          <w:b/>
          <w:bCs/>
          <w:sz w:val="21"/>
          <w:szCs w:val="21"/>
        </w:rPr>
        <w:t>支付方式</w:t>
      </w:r>
      <w:bookmarkEnd w:id="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1.合同生效后，</w:t>
      </w:r>
      <w:r>
        <w:rPr>
          <w:rFonts w:hint="eastAsia" w:ascii="宋体" w:hAnsi="宋体" w:cs="宋体"/>
          <w:sz w:val="21"/>
          <w:szCs w:val="21"/>
          <w:lang w:eastAsia="zh-CN"/>
        </w:rPr>
        <w:t>采购人</w:t>
      </w:r>
      <w:r>
        <w:rPr>
          <w:rFonts w:hint="eastAsia" w:ascii="宋体" w:hAnsi="宋体" w:eastAsia="宋体" w:cs="宋体"/>
          <w:sz w:val="21"/>
          <w:szCs w:val="21"/>
        </w:rPr>
        <w:t>收到</w:t>
      </w:r>
      <w:r>
        <w:rPr>
          <w:rFonts w:hint="eastAsia" w:ascii="宋体" w:hAnsi="宋体" w:cs="宋体"/>
          <w:sz w:val="21"/>
          <w:szCs w:val="21"/>
          <w:lang w:eastAsia="zh-CN"/>
        </w:rPr>
        <w:t>供应商提供的</w:t>
      </w:r>
      <w:r>
        <w:rPr>
          <w:rFonts w:hint="eastAsia" w:ascii="宋体" w:hAnsi="宋体" w:eastAsia="宋体" w:cs="宋体"/>
          <w:sz w:val="21"/>
          <w:szCs w:val="21"/>
        </w:rPr>
        <w:t>发票</w:t>
      </w:r>
      <w:r>
        <w:rPr>
          <w:rFonts w:hint="eastAsia" w:ascii="宋体" w:hAnsi="宋体" w:cs="宋体"/>
          <w:sz w:val="21"/>
          <w:szCs w:val="21"/>
          <w:lang w:eastAsia="zh-CN"/>
        </w:rPr>
        <w:t>，核对无误后，</w:t>
      </w:r>
      <w:r>
        <w:rPr>
          <w:rFonts w:hint="eastAsia" w:ascii="宋体" w:hAnsi="宋体" w:cs="宋体"/>
          <w:sz w:val="21"/>
          <w:szCs w:val="21"/>
          <w:lang w:val="en-US" w:eastAsia="zh-CN"/>
        </w:rPr>
        <w:t>15</w:t>
      </w:r>
      <w:r>
        <w:rPr>
          <w:rFonts w:hint="eastAsia" w:ascii="宋体" w:hAnsi="宋体" w:eastAsia="宋体" w:cs="宋体"/>
          <w:sz w:val="21"/>
          <w:szCs w:val="21"/>
        </w:rPr>
        <w:t>日内</w:t>
      </w:r>
      <w:r>
        <w:rPr>
          <w:rFonts w:hint="eastAsia" w:ascii="宋体" w:hAnsi="宋体" w:cs="宋体"/>
          <w:sz w:val="21"/>
          <w:szCs w:val="21"/>
          <w:lang w:eastAsia="zh-CN"/>
        </w:rPr>
        <w:t>支付</w:t>
      </w:r>
      <w:r>
        <w:rPr>
          <w:rFonts w:hint="eastAsia" w:ascii="宋体" w:hAnsi="宋体" w:eastAsia="宋体" w:cs="宋体"/>
          <w:sz w:val="21"/>
          <w:szCs w:val="21"/>
        </w:rPr>
        <w:t>合同总金额30％</w:t>
      </w:r>
      <w:r>
        <w:rPr>
          <w:rFonts w:hint="eastAsia" w:ascii="宋体" w:hAnsi="宋体" w:eastAsia="宋体" w:cs="宋体"/>
          <w:sz w:val="21"/>
          <w:szCs w:val="21"/>
          <w:lang w:eastAsia="zh-CN"/>
        </w:rPr>
        <w:t>的</w:t>
      </w:r>
      <w:r>
        <w:rPr>
          <w:rFonts w:hint="eastAsia" w:ascii="宋体" w:hAnsi="宋体" w:eastAsia="宋体" w:cs="宋体"/>
          <w:sz w:val="21"/>
          <w:szCs w:val="21"/>
        </w:rPr>
        <w:t>首付款</w:t>
      </w:r>
      <w:r>
        <w:rPr>
          <w:rFonts w:hint="eastAsia" w:ascii="宋体" w:hAnsi="宋体" w:cs="宋体"/>
          <w:sz w:val="21"/>
          <w:szCs w:val="21"/>
          <w:lang w:eastAsia="zh-CN"/>
        </w:rPr>
        <w:t>给供应商。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系统验收合格</w:t>
      </w:r>
      <w:r>
        <w:rPr>
          <w:rFonts w:hint="eastAsia" w:ascii="宋体" w:hAnsi="宋体" w:cs="宋体"/>
          <w:sz w:val="21"/>
          <w:szCs w:val="21"/>
          <w:lang w:eastAsia="zh-CN"/>
        </w:rPr>
        <w:t>后，采购人</w:t>
      </w:r>
      <w:r>
        <w:rPr>
          <w:rFonts w:hint="eastAsia" w:ascii="宋体" w:hAnsi="宋体" w:eastAsia="宋体" w:cs="宋体"/>
          <w:sz w:val="21"/>
          <w:szCs w:val="21"/>
        </w:rPr>
        <w:t>收到</w:t>
      </w:r>
      <w:r>
        <w:rPr>
          <w:rFonts w:hint="eastAsia" w:ascii="宋体" w:hAnsi="宋体" w:cs="宋体"/>
          <w:sz w:val="21"/>
          <w:szCs w:val="21"/>
          <w:lang w:eastAsia="zh-CN"/>
        </w:rPr>
        <w:t>供应商提供的</w:t>
      </w:r>
      <w:r>
        <w:rPr>
          <w:rFonts w:hint="eastAsia" w:ascii="宋体" w:hAnsi="宋体" w:eastAsia="宋体" w:cs="宋体"/>
          <w:sz w:val="21"/>
          <w:szCs w:val="21"/>
        </w:rPr>
        <w:t>发票</w:t>
      </w:r>
      <w:r>
        <w:rPr>
          <w:rFonts w:hint="eastAsia" w:ascii="宋体" w:hAnsi="宋体" w:cs="宋体"/>
          <w:sz w:val="21"/>
          <w:szCs w:val="21"/>
          <w:lang w:eastAsia="zh-CN"/>
        </w:rPr>
        <w:t>，核对无误后，</w:t>
      </w:r>
      <w:r>
        <w:rPr>
          <w:rFonts w:hint="eastAsia" w:ascii="宋体" w:hAnsi="宋体" w:cs="宋体"/>
          <w:sz w:val="21"/>
          <w:szCs w:val="21"/>
          <w:lang w:val="en-US" w:eastAsia="zh-CN"/>
        </w:rPr>
        <w:t>15</w:t>
      </w:r>
      <w:r>
        <w:rPr>
          <w:rFonts w:hint="eastAsia" w:ascii="宋体" w:hAnsi="宋体" w:eastAsia="宋体" w:cs="宋体"/>
          <w:sz w:val="21"/>
          <w:szCs w:val="21"/>
        </w:rPr>
        <w:t>日</w:t>
      </w:r>
      <w:r>
        <w:rPr>
          <w:rFonts w:hint="eastAsia" w:ascii="宋体" w:hAnsi="宋体" w:cs="宋体"/>
          <w:sz w:val="21"/>
          <w:szCs w:val="21"/>
          <w:lang w:eastAsia="zh-CN"/>
        </w:rPr>
        <w:t>支付</w:t>
      </w:r>
      <w:r>
        <w:rPr>
          <w:rFonts w:hint="eastAsia" w:ascii="宋体" w:hAnsi="宋体" w:eastAsia="宋体" w:cs="宋体"/>
          <w:sz w:val="21"/>
          <w:szCs w:val="21"/>
        </w:rPr>
        <w:t>合同总金额70％</w:t>
      </w:r>
      <w:r>
        <w:rPr>
          <w:rFonts w:hint="eastAsia" w:ascii="宋体" w:hAnsi="宋体" w:cs="宋体"/>
          <w:sz w:val="21"/>
          <w:szCs w:val="21"/>
          <w:lang w:eastAsia="zh-CN"/>
        </w:rPr>
        <w:t>的</w:t>
      </w:r>
      <w:r>
        <w:rPr>
          <w:rFonts w:hint="eastAsia" w:ascii="宋体" w:hAnsi="宋体" w:eastAsia="宋体" w:cs="宋体"/>
          <w:sz w:val="21"/>
          <w:szCs w:val="21"/>
        </w:rPr>
        <w:t>验收款</w:t>
      </w:r>
      <w:r>
        <w:rPr>
          <w:rFonts w:hint="eastAsia" w:ascii="宋体" w:hAnsi="宋体" w:eastAsia="宋体" w:cs="宋体"/>
          <w:sz w:val="21"/>
          <w:szCs w:val="21"/>
          <w:lang w:eastAsia="zh-CN"/>
        </w:rPr>
        <w:t>给供应商。</w:t>
      </w:r>
    </w:p>
    <w:p>
      <w:pPr>
        <w:adjustRightInd w:val="0"/>
        <w:snapToGrid w:val="0"/>
        <w:spacing w:line="360" w:lineRule="auto"/>
        <w:rPr>
          <w:rFonts w:ascii="宋体" w:hAnsi="宋体" w:cs="宋体"/>
          <w:color w:val="FF0000"/>
          <w:szCs w:val="21"/>
          <w:highlight w:val="yellow"/>
          <w:lang w:val="zh-CN"/>
        </w:rPr>
      </w:pPr>
      <w:bookmarkStart w:id="69" w:name="byqpz"/>
      <w:bookmarkStart w:id="70" w:name="glyskhbz"/>
    </w:p>
    <w:bookmarkEnd w:id="69"/>
    <w:bookmarkEnd w:id="70"/>
    <w:p>
      <w:pPr>
        <w:spacing w:line="360" w:lineRule="auto"/>
        <w:ind w:firstLine="422" w:firstLineChars="200"/>
        <w:rPr>
          <w:rFonts w:ascii="宋体" w:hAnsi="宋体" w:cs="宋体"/>
          <w:b/>
          <w:bCs/>
          <w:szCs w:val="21"/>
        </w:rPr>
      </w:pPr>
      <w:r>
        <w:rPr>
          <w:rFonts w:hint="eastAsia" w:ascii="宋体" w:hAnsi="宋体" w:cs="宋体"/>
          <w:b/>
          <w:bCs/>
          <w:szCs w:val="21"/>
        </w:rPr>
        <w:t>备注：</w:t>
      </w:r>
    </w:p>
    <w:p>
      <w:pPr>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37"/>
      <w:bookmarkEnd w:id="38"/>
      <w:bookmarkEnd w:id="39"/>
      <w:bookmarkEnd w:id="40"/>
      <w:bookmarkEnd w:id="41"/>
      <w:bookmarkEnd w:id="42"/>
      <w:bookmarkEnd w:id="43"/>
      <w:bookmarkStart w:id="71" w:name="_Toc3222"/>
      <w:bookmarkStart w:id="72" w:name="_Toc4075"/>
    </w:p>
    <w:p>
      <w:pPr>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360" w:lineRule="auto"/>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auto"/>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auto"/>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auto"/>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auto"/>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auto"/>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auto"/>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auto"/>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auto"/>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auto"/>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auto"/>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auto"/>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auto"/>
        <w:jc w:val="center"/>
        <w:outlineLvl w:val="9"/>
        <w:rPr>
          <w:rFonts w:ascii="宋体" w:hAnsi="宋体" w:cs="宋体"/>
          <w:b/>
          <w:bCs/>
          <w:kern w:val="0"/>
          <w:sz w:val="30"/>
          <w:szCs w:val="30"/>
        </w:rPr>
      </w:pPr>
      <w:bookmarkStart w:id="73" w:name="_Toc11074"/>
      <w:bookmarkStart w:id="74" w:name="_Toc30064"/>
    </w:p>
    <w:p>
      <w:pPr>
        <w:spacing w:line="360" w:lineRule="auto"/>
        <w:jc w:val="center"/>
        <w:outlineLvl w:val="9"/>
        <w:rPr>
          <w:rFonts w:ascii="宋体" w:hAnsi="宋体" w:cs="宋体"/>
          <w:b/>
          <w:bCs/>
          <w:kern w:val="0"/>
          <w:sz w:val="30"/>
          <w:szCs w:val="30"/>
        </w:rPr>
      </w:pPr>
    </w:p>
    <w:p>
      <w:pPr>
        <w:spacing w:line="360" w:lineRule="auto"/>
        <w:jc w:val="center"/>
        <w:outlineLvl w:val="9"/>
        <w:rPr>
          <w:rFonts w:ascii="宋体" w:hAnsi="宋体" w:cs="宋体"/>
          <w:b/>
          <w:bCs/>
          <w:kern w:val="0"/>
          <w:sz w:val="30"/>
          <w:szCs w:val="30"/>
        </w:rPr>
      </w:pPr>
    </w:p>
    <w:p>
      <w:pPr>
        <w:spacing w:line="360" w:lineRule="auto"/>
        <w:jc w:val="center"/>
        <w:outlineLvl w:val="9"/>
        <w:rPr>
          <w:rFonts w:ascii="宋体" w:hAnsi="宋体" w:cs="宋体"/>
          <w:b/>
          <w:bCs/>
          <w:kern w:val="0"/>
          <w:sz w:val="30"/>
          <w:szCs w:val="30"/>
        </w:rPr>
      </w:pPr>
    </w:p>
    <w:p>
      <w:pPr>
        <w:spacing w:line="360" w:lineRule="auto"/>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both"/>
        <w:outlineLvl w:val="0"/>
        <w:rPr>
          <w:rFonts w:hint="eastAsia" w:ascii="宋体" w:hAnsi="宋体" w:eastAsia="宋体" w:cs="宋体"/>
          <w:b/>
          <w:bCs/>
          <w:kern w:val="0"/>
          <w:sz w:val="30"/>
          <w:szCs w:val="30"/>
          <w:lang w:eastAsia="zh-CN"/>
        </w:rPr>
      </w:pPr>
      <w:bookmarkStart w:id="75" w:name="_Toc21749"/>
      <w:bookmarkStart w:id="76" w:name="_Toc30350"/>
      <w:r>
        <w:rPr>
          <w:rFonts w:hint="eastAsia" w:ascii="宋体" w:hAnsi="宋体" w:cs="宋体"/>
          <w:b/>
          <w:bCs/>
          <w:kern w:val="0"/>
          <w:sz w:val="30"/>
          <w:szCs w:val="30"/>
          <w:lang w:eastAsia="zh-CN"/>
        </w:rPr>
        <w:t>第三部分  评分标准</w:t>
      </w:r>
      <w:bookmarkEnd w:id="75"/>
      <w:bookmarkEnd w:id="76"/>
    </w:p>
    <w:p>
      <w:pPr>
        <w:spacing w:line="360" w:lineRule="exact"/>
        <w:jc w:val="center"/>
        <w:outlineLvl w:val="1"/>
        <w:rPr>
          <w:rFonts w:hint="eastAsia" w:ascii="宋体" w:hAnsi="宋体" w:eastAsia="宋体" w:cs="宋体"/>
          <w:b/>
          <w:bCs/>
          <w:kern w:val="0"/>
          <w:sz w:val="24"/>
          <w:szCs w:val="24"/>
          <w:lang w:eastAsia="zh-CN"/>
        </w:rPr>
      </w:pPr>
      <w:bookmarkStart w:id="77" w:name="_Toc23119"/>
      <w:r>
        <w:rPr>
          <w:rFonts w:hint="eastAsia" w:ascii="宋体" w:hAnsi="宋体" w:cs="宋体"/>
          <w:b/>
          <w:bCs/>
          <w:kern w:val="0"/>
          <w:sz w:val="24"/>
          <w:szCs w:val="24"/>
        </w:rPr>
        <w:t>南方医科大学第五附属医院</w:t>
      </w:r>
      <w:r>
        <w:rPr>
          <w:rFonts w:hint="eastAsia" w:ascii="宋体" w:hAnsi="宋体" w:cs="宋体"/>
          <w:b/>
          <w:bCs/>
          <w:kern w:val="0"/>
          <w:sz w:val="24"/>
          <w:szCs w:val="24"/>
          <w:lang w:eastAsia="zh-CN"/>
        </w:rPr>
        <w:t>窗口微信支付宝扫码支付项目评分标准</w:t>
      </w:r>
      <w:bookmarkEnd w:id="77"/>
    </w:p>
    <w:tbl>
      <w:tblPr>
        <w:tblStyle w:val="2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1"/>
        <w:gridCol w:w="6927"/>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8" w:type="dxa"/>
            <w:vAlign w:val="center"/>
          </w:tcPr>
          <w:p>
            <w:pPr>
              <w:spacing w:line="24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eastAsia="zh-CN"/>
              </w:rPr>
              <w:t>序号</w:t>
            </w:r>
          </w:p>
        </w:tc>
        <w:tc>
          <w:tcPr>
            <w:tcW w:w="1091" w:type="dxa"/>
            <w:vAlign w:val="center"/>
          </w:tcPr>
          <w:p>
            <w:pPr>
              <w:spacing w:line="24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eastAsia="zh-CN"/>
              </w:rPr>
              <w:t>评审内容</w:t>
            </w:r>
          </w:p>
        </w:tc>
        <w:tc>
          <w:tcPr>
            <w:tcW w:w="6927" w:type="dxa"/>
            <w:vAlign w:val="center"/>
          </w:tcPr>
          <w:p>
            <w:pPr>
              <w:spacing w:line="240" w:lineRule="auto"/>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lang w:eastAsia="zh-CN"/>
              </w:rPr>
              <w:t>评审细则</w:t>
            </w:r>
          </w:p>
        </w:tc>
        <w:tc>
          <w:tcPr>
            <w:tcW w:w="578" w:type="dxa"/>
            <w:vAlign w:val="center"/>
          </w:tcPr>
          <w:p>
            <w:pPr>
              <w:spacing w:line="240" w:lineRule="auto"/>
              <w:jc w:val="center"/>
              <w:rPr>
                <w:rFonts w:hint="eastAsia" w:ascii="宋体" w:hAnsi="宋体" w:eastAsia="宋体" w:cs="宋体"/>
                <w:b/>
                <w:sz w:val="18"/>
                <w:szCs w:val="18"/>
              </w:rPr>
            </w:pPr>
            <w:r>
              <w:rPr>
                <w:rFonts w:hint="eastAsia" w:ascii="宋体" w:hAnsi="宋体" w:eastAsia="宋体" w:cs="宋体"/>
                <w:b/>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供应商综合实力</w:t>
            </w:r>
          </w:p>
          <w:p>
            <w:pPr>
              <w:pStyle w:val="50"/>
              <w:spacing w:line="24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3分）</w:t>
            </w:r>
          </w:p>
        </w:tc>
        <w:tc>
          <w:tcPr>
            <w:tcW w:w="6927" w:type="dxa"/>
            <w:vAlign w:val="center"/>
          </w:tcPr>
          <w:p>
            <w:pPr>
              <w:pStyle w:val="50"/>
              <w:spacing w:line="240" w:lineRule="auto"/>
              <w:jc w:val="both"/>
              <w:rPr>
                <w:rFonts w:hint="eastAsia" w:ascii="宋体" w:hAnsi="宋体" w:eastAsia="宋体" w:cs="宋体"/>
                <w:sz w:val="18"/>
                <w:szCs w:val="18"/>
              </w:rPr>
            </w:pPr>
            <w:r>
              <w:rPr>
                <w:rFonts w:hint="eastAsia" w:ascii="宋体" w:hAnsi="宋体" w:eastAsia="宋体" w:cs="宋体"/>
                <w:sz w:val="18"/>
                <w:szCs w:val="18"/>
              </w:rPr>
              <w:t>供应商应具备有效</w:t>
            </w:r>
            <w:r>
              <w:rPr>
                <w:rFonts w:hint="eastAsia" w:ascii="宋体" w:hAnsi="宋体" w:eastAsia="宋体" w:cs="宋体"/>
                <w:sz w:val="18"/>
                <w:szCs w:val="18"/>
                <w:lang w:eastAsia="zh-CN"/>
              </w:rPr>
              <w:t>期内</w:t>
            </w:r>
            <w:r>
              <w:rPr>
                <w:rFonts w:hint="eastAsia" w:ascii="宋体" w:hAnsi="宋体" w:eastAsia="宋体" w:cs="宋体"/>
                <w:sz w:val="18"/>
                <w:szCs w:val="18"/>
              </w:rPr>
              <w:t>信息安全服务资质认证证书，得1.5分。</w:t>
            </w:r>
          </w:p>
          <w:p>
            <w:pPr>
              <w:pStyle w:val="50"/>
              <w:spacing w:line="240" w:lineRule="auto"/>
              <w:jc w:val="both"/>
              <w:rPr>
                <w:rFonts w:hint="eastAsia" w:ascii="宋体" w:hAnsi="宋体" w:eastAsia="宋体" w:cs="宋体"/>
                <w:sz w:val="18"/>
                <w:szCs w:val="18"/>
              </w:rPr>
            </w:pPr>
            <w:r>
              <w:rPr>
                <w:rFonts w:hint="eastAsia" w:ascii="宋体" w:hAnsi="宋体" w:eastAsia="宋体" w:cs="宋体"/>
                <w:sz w:val="18"/>
                <w:szCs w:val="18"/>
                <w:lang w:eastAsia="zh-CN"/>
              </w:rPr>
              <w:t>具备有效期内</w:t>
            </w:r>
            <w:r>
              <w:rPr>
                <w:rFonts w:hint="eastAsia" w:ascii="宋体" w:hAnsi="宋体" w:eastAsia="宋体" w:cs="宋体"/>
                <w:color w:val="000000"/>
                <w:sz w:val="18"/>
                <w:szCs w:val="18"/>
              </w:rPr>
              <w:t>质量管理体系认证证书的，得1.5分</w:t>
            </w:r>
            <w:r>
              <w:rPr>
                <w:rFonts w:hint="eastAsia" w:ascii="宋体" w:hAnsi="宋体" w:eastAsia="宋体" w:cs="宋体"/>
                <w:sz w:val="18"/>
                <w:szCs w:val="18"/>
              </w:rPr>
              <w:t>。</w:t>
            </w:r>
          </w:p>
          <w:p>
            <w:pPr>
              <w:pStyle w:val="50"/>
              <w:spacing w:line="240" w:lineRule="auto"/>
              <w:jc w:val="both"/>
              <w:rPr>
                <w:rFonts w:hint="eastAsia" w:ascii="宋体" w:hAnsi="宋体" w:eastAsia="宋体" w:cs="宋体"/>
                <w:bCs/>
                <w:spacing w:val="10"/>
                <w:kern w:val="0"/>
                <w:sz w:val="18"/>
                <w:szCs w:val="18"/>
                <w:lang w:val="en-US" w:eastAsia="zh-CN" w:bidi="ar-SA"/>
              </w:rPr>
            </w:pPr>
            <w:r>
              <w:rPr>
                <w:rFonts w:hint="eastAsia" w:ascii="宋体" w:hAnsi="宋体" w:eastAsia="宋体" w:cs="宋体"/>
                <w:b/>
                <w:bCs/>
                <w:sz w:val="18"/>
                <w:szCs w:val="18"/>
              </w:rPr>
              <w:t>注：需提供以上证书复印件并加盖供应商公章，</w:t>
            </w:r>
            <w:r>
              <w:rPr>
                <w:rFonts w:hint="eastAsia" w:ascii="宋体" w:hAnsi="宋体" w:cs="宋体"/>
                <w:b/>
                <w:bCs/>
                <w:sz w:val="18"/>
                <w:szCs w:val="18"/>
                <w:lang w:eastAsia="zh-CN"/>
              </w:rPr>
              <w:t>未提供不得分</w:t>
            </w:r>
            <w:r>
              <w:rPr>
                <w:rFonts w:hint="eastAsia" w:ascii="宋体" w:hAnsi="宋体" w:eastAsia="宋体" w:cs="宋体"/>
                <w:b/>
                <w:bCs/>
                <w:sz w:val="18"/>
                <w:szCs w:val="18"/>
              </w:rPr>
              <w:t>。</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3</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091" w:type="dxa"/>
            <w:vAlign w:val="center"/>
          </w:tcPr>
          <w:p>
            <w:pPr>
              <w:pStyle w:val="50"/>
              <w:spacing w:line="240" w:lineRule="auto"/>
              <w:jc w:val="center"/>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项目业绩</w:t>
            </w:r>
          </w:p>
          <w:p>
            <w:pPr>
              <w:pStyle w:val="50"/>
              <w:spacing w:line="240" w:lineRule="auto"/>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6分）</w:t>
            </w:r>
          </w:p>
        </w:tc>
        <w:tc>
          <w:tcPr>
            <w:tcW w:w="6927" w:type="dxa"/>
            <w:vAlign w:val="center"/>
          </w:tcPr>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sz w:val="18"/>
                <w:szCs w:val="18"/>
              </w:rPr>
              <w:t>2021年</w:t>
            </w:r>
            <w:r>
              <w:rPr>
                <w:rFonts w:hint="eastAsia" w:ascii="宋体" w:hAnsi="宋体" w:eastAsia="宋体" w:cs="宋体"/>
                <w:sz w:val="18"/>
                <w:szCs w:val="18"/>
                <w:lang w:val="en-US" w:eastAsia="zh-CN"/>
              </w:rPr>
              <w:t>1月1日至今</w:t>
            </w:r>
            <w:r>
              <w:rPr>
                <w:rFonts w:hint="eastAsia" w:ascii="宋体" w:hAnsi="宋体" w:eastAsia="宋体" w:cs="宋体"/>
                <w:sz w:val="18"/>
                <w:szCs w:val="18"/>
              </w:rPr>
              <w:t>同类项目</w:t>
            </w:r>
            <w:r>
              <w:rPr>
                <w:rFonts w:hint="eastAsia" w:ascii="宋体" w:hAnsi="宋体" w:eastAsia="宋体" w:cs="宋体"/>
                <w:sz w:val="18"/>
                <w:szCs w:val="18"/>
                <w:lang w:eastAsia="zh-CN"/>
              </w:rPr>
              <w:t>（如</w:t>
            </w:r>
            <w:r>
              <w:rPr>
                <w:rFonts w:hint="eastAsia" w:ascii="宋体" w:hAnsi="宋体" w:eastAsia="宋体" w:cs="宋体"/>
                <w:sz w:val="18"/>
                <w:szCs w:val="18"/>
              </w:rPr>
              <w:t>统一结算、综合支付等相关信息化建设项目案例</w:t>
            </w:r>
            <w:r>
              <w:rPr>
                <w:rFonts w:hint="eastAsia" w:ascii="宋体" w:hAnsi="宋体" w:eastAsia="宋体" w:cs="宋体"/>
                <w:sz w:val="18"/>
                <w:szCs w:val="18"/>
                <w:lang w:eastAsia="zh-CN"/>
              </w:rPr>
              <w:t>等</w:t>
            </w:r>
            <w:r>
              <w:rPr>
                <w:rFonts w:hint="eastAsia" w:ascii="宋体" w:hAnsi="宋体" w:eastAsia="宋体" w:cs="宋体"/>
                <w:sz w:val="18"/>
                <w:szCs w:val="18"/>
              </w:rPr>
              <w:t>相关信息化建设项目案例</w:t>
            </w:r>
            <w:r>
              <w:rPr>
                <w:rFonts w:hint="eastAsia" w:ascii="宋体" w:hAnsi="宋体" w:eastAsia="宋体" w:cs="宋体"/>
                <w:sz w:val="18"/>
                <w:szCs w:val="18"/>
                <w:lang w:eastAsia="zh-CN"/>
              </w:rPr>
              <w:t>）</w:t>
            </w:r>
            <w:r>
              <w:rPr>
                <w:rFonts w:hint="eastAsia" w:ascii="宋体" w:hAnsi="宋体" w:eastAsia="宋体" w:cs="宋体"/>
                <w:color w:val="auto"/>
                <w:sz w:val="18"/>
                <w:szCs w:val="18"/>
              </w:rPr>
              <w:t>每提供一</w:t>
            </w:r>
            <w:r>
              <w:rPr>
                <w:rFonts w:hint="eastAsia" w:ascii="宋体" w:hAnsi="宋体" w:cs="宋体"/>
                <w:color w:val="auto"/>
                <w:sz w:val="18"/>
                <w:szCs w:val="18"/>
                <w:lang w:eastAsia="zh-CN"/>
              </w:rPr>
              <w:t>项</w:t>
            </w:r>
            <w:r>
              <w:rPr>
                <w:rFonts w:hint="eastAsia" w:ascii="宋体" w:hAnsi="宋体" w:eastAsia="宋体" w:cs="宋体"/>
                <w:color w:val="auto"/>
                <w:sz w:val="18"/>
                <w:szCs w:val="18"/>
              </w:rPr>
              <w:t>案例得1.5分，最高得6分。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注：需提供合同关键页复印件或中标通知书复印件，并加盖供应商公司公章。</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091" w:type="dxa"/>
            <w:vAlign w:val="center"/>
          </w:tcPr>
          <w:p>
            <w:pPr>
              <w:pStyle w:val="50"/>
              <w:spacing w:line="240" w:lineRule="auto"/>
              <w:jc w:val="center"/>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投入人员</w:t>
            </w:r>
          </w:p>
          <w:p>
            <w:pPr>
              <w:pStyle w:val="50"/>
              <w:spacing w:line="240" w:lineRule="auto"/>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6分）</w:t>
            </w:r>
          </w:p>
        </w:tc>
        <w:tc>
          <w:tcPr>
            <w:tcW w:w="6927" w:type="dxa"/>
            <w:vAlign w:val="center"/>
          </w:tcPr>
          <w:p>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供应商拟安排的项目负责人</w:t>
            </w:r>
            <w:r>
              <w:rPr>
                <w:rFonts w:hint="eastAsia" w:ascii="宋体" w:hAnsi="宋体" w:eastAsia="宋体" w:cs="宋体"/>
                <w:color w:val="auto"/>
                <w:sz w:val="18"/>
                <w:szCs w:val="18"/>
                <w:lang w:eastAsia="zh-CN"/>
              </w:rPr>
              <w:t>及</w:t>
            </w:r>
            <w:r>
              <w:rPr>
                <w:rFonts w:hint="eastAsia" w:ascii="宋体" w:hAnsi="宋体" w:eastAsia="宋体" w:cs="宋体"/>
                <w:color w:val="auto"/>
                <w:sz w:val="18"/>
                <w:szCs w:val="18"/>
              </w:rPr>
              <w:t>项目组团队人员具有信息系统项目管理师证书、软件设计师证书、系统集成项目管理工程师的，每提供1个得3分，本项最高得6分，</w:t>
            </w:r>
            <w:r>
              <w:rPr>
                <w:rFonts w:hint="eastAsia" w:ascii="宋体" w:hAnsi="宋体" w:cs="宋体"/>
                <w:color w:val="auto"/>
                <w:sz w:val="18"/>
                <w:szCs w:val="18"/>
                <w:lang w:eastAsia="zh-CN"/>
              </w:rPr>
              <w:t>未提供不得分</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同一人取得多种证书按</w:t>
            </w:r>
            <w:r>
              <w:rPr>
                <w:rFonts w:hint="eastAsia" w:ascii="宋体" w:hAnsi="宋体" w:eastAsia="宋体" w:cs="宋体"/>
                <w:color w:val="auto"/>
                <w:sz w:val="18"/>
                <w:szCs w:val="18"/>
                <w:lang w:val="en-US" w:eastAsia="zh-CN"/>
              </w:rPr>
              <w:t>1分计算。</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color w:val="auto"/>
                <w:sz w:val="18"/>
                <w:szCs w:val="18"/>
              </w:rPr>
              <w:t>注：需提供项目负责人</w:t>
            </w:r>
            <w:r>
              <w:rPr>
                <w:rFonts w:hint="eastAsia" w:ascii="宋体" w:hAnsi="宋体" w:eastAsia="宋体" w:cs="宋体"/>
                <w:b/>
                <w:bCs/>
                <w:color w:val="auto"/>
                <w:sz w:val="18"/>
                <w:szCs w:val="18"/>
                <w:lang w:eastAsia="zh-CN"/>
              </w:rPr>
              <w:t>及项目组团队人员</w:t>
            </w:r>
            <w:r>
              <w:rPr>
                <w:rFonts w:hint="eastAsia" w:ascii="宋体" w:hAnsi="宋体" w:eastAsia="宋体" w:cs="宋体"/>
                <w:b/>
                <w:bCs/>
                <w:color w:val="auto"/>
                <w:sz w:val="18"/>
                <w:szCs w:val="18"/>
              </w:rPr>
              <w:t>的资质证书复印件及投标截止日之前六个月以内任意1个月在供应商任职的外部证明文件（如加盖政府有关部门印章的《投保单》或《社会保险参保人员证明》，或单位代缴个人所得税税单等）复印件，如依法无需缴纳社会保险的应提供相关证明材料说明，</w:t>
            </w:r>
            <w:r>
              <w:rPr>
                <w:rFonts w:hint="eastAsia" w:ascii="宋体" w:hAnsi="宋体" w:cs="宋体"/>
                <w:b/>
                <w:bCs/>
                <w:color w:val="auto"/>
                <w:sz w:val="18"/>
                <w:szCs w:val="18"/>
                <w:lang w:eastAsia="zh-CN"/>
              </w:rPr>
              <w:t>未提供不得分</w:t>
            </w:r>
            <w:r>
              <w:rPr>
                <w:rFonts w:hint="eastAsia" w:ascii="宋体" w:hAnsi="宋体" w:eastAsia="宋体" w:cs="宋体"/>
                <w:b/>
                <w:bCs/>
                <w:color w:val="auto"/>
                <w:sz w:val="18"/>
                <w:szCs w:val="18"/>
              </w:rPr>
              <w:t>）。</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091" w:type="dxa"/>
            <w:vAlign w:val="center"/>
          </w:tcPr>
          <w:p>
            <w:pPr>
              <w:pStyle w:val="50"/>
              <w:spacing w:line="240" w:lineRule="auto"/>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eastAsia="zh-CN"/>
              </w:rPr>
              <w:t>技术参数响应情况（</w:t>
            </w:r>
            <w:r>
              <w:rPr>
                <w:rFonts w:hint="eastAsia" w:ascii="宋体" w:hAnsi="宋体" w:eastAsia="宋体" w:cs="宋体"/>
                <w:b/>
                <w:bCs w:val="0"/>
                <w:color w:val="auto"/>
                <w:sz w:val="18"/>
                <w:szCs w:val="18"/>
                <w:lang w:val="en-US" w:eastAsia="zh-CN"/>
              </w:rPr>
              <w:t>21分）</w:t>
            </w:r>
          </w:p>
        </w:tc>
        <w:tc>
          <w:tcPr>
            <w:tcW w:w="6927" w:type="dxa"/>
            <w:vAlign w:val="center"/>
          </w:tcPr>
          <w:p>
            <w:pPr>
              <w:pStyle w:val="50"/>
              <w:spacing w:line="240" w:lineRule="auto"/>
              <w:jc w:val="both"/>
              <w:rPr>
                <w:rFonts w:hint="eastAsia" w:ascii="宋体" w:hAnsi="宋体" w:eastAsia="宋体" w:cs="宋体"/>
                <w:bCs w:val="0"/>
                <w:color w:val="auto"/>
                <w:spacing w:val="0"/>
                <w:kern w:val="2"/>
                <w:sz w:val="18"/>
                <w:szCs w:val="18"/>
                <w:lang w:val="en-US" w:eastAsia="zh-CN" w:bidi="ar-SA"/>
              </w:rPr>
            </w:pPr>
            <w:r>
              <w:rPr>
                <w:rFonts w:hint="eastAsia" w:ascii="宋体" w:hAnsi="宋体" w:eastAsia="宋体" w:cs="宋体"/>
                <w:bCs w:val="0"/>
                <w:color w:val="auto"/>
                <w:spacing w:val="0"/>
                <w:kern w:val="2"/>
                <w:sz w:val="18"/>
                <w:szCs w:val="18"/>
                <w:lang w:val="en-US" w:eastAsia="zh-CN" w:bidi="ar-SA"/>
              </w:rPr>
              <w:t>根据采购需求中“二、技术参数要求”的七项技术要求，每满足一项得3分，最高21分</w:t>
            </w:r>
          </w:p>
          <w:p>
            <w:pPr>
              <w:pStyle w:val="50"/>
              <w:spacing w:line="240" w:lineRule="auto"/>
              <w:jc w:val="both"/>
              <w:rPr>
                <w:rFonts w:hint="eastAsia" w:ascii="宋体" w:hAnsi="宋体" w:eastAsia="宋体" w:cs="宋体"/>
                <w:b/>
                <w:bCs w:val="0"/>
                <w:color w:val="auto"/>
                <w:sz w:val="18"/>
                <w:szCs w:val="18"/>
              </w:rPr>
            </w:pPr>
            <w:r>
              <w:rPr>
                <w:rFonts w:hint="eastAsia" w:ascii="宋体" w:hAnsi="宋体" w:eastAsia="宋体" w:cs="宋体"/>
                <w:b/>
                <w:bCs/>
                <w:color w:val="auto"/>
                <w:spacing w:val="0"/>
                <w:kern w:val="2"/>
                <w:sz w:val="18"/>
                <w:szCs w:val="18"/>
                <w:lang w:val="en-US" w:eastAsia="zh-CN" w:bidi="ar-SA"/>
              </w:rPr>
              <w:t>注：根据供应商提供的用户需求偏离表及所投项目主要技术指标、参数及性能的详细说明等材料进行综合评审。</w:t>
            </w:r>
          </w:p>
        </w:tc>
        <w:tc>
          <w:tcPr>
            <w:tcW w:w="57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091" w:type="dxa"/>
            <w:vAlign w:val="center"/>
          </w:tcPr>
          <w:p>
            <w:pPr>
              <w:pStyle w:val="50"/>
              <w:spacing w:line="240" w:lineRule="auto"/>
              <w:jc w:val="center"/>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系统开发能力</w:t>
            </w:r>
          </w:p>
          <w:p>
            <w:pPr>
              <w:pStyle w:val="5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10分）</w:t>
            </w:r>
          </w:p>
        </w:tc>
        <w:tc>
          <w:tcPr>
            <w:tcW w:w="6927" w:type="dxa"/>
            <w:vAlign w:val="center"/>
          </w:tcPr>
          <w:p>
            <w:pPr>
              <w:pStyle w:val="50"/>
              <w:spacing w:line="240" w:lineRule="auto"/>
              <w:jc w:val="both"/>
              <w:rPr>
                <w:rFonts w:hint="eastAsia" w:ascii="宋体" w:hAnsi="宋体" w:eastAsia="宋体" w:cs="宋体"/>
                <w:bCs w:val="0"/>
                <w:color w:val="auto"/>
                <w:spacing w:val="0"/>
                <w:kern w:val="2"/>
                <w:sz w:val="18"/>
                <w:szCs w:val="18"/>
                <w:lang w:val="en-US" w:eastAsia="zh-CN" w:bidi="ar-SA"/>
              </w:rPr>
            </w:pPr>
            <w:r>
              <w:rPr>
                <w:rFonts w:hint="eastAsia" w:ascii="宋体" w:hAnsi="宋体" w:eastAsia="宋体" w:cs="宋体"/>
                <w:b w:val="0"/>
                <w:color w:val="auto"/>
                <w:kern w:val="0"/>
                <w:sz w:val="18"/>
                <w:szCs w:val="18"/>
              </w:rPr>
              <w:t>供应商或所投产品具有以下（与本项目相关的）国家版权局颁发的软件著作权登记证书：统一结算管理</w:t>
            </w:r>
            <w:r>
              <w:rPr>
                <w:rFonts w:hint="eastAsia" w:ascii="宋体" w:hAnsi="宋体" w:eastAsia="宋体" w:cs="宋体"/>
                <w:bCs w:val="0"/>
                <w:color w:val="auto"/>
                <w:spacing w:val="0"/>
                <w:kern w:val="2"/>
                <w:sz w:val="18"/>
                <w:szCs w:val="18"/>
                <w:lang w:val="en-US" w:eastAsia="zh-CN" w:bidi="ar-SA"/>
              </w:rPr>
              <w:t>类软著、医院信息管理类软著、聚合支付类软著、数据交互类软著、智能服务类软著，每提供1个，得2分，最高得10分。</w:t>
            </w:r>
          </w:p>
          <w:p>
            <w:pPr>
              <w:pStyle w:val="50"/>
              <w:spacing w:line="240" w:lineRule="auto"/>
              <w:jc w:val="both"/>
              <w:rPr>
                <w:rFonts w:hint="eastAsia" w:ascii="宋体" w:hAnsi="宋体" w:eastAsia="宋体" w:cs="宋体"/>
                <w:bCs w:val="0"/>
                <w:color w:val="auto"/>
                <w:spacing w:val="10"/>
                <w:kern w:val="0"/>
                <w:sz w:val="18"/>
                <w:szCs w:val="18"/>
                <w:lang w:val="en-US" w:eastAsia="zh-CN" w:bidi="ar-SA"/>
              </w:rPr>
            </w:pPr>
            <w:r>
              <w:rPr>
                <w:rFonts w:hint="eastAsia" w:ascii="宋体" w:hAnsi="宋体" w:eastAsia="宋体" w:cs="宋体"/>
                <w:b/>
                <w:bCs/>
                <w:color w:val="auto"/>
                <w:spacing w:val="0"/>
                <w:kern w:val="2"/>
                <w:sz w:val="18"/>
                <w:szCs w:val="18"/>
                <w:lang w:val="en-US" w:eastAsia="zh-CN" w:bidi="ar-SA"/>
              </w:rPr>
              <w:t>注：需提供以上证书复印件并加盖供应商公章，</w:t>
            </w:r>
            <w:r>
              <w:rPr>
                <w:rFonts w:hint="eastAsia" w:ascii="宋体" w:hAnsi="宋体" w:cs="宋体"/>
                <w:b/>
                <w:bCs/>
                <w:color w:val="auto"/>
                <w:spacing w:val="0"/>
                <w:kern w:val="2"/>
                <w:sz w:val="18"/>
                <w:szCs w:val="18"/>
                <w:lang w:val="en-US" w:eastAsia="zh-CN" w:bidi="ar-SA"/>
              </w:rPr>
              <w:t>未提供不得分</w:t>
            </w:r>
            <w:r>
              <w:rPr>
                <w:rFonts w:hint="eastAsia" w:ascii="宋体" w:hAnsi="宋体" w:eastAsia="宋体" w:cs="宋体"/>
                <w:b/>
                <w:bCs/>
                <w:color w:val="auto"/>
                <w:spacing w:val="0"/>
                <w:kern w:val="2"/>
                <w:sz w:val="18"/>
                <w:szCs w:val="18"/>
                <w:lang w:val="en-US" w:eastAsia="zh-CN" w:bidi="ar-SA"/>
              </w:rPr>
              <w:t>。</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10</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091" w:type="dxa"/>
            <w:vAlign w:val="center"/>
          </w:tcPr>
          <w:p>
            <w:pPr>
              <w:pStyle w:val="50"/>
              <w:spacing w:line="240" w:lineRule="auto"/>
              <w:jc w:val="center"/>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技术方案部分</w:t>
            </w:r>
          </w:p>
          <w:p>
            <w:pPr>
              <w:pStyle w:val="5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9分）</w:t>
            </w:r>
          </w:p>
        </w:tc>
        <w:tc>
          <w:tcPr>
            <w:tcW w:w="6927" w:type="dxa"/>
            <w:vAlign w:val="center"/>
          </w:tcPr>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根据各供应商按照建设目标、建设需求所</w:t>
            </w:r>
            <w:r>
              <w:rPr>
                <w:rFonts w:hint="eastAsia" w:ascii="宋体" w:hAnsi="宋体" w:eastAsia="宋体" w:cs="宋体"/>
                <w:color w:val="auto"/>
                <w:sz w:val="18"/>
                <w:szCs w:val="18"/>
              </w:rPr>
              <w:t>提供的技术方案，内容包括但不限于：总体架构、设计原则等</w:t>
            </w:r>
            <w:r>
              <w:rPr>
                <w:rFonts w:hint="eastAsia" w:ascii="宋体" w:hAnsi="宋体" w:eastAsia="宋体" w:cs="宋体"/>
                <w:color w:val="auto"/>
                <w:sz w:val="18"/>
                <w:szCs w:val="18"/>
                <w:lang w:eastAsia="zh-CN"/>
              </w:rPr>
              <w:t>，进行综合评审：</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建设需求的理解透彻，采用主流技术架构，开放性、扩展性好，</w:t>
            </w:r>
            <w:r>
              <w:rPr>
                <w:rFonts w:hint="eastAsia" w:ascii="宋体" w:hAnsi="宋体" w:eastAsia="宋体" w:cs="宋体"/>
                <w:color w:val="auto"/>
                <w:sz w:val="18"/>
                <w:szCs w:val="18"/>
                <w:lang w:eastAsia="zh-CN"/>
              </w:rPr>
              <w:t>优于需求书要求，</w:t>
            </w:r>
            <w:r>
              <w:rPr>
                <w:rFonts w:hint="eastAsia" w:ascii="宋体" w:hAnsi="宋体" w:eastAsia="宋体" w:cs="宋体"/>
                <w:color w:val="auto"/>
                <w:sz w:val="18"/>
                <w:szCs w:val="18"/>
              </w:rPr>
              <w:t>得9分；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透彻，采用主流技术架构，开放性、扩展性</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好，得</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中：</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建设需求的理解一般，采用主流技术架构，开放性、扩展性一般，得</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差：</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建设需求的理解差，采用主流技术架构，开放性、扩展性差，得1分。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w:t>
            </w:r>
            <w:r>
              <w:rPr>
                <w:rFonts w:hint="eastAsia" w:ascii="宋体" w:hAnsi="宋体" w:eastAsia="宋体" w:cs="宋体"/>
                <w:b/>
                <w:bCs w:val="0"/>
                <w:color w:val="auto"/>
                <w:sz w:val="18"/>
                <w:szCs w:val="18"/>
                <w:lang w:eastAsia="zh-CN"/>
              </w:rPr>
              <w:t>未</w:t>
            </w:r>
            <w:r>
              <w:rPr>
                <w:rFonts w:hint="eastAsia" w:ascii="宋体" w:hAnsi="宋体" w:eastAsia="宋体" w:cs="宋体"/>
                <w:b/>
                <w:bCs w:val="0"/>
                <w:color w:val="auto"/>
                <w:sz w:val="18"/>
                <w:szCs w:val="18"/>
              </w:rPr>
              <w:t>提供不得分。</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091" w:type="dxa"/>
            <w:vAlign w:val="center"/>
          </w:tcPr>
          <w:p>
            <w:pPr>
              <w:pStyle w:val="5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bCs w:val="0"/>
                <w:color w:val="auto"/>
                <w:sz w:val="18"/>
                <w:szCs w:val="18"/>
              </w:rPr>
              <w:t>实施方案</w:t>
            </w: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15分）</w:t>
            </w:r>
          </w:p>
        </w:tc>
        <w:tc>
          <w:tcPr>
            <w:tcW w:w="6927" w:type="dxa"/>
            <w:vAlign w:val="center"/>
          </w:tcPr>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根据</w:t>
            </w:r>
            <w:r>
              <w:rPr>
                <w:rFonts w:hint="eastAsia" w:ascii="宋体" w:hAnsi="宋体" w:eastAsia="宋体" w:cs="宋体"/>
                <w:color w:val="auto"/>
                <w:sz w:val="18"/>
                <w:szCs w:val="18"/>
              </w:rPr>
              <w:t>各</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提供项目的实施方案</w:t>
            </w:r>
            <w:r>
              <w:rPr>
                <w:rFonts w:hint="eastAsia" w:ascii="宋体" w:hAnsi="宋体" w:eastAsia="宋体" w:cs="宋体"/>
                <w:color w:val="auto"/>
                <w:sz w:val="18"/>
                <w:szCs w:val="18"/>
                <w:lang w:eastAsia="zh-CN"/>
              </w:rPr>
              <w:t>的</w:t>
            </w:r>
            <w:r>
              <w:rPr>
                <w:rFonts w:hint="eastAsia" w:ascii="宋体" w:hAnsi="宋体" w:eastAsia="宋体" w:cs="宋体"/>
                <w:color w:val="auto"/>
                <w:sz w:val="18"/>
                <w:szCs w:val="18"/>
              </w:rPr>
              <w:t>科学性、合理性、规范性和可操作性</w:t>
            </w:r>
            <w:r>
              <w:rPr>
                <w:rFonts w:hint="eastAsia" w:ascii="宋体" w:hAnsi="宋体" w:eastAsia="宋体" w:cs="宋体"/>
                <w:color w:val="auto"/>
                <w:sz w:val="18"/>
                <w:szCs w:val="18"/>
                <w:lang w:eastAsia="zh-CN"/>
              </w:rPr>
              <w:t>，并</w:t>
            </w:r>
            <w:r>
              <w:rPr>
                <w:rFonts w:hint="eastAsia" w:ascii="宋体" w:hAnsi="宋体" w:eastAsia="宋体" w:cs="宋体"/>
                <w:color w:val="auto"/>
                <w:sz w:val="18"/>
                <w:szCs w:val="18"/>
              </w:rPr>
              <w:t>针对本项目实施重难点理解分析透彻，并提供应对措施及流程</w:t>
            </w:r>
            <w:r>
              <w:rPr>
                <w:rFonts w:hint="eastAsia" w:ascii="宋体" w:hAnsi="宋体" w:eastAsia="宋体" w:cs="宋体"/>
                <w:color w:val="auto"/>
                <w:sz w:val="18"/>
                <w:szCs w:val="18"/>
                <w:lang w:eastAsia="zh-CN"/>
              </w:rPr>
              <w:t>等，进行综合评分：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实施方案全面，具有合理的项目进度安排、组织架构，具有良好的实施阶段进度控制、项目需求计划、应急风险控制管理、质量保障等措施，对重难点分析理解全面透彻，应对措施及流程完善全面可行。得15分；</w:t>
            </w:r>
          </w:p>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实施方案</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全面，进度安排、组织架构</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合理，进度控制、风险控制管理、质量保障措施</w:t>
            </w:r>
            <w:r>
              <w:rPr>
                <w:rFonts w:hint="eastAsia" w:ascii="宋体" w:hAnsi="宋体" w:eastAsia="宋体" w:cs="宋体"/>
                <w:color w:val="auto"/>
                <w:sz w:val="18"/>
                <w:szCs w:val="18"/>
                <w:lang w:eastAsia="zh-CN"/>
              </w:rPr>
              <w:t>较全面</w:t>
            </w:r>
            <w:r>
              <w:rPr>
                <w:rFonts w:hint="eastAsia" w:ascii="宋体" w:hAnsi="宋体" w:eastAsia="宋体" w:cs="宋体"/>
                <w:color w:val="auto"/>
                <w:sz w:val="18"/>
                <w:szCs w:val="18"/>
              </w:rPr>
              <w:t>，对重难点分析理解较全面，有</w:t>
            </w:r>
            <w:r>
              <w:rPr>
                <w:rFonts w:hint="eastAsia" w:ascii="宋体" w:hAnsi="宋体" w:eastAsia="宋体" w:cs="宋体"/>
                <w:color w:val="auto"/>
                <w:sz w:val="18"/>
                <w:szCs w:val="18"/>
                <w:lang w:eastAsia="zh-CN"/>
              </w:rPr>
              <w:t>较可行的</w:t>
            </w:r>
            <w:r>
              <w:rPr>
                <w:rFonts w:hint="eastAsia" w:ascii="宋体" w:hAnsi="宋体" w:eastAsia="宋体" w:cs="宋体"/>
                <w:color w:val="auto"/>
                <w:sz w:val="18"/>
                <w:szCs w:val="18"/>
              </w:rPr>
              <w:t>应对措施及流程。得10分；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中：</w:t>
            </w:r>
            <w:r>
              <w:rPr>
                <w:rFonts w:hint="eastAsia" w:ascii="宋体" w:hAnsi="宋体" w:eastAsia="宋体" w:cs="宋体"/>
                <w:color w:val="auto"/>
                <w:sz w:val="18"/>
                <w:szCs w:val="18"/>
              </w:rPr>
              <w:t>实施方案不够全面，进度安排、组织架构</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，进度控制、风险控制管理、质量保障措施</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，对重难点分析理解</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，有应对措施及流程</w:t>
            </w:r>
            <w:r>
              <w:rPr>
                <w:rFonts w:hint="eastAsia" w:ascii="宋体" w:hAnsi="宋体" w:eastAsia="宋体" w:cs="宋体"/>
                <w:color w:val="auto"/>
                <w:sz w:val="18"/>
                <w:szCs w:val="18"/>
                <w:lang w:eastAsia="zh-CN"/>
              </w:rPr>
              <w:t>但不够全面</w:t>
            </w:r>
            <w:r>
              <w:rPr>
                <w:rFonts w:hint="eastAsia" w:ascii="宋体" w:hAnsi="宋体" w:eastAsia="宋体" w:cs="宋体"/>
                <w:color w:val="auto"/>
                <w:sz w:val="18"/>
                <w:szCs w:val="18"/>
              </w:rPr>
              <w:t>。得</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差：</w:t>
            </w:r>
            <w:r>
              <w:rPr>
                <w:rFonts w:hint="eastAsia" w:ascii="宋体" w:hAnsi="宋体" w:eastAsia="宋体" w:cs="宋体"/>
                <w:color w:val="auto"/>
                <w:sz w:val="18"/>
                <w:szCs w:val="18"/>
              </w:rPr>
              <w:t>实施方案不全面，进度安排、组织架构不合理，没有进度控制、风险控制管理、质量保障措施，对重难点分析理解片面，应对措施及流程空洞或欠缺。得</w:t>
            </w:r>
            <w:r>
              <w:rPr>
                <w:rFonts w:hint="eastAsia" w:ascii="宋体" w:hAnsi="宋体" w:eastAsia="宋体" w:cs="宋体"/>
                <w:color w:val="auto"/>
                <w:sz w:val="18"/>
                <w:szCs w:val="18"/>
                <w:lang w:val="en-US" w:eastAsia="zh-CN"/>
              </w:rPr>
              <w:t>0.5</w:t>
            </w:r>
            <w:r>
              <w:rPr>
                <w:rFonts w:hint="eastAsia" w:ascii="宋体" w:hAnsi="宋体" w:eastAsia="宋体" w:cs="宋体"/>
                <w:color w:val="auto"/>
                <w:sz w:val="18"/>
                <w:szCs w:val="18"/>
              </w:rPr>
              <w:t>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w:t>
            </w:r>
            <w:r>
              <w:rPr>
                <w:rFonts w:hint="eastAsia" w:ascii="宋体" w:hAnsi="宋体" w:eastAsia="宋体" w:cs="宋体"/>
                <w:b/>
                <w:bCs w:val="0"/>
                <w:color w:val="auto"/>
                <w:sz w:val="18"/>
                <w:szCs w:val="18"/>
                <w:lang w:eastAsia="zh-CN"/>
              </w:rPr>
              <w:t>未</w:t>
            </w:r>
            <w:r>
              <w:rPr>
                <w:rFonts w:hint="eastAsia" w:ascii="宋体" w:hAnsi="宋体" w:eastAsia="宋体" w:cs="宋体"/>
                <w:b/>
                <w:bCs w:val="0"/>
                <w:color w:val="auto"/>
                <w:sz w:val="18"/>
                <w:szCs w:val="18"/>
              </w:rPr>
              <w:t>提供不得分。</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15</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091" w:type="dxa"/>
            <w:vAlign w:val="center"/>
          </w:tcPr>
          <w:p>
            <w:pPr>
              <w:pStyle w:val="50"/>
              <w:spacing w:line="240" w:lineRule="auto"/>
              <w:jc w:val="center"/>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售后服务方案</w:t>
            </w:r>
          </w:p>
          <w:p>
            <w:pPr>
              <w:pStyle w:val="50"/>
              <w:spacing w:line="240" w:lineRule="auto"/>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10分）</w:t>
            </w:r>
          </w:p>
        </w:tc>
        <w:tc>
          <w:tcPr>
            <w:tcW w:w="6927" w:type="dxa"/>
            <w:vAlign w:val="center"/>
          </w:tcPr>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根据</w:t>
            </w:r>
            <w:r>
              <w:rPr>
                <w:rFonts w:hint="eastAsia" w:ascii="宋体" w:hAnsi="宋体" w:eastAsia="宋体" w:cs="宋体"/>
                <w:color w:val="auto"/>
                <w:sz w:val="18"/>
                <w:szCs w:val="18"/>
              </w:rPr>
              <w:t>各</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针对本项目</w:t>
            </w:r>
            <w:r>
              <w:rPr>
                <w:rFonts w:hint="eastAsia" w:ascii="宋体" w:hAnsi="宋体" w:eastAsia="宋体" w:cs="宋体"/>
                <w:color w:val="auto"/>
                <w:sz w:val="18"/>
                <w:szCs w:val="18"/>
                <w:lang w:eastAsia="zh-CN"/>
              </w:rPr>
              <w:t>所提供的</w:t>
            </w:r>
            <w:r>
              <w:rPr>
                <w:rFonts w:hint="eastAsia" w:ascii="宋体" w:hAnsi="宋体" w:eastAsia="宋体" w:cs="宋体"/>
                <w:color w:val="auto"/>
                <w:sz w:val="18"/>
                <w:szCs w:val="18"/>
              </w:rPr>
              <w:t>售后服务承诺、服务响应流程、应急服务流程提</w:t>
            </w:r>
            <w:r>
              <w:rPr>
                <w:rFonts w:hint="eastAsia" w:ascii="宋体" w:hAnsi="宋体" w:eastAsia="宋体" w:cs="宋体"/>
                <w:color w:val="auto"/>
                <w:sz w:val="18"/>
                <w:szCs w:val="18"/>
                <w:lang w:eastAsia="zh-CN"/>
              </w:rPr>
              <w:t>供的</w:t>
            </w:r>
            <w:r>
              <w:rPr>
                <w:rFonts w:hint="eastAsia" w:ascii="宋体" w:hAnsi="宋体" w:eastAsia="宋体" w:cs="宋体"/>
                <w:color w:val="auto"/>
                <w:sz w:val="18"/>
                <w:szCs w:val="18"/>
              </w:rPr>
              <w:t>详细方案</w:t>
            </w:r>
            <w:r>
              <w:rPr>
                <w:rFonts w:hint="eastAsia" w:ascii="宋体" w:hAnsi="宋体" w:eastAsia="宋体" w:cs="宋体"/>
                <w:color w:val="auto"/>
                <w:sz w:val="18"/>
                <w:szCs w:val="18"/>
                <w:lang w:eastAsia="zh-CN"/>
              </w:rPr>
              <w:t>等，进行综合评分：</w:t>
            </w:r>
          </w:p>
          <w:p>
            <w:pPr>
              <w:pStyle w:val="50"/>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针对本项目的服务承诺、服务响应流程、应急服务流程清晰，完全满足项目突发性需求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服务响应时间：到达现场2小时</w:t>
            </w:r>
            <w:r>
              <w:rPr>
                <w:rFonts w:hint="eastAsia" w:ascii="宋体" w:hAnsi="宋体" w:eastAsia="宋体" w:cs="宋体"/>
                <w:color w:val="auto"/>
                <w:sz w:val="18"/>
                <w:szCs w:val="18"/>
                <w:highlight w:val="none"/>
                <w:lang w:eastAsia="zh-CN"/>
              </w:rPr>
              <w:t>及以内</w:t>
            </w:r>
            <w:r>
              <w:rPr>
                <w:rFonts w:hint="eastAsia" w:ascii="宋体" w:hAnsi="宋体" w:eastAsia="宋体" w:cs="宋体"/>
                <w:color w:val="auto"/>
                <w:sz w:val="18"/>
                <w:szCs w:val="18"/>
                <w:highlight w:val="none"/>
              </w:rPr>
              <w:t>，得10分；</w:t>
            </w:r>
          </w:p>
          <w:p>
            <w:pPr>
              <w:pStyle w:val="50"/>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针对本项目的服务承诺、服务响应流程、应急服务流程较清晰，基本满足项目突发性需求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服务响应时间：到达现场时间</w:t>
            </w:r>
            <w:r>
              <w:rPr>
                <w:rFonts w:hint="eastAsia" w:ascii="宋体" w:hAnsi="宋体" w:eastAsia="宋体" w:cs="宋体"/>
                <w:color w:val="auto"/>
                <w:sz w:val="18"/>
                <w:szCs w:val="18"/>
                <w:highlight w:val="none"/>
                <w:lang w:val="en-US" w:eastAsia="zh-CN"/>
              </w:rPr>
              <w:t>2（不含）-3</w:t>
            </w:r>
            <w:r>
              <w:rPr>
                <w:rFonts w:hint="eastAsia" w:ascii="宋体" w:hAnsi="宋体" w:eastAsia="宋体" w:cs="宋体"/>
                <w:color w:val="auto"/>
                <w:sz w:val="18"/>
                <w:szCs w:val="18"/>
                <w:highlight w:val="none"/>
              </w:rPr>
              <w:t>小时</w:t>
            </w:r>
            <w:r>
              <w:rPr>
                <w:rFonts w:hint="eastAsia" w:ascii="宋体" w:hAnsi="宋体" w:eastAsia="宋体" w:cs="宋体"/>
                <w:color w:val="auto"/>
                <w:sz w:val="18"/>
                <w:szCs w:val="18"/>
                <w:highlight w:val="none"/>
                <w:lang w:eastAsia="zh-CN"/>
              </w:rPr>
              <w:t>（含）</w:t>
            </w:r>
            <w:r>
              <w:rPr>
                <w:rFonts w:hint="eastAsia" w:ascii="宋体" w:hAnsi="宋体" w:eastAsia="宋体" w:cs="宋体"/>
                <w:color w:val="auto"/>
                <w:sz w:val="18"/>
                <w:szCs w:val="18"/>
                <w:highlight w:val="none"/>
              </w:rPr>
              <w:t>的，得4分；</w:t>
            </w:r>
          </w:p>
          <w:p>
            <w:pPr>
              <w:pStyle w:val="5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中：</w:t>
            </w:r>
            <w:r>
              <w:rPr>
                <w:rFonts w:hint="eastAsia" w:ascii="宋体" w:hAnsi="宋体" w:eastAsia="宋体" w:cs="宋体"/>
                <w:color w:val="auto"/>
                <w:sz w:val="18"/>
                <w:szCs w:val="18"/>
              </w:rPr>
              <w:t>针对本项目的服务承诺、服务响应流程、应急服务流程</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，基本满足项目突发性需求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服务响应时间：到达现场时间</w:t>
            </w:r>
            <w:r>
              <w:rPr>
                <w:rFonts w:hint="eastAsia" w:ascii="宋体" w:hAnsi="宋体" w:eastAsia="宋体" w:cs="宋体"/>
                <w:color w:val="auto"/>
                <w:sz w:val="18"/>
                <w:szCs w:val="18"/>
                <w:highlight w:val="none"/>
                <w:lang w:val="en-US" w:eastAsia="zh-CN"/>
              </w:rPr>
              <w:t>3（不含）-4</w:t>
            </w:r>
            <w:r>
              <w:rPr>
                <w:rFonts w:hint="eastAsia" w:ascii="宋体" w:hAnsi="宋体" w:eastAsia="宋体" w:cs="宋体"/>
                <w:color w:val="auto"/>
                <w:sz w:val="18"/>
                <w:szCs w:val="18"/>
                <w:highlight w:val="none"/>
              </w:rPr>
              <w:t>小时</w:t>
            </w:r>
            <w:r>
              <w:rPr>
                <w:rFonts w:hint="eastAsia" w:ascii="宋体" w:hAnsi="宋体" w:eastAsia="宋体" w:cs="宋体"/>
                <w:color w:val="auto"/>
                <w:sz w:val="18"/>
                <w:szCs w:val="18"/>
                <w:highlight w:val="none"/>
                <w:lang w:eastAsia="zh-CN"/>
              </w:rPr>
              <w:t>（含）</w:t>
            </w:r>
            <w:r>
              <w:rPr>
                <w:rFonts w:hint="eastAsia" w:ascii="宋体" w:hAnsi="宋体" w:eastAsia="宋体" w:cs="宋体"/>
                <w:color w:val="auto"/>
                <w:sz w:val="18"/>
                <w:szCs w:val="18"/>
                <w:highlight w:val="none"/>
              </w:rPr>
              <w:t>的，得4分；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差：</w:t>
            </w:r>
            <w:r>
              <w:rPr>
                <w:rFonts w:hint="eastAsia" w:ascii="宋体" w:hAnsi="宋体" w:eastAsia="宋体" w:cs="宋体"/>
                <w:color w:val="auto"/>
                <w:sz w:val="18"/>
                <w:szCs w:val="18"/>
              </w:rPr>
              <w:t>针对本项目的服务承诺、服务响应流程、应急服务流程不清晰或未表述，不能满足项目突发性需求，当系统出现故障或采购人需要，接收到采购人电话通知后，</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服务响应时间：到达现场时间</w:t>
            </w:r>
            <w:r>
              <w:rPr>
                <w:rFonts w:hint="eastAsia" w:ascii="宋体" w:hAnsi="宋体" w:eastAsia="宋体" w:cs="宋体"/>
                <w:color w:val="auto"/>
                <w:sz w:val="18"/>
                <w:szCs w:val="18"/>
                <w:lang w:eastAsia="zh-CN"/>
              </w:rPr>
              <w:t>超过</w:t>
            </w:r>
            <w:r>
              <w:rPr>
                <w:rFonts w:hint="eastAsia" w:ascii="宋体" w:hAnsi="宋体" w:eastAsia="宋体" w:cs="宋体"/>
                <w:color w:val="auto"/>
                <w:sz w:val="18"/>
                <w:szCs w:val="18"/>
              </w:rPr>
              <w:t>4小时</w:t>
            </w:r>
            <w:r>
              <w:rPr>
                <w:rFonts w:hint="eastAsia" w:ascii="宋体" w:hAnsi="宋体" w:eastAsia="宋体" w:cs="宋体"/>
                <w:color w:val="auto"/>
                <w:sz w:val="18"/>
                <w:szCs w:val="18"/>
                <w:lang w:eastAsia="zh-CN"/>
              </w:rPr>
              <w:t>（不含）</w:t>
            </w:r>
            <w:r>
              <w:rPr>
                <w:rFonts w:hint="eastAsia" w:ascii="宋体" w:hAnsi="宋体" w:eastAsia="宋体" w:cs="宋体"/>
                <w:color w:val="auto"/>
                <w:sz w:val="18"/>
                <w:szCs w:val="18"/>
              </w:rPr>
              <w:t>的，得1分。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注：未见</w:t>
            </w:r>
            <w:r>
              <w:rPr>
                <w:rFonts w:hint="eastAsia" w:ascii="宋体" w:hAnsi="宋体" w:eastAsia="宋体" w:cs="宋体"/>
                <w:b/>
                <w:bCs w:val="0"/>
                <w:color w:val="auto"/>
                <w:sz w:val="18"/>
                <w:szCs w:val="18"/>
                <w:lang w:eastAsia="zh-CN"/>
              </w:rPr>
              <w:t>提供</w:t>
            </w:r>
            <w:r>
              <w:rPr>
                <w:rFonts w:hint="eastAsia" w:ascii="宋体" w:hAnsi="宋体" w:eastAsia="宋体" w:cs="宋体"/>
                <w:b/>
                <w:bCs w:val="0"/>
                <w:color w:val="auto"/>
                <w:sz w:val="18"/>
                <w:szCs w:val="18"/>
              </w:rPr>
              <w:t>不得分。</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10</w:t>
            </w:r>
            <w:r>
              <w:rPr>
                <w:rFonts w:hint="eastAsia" w:ascii="宋体" w:hAnsi="宋体" w:eastAsia="宋体" w:cs="宋体"/>
                <w:sz w:val="18"/>
                <w:szCs w:val="1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28" w:type="dxa"/>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091" w:type="dxa"/>
          </w:tcPr>
          <w:p>
            <w:pPr>
              <w:pStyle w:val="50"/>
              <w:spacing w:line="240" w:lineRule="auto"/>
              <w:jc w:val="center"/>
              <w:rPr>
                <w:rFonts w:hint="eastAsia" w:ascii="宋体" w:hAnsi="宋体" w:eastAsia="宋体" w:cs="宋体"/>
                <w:b/>
                <w:bCs w:val="0"/>
                <w:sz w:val="18"/>
                <w:szCs w:val="18"/>
                <w:lang w:eastAsia="zh-CN"/>
              </w:rPr>
            </w:pPr>
            <w:r>
              <w:rPr>
                <w:rFonts w:hint="eastAsia" w:ascii="宋体" w:hAnsi="宋体" w:eastAsia="宋体" w:cs="宋体"/>
                <w:b/>
                <w:bCs w:val="0"/>
                <w:sz w:val="18"/>
                <w:szCs w:val="18"/>
              </w:rPr>
              <w:t>价格评分</w:t>
            </w: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20</w:t>
            </w:r>
            <w:r>
              <w:rPr>
                <w:rFonts w:hint="eastAsia" w:ascii="宋体" w:hAnsi="宋体" w:eastAsia="宋体" w:cs="宋体"/>
                <w:b/>
                <w:bCs w:val="0"/>
                <w:sz w:val="18"/>
                <w:szCs w:val="18"/>
                <w:lang w:eastAsia="zh-CN"/>
              </w:rPr>
              <w:t>分）</w:t>
            </w:r>
          </w:p>
        </w:tc>
        <w:tc>
          <w:tcPr>
            <w:tcW w:w="6927" w:type="dxa"/>
          </w:tcPr>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（1）满足院内采购文件要求且最终价格最低的报价为评标基准价，其价格为满分。</w:t>
            </w:r>
          </w:p>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（2）各有效响应供应商的价格评分统一按照下列公式计算：</w:t>
            </w:r>
          </w:p>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报价得分 = （评标基准价/最终报价）×价格权值</w:t>
            </w:r>
          </w:p>
        </w:tc>
        <w:tc>
          <w:tcPr>
            <w:tcW w:w="578"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20</w:t>
            </w:r>
            <w:r>
              <w:rPr>
                <w:rFonts w:hint="eastAsia" w:ascii="宋体" w:hAnsi="宋体" w:eastAsia="宋体" w:cs="宋体"/>
                <w:sz w:val="18"/>
                <w:szCs w:val="18"/>
                <w:lang w:eastAsia="zh-CN"/>
              </w:rPr>
              <w:t>分</w:t>
            </w:r>
          </w:p>
        </w:tc>
      </w:tr>
    </w:tbl>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hint="eastAsia" w:ascii="宋体" w:hAnsi="宋体" w:cs="宋体"/>
          <w:b/>
          <w:bCs/>
          <w:kern w:val="0"/>
          <w:sz w:val="30"/>
          <w:szCs w:val="30"/>
        </w:rPr>
      </w:pPr>
    </w:p>
    <w:p>
      <w:pPr>
        <w:spacing w:line="360" w:lineRule="exact"/>
        <w:jc w:val="center"/>
        <w:outlineLvl w:val="0"/>
        <w:rPr>
          <w:rFonts w:ascii="宋体" w:hAnsi="宋体" w:cs="宋体"/>
          <w:sz w:val="30"/>
          <w:szCs w:val="30"/>
        </w:rPr>
      </w:pPr>
      <w:bookmarkStart w:id="78" w:name="_Toc2952"/>
      <w:bookmarkStart w:id="79" w:name="_Toc26097"/>
      <w:r>
        <w:rPr>
          <w:rFonts w:hint="eastAsia" w:ascii="宋体" w:hAnsi="宋体" w:cs="宋体"/>
          <w:b/>
          <w:bCs/>
          <w:kern w:val="0"/>
          <w:sz w:val="30"/>
          <w:szCs w:val="30"/>
        </w:rPr>
        <w:t>第</w:t>
      </w:r>
      <w:r>
        <w:rPr>
          <w:rFonts w:hint="eastAsia" w:ascii="宋体" w:hAnsi="宋体" w:cs="宋体"/>
          <w:b/>
          <w:bCs/>
          <w:kern w:val="0"/>
          <w:sz w:val="30"/>
          <w:szCs w:val="30"/>
          <w:lang w:eastAsia="zh-CN"/>
        </w:rPr>
        <w:t>四</w:t>
      </w:r>
      <w:r>
        <w:rPr>
          <w:rFonts w:hint="eastAsia" w:ascii="宋体" w:hAnsi="宋体" w:cs="宋体"/>
          <w:b/>
          <w:bCs/>
          <w:kern w:val="0"/>
          <w:sz w:val="30"/>
          <w:szCs w:val="30"/>
        </w:rPr>
        <w:t xml:space="preserve">部分  </w:t>
      </w:r>
      <w:bookmarkStart w:id="80" w:name="_Toc270"/>
      <w:r>
        <w:rPr>
          <w:rFonts w:hint="eastAsia" w:ascii="宋体" w:hAnsi="宋体" w:cs="宋体"/>
          <w:b/>
          <w:bCs/>
          <w:kern w:val="0"/>
          <w:sz w:val="30"/>
          <w:szCs w:val="30"/>
        </w:rPr>
        <w:t>资料整理注意事项</w:t>
      </w:r>
      <w:bookmarkEnd w:id="71"/>
      <w:bookmarkEnd w:id="72"/>
      <w:bookmarkEnd w:id="73"/>
      <w:bookmarkEnd w:id="74"/>
      <w:bookmarkEnd w:id="78"/>
      <w:bookmarkEnd w:id="79"/>
      <w:bookmarkEnd w:id="80"/>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3.响应文件需要一正三副共4份，封面应注明“正本”、“副本”字样并加盖公章、装订成册，副本可用正本复印并在封面上加盖公章。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8"/>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10" w:type="default"/>
          <w:pgSz w:w="11906" w:h="16838"/>
          <w:pgMar w:top="850" w:right="1134" w:bottom="567" w:left="1134" w:header="851" w:footer="992" w:gutter="0"/>
          <w:pgNumType w:fmt="decimal"/>
          <w:cols w:space="720" w:num="1"/>
          <w:docGrid w:linePitch="312" w:charSpace="0"/>
        </w:sectPr>
      </w:pPr>
    </w:p>
    <w:p>
      <w:pPr>
        <w:pStyle w:val="5"/>
        <w:jc w:val="left"/>
        <w:outlineLvl w:val="0"/>
        <w:rPr>
          <w:rFonts w:ascii="宋体" w:hAnsi="宋体" w:eastAsia="宋体" w:cs="宋体"/>
          <w:kern w:val="0"/>
          <w:sz w:val="30"/>
          <w:szCs w:val="30"/>
        </w:rPr>
      </w:pPr>
      <w:bookmarkStart w:id="81" w:name="_Toc19354"/>
      <w:bookmarkStart w:id="82" w:name="_Toc30230"/>
      <w:bookmarkStart w:id="83" w:name="_Toc30326"/>
      <w:bookmarkStart w:id="84" w:name="_Toc9461"/>
      <w:bookmarkStart w:id="85" w:name="_Toc7581"/>
      <w:bookmarkStart w:id="86" w:name="_Toc21671"/>
      <w:bookmarkStart w:id="87" w:name="_Toc16968"/>
      <w:bookmarkStart w:id="88" w:name="_Toc2347"/>
      <w:bookmarkStart w:id="89" w:name="_Toc2647"/>
      <w:bookmarkStart w:id="90" w:name="_Toc40776108"/>
      <w:bookmarkStart w:id="91" w:name="_Toc29066"/>
      <w:bookmarkStart w:id="92" w:name="_Toc5829"/>
      <w:bookmarkStart w:id="93" w:name="_Toc32164"/>
      <w:bookmarkStart w:id="94" w:name="_Toc40346213"/>
      <w:bookmarkStart w:id="95" w:name="_Toc27548"/>
      <w:bookmarkStart w:id="96" w:name="_Toc13814"/>
      <w:r>
        <w:rPr>
          <w:rFonts w:hint="eastAsia" w:ascii="宋体" w:hAnsi="宋体" w:eastAsia="宋体" w:cs="宋体"/>
          <w:kern w:val="0"/>
          <w:sz w:val="30"/>
          <w:szCs w:val="30"/>
        </w:rPr>
        <w:t>第</w:t>
      </w:r>
      <w:r>
        <w:rPr>
          <w:rFonts w:hint="eastAsia" w:ascii="宋体" w:hAnsi="宋体" w:eastAsia="宋体" w:cs="宋体"/>
          <w:kern w:val="0"/>
          <w:sz w:val="30"/>
          <w:szCs w:val="30"/>
          <w:lang w:eastAsia="zh-CN"/>
        </w:rPr>
        <w:t>五</w:t>
      </w:r>
      <w:r>
        <w:rPr>
          <w:rFonts w:hint="eastAsia" w:ascii="宋体" w:hAnsi="宋体" w:eastAsia="宋体" w:cs="宋体"/>
          <w:kern w:val="0"/>
          <w:sz w:val="30"/>
          <w:szCs w:val="30"/>
        </w:rPr>
        <w:t>部分  相关格式文件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rPr>
          <w:rFonts w:ascii="宋体" w:hAnsi="宋体" w:cs="宋体"/>
          <w:b/>
          <w:kern w:val="0"/>
          <w:sz w:val="52"/>
          <w:szCs w:val="52"/>
        </w:rPr>
      </w:pPr>
      <w:bookmarkStart w:id="97" w:name="_Toc28217"/>
      <w:bookmarkStart w:id="98" w:name="_Toc40776117"/>
      <w:bookmarkStart w:id="99" w:name="_Toc4407"/>
      <w:bookmarkStart w:id="100" w:name="_Toc10213"/>
      <w:bookmarkStart w:id="101" w:name="_Toc9134"/>
      <w:bookmarkStart w:id="102" w:name="_Toc3784"/>
      <w:bookmarkStart w:id="103" w:name="_Toc40346222"/>
      <w:bookmarkStart w:id="104" w:name="_Toc25470"/>
      <w:bookmarkStart w:id="105" w:name="_Toc18837"/>
      <w:bookmarkStart w:id="106" w:name="_Toc12431"/>
      <w:bookmarkStart w:id="107" w:name="_Toc22145"/>
      <w:bookmarkStart w:id="108" w:name="_Toc22864"/>
      <w:bookmarkStart w:id="109" w:name="_Toc40346381"/>
      <w:bookmarkStart w:id="110" w:name="_Toc23156"/>
    </w:p>
    <w:p>
      <w:pPr>
        <w:jc w:val="center"/>
        <w:outlineLvl w:val="1"/>
        <w:rPr>
          <w:rFonts w:ascii="宋体" w:hAnsi="宋体" w:cs="宋体"/>
          <w:b/>
          <w:kern w:val="0"/>
          <w:sz w:val="52"/>
          <w:szCs w:val="52"/>
        </w:rPr>
      </w:pPr>
      <w:bookmarkStart w:id="111" w:name="_Toc26018"/>
      <w:r>
        <w:rPr>
          <w:rFonts w:hint="eastAsia" w:ascii="宋体" w:hAnsi="宋体" w:cs="宋体"/>
          <w:b/>
          <w:kern w:val="0"/>
          <w:sz w:val="52"/>
          <w:szCs w:val="52"/>
        </w:rPr>
        <w:t>南方医科大学第五附属医院</w:t>
      </w:r>
      <w:bookmarkEnd w:id="111"/>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112" w:name="_Toc7291"/>
      <w:bookmarkStart w:id="113" w:name="_Toc3471"/>
      <w:bookmarkStart w:id="114" w:name="_Toc29113"/>
      <w:bookmarkStart w:id="115" w:name="_Toc11305"/>
      <w:bookmarkStart w:id="116" w:name="_Toc15870"/>
      <w:bookmarkStart w:id="117" w:name="_Toc1994"/>
      <w:bookmarkStart w:id="118" w:name="_Toc11075"/>
      <w:bookmarkStart w:id="119" w:name="_Toc12520"/>
      <w:bookmarkStart w:id="120" w:name="_Toc26267"/>
      <w:bookmarkStart w:id="121" w:name="_Toc28703"/>
      <w:bookmarkStart w:id="122" w:name="_Toc40346216"/>
      <w:bookmarkStart w:id="123" w:name="_Toc8364"/>
      <w:bookmarkStart w:id="124" w:name="_Toc6547"/>
      <w:bookmarkStart w:id="125" w:name="_Toc21249"/>
      <w:bookmarkStart w:id="126" w:name="_Toc40346375"/>
      <w:bookmarkStart w:id="127" w:name="_Toc40776111"/>
      <w:bookmarkStart w:id="128" w:name="_Toc435"/>
    </w:p>
    <w:p>
      <w:pPr>
        <w:widowControl/>
        <w:spacing w:line="360" w:lineRule="auto"/>
        <w:ind w:firstLine="600"/>
        <w:outlineLvl w:val="0"/>
      </w:pPr>
      <w:bookmarkStart w:id="129" w:name="_Toc6514"/>
      <w:bookmarkStart w:id="130" w:name="_Toc9612"/>
      <w:bookmarkStart w:id="131" w:name="_Toc30286"/>
      <w:bookmarkStart w:id="132" w:name="_Toc15736"/>
      <w:bookmarkStart w:id="133" w:name="_Toc16272"/>
      <w:r>
        <w:rPr>
          <w:rFonts w:ascii="宋体" w:hAnsi="宋体" w:cs="宋体"/>
          <w:kern w:val="0"/>
          <w:sz w:val="30"/>
          <w:szCs w:val="30"/>
        </w:rPr>
        <w:t>项目编号：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4" w:name="_Toc40346376"/>
      <w:bookmarkStart w:id="135" w:name="_Toc27997"/>
      <w:bookmarkStart w:id="136" w:name="_Toc20884"/>
      <w:bookmarkStart w:id="137" w:name="_Toc1743"/>
      <w:bookmarkStart w:id="138" w:name="_Toc17709"/>
      <w:bookmarkStart w:id="139" w:name="_Toc40776112"/>
      <w:bookmarkStart w:id="140" w:name="_Toc40346217"/>
      <w:bookmarkStart w:id="141" w:name="_Toc2916"/>
    </w:p>
    <w:p>
      <w:pPr>
        <w:widowControl/>
        <w:spacing w:line="360" w:lineRule="auto"/>
        <w:ind w:firstLine="600"/>
        <w:outlineLvl w:val="0"/>
        <w:rPr>
          <w:rFonts w:cs="宋体"/>
          <w:kern w:val="0"/>
          <w:sz w:val="30"/>
          <w:szCs w:val="30"/>
        </w:rPr>
      </w:pPr>
      <w:bookmarkStart w:id="142" w:name="_Toc29102"/>
      <w:bookmarkStart w:id="143" w:name="_Toc11951"/>
      <w:bookmarkStart w:id="144" w:name="_Toc19554"/>
      <w:bookmarkStart w:id="145" w:name="_Toc23716"/>
      <w:bookmarkStart w:id="146" w:name="_Toc31538"/>
      <w:bookmarkStart w:id="147" w:name="_Toc28158"/>
      <w:bookmarkStart w:id="148" w:name="_Toc2012"/>
      <w:bookmarkStart w:id="149" w:name="_Toc19699"/>
      <w:bookmarkStart w:id="150" w:name="_Toc2029"/>
      <w:bookmarkStart w:id="151" w:name="_Toc11485"/>
      <w:bookmarkStart w:id="152" w:name="_Toc5238"/>
      <w:bookmarkStart w:id="153" w:name="_Toc30979"/>
      <w:bookmarkStart w:id="154" w:name="_Toc23097"/>
      <w:bookmarkStart w:id="155" w:name="_Toc26770"/>
      <w:r>
        <w:rPr>
          <w:rFonts w:ascii="宋体" w:hAnsi="宋体" w:cs="宋体"/>
          <w:kern w:val="0"/>
          <w:sz w:val="30"/>
          <w:szCs w:val="30"/>
        </w:rPr>
        <w:t>公司名称：</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widowControl/>
        <w:spacing w:line="360" w:lineRule="auto"/>
        <w:ind w:firstLine="600"/>
        <w:outlineLvl w:val="0"/>
        <w:rPr>
          <w:rFonts w:cs="宋体"/>
          <w:kern w:val="0"/>
          <w:sz w:val="30"/>
          <w:szCs w:val="30"/>
        </w:rPr>
      </w:pPr>
      <w:bookmarkStart w:id="156" w:name="_Toc5196"/>
      <w:bookmarkStart w:id="157" w:name="_Toc40776113"/>
      <w:bookmarkStart w:id="158" w:name="_Toc29767"/>
      <w:bookmarkStart w:id="159" w:name="_Toc31993"/>
      <w:bookmarkStart w:id="160" w:name="_Toc40346218"/>
      <w:bookmarkStart w:id="161" w:name="_Toc11558"/>
      <w:bookmarkStart w:id="162" w:name="_Toc40346377"/>
      <w:bookmarkStart w:id="163" w:name="_Toc1032"/>
      <w:bookmarkStart w:id="164" w:name="_Toc27867"/>
      <w:bookmarkStart w:id="165" w:name="_Toc17930"/>
      <w:bookmarkStart w:id="166" w:name="_Toc21483"/>
      <w:bookmarkStart w:id="167" w:name="_Toc26595"/>
      <w:bookmarkStart w:id="168" w:name="_Toc11141"/>
      <w:bookmarkStart w:id="169" w:name="_Toc4013"/>
      <w:bookmarkStart w:id="170" w:name="_Toc16794"/>
      <w:bookmarkStart w:id="171" w:name="_Toc14824"/>
      <w:bookmarkStart w:id="172" w:name="_Toc18997"/>
      <w:bookmarkStart w:id="173" w:name="_Toc7052"/>
      <w:bookmarkStart w:id="174" w:name="_Toc15049"/>
      <w:bookmarkStart w:id="175" w:name="_Toc24763"/>
      <w:bookmarkStart w:id="176" w:name="_Toc28064"/>
      <w:bookmarkStart w:id="177" w:name="_Toc12645"/>
      <w:r>
        <w:rPr>
          <w:rFonts w:ascii="宋体" w:hAnsi="宋体" w:cs="宋体"/>
          <w:kern w:val="0"/>
          <w:sz w:val="30"/>
          <w:szCs w:val="30"/>
        </w:rPr>
        <w:t>业务代表：</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widowControl/>
        <w:spacing w:line="360" w:lineRule="auto"/>
        <w:ind w:firstLine="600"/>
        <w:outlineLvl w:val="0"/>
        <w:rPr>
          <w:rFonts w:cs="宋体"/>
          <w:kern w:val="0"/>
          <w:sz w:val="30"/>
          <w:szCs w:val="30"/>
        </w:rPr>
      </w:pPr>
      <w:bookmarkStart w:id="178" w:name="_Toc1881"/>
      <w:bookmarkStart w:id="179" w:name="_Toc27771"/>
      <w:bookmarkStart w:id="180" w:name="_Toc19831"/>
      <w:bookmarkStart w:id="181" w:name="_Toc1324"/>
      <w:bookmarkStart w:id="182" w:name="_Toc32709"/>
      <w:bookmarkStart w:id="183" w:name="_Toc6438"/>
      <w:bookmarkStart w:id="184" w:name="_Toc14287"/>
      <w:bookmarkStart w:id="185" w:name="_Toc26029"/>
      <w:bookmarkStart w:id="186" w:name="_Toc31197"/>
      <w:bookmarkStart w:id="187" w:name="_Toc9883"/>
      <w:bookmarkStart w:id="188" w:name="_Toc24651"/>
      <w:bookmarkStart w:id="189" w:name="_Toc40776114"/>
      <w:bookmarkStart w:id="190" w:name="_Toc17537"/>
      <w:bookmarkStart w:id="191" w:name="_Toc16813"/>
      <w:bookmarkStart w:id="192" w:name="_Toc11334"/>
      <w:bookmarkStart w:id="193" w:name="_Toc4563"/>
      <w:bookmarkStart w:id="194" w:name="_Toc40346378"/>
      <w:bookmarkStart w:id="195" w:name="_Toc16133"/>
      <w:bookmarkStart w:id="196" w:name="_Toc40346219"/>
      <w:bookmarkStart w:id="197" w:name="_Toc16336"/>
      <w:bookmarkStart w:id="198" w:name="_Toc3410"/>
      <w:bookmarkStart w:id="199" w:name="_Toc3333"/>
      <w:r>
        <w:rPr>
          <w:rFonts w:ascii="宋体" w:hAnsi="宋体" w:cs="宋体"/>
          <w:kern w:val="0"/>
          <w:sz w:val="30"/>
          <w:szCs w:val="30"/>
        </w:rPr>
        <w:t>联系电话：</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widowControl/>
        <w:spacing w:line="360" w:lineRule="auto"/>
        <w:ind w:firstLine="600"/>
        <w:outlineLvl w:val="0"/>
        <w:rPr>
          <w:rFonts w:cs="宋体"/>
          <w:kern w:val="0"/>
          <w:sz w:val="30"/>
          <w:szCs w:val="30"/>
        </w:rPr>
      </w:pPr>
      <w:bookmarkStart w:id="200" w:name="_Toc5958"/>
      <w:bookmarkStart w:id="201" w:name="_Toc5189"/>
      <w:bookmarkStart w:id="202" w:name="_Toc30336"/>
      <w:bookmarkStart w:id="203" w:name="_Toc40346379"/>
      <w:bookmarkStart w:id="204" w:name="_Toc20994"/>
      <w:bookmarkStart w:id="205" w:name="_Toc40346220"/>
      <w:bookmarkStart w:id="206" w:name="_Toc13222"/>
      <w:bookmarkStart w:id="207" w:name="_Toc14586"/>
      <w:bookmarkStart w:id="208" w:name="_Toc3895"/>
      <w:bookmarkStart w:id="209" w:name="_Toc17483"/>
      <w:bookmarkStart w:id="210" w:name="_Toc21686"/>
      <w:bookmarkStart w:id="211" w:name="_Toc21940"/>
      <w:bookmarkStart w:id="212" w:name="_Toc12650"/>
      <w:bookmarkStart w:id="213" w:name="_Toc40776115"/>
      <w:bookmarkStart w:id="214" w:name="_Toc27206"/>
      <w:bookmarkStart w:id="215" w:name="_Toc27868"/>
      <w:bookmarkStart w:id="216" w:name="_Toc31453"/>
      <w:bookmarkStart w:id="217" w:name="_Toc18353"/>
      <w:bookmarkStart w:id="218" w:name="_Toc5634"/>
      <w:bookmarkStart w:id="219" w:name="_Toc28094"/>
      <w:bookmarkStart w:id="220" w:name="_Toc24027"/>
      <w:bookmarkStart w:id="221" w:name="_Toc20265"/>
      <w:r>
        <w:rPr>
          <w:rFonts w:ascii="宋体" w:hAnsi="宋体" w:cs="宋体"/>
          <w:kern w:val="0"/>
          <w:sz w:val="30"/>
          <w:szCs w:val="30"/>
        </w:rPr>
        <w:t>联系邮箱：</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widowControl/>
        <w:spacing w:line="360" w:lineRule="auto"/>
        <w:ind w:firstLine="600"/>
        <w:outlineLvl w:val="0"/>
        <w:rPr>
          <w:rFonts w:cs="宋体"/>
          <w:kern w:val="0"/>
          <w:sz w:val="30"/>
          <w:szCs w:val="30"/>
        </w:rPr>
      </w:pPr>
      <w:bookmarkStart w:id="222" w:name="_Toc14462"/>
      <w:bookmarkStart w:id="223" w:name="_Toc40346380"/>
      <w:bookmarkStart w:id="224" w:name="_Toc3498"/>
      <w:bookmarkStart w:id="225" w:name="_Toc30856"/>
      <w:bookmarkStart w:id="226" w:name="_Toc9282"/>
      <w:bookmarkStart w:id="227" w:name="_Toc32371"/>
      <w:bookmarkStart w:id="228" w:name="_Toc30904"/>
      <w:bookmarkStart w:id="229" w:name="_Toc27646"/>
      <w:bookmarkStart w:id="230" w:name="_Toc8526"/>
      <w:bookmarkStart w:id="231" w:name="_Toc538"/>
      <w:bookmarkStart w:id="232" w:name="_Toc6852"/>
      <w:bookmarkStart w:id="233" w:name="_Toc21449"/>
      <w:bookmarkStart w:id="234" w:name="_Toc27009"/>
      <w:bookmarkStart w:id="235" w:name="_Toc6998"/>
      <w:bookmarkStart w:id="236" w:name="_Toc40346221"/>
      <w:bookmarkStart w:id="237" w:name="_Toc5220"/>
      <w:bookmarkStart w:id="238" w:name="_Toc40776116"/>
      <w:bookmarkStart w:id="239" w:name="_Toc12127"/>
      <w:bookmarkStart w:id="240" w:name="_Toc11547"/>
      <w:bookmarkStart w:id="241" w:name="_Toc10454"/>
      <w:bookmarkStart w:id="242" w:name="_Toc19939"/>
      <w:bookmarkStart w:id="243" w:name="_Toc27312"/>
      <w:r>
        <w:rPr>
          <w:rFonts w:ascii="宋体" w:hAnsi="宋体" w:cs="宋体"/>
          <w:kern w:val="0"/>
          <w:sz w:val="30"/>
          <w:szCs w:val="30"/>
        </w:rPr>
        <w:t>日    期：</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Pr>
        <w:pStyle w:val="28"/>
        <w:jc w:val="center"/>
        <w:rPr>
          <w:b/>
          <w:bCs/>
          <w:sz w:val="32"/>
          <w:szCs w:val="32"/>
        </w:rPr>
      </w:pPr>
      <w:bookmarkStart w:id="244" w:name="_Toc27920"/>
      <w:bookmarkStart w:id="245" w:name="_Toc31006"/>
      <w:bookmarkStart w:id="246" w:name="_Toc6985"/>
      <w:bookmarkStart w:id="247" w:name="_Toc24584"/>
      <w:r>
        <w:rPr>
          <w:rFonts w:hint="eastAsia"/>
          <w:b/>
          <w:bCs/>
          <w:sz w:val="32"/>
          <w:szCs w:val="32"/>
        </w:rPr>
        <w:t>目  录</w:t>
      </w:r>
      <w:bookmarkEnd w:id="244"/>
      <w:bookmarkEnd w:id="245"/>
      <w:bookmarkEnd w:id="246"/>
      <w:bookmarkEnd w:id="247"/>
    </w:p>
    <w:tbl>
      <w:tblPr>
        <w:tblStyle w:val="22"/>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34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ascii="宋体" w:hAnsi="宋体" w:cs="宋体"/>
                <w:b/>
                <w:bCs/>
                <w:szCs w:val="21"/>
              </w:rPr>
            </w:pPr>
            <w:r>
              <w:rPr>
                <w:rFonts w:hint="eastAsia" w:ascii="宋体" w:hAnsi="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1</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2</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3</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评分自查表 （</w:t>
            </w:r>
            <w:r>
              <w:rPr>
                <w:rFonts w:hint="eastAsia" w:ascii="宋体" w:hAnsi="宋体" w:cs="宋体"/>
                <w:szCs w:val="21"/>
                <w:lang w:eastAsia="zh-CN"/>
              </w:rPr>
              <w:t>详</w:t>
            </w:r>
            <w:r>
              <w:rPr>
                <w:rFonts w:hint="eastAsia" w:ascii="宋体" w:hAnsi="宋体" w:cs="宋体"/>
                <w:szCs w:val="21"/>
              </w:rPr>
              <w:t>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4</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5</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6</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7</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8</w:t>
            </w:r>
          </w:p>
        </w:tc>
        <w:tc>
          <w:tcPr>
            <w:tcW w:w="8261" w:type="dxa"/>
            <w:tcBorders>
              <w:top w:val="single" w:color="000000" w:sz="4" w:space="0"/>
              <w:left w:val="nil"/>
              <w:bottom w:val="single" w:color="000000" w:sz="4" w:space="0"/>
              <w:right w:val="single" w:color="000000"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具备履行合同的设备和专业技术能力，需提供承诺函，内容必须包含相关文字含义内容，并加盖供应商公章。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9</w:t>
            </w:r>
          </w:p>
        </w:tc>
        <w:tc>
          <w:tcPr>
            <w:tcW w:w="82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依法缴纳税收和社会保障资金的良好记录，提供2023年以来任一个月依法缴纳税收和社会保障资金的相关材料，并加盖供应商公章。如依法免税或不需要缴纳社会保障资金的，提供相应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10</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提供参加本次采购活动前3年内在经营活动中没有重大违法记录的书面声明，需出具声明函，内容必须包含相关文字含义内容，并加盖供应商公章。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11</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本项目不接受联合体报名。需提供书面承诺，内容必须包含相关文字含义内容，格式自拟，并加盖供应商公章。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12</w:t>
            </w:r>
          </w:p>
        </w:tc>
        <w:tc>
          <w:tcPr>
            <w:tcW w:w="82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单位负责人为同一人或者存在控股、管理关系的不同单位，不得参加同一评审项目，需提供承诺函并加盖供应商公章。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35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13</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14</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15</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投入人员情况（格式自拟）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16</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eastAsia="宋体" w:cs="宋体"/>
                <w:szCs w:val="21"/>
                <w:lang w:eastAsia="zh-CN"/>
              </w:rPr>
            </w:pPr>
            <w:r>
              <w:rPr>
                <w:rFonts w:hint="eastAsia" w:ascii="宋体" w:hAnsi="宋体" w:cs="宋体"/>
                <w:szCs w:val="21"/>
                <w:lang w:eastAsia="zh-CN"/>
              </w:rPr>
              <w:t>第（</w:t>
            </w:r>
            <w:r>
              <w:rPr>
                <w:rFonts w:hint="eastAsia" w:ascii="宋体" w:hAnsi="宋体" w:cs="宋体"/>
                <w:szCs w:val="21"/>
                <w:lang w:val="en-US" w:eastAsia="zh-CN"/>
              </w:rPr>
              <w:t xml:space="preserve">      </w:t>
            </w:r>
            <w:r>
              <w:rPr>
                <w:rFonts w:hint="eastAsia" w:ascii="宋体" w:hAnsi="宋体" w:cs="宋体"/>
                <w:szCs w:val="21"/>
                <w:lang w:eastAsia="zh-CN"/>
              </w:rPr>
              <w:t>）页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2021年至今同类项目</w:t>
            </w:r>
            <w:r>
              <w:rPr>
                <w:rFonts w:hint="eastAsia" w:ascii="宋体" w:hAnsi="宋体" w:cs="宋体"/>
                <w:szCs w:val="21"/>
                <w:lang w:eastAsia="zh-CN"/>
              </w:rPr>
              <w:t>（如</w:t>
            </w:r>
            <w:r>
              <w:rPr>
                <w:rFonts w:hint="eastAsia" w:ascii="宋体" w:hAnsi="宋体"/>
                <w:szCs w:val="24"/>
              </w:rPr>
              <w:t>统一结算、综合支付等</w:t>
            </w:r>
            <w:r>
              <w:rPr>
                <w:rFonts w:ascii="宋体" w:hAnsi="宋体"/>
                <w:szCs w:val="24"/>
              </w:rPr>
              <w:t>相关信息化建设项目案例</w:t>
            </w:r>
            <w:r>
              <w:rPr>
                <w:rFonts w:hint="eastAsia" w:ascii="宋体" w:hAnsi="宋体"/>
                <w:szCs w:val="24"/>
                <w:lang w:eastAsia="zh-CN"/>
              </w:rPr>
              <w:t>）</w:t>
            </w:r>
            <w:r>
              <w:rPr>
                <w:rFonts w:hint="eastAsia" w:ascii="宋体" w:hAnsi="宋体" w:cs="宋体"/>
                <w:szCs w:val="21"/>
              </w:rPr>
              <w:t>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bCs/>
                <w:szCs w:val="21"/>
              </w:rPr>
              <w:t>第(       )页</w:t>
            </w:r>
          </w:p>
        </w:tc>
      </w:tr>
    </w:tbl>
    <w:p>
      <w:pPr>
        <w:pStyle w:val="28"/>
        <w:ind w:firstLine="4819" w:firstLineChars="1500"/>
        <w:rPr>
          <w:b/>
          <w:bCs/>
          <w:sz w:val="32"/>
          <w:szCs w:val="32"/>
        </w:rPr>
      </w:pPr>
    </w:p>
    <w:p>
      <w:pPr>
        <w:pStyle w:val="32"/>
        <w:tabs>
          <w:tab w:val="left" w:pos="1050"/>
          <w:tab w:val="center" w:pos="4535"/>
        </w:tabs>
        <w:jc w:val="center"/>
        <w:rPr>
          <w:b/>
          <w:bCs/>
        </w:rPr>
      </w:pPr>
      <w:bookmarkStart w:id="248" w:name="_Toc20169"/>
      <w:bookmarkStart w:id="249" w:name="_Toc20065"/>
      <w:bookmarkStart w:id="250" w:name="_Toc11212"/>
      <w:bookmarkStart w:id="251" w:name="_Toc29101"/>
      <w:bookmarkStart w:id="252" w:name="_Toc31025"/>
      <w:bookmarkStart w:id="253" w:name="_Toc10605"/>
      <w:bookmarkStart w:id="254" w:name="_Toc31804"/>
      <w:bookmarkStart w:id="255" w:name="_Toc28877"/>
      <w:bookmarkStart w:id="256" w:name="_Toc26391"/>
      <w:bookmarkStart w:id="257" w:name="_Toc10771"/>
      <w:bookmarkStart w:id="258" w:name="_Toc24565"/>
      <w:bookmarkStart w:id="259" w:name="_Toc25102"/>
      <w:bookmarkStart w:id="260" w:name="_Toc9683"/>
    </w:p>
    <w:p>
      <w:pPr>
        <w:pStyle w:val="32"/>
        <w:tabs>
          <w:tab w:val="left" w:pos="1050"/>
          <w:tab w:val="center" w:pos="4535"/>
        </w:tabs>
        <w:spacing w:line="240" w:lineRule="exact"/>
        <w:jc w:val="center"/>
        <w:outlineLvl w:val="0"/>
        <w:rPr>
          <w:rFonts w:hint="eastAsia"/>
          <w:b/>
          <w:bCs/>
        </w:rPr>
      </w:pPr>
      <w:bookmarkStart w:id="261" w:name="_Toc30095"/>
      <w:bookmarkStart w:id="262" w:name="_Toc30854"/>
      <w:bookmarkStart w:id="263" w:name="_Toc10096"/>
      <w:bookmarkStart w:id="264" w:name="_Toc23447"/>
      <w:bookmarkStart w:id="265" w:name="_Toc11572"/>
      <w:r>
        <w:rPr>
          <w:rFonts w:hint="eastAsia"/>
          <w:b/>
          <w:bCs/>
        </w:rPr>
        <w:t>用户需求偏离表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Start w:id="266" w:name="_Toc7019"/>
      <w:bookmarkStart w:id="267" w:name="_Toc15079"/>
      <w:bookmarkStart w:id="268" w:name="_Toc24550"/>
      <w:bookmarkStart w:id="269" w:name="_Toc6232"/>
      <w:bookmarkStart w:id="270" w:name="_Toc32295"/>
      <w:bookmarkStart w:id="271" w:name="_Toc10398"/>
      <w:bookmarkStart w:id="272" w:name="_Toc24286"/>
    </w:p>
    <w:bookmarkEnd w:id="266"/>
    <w:bookmarkEnd w:id="267"/>
    <w:bookmarkEnd w:id="268"/>
    <w:bookmarkEnd w:id="269"/>
    <w:bookmarkEnd w:id="270"/>
    <w:bookmarkEnd w:id="271"/>
    <w:bookmarkEnd w:id="272"/>
    <w:p>
      <w:pPr>
        <w:spacing w:line="400" w:lineRule="exact"/>
        <w:rPr>
          <w:rFonts w:ascii="宋体" w:hAnsi="宋体"/>
          <w:b/>
          <w:szCs w:val="21"/>
        </w:rPr>
      </w:pPr>
      <w:bookmarkStart w:id="273" w:name="_Toc13551"/>
      <w:bookmarkStart w:id="274" w:name="_Toc1548"/>
      <w:bookmarkStart w:id="275" w:name="_Toc31638"/>
      <w:bookmarkStart w:id="276" w:name="_Toc17416"/>
      <w:bookmarkStart w:id="277" w:name="_Toc14009"/>
      <w:bookmarkStart w:id="278" w:name="_Toc21905"/>
      <w:bookmarkStart w:id="279" w:name="_Toc24486"/>
      <w:bookmarkStart w:id="280" w:name="_Toc31486"/>
      <w:bookmarkStart w:id="281" w:name="_Toc12731"/>
      <w:bookmarkStart w:id="282" w:name="_Toc13386"/>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p>
      <w:pPr>
        <w:spacing w:line="240" w:lineRule="exact"/>
        <w:outlineLvl w:val="9"/>
        <w:rPr>
          <w:rFonts w:hint="eastAsia" w:ascii="宋体" w:hAnsi="宋体" w:cs="宋体"/>
          <w:b/>
          <w:szCs w:val="21"/>
        </w:rPr>
      </w:pPr>
    </w:p>
    <w:p>
      <w:pPr>
        <w:spacing w:line="240" w:lineRule="exact"/>
        <w:outlineLvl w:val="1"/>
        <w:rPr>
          <w:rFonts w:hint="eastAsia" w:ascii="宋体" w:hAnsi="宋体" w:eastAsia="宋体" w:cs="宋体"/>
          <w:b/>
          <w:szCs w:val="21"/>
          <w:lang w:eastAsia="zh-CN"/>
        </w:rPr>
      </w:pPr>
      <w:bookmarkStart w:id="283" w:name="_Toc20738"/>
      <w:r>
        <w:rPr>
          <w:rFonts w:hint="eastAsia" w:ascii="宋体" w:hAnsi="宋体" w:cs="宋体"/>
          <w:b/>
          <w:szCs w:val="21"/>
        </w:rPr>
        <w:t>一、</w:t>
      </w:r>
      <w:bookmarkEnd w:id="273"/>
      <w:bookmarkEnd w:id="274"/>
      <w:bookmarkEnd w:id="275"/>
      <w:bookmarkEnd w:id="276"/>
      <w:bookmarkEnd w:id="277"/>
      <w:bookmarkEnd w:id="278"/>
      <w:r>
        <w:rPr>
          <w:rFonts w:hint="eastAsia" w:ascii="宋体" w:hAnsi="宋体" w:cs="宋体"/>
          <w:b/>
          <w:szCs w:val="21"/>
          <w:lang w:eastAsia="zh-CN"/>
        </w:rPr>
        <w:t>技术参数要求</w:t>
      </w:r>
      <w:bookmarkEnd w:id="283"/>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bCs/>
          <w:szCs w:val="21"/>
          <w:lang w:eastAsia="zh-CN"/>
        </w:rPr>
      </w:pPr>
    </w:p>
    <w:p>
      <w:pPr>
        <w:spacing w:line="240" w:lineRule="exact"/>
        <w:outlineLvl w:val="1"/>
        <w:rPr>
          <w:rFonts w:hint="eastAsia" w:ascii="宋体" w:hAnsi="宋体" w:eastAsia="宋体" w:cs="宋体"/>
          <w:b/>
          <w:bCs/>
          <w:szCs w:val="21"/>
          <w:lang w:eastAsia="zh-CN"/>
        </w:rPr>
      </w:pPr>
      <w:bookmarkStart w:id="284" w:name="_Toc11609"/>
      <w:r>
        <w:rPr>
          <w:rFonts w:hint="eastAsia" w:ascii="宋体" w:hAnsi="宋体" w:cs="宋体"/>
          <w:b/>
          <w:bCs/>
          <w:szCs w:val="21"/>
          <w:lang w:eastAsia="zh-CN"/>
        </w:rPr>
        <w:t>二、</w:t>
      </w:r>
      <w:r>
        <w:rPr>
          <w:rFonts w:hint="eastAsia" w:ascii="宋体" w:hAnsi="宋体" w:cs="宋体"/>
          <w:b/>
          <w:bCs/>
          <w:szCs w:val="21"/>
        </w:rPr>
        <w:t>项目</w:t>
      </w:r>
      <w:r>
        <w:rPr>
          <w:rFonts w:hint="eastAsia" w:ascii="宋体" w:hAnsi="宋体" w:cs="宋体"/>
          <w:b/>
          <w:bCs/>
          <w:szCs w:val="21"/>
          <w:lang w:eastAsia="zh-CN"/>
        </w:rPr>
        <w:t>工期及交货地点</w:t>
      </w:r>
      <w:bookmarkEnd w:id="284"/>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szCs w:val="21"/>
          <w:lang w:eastAsia="zh-CN"/>
        </w:rPr>
      </w:pPr>
      <w:bookmarkStart w:id="285" w:name="_Toc14718"/>
      <w:bookmarkStart w:id="286" w:name="_Toc15903"/>
      <w:bookmarkStart w:id="287" w:name="_Toc19330"/>
      <w:bookmarkStart w:id="288" w:name="_Toc16131"/>
      <w:bookmarkStart w:id="289" w:name="_Toc31897"/>
      <w:bookmarkStart w:id="290" w:name="_Toc28342"/>
      <w:bookmarkStart w:id="291" w:name="_Toc26114"/>
    </w:p>
    <w:p>
      <w:pPr>
        <w:spacing w:line="240" w:lineRule="exact"/>
        <w:outlineLvl w:val="1"/>
        <w:rPr>
          <w:rFonts w:hint="eastAsia" w:ascii="宋体" w:hAnsi="宋体" w:eastAsia="宋体" w:cs="宋体"/>
          <w:b/>
          <w:szCs w:val="21"/>
          <w:lang w:eastAsia="zh-CN"/>
        </w:rPr>
      </w:pPr>
      <w:bookmarkStart w:id="292" w:name="_Toc23038"/>
      <w:r>
        <w:rPr>
          <w:rFonts w:hint="eastAsia" w:ascii="宋体" w:hAnsi="宋体" w:cs="宋体"/>
          <w:b/>
          <w:szCs w:val="21"/>
          <w:lang w:eastAsia="zh-CN"/>
        </w:rPr>
        <w:t>三</w:t>
      </w:r>
      <w:r>
        <w:rPr>
          <w:rFonts w:hint="eastAsia" w:ascii="宋体" w:hAnsi="宋体" w:cs="宋体"/>
          <w:b/>
          <w:szCs w:val="21"/>
        </w:rPr>
        <w:t>、</w:t>
      </w:r>
      <w:bookmarkEnd w:id="285"/>
      <w:bookmarkEnd w:id="286"/>
      <w:bookmarkEnd w:id="287"/>
      <w:bookmarkEnd w:id="288"/>
      <w:bookmarkEnd w:id="289"/>
      <w:bookmarkEnd w:id="290"/>
      <w:bookmarkEnd w:id="291"/>
      <w:r>
        <w:rPr>
          <w:rFonts w:hint="eastAsia" w:ascii="宋体" w:hAnsi="宋体" w:cs="宋体"/>
          <w:b/>
          <w:szCs w:val="21"/>
          <w:lang w:eastAsia="zh-CN"/>
        </w:rPr>
        <w:t>售后服务要求</w:t>
      </w:r>
      <w:bookmarkEnd w:id="292"/>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00"/>
        <w:gridCol w:w="2790"/>
        <w:gridCol w:w="198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szCs w:val="21"/>
          <w:lang w:eastAsia="zh-CN"/>
        </w:rPr>
      </w:pPr>
    </w:p>
    <w:p>
      <w:pPr>
        <w:spacing w:line="240" w:lineRule="exact"/>
        <w:outlineLvl w:val="1"/>
        <w:rPr>
          <w:rFonts w:hint="eastAsia" w:ascii="宋体" w:hAnsi="宋体" w:eastAsia="宋体" w:cs="宋体"/>
          <w:b/>
          <w:szCs w:val="21"/>
          <w:lang w:eastAsia="zh-CN"/>
        </w:rPr>
      </w:pPr>
      <w:bookmarkStart w:id="293" w:name="_Toc26815"/>
      <w:r>
        <w:rPr>
          <w:rFonts w:hint="eastAsia" w:ascii="宋体" w:hAnsi="宋体" w:cs="宋体"/>
          <w:b/>
          <w:szCs w:val="21"/>
          <w:lang w:eastAsia="zh-CN"/>
        </w:rPr>
        <w:t>四</w:t>
      </w:r>
      <w:r>
        <w:rPr>
          <w:rFonts w:hint="eastAsia" w:ascii="宋体" w:hAnsi="宋体" w:cs="宋体"/>
          <w:b/>
          <w:szCs w:val="21"/>
        </w:rPr>
        <w:t>、</w:t>
      </w:r>
      <w:r>
        <w:rPr>
          <w:rFonts w:hint="eastAsia" w:ascii="宋体" w:hAnsi="宋体" w:cs="宋体"/>
          <w:b/>
          <w:szCs w:val="21"/>
          <w:lang w:eastAsia="zh-CN"/>
        </w:rPr>
        <w:t>验收方式</w:t>
      </w:r>
      <w:bookmarkEnd w:id="293"/>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napToGrid w:val="0"/>
        <w:spacing w:line="240" w:lineRule="exact"/>
        <w:rPr>
          <w:rFonts w:ascii="宋体" w:hAnsi="宋体" w:cs="宋体"/>
          <w:b/>
          <w:bCs/>
          <w:szCs w:val="21"/>
        </w:rPr>
      </w:pPr>
      <w:r>
        <w:rPr>
          <w:rFonts w:hint="eastAsia" w:ascii="宋体" w:hAnsi="宋体" w:cs="宋体"/>
          <w:b/>
          <w:bCs/>
          <w:szCs w:val="21"/>
        </w:rPr>
        <w:t xml:space="preserve">     </w:t>
      </w:r>
    </w:p>
    <w:p>
      <w:pPr>
        <w:pStyle w:val="28"/>
        <w:numPr>
          <w:ilvl w:val="0"/>
          <w:numId w:val="3"/>
        </w:numPr>
        <w:spacing w:line="240" w:lineRule="exact"/>
        <w:rPr>
          <w:rFonts w:hint="eastAsia" w:ascii="宋体" w:hAnsi="宋体" w:cs="宋体"/>
          <w:b/>
          <w:szCs w:val="21"/>
          <w:lang w:eastAsia="zh-CN"/>
        </w:rPr>
      </w:pPr>
      <w:r>
        <w:rPr>
          <w:rFonts w:hint="eastAsia" w:ascii="宋体" w:hAnsi="宋体" w:cs="宋体"/>
          <w:b/>
          <w:szCs w:val="21"/>
          <w:lang w:eastAsia="zh-CN"/>
        </w:rPr>
        <w:t>履约保证金</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pStyle w:val="28"/>
        <w:spacing w:line="240" w:lineRule="exact"/>
        <w:rPr>
          <w:rFonts w:hint="eastAsia" w:ascii="宋体" w:hAnsi="宋体" w:cs="宋体"/>
          <w:b/>
          <w:szCs w:val="21"/>
          <w:lang w:eastAsia="zh-CN"/>
        </w:rPr>
      </w:pPr>
    </w:p>
    <w:p>
      <w:pPr>
        <w:pStyle w:val="28"/>
        <w:spacing w:line="240" w:lineRule="exact"/>
        <w:rPr>
          <w:rFonts w:hint="eastAsia" w:ascii="宋体" w:hAnsi="宋体" w:eastAsia="宋体" w:cs="宋体"/>
          <w:b/>
          <w:bCs/>
          <w:szCs w:val="21"/>
          <w:lang w:eastAsia="zh-CN"/>
        </w:rPr>
      </w:pPr>
      <w:r>
        <w:rPr>
          <w:rFonts w:hint="eastAsia" w:ascii="宋体" w:hAnsi="宋体" w:cs="宋体"/>
          <w:b/>
          <w:szCs w:val="21"/>
          <w:lang w:eastAsia="zh-CN"/>
        </w:rPr>
        <w:t>六</w:t>
      </w:r>
      <w:r>
        <w:rPr>
          <w:rFonts w:hint="eastAsia" w:ascii="宋体" w:hAnsi="宋体" w:cs="宋体"/>
          <w:b/>
          <w:szCs w:val="21"/>
        </w:rPr>
        <w:t>、</w:t>
      </w:r>
      <w:r>
        <w:rPr>
          <w:rFonts w:hint="eastAsia" w:ascii="宋体" w:hAnsi="宋体" w:cs="宋体"/>
          <w:b/>
          <w:szCs w:val="21"/>
          <w:lang w:eastAsia="zh-CN"/>
        </w:rPr>
        <w:t>付款方式</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widowControl/>
        <w:spacing w:line="240" w:lineRule="exact"/>
        <w:rPr>
          <w:rFonts w:hint="eastAsia" w:ascii="宋体" w:hAnsi="宋体" w:cs="宋体"/>
          <w:b/>
          <w:szCs w:val="21"/>
          <w:lang w:eastAsia="zh-CN"/>
        </w:rPr>
      </w:pPr>
    </w:p>
    <w:p>
      <w:pPr>
        <w:widowControl/>
        <w:spacing w:line="240" w:lineRule="exact"/>
        <w:rPr>
          <w:rFonts w:hint="eastAsia" w:ascii="宋体" w:hAnsi="宋体" w:cs="宋体"/>
          <w:b/>
          <w:szCs w:val="21"/>
          <w:lang w:eastAsia="zh-CN"/>
        </w:rPr>
      </w:pPr>
    </w:p>
    <w:p>
      <w:pPr>
        <w:spacing w:line="240" w:lineRule="exact"/>
        <w:outlineLvl w:val="1"/>
        <w:rPr>
          <w:rFonts w:ascii="宋体" w:hAnsi="宋体" w:cs="宋体"/>
          <w:b/>
          <w:szCs w:val="21"/>
        </w:rPr>
      </w:pPr>
      <w:bookmarkStart w:id="294" w:name="_Toc12637"/>
      <w:r>
        <w:rPr>
          <w:rFonts w:hint="eastAsia" w:ascii="宋体" w:hAnsi="宋体" w:cs="宋体"/>
          <w:b/>
          <w:szCs w:val="21"/>
          <w:lang w:eastAsia="zh-CN"/>
        </w:rPr>
        <w:t>七</w:t>
      </w:r>
      <w:r>
        <w:rPr>
          <w:rFonts w:hint="eastAsia" w:ascii="宋体" w:hAnsi="宋体" w:cs="宋体"/>
          <w:b/>
          <w:szCs w:val="21"/>
        </w:rPr>
        <w:t>、合同条款</w:t>
      </w:r>
      <w:bookmarkEnd w:id="294"/>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745"/>
        <w:gridCol w:w="204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szCs w:val="21"/>
          <w:lang w:eastAsia="zh-CN"/>
        </w:rPr>
      </w:pPr>
    </w:p>
    <w:p>
      <w:pPr>
        <w:spacing w:line="240" w:lineRule="exact"/>
        <w:outlineLvl w:val="1"/>
        <w:rPr>
          <w:rFonts w:ascii="宋体" w:hAnsi="宋体" w:cs="宋体"/>
          <w:b/>
          <w:bCs/>
          <w:szCs w:val="21"/>
        </w:rPr>
      </w:pPr>
      <w:bookmarkStart w:id="295" w:name="_Toc8211"/>
      <w:r>
        <w:rPr>
          <w:rFonts w:hint="eastAsia" w:ascii="宋体" w:hAnsi="宋体" w:cs="宋体"/>
          <w:b/>
          <w:szCs w:val="21"/>
          <w:lang w:eastAsia="zh-CN"/>
        </w:rPr>
        <w:t>八</w:t>
      </w:r>
      <w:r>
        <w:rPr>
          <w:rFonts w:hint="eastAsia" w:ascii="宋体" w:hAnsi="宋体" w:cs="宋体"/>
          <w:b/>
          <w:szCs w:val="21"/>
        </w:rPr>
        <w:t>、其他</w:t>
      </w:r>
      <w:bookmarkEnd w:id="295"/>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jc w:val="center"/>
        <w:rPr>
          <w:rFonts w:ascii="宋体" w:hAnsi="宋体" w:cs="宋体"/>
          <w:b/>
          <w:bCs/>
          <w:szCs w:val="21"/>
        </w:rPr>
      </w:pPr>
    </w:p>
    <w:p>
      <w:pPr>
        <w:spacing w:line="240" w:lineRule="exact"/>
        <w:jc w:val="center"/>
        <w:rPr>
          <w:rFonts w:ascii="宋体" w:hAnsi="宋体" w:cs="宋体"/>
          <w:b/>
          <w:bCs/>
          <w:szCs w:val="21"/>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pStyle w:val="4"/>
        <w:outlineLvl w:val="9"/>
        <w:rPr>
          <w:rFonts w:ascii="宋体" w:hAnsi="宋体" w:cs="宋体"/>
          <w:b/>
          <w:bCs/>
          <w:sz w:val="28"/>
          <w:szCs w:val="28"/>
        </w:rPr>
      </w:pPr>
    </w:p>
    <w:p>
      <w:pPr>
        <w:rPr>
          <w:rFonts w:ascii="宋体" w:hAnsi="宋体" w:cs="宋体"/>
          <w:b/>
          <w:bCs/>
          <w:sz w:val="28"/>
          <w:szCs w:val="28"/>
        </w:rPr>
      </w:pPr>
    </w:p>
    <w:p>
      <w:pPr>
        <w:spacing w:line="360" w:lineRule="exact"/>
        <w:jc w:val="center"/>
        <w:outlineLvl w:val="2"/>
        <w:rPr>
          <w:rFonts w:hint="eastAsia" w:ascii="宋体" w:hAnsi="宋体" w:eastAsia="宋体" w:cs="宋体"/>
          <w:b/>
          <w:bCs/>
          <w:kern w:val="0"/>
          <w:sz w:val="24"/>
          <w:szCs w:val="24"/>
          <w:lang w:eastAsia="zh-CN"/>
        </w:rPr>
      </w:pPr>
      <w:bookmarkStart w:id="296" w:name="_Toc17584"/>
      <w:r>
        <w:rPr>
          <w:rFonts w:hint="eastAsia" w:ascii="宋体" w:hAnsi="宋体" w:cs="宋体"/>
          <w:b/>
          <w:bCs/>
          <w:kern w:val="0"/>
          <w:sz w:val="24"/>
          <w:szCs w:val="24"/>
        </w:rPr>
        <w:t>南方医科大学第五附属医院</w:t>
      </w:r>
      <w:r>
        <w:rPr>
          <w:rFonts w:hint="eastAsia" w:ascii="宋体" w:hAnsi="宋体" w:cs="宋体"/>
          <w:b/>
          <w:bCs/>
          <w:kern w:val="0"/>
          <w:sz w:val="24"/>
          <w:szCs w:val="24"/>
          <w:lang w:eastAsia="zh-CN"/>
        </w:rPr>
        <w:t>窗口微信支付宝扫码支付项目评分自查表</w:t>
      </w:r>
      <w:bookmarkEnd w:id="296"/>
    </w:p>
    <w:tbl>
      <w:tblPr>
        <w:tblStyle w:val="22"/>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1"/>
        <w:gridCol w:w="6223"/>
        <w:gridCol w:w="819"/>
        <w:gridCol w:w="66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8" w:type="dxa"/>
            <w:vAlign w:val="center"/>
          </w:tcPr>
          <w:p>
            <w:pPr>
              <w:spacing w:line="24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eastAsia="zh-CN"/>
              </w:rPr>
              <w:t>序号</w:t>
            </w:r>
          </w:p>
        </w:tc>
        <w:tc>
          <w:tcPr>
            <w:tcW w:w="1091" w:type="dxa"/>
            <w:vAlign w:val="center"/>
          </w:tcPr>
          <w:p>
            <w:pPr>
              <w:spacing w:line="24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eastAsia="zh-CN"/>
              </w:rPr>
              <w:t>评审内容</w:t>
            </w:r>
          </w:p>
        </w:tc>
        <w:tc>
          <w:tcPr>
            <w:tcW w:w="6223" w:type="dxa"/>
            <w:vAlign w:val="center"/>
          </w:tcPr>
          <w:p>
            <w:pPr>
              <w:spacing w:line="240" w:lineRule="auto"/>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lang w:eastAsia="zh-CN"/>
              </w:rPr>
              <w:t>评审细则</w:t>
            </w:r>
          </w:p>
        </w:tc>
        <w:tc>
          <w:tcPr>
            <w:tcW w:w="819" w:type="dxa"/>
            <w:vAlign w:val="center"/>
          </w:tcPr>
          <w:p>
            <w:pPr>
              <w:spacing w:line="240" w:lineRule="auto"/>
              <w:jc w:val="center"/>
              <w:rPr>
                <w:rFonts w:hint="eastAsia" w:ascii="宋体" w:hAnsi="宋体" w:eastAsia="宋体" w:cs="宋体"/>
                <w:b/>
                <w:sz w:val="18"/>
                <w:szCs w:val="18"/>
              </w:rPr>
            </w:pPr>
            <w:r>
              <w:rPr>
                <w:rFonts w:hint="eastAsia" w:ascii="宋体" w:hAnsi="宋体" w:eastAsia="宋体" w:cs="宋体"/>
                <w:b/>
                <w:sz w:val="18"/>
                <w:szCs w:val="18"/>
              </w:rPr>
              <w:t>分值</w:t>
            </w:r>
          </w:p>
        </w:tc>
        <w:tc>
          <w:tcPr>
            <w:tcW w:w="668" w:type="dxa"/>
            <w:vAlign w:val="center"/>
          </w:tcPr>
          <w:p>
            <w:pPr>
              <w:spacing w:line="240" w:lineRule="auto"/>
              <w:jc w:val="center"/>
              <w:rPr>
                <w:rFonts w:hint="eastAsia" w:ascii="宋体" w:hAnsi="宋体" w:eastAsia="宋体" w:cs="宋体"/>
                <w:b/>
                <w:sz w:val="18"/>
                <w:szCs w:val="18"/>
                <w:lang w:eastAsia="zh-CN"/>
              </w:rPr>
            </w:pPr>
            <w:r>
              <w:rPr>
                <w:rFonts w:hint="eastAsia" w:ascii="宋体" w:hAnsi="宋体" w:cs="宋体"/>
                <w:b/>
                <w:sz w:val="18"/>
                <w:szCs w:val="18"/>
                <w:lang w:eastAsia="zh-CN"/>
              </w:rPr>
              <w:t>自评得分</w:t>
            </w:r>
          </w:p>
        </w:tc>
        <w:tc>
          <w:tcPr>
            <w:tcW w:w="951" w:type="dxa"/>
            <w:vAlign w:val="center"/>
          </w:tcPr>
          <w:p>
            <w:pPr>
              <w:spacing w:line="240" w:lineRule="auto"/>
              <w:jc w:val="center"/>
              <w:rPr>
                <w:rFonts w:hint="eastAsia" w:ascii="宋体" w:hAnsi="宋体" w:cs="宋体"/>
                <w:b/>
                <w:sz w:val="18"/>
                <w:szCs w:val="18"/>
                <w:lang w:eastAsia="zh-CN"/>
              </w:rPr>
            </w:pPr>
            <w:r>
              <w:rPr>
                <w:rFonts w:hint="eastAsia" w:ascii="宋体" w:hAnsi="宋体" w:cs="宋体"/>
                <w:b/>
                <w:sz w:val="18"/>
                <w:szCs w:val="18"/>
                <w:lang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供应商综合实力</w:t>
            </w:r>
          </w:p>
          <w:p>
            <w:pPr>
              <w:pStyle w:val="50"/>
              <w:spacing w:line="24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3分）</w:t>
            </w:r>
          </w:p>
        </w:tc>
        <w:tc>
          <w:tcPr>
            <w:tcW w:w="6223" w:type="dxa"/>
            <w:vAlign w:val="center"/>
          </w:tcPr>
          <w:p>
            <w:pPr>
              <w:pStyle w:val="50"/>
              <w:spacing w:line="240" w:lineRule="auto"/>
              <w:jc w:val="both"/>
              <w:rPr>
                <w:rFonts w:hint="eastAsia" w:ascii="宋体" w:hAnsi="宋体" w:eastAsia="宋体" w:cs="宋体"/>
                <w:sz w:val="18"/>
                <w:szCs w:val="18"/>
              </w:rPr>
            </w:pPr>
            <w:r>
              <w:rPr>
                <w:rFonts w:hint="eastAsia" w:ascii="宋体" w:hAnsi="宋体" w:eastAsia="宋体" w:cs="宋体"/>
                <w:sz w:val="18"/>
                <w:szCs w:val="18"/>
              </w:rPr>
              <w:t>供应商应具备有效</w:t>
            </w:r>
            <w:r>
              <w:rPr>
                <w:rFonts w:hint="eastAsia" w:ascii="宋体" w:hAnsi="宋体" w:eastAsia="宋体" w:cs="宋体"/>
                <w:sz w:val="18"/>
                <w:szCs w:val="18"/>
                <w:lang w:eastAsia="zh-CN"/>
              </w:rPr>
              <w:t>期内</w:t>
            </w:r>
            <w:r>
              <w:rPr>
                <w:rFonts w:hint="eastAsia" w:ascii="宋体" w:hAnsi="宋体" w:eastAsia="宋体" w:cs="宋体"/>
                <w:sz w:val="18"/>
                <w:szCs w:val="18"/>
              </w:rPr>
              <w:t>信息安全服务资质认证证书，得1.5分。</w:t>
            </w:r>
          </w:p>
          <w:p>
            <w:pPr>
              <w:pStyle w:val="50"/>
              <w:spacing w:line="240" w:lineRule="auto"/>
              <w:jc w:val="both"/>
              <w:rPr>
                <w:rFonts w:hint="eastAsia" w:ascii="宋体" w:hAnsi="宋体" w:eastAsia="宋体" w:cs="宋体"/>
                <w:sz w:val="18"/>
                <w:szCs w:val="18"/>
              </w:rPr>
            </w:pPr>
            <w:r>
              <w:rPr>
                <w:rFonts w:hint="eastAsia" w:ascii="宋体" w:hAnsi="宋体" w:eastAsia="宋体" w:cs="宋体"/>
                <w:sz w:val="18"/>
                <w:szCs w:val="18"/>
                <w:lang w:eastAsia="zh-CN"/>
              </w:rPr>
              <w:t>具备有效期内</w:t>
            </w:r>
            <w:r>
              <w:rPr>
                <w:rFonts w:hint="eastAsia" w:ascii="宋体" w:hAnsi="宋体" w:eastAsia="宋体" w:cs="宋体"/>
                <w:color w:val="000000"/>
                <w:sz w:val="18"/>
                <w:szCs w:val="18"/>
              </w:rPr>
              <w:t>质量管理体系认证证书的，得1.5分</w:t>
            </w:r>
            <w:r>
              <w:rPr>
                <w:rFonts w:hint="eastAsia" w:ascii="宋体" w:hAnsi="宋体" w:eastAsia="宋体" w:cs="宋体"/>
                <w:sz w:val="18"/>
                <w:szCs w:val="18"/>
              </w:rPr>
              <w:t>。</w:t>
            </w:r>
          </w:p>
          <w:p>
            <w:pPr>
              <w:pStyle w:val="50"/>
              <w:spacing w:line="240" w:lineRule="auto"/>
              <w:jc w:val="both"/>
              <w:rPr>
                <w:rFonts w:hint="eastAsia" w:ascii="宋体" w:hAnsi="宋体" w:eastAsia="宋体" w:cs="宋体"/>
                <w:bCs/>
                <w:spacing w:val="10"/>
                <w:kern w:val="0"/>
                <w:sz w:val="18"/>
                <w:szCs w:val="18"/>
                <w:lang w:val="en-US" w:eastAsia="zh-CN" w:bidi="ar-SA"/>
              </w:rPr>
            </w:pPr>
            <w:r>
              <w:rPr>
                <w:rFonts w:hint="eastAsia" w:ascii="宋体" w:hAnsi="宋体" w:eastAsia="宋体" w:cs="宋体"/>
                <w:b/>
                <w:bCs/>
                <w:sz w:val="18"/>
                <w:szCs w:val="18"/>
              </w:rPr>
              <w:t>注：需提供以上证书复印件并加盖供应商公章，</w:t>
            </w:r>
            <w:r>
              <w:rPr>
                <w:rFonts w:hint="eastAsia" w:ascii="宋体" w:hAnsi="宋体" w:cs="宋体"/>
                <w:b/>
                <w:bCs/>
                <w:sz w:val="18"/>
                <w:szCs w:val="18"/>
                <w:lang w:eastAsia="zh-CN"/>
              </w:rPr>
              <w:t>未提供不得分</w:t>
            </w:r>
            <w:r>
              <w:rPr>
                <w:rFonts w:hint="eastAsia" w:ascii="宋体" w:hAnsi="宋体" w:eastAsia="宋体" w:cs="宋体"/>
                <w:b/>
                <w:bCs/>
                <w:sz w:val="18"/>
                <w:szCs w:val="18"/>
              </w:rPr>
              <w:t>。</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3</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项目业绩</w:t>
            </w:r>
          </w:p>
          <w:p>
            <w:pPr>
              <w:pStyle w:val="50"/>
              <w:spacing w:line="24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6分）</w:t>
            </w:r>
          </w:p>
        </w:tc>
        <w:tc>
          <w:tcPr>
            <w:tcW w:w="6223" w:type="dxa"/>
            <w:vAlign w:val="center"/>
          </w:tcPr>
          <w:p>
            <w:pPr>
              <w:pStyle w:val="50"/>
              <w:spacing w:line="240" w:lineRule="auto"/>
              <w:jc w:val="both"/>
              <w:rPr>
                <w:rFonts w:hint="eastAsia" w:ascii="宋体" w:hAnsi="宋体" w:eastAsia="宋体" w:cs="宋体"/>
                <w:color w:val="auto"/>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021年</w:t>
            </w:r>
            <w:r>
              <w:rPr>
                <w:rFonts w:hint="eastAsia" w:ascii="宋体" w:hAnsi="宋体" w:eastAsia="宋体" w:cs="宋体"/>
                <w:sz w:val="18"/>
                <w:szCs w:val="18"/>
                <w:lang w:val="en-US" w:eastAsia="zh-CN"/>
              </w:rPr>
              <w:t>1月1日至今</w:t>
            </w:r>
            <w:r>
              <w:rPr>
                <w:rFonts w:hint="eastAsia" w:ascii="宋体" w:hAnsi="宋体" w:eastAsia="宋体" w:cs="宋体"/>
                <w:sz w:val="18"/>
                <w:szCs w:val="18"/>
              </w:rPr>
              <w:t>同类项目</w:t>
            </w:r>
            <w:r>
              <w:rPr>
                <w:rFonts w:hint="eastAsia" w:ascii="宋体" w:hAnsi="宋体" w:eastAsia="宋体" w:cs="宋体"/>
                <w:sz w:val="18"/>
                <w:szCs w:val="18"/>
                <w:lang w:eastAsia="zh-CN"/>
              </w:rPr>
              <w:t>（如</w:t>
            </w:r>
            <w:r>
              <w:rPr>
                <w:rFonts w:hint="eastAsia" w:ascii="宋体" w:hAnsi="宋体" w:eastAsia="宋体" w:cs="宋体"/>
                <w:sz w:val="18"/>
                <w:szCs w:val="18"/>
              </w:rPr>
              <w:t>统一结算、综合支付等相关信息化建设项目案例</w:t>
            </w:r>
            <w:r>
              <w:rPr>
                <w:rFonts w:hint="eastAsia" w:ascii="宋体" w:hAnsi="宋体" w:eastAsia="宋体" w:cs="宋体"/>
                <w:sz w:val="18"/>
                <w:szCs w:val="18"/>
                <w:lang w:eastAsia="zh-CN"/>
              </w:rPr>
              <w:t>等</w:t>
            </w:r>
            <w:r>
              <w:rPr>
                <w:rFonts w:hint="eastAsia" w:ascii="宋体" w:hAnsi="宋体" w:eastAsia="宋体" w:cs="宋体"/>
                <w:sz w:val="18"/>
                <w:szCs w:val="18"/>
              </w:rPr>
              <w:t>相关信息化建设项目案例</w:t>
            </w:r>
            <w:r>
              <w:rPr>
                <w:rFonts w:hint="eastAsia" w:ascii="宋体" w:hAnsi="宋体" w:eastAsia="宋体" w:cs="宋体"/>
                <w:sz w:val="18"/>
                <w:szCs w:val="18"/>
                <w:lang w:eastAsia="zh-CN"/>
              </w:rPr>
              <w:t>）</w:t>
            </w:r>
            <w:r>
              <w:rPr>
                <w:rFonts w:hint="eastAsia" w:ascii="宋体" w:hAnsi="宋体" w:eastAsia="宋体" w:cs="宋体"/>
                <w:color w:val="auto"/>
                <w:sz w:val="18"/>
                <w:szCs w:val="18"/>
              </w:rPr>
              <w:t>每提供一</w:t>
            </w:r>
            <w:r>
              <w:rPr>
                <w:rFonts w:hint="eastAsia" w:ascii="宋体" w:hAnsi="宋体" w:cs="宋体"/>
                <w:color w:val="auto"/>
                <w:sz w:val="18"/>
                <w:szCs w:val="18"/>
                <w:lang w:eastAsia="zh-CN"/>
              </w:rPr>
              <w:t>项</w:t>
            </w:r>
            <w:r>
              <w:rPr>
                <w:rFonts w:hint="eastAsia" w:ascii="宋体" w:hAnsi="宋体" w:eastAsia="宋体" w:cs="宋体"/>
                <w:color w:val="auto"/>
                <w:sz w:val="18"/>
                <w:szCs w:val="18"/>
              </w:rPr>
              <w:t>案例得1.5分，最高得6分。</w:t>
            </w:r>
          </w:p>
          <w:p>
            <w:pPr>
              <w:pStyle w:val="50"/>
              <w:spacing w:line="240" w:lineRule="auto"/>
              <w:jc w:val="both"/>
              <w:rPr>
                <w:rFonts w:hint="eastAsia" w:ascii="宋体" w:hAnsi="宋体" w:eastAsia="宋体" w:cs="宋体"/>
                <w:bCs/>
                <w:spacing w:val="10"/>
                <w:kern w:val="0"/>
                <w:sz w:val="18"/>
                <w:szCs w:val="18"/>
                <w:lang w:val="en-US" w:eastAsia="zh-CN" w:bidi="ar-SA"/>
              </w:rPr>
            </w:pPr>
            <w:r>
              <w:rPr>
                <w:rFonts w:hint="eastAsia" w:ascii="宋体" w:hAnsi="宋体" w:eastAsia="宋体" w:cs="宋体"/>
                <w:b/>
                <w:bCs w:val="0"/>
                <w:color w:val="auto"/>
                <w:sz w:val="18"/>
                <w:szCs w:val="18"/>
              </w:rPr>
              <w:t>注：需提供合同关键页复印件或中标通知书复印件，并加盖供应商公司公章。</w:t>
            </w:r>
            <w:r>
              <w:rPr>
                <w:rFonts w:hint="eastAsia" w:ascii="宋体" w:hAnsi="宋体" w:eastAsia="宋体" w:cs="宋体"/>
                <w:b/>
                <w:bCs w:val="0"/>
                <w:sz w:val="18"/>
                <w:szCs w:val="18"/>
              </w:rPr>
              <w:t>合同关键页复印件或中标通知书复印件，并加盖供应商公司公章。</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091" w:type="dxa"/>
            <w:vAlign w:val="center"/>
          </w:tcPr>
          <w:p>
            <w:pPr>
              <w:pStyle w:val="50"/>
              <w:spacing w:line="240" w:lineRule="auto"/>
              <w:jc w:val="center"/>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投入人员</w:t>
            </w:r>
          </w:p>
          <w:p>
            <w:pPr>
              <w:pStyle w:val="50"/>
              <w:spacing w:line="240" w:lineRule="auto"/>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eastAsia="zh-CN"/>
              </w:rPr>
              <w:t>（</w:t>
            </w:r>
            <w:r>
              <w:rPr>
                <w:rFonts w:hint="eastAsia" w:ascii="宋体" w:hAnsi="宋体" w:eastAsia="宋体" w:cs="宋体"/>
                <w:b/>
                <w:bCs w:val="0"/>
                <w:color w:val="auto"/>
                <w:sz w:val="18"/>
                <w:szCs w:val="18"/>
                <w:lang w:val="en-US" w:eastAsia="zh-CN"/>
              </w:rPr>
              <w:t>6分）</w:t>
            </w:r>
          </w:p>
        </w:tc>
        <w:tc>
          <w:tcPr>
            <w:tcW w:w="6223" w:type="dxa"/>
            <w:vAlign w:val="center"/>
          </w:tcPr>
          <w:p>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供应商拟安排的项目负责人</w:t>
            </w:r>
            <w:r>
              <w:rPr>
                <w:rFonts w:hint="eastAsia" w:ascii="宋体" w:hAnsi="宋体" w:eastAsia="宋体" w:cs="宋体"/>
                <w:color w:val="auto"/>
                <w:sz w:val="18"/>
                <w:szCs w:val="18"/>
                <w:lang w:eastAsia="zh-CN"/>
              </w:rPr>
              <w:t>及</w:t>
            </w:r>
            <w:r>
              <w:rPr>
                <w:rFonts w:hint="eastAsia" w:ascii="宋体" w:hAnsi="宋体" w:eastAsia="宋体" w:cs="宋体"/>
                <w:color w:val="auto"/>
                <w:sz w:val="18"/>
                <w:szCs w:val="18"/>
              </w:rPr>
              <w:t>项目组团队人员具有信息系统项目管理师证书、软件设计师证书、系统集成项目管理工程师的，每提供1个得3分，本项最高得6分，</w:t>
            </w:r>
            <w:r>
              <w:rPr>
                <w:rFonts w:hint="eastAsia" w:ascii="宋体" w:hAnsi="宋体" w:cs="宋体"/>
                <w:color w:val="auto"/>
                <w:sz w:val="18"/>
                <w:szCs w:val="18"/>
                <w:lang w:eastAsia="zh-CN"/>
              </w:rPr>
              <w:t>未提供不得分</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同一人取得多种证书按</w:t>
            </w:r>
            <w:r>
              <w:rPr>
                <w:rFonts w:hint="eastAsia" w:ascii="宋体" w:hAnsi="宋体" w:eastAsia="宋体" w:cs="宋体"/>
                <w:color w:val="auto"/>
                <w:sz w:val="18"/>
                <w:szCs w:val="18"/>
                <w:lang w:val="en-US" w:eastAsia="zh-CN"/>
              </w:rPr>
              <w:t>1分计算。</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color w:val="auto"/>
                <w:sz w:val="18"/>
                <w:szCs w:val="18"/>
              </w:rPr>
              <w:t>注：需提供项目负责人</w:t>
            </w:r>
            <w:r>
              <w:rPr>
                <w:rFonts w:hint="eastAsia" w:ascii="宋体" w:hAnsi="宋体" w:eastAsia="宋体" w:cs="宋体"/>
                <w:b/>
                <w:bCs/>
                <w:color w:val="auto"/>
                <w:sz w:val="18"/>
                <w:szCs w:val="18"/>
                <w:lang w:eastAsia="zh-CN"/>
              </w:rPr>
              <w:t>及项目组团队人员</w:t>
            </w:r>
            <w:r>
              <w:rPr>
                <w:rFonts w:hint="eastAsia" w:ascii="宋体" w:hAnsi="宋体" w:eastAsia="宋体" w:cs="宋体"/>
                <w:b/>
                <w:bCs/>
                <w:color w:val="auto"/>
                <w:sz w:val="18"/>
                <w:szCs w:val="18"/>
              </w:rPr>
              <w:t>的资质证书复印件及投标截止日之前六个月以内任意1个月在供应商任职的外部证明文件（如加盖政府有关部门印章的《投保单》或《社会保险参保人员证明》，或单位代缴个人所得税税单等）复印件，如依法无需缴纳社会保险的应提供相关证明材料说明，</w:t>
            </w:r>
            <w:r>
              <w:rPr>
                <w:rFonts w:hint="eastAsia" w:ascii="宋体" w:hAnsi="宋体" w:cs="宋体"/>
                <w:b/>
                <w:bCs/>
                <w:color w:val="auto"/>
                <w:sz w:val="18"/>
                <w:szCs w:val="18"/>
                <w:lang w:eastAsia="zh-CN"/>
              </w:rPr>
              <w:t>未提供不得分</w:t>
            </w:r>
            <w:r>
              <w:rPr>
                <w:rFonts w:hint="eastAsia" w:ascii="宋体" w:hAnsi="宋体" w:eastAsia="宋体" w:cs="宋体"/>
                <w:b/>
                <w:bCs/>
                <w:color w:val="auto"/>
                <w:sz w:val="18"/>
                <w:szCs w:val="18"/>
              </w:rPr>
              <w:t>）。</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091" w:type="dxa"/>
            <w:vAlign w:val="center"/>
          </w:tcPr>
          <w:p>
            <w:pPr>
              <w:pStyle w:val="50"/>
              <w:spacing w:line="24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eastAsia="zh-CN"/>
              </w:rPr>
              <w:t>技术参数响应情况（</w:t>
            </w:r>
            <w:r>
              <w:rPr>
                <w:rFonts w:hint="eastAsia" w:ascii="宋体" w:hAnsi="宋体" w:eastAsia="宋体" w:cs="宋体"/>
                <w:b/>
                <w:bCs w:val="0"/>
                <w:sz w:val="18"/>
                <w:szCs w:val="18"/>
                <w:lang w:val="en-US" w:eastAsia="zh-CN"/>
              </w:rPr>
              <w:t>21分）</w:t>
            </w:r>
          </w:p>
        </w:tc>
        <w:tc>
          <w:tcPr>
            <w:tcW w:w="6223" w:type="dxa"/>
            <w:vAlign w:val="center"/>
          </w:tcPr>
          <w:p>
            <w:pPr>
              <w:pStyle w:val="50"/>
              <w:spacing w:line="240" w:lineRule="auto"/>
              <w:jc w:val="both"/>
              <w:rPr>
                <w:rFonts w:hint="eastAsia" w:ascii="宋体" w:hAnsi="宋体" w:eastAsia="宋体" w:cs="宋体"/>
                <w:bCs w:val="0"/>
                <w:color w:val="000000"/>
                <w:spacing w:val="0"/>
                <w:kern w:val="2"/>
                <w:sz w:val="18"/>
                <w:szCs w:val="18"/>
                <w:lang w:val="en-US" w:eastAsia="zh-CN" w:bidi="ar-SA"/>
              </w:rPr>
            </w:pPr>
            <w:r>
              <w:rPr>
                <w:rFonts w:hint="eastAsia" w:ascii="宋体" w:hAnsi="宋体" w:eastAsia="宋体" w:cs="宋体"/>
                <w:bCs w:val="0"/>
                <w:color w:val="000000"/>
                <w:spacing w:val="0"/>
                <w:kern w:val="2"/>
                <w:sz w:val="18"/>
                <w:szCs w:val="18"/>
                <w:lang w:val="en-US" w:eastAsia="zh-CN" w:bidi="ar-SA"/>
              </w:rPr>
              <w:t>根据采购需求中“二、技术参数要求”的七项技术要求，每满足一项得3分，最高21分</w:t>
            </w:r>
          </w:p>
          <w:p>
            <w:pPr>
              <w:pStyle w:val="50"/>
              <w:spacing w:line="240" w:lineRule="auto"/>
              <w:jc w:val="both"/>
              <w:rPr>
                <w:rFonts w:hint="eastAsia" w:ascii="宋体" w:hAnsi="宋体" w:eastAsia="宋体" w:cs="宋体"/>
                <w:b/>
                <w:bCs w:val="0"/>
                <w:sz w:val="18"/>
                <w:szCs w:val="18"/>
              </w:rPr>
            </w:pPr>
            <w:r>
              <w:rPr>
                <w:rFonts w:hint="eastAsia" w:ascii="宋体" w:hAnsi="宋体" w:eastAsia="宋体" w:cs="宋体"/>
                <w:b/>
                <w:bCs/>
                <w:color w:val="000000"/>
                <w:spacing w:val="0"/>
                <w:kern w:val="2"/>
                <w:sz w:val="18"/>
                <w:szCs w:val="18"/>
                <w:lang w:val="en-US" w:eastAsia="zh-CN" w:bidi="ar-SA"/>
              </w:rPr>
              <w:t>注：根据供应商提供的用户需求偏离表及所投项目主要技术指标、参数及性能的详细说明等材料进行综合评审。</w:t>
            </w:r>
          </w:p>
        </w:tc>
        <w:tc>
          <w:tcPr>
            <w:tcW w:w="819"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21分</w:t>
            </w:r>
          </w:p>
        </w:tc>
        <w:tc>
          <w:tcPr>
            <w:tcW w:w="668" w:type="dxa"/>
            <w:vAlign w:val="center"/>
          </w:tcPr>
          <w:p>
            <w:pPr>
              <w:pStyle w:val="50"/>
              <w:spacing w:line="240" w:lineRule="auto"/>
              <w:jc w:val="center"/>
              <w:rPr>
                <w:rFonts w:hint="eastAsia" w:ascii="宋体" w:hAnsi="宋体" w:eastAsia="宋体" w:cs="宋体"/>
                <w:sz w:val="18"/>
                <w:szCs w:val="18"/>
                <w:lang w:val="en-US" w:eastAsia="zh-CN"/>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系统开发能力</w:t>
            </w:r>
          </w:p>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10分）</w:t>
            </w:r>
          </w:p>
        </w:tc>
        <w:tc>
          <w:tcPr>
            <w:tcW w:w="6223" w:type="dxa"/>
            <w:vAlign w:val="center"/>
          </w:tcPr>
          <w:p>
            <w:pPr>
              <w:pStyle w:val="50"/>
              <w:spacing w:line="240" w:lineRule="auto"/>
              <w:jc w:val="both"/>
              <w:rPr>
                <w:rFonts w:hint="eastAsia" w:ascii="宋体" w:hAnsi="宋体" w:eastAsia="宋体" w:cs="宋体"/>
                <w:bCs w:val="0"/>
                <w:color w:val="auto"/>
                <w:spacing w:val="0"/>
                <w:kern w:val="2"/>
                <w:sz w:val="18"/>
                <w:szCs w:val="18"/>
                <w:lang w:val="en-US" w:eastAsia="zh-CN" w:bidi="ar-SA"/>
              </w:rPr>
            </w:pPr>
            <w:r>
              <w:rPr>
                <w:rFonts w:hint="eastAsia" w:ascii="宋体" w:hAnsi="宋体" w:eastAsia="宋体" w:cs="宋体"/>
                <w:b w:val="0"/>
                <w:color w:val="auto"/>
                <w:kern w:val="0"/>
                <w:sz w:val="18"/>
                <w:szCs w:val="18"/>
              </w:rPr>
              <w:t>供应商或所投产品具有以下（与本项目相关的）国家版权局颁发的软件著作权登记证书：统一结算管理</w:t>
            </w:r>
            <w:r>
              <w:rPr>
                <w:rFonts w:hint="eastAsia" w:ascii="宋体" w:hAnsi="宋体" w:eastAsia="宋体" w:cs="宋体"/>
                <w:bCs w:val="0"/>
                <w:color w:val="auto"/>
                <w:spacing w:val="0"/>
                <w:kern w:val="2"/>
                <w:sz w:val="18"/>
                <w:szCs w:val="18"/>
                <w:lang w:val="en-US" w:eastAsia="zh-CN" w:bidi="ar-SA"/>
              </w:rPr>
              <w:t>类软著、医院信息管理类软著、聚合支付类软著、数据交互类软著、智能服务类软著，每提供1个，得2分，最高得10分。</w:t>
            </w:r>
          </w:p>
          <w:p>
            <w:pPr>
              <w:pStyle w:val="50"/>
              <w:spacing w:line="240" w:lineRule="auto"/>
              <w:jc w:val="both"/>
              <w:rPr>
                <w:rFonts w:hint="eastAsia" w:ascii="宋体" w:hAnsi="宋体" w:eastAsia="宋体" w:cs="宋体"/>
                <w:bCs w:val="0"/>
                <w:color w:val="auto"/>
                <w:spacing w:val="10"/>
                <w:kern w:val="0"/>
                <w:sz w:val="18"/>
                <w:szCs w:val="18"/>
                <w:lang w:val="en-US" w:eastAsia="zh-CN" w:bidi="ar-SA"/>
              </w:rPr>
            </w:pPr>
            <w:r>
              <w:rPr>
                <w:rFonts w:hint="eastAsia" w:ascii="宋体" w:hAnsi="宋体" w:eastAsia="宋体" w:cs="宋体"/>
                <w:b/>
                <w:bCs/>
                <w:color w:val="auto"/>
                <w:spacing w:val="0"/>
                <w:kern w:val="2"/>
                <w:sz w:val="18"/>
                <w:szCs w:val="18"/>
                <w:lang w:val="en-US" w:eastAsia="zh-CN" w:bidi="ar-SA"/>
              </w:rPr>
              <w:t>注：需提供以上证书复印件并加盖供应商公章，</w:t>
            </w:r>
            <w:r>
              <w:rPr>
                <w:rFonts w:hint="eastAsia" w:ascii="宋体" w:hAnsi="宋体" w:cs="宋体"/>
                <w:b/>
                <w:bCs/>
                <w:color w:val="auto"/>
                <w:spacing w:val="0"/>
                <w:kern w:val="2"/>
                <w:sz w:val="18"/>
                <w:szCs w:val="18"/>
                <w:lang w:val="en-US" w:eastAsia="zh-CN" w:bidi="ar-SA"/>
              </w:rPr>
              <w:t>未提供不得分</w:t>
            </w:r>
            <w:r>
              <w:rPr>
                <w:rFonts w:hint="eastAsia" w:ascii="宋体" w:hAnsi="宋体" w:eastAsia="宋体" w:cs="宋体"/>
                <w:b/>
                <w:bCs/>
                <w:color w:val="auto"/>
                <w:spacing w:val="0"/>
                <w:kern w:val="2"/>
                <w:sz w:val="18"/>
                <w:szCs w:val="18"/>
                <w:lang w:val="en-US" w:eastAsia="zh-CN" w:bidi="ar-SA"/>
              </w:rPr>
              <w:t>。</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10</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技术方案部分</w:t>
            </w:r>
          </w:p>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9分）</w:t>
            </w:r>
          </w:p>
        </w:tc>
        <w:tc>
          <w:tcPr>
            <w:tcW w:w="6223" w:type="dxa"/>
            <w:vAlign w:val="center"/>
          </w:tcPr>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根据各供应商按照建设目标、建设需求所</w:t>
            </w:r>
            <w:r>
              <w:rPr>
                <w:rFonts w:hint="eastAsia" w:ascii="宋体" w:hAnsi="宋体" w:eastAsia="宋体" w:cs="宋体"/>
                <w:color w:val="auto"/>
                <w:sz w:val="18"/>
                <w:szCs w:val="18"/>
              </w:rPr>
              <w:t>提供的技术方案，内容包括但不限于：总体架构、设计原则等</w:t>
            </w:r>
            <w:r>
              <w:rPr>
                <w:rFonts w:hint="eastAsia" w:ascii="宋体" w:hAnsi="宋体" w:eastAsia="宋体" w:cs="宋体"/>
                <w:color w:val="auto"/>
                <w:sz w:val="18"/>
                <w:szCs w:val="18"/>
                <w:lang w:eastAsia="zh-CN"/>
              </w:rPr>
              <w:t>，进行综合评审：</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建设需求的理解透彻，采用主流技术架构，开放性、扩展性好，</w:t>
            </w:r>
            <w:r>
              <w:rPr>
                <w:rFonts w:hint="eastAsia" w:ascii="宋体" w:hAnsi="宋体" w:eastAsia="宋体" w:cs="宋体"/>
                <w:color w:val="auto"/>
                <w:sz w:val="18"/>
                <w:szCs w:val="18"/>
                <w:lang w:eastAsia="zh-CN"/>
              </w:rPr>
              <w:t>优于需求书要求，</w:t>
            </w:r>
            <w:r>
              <w:rPr>
                <w:rFonts w:hint="eastAsia" w:ascii="宋体" w:hAnsi="宋体" w:eastAsia="宋体" w:cs="宋体"/>
                <w:color w:val="auto"/>
                <w:sz w:val="18"/>
                <w:szCs w:val="18"/>
              </w:rPr>
              <w:t>得9分；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透彻，采用主流技术架构，开放性、扩展性</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好，得</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中：</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建设需求的理解一般，采用主流技术架构，开放性、扩展性一般，得</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分；</w:t>
            </w:r>
          </w:p>
          <w:p>
            <w:pPr>
              <w:pStyle w:val="50"/>
              <w:numPr>
                <w:ilvl w:val="0"/>
                <w:numId w:val="0"/>
              </w:numPr>
              <w:spacing w:line="240" w:lineRule="auto"/>
              <w:ind w:left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差：</w:t>
            </w:r>
            <w:r>
              <w:rPr>
                <w:rFonts w:hint="eastAsia" w:ascii="宋体" w:hAnsi="宋体" w:eastAsia="宋体" w:cs="宋体"/>
                <w:color w:val="auto"/>
                <w:sz w:val="18"/>
                <w:szCs w:val="18"/>
              </w:rPr>
              <w:t>对</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建设目标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建设需求的理解差，采用主流技术架构，开放性、扩展性差，得1分。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w:t>
            </w:r>
            <w:r>
              <w:rPr>
                <w:rFonts w:hint="eastAsia" w:ascii="宋体" w:hAnsi="宋体" w:eastAsia="宋体" w:cs="宋体"/>
                <w:b/>
                <w:bCs w:val="0"/>
                <w:color w:val="auto"/>
                <w:sz w:val="18"/>
                <w:szCs w:val="18"/>
                <w:lang w:eastAsia="zh-CN"/>
              </w:rPr>
              <w:t>未</w:t>
            </w:r>
            <w:r>
              <w:rPr>
                <w:rFonts w:hint="eastAsia" w:ascii="宋体" w:hAnsi="宋体" w:eastAsia="宋体" w:cs="宋体"/>
                <w:b/>
                <w:bCs w:val="0"/>
                <w:color w:val="auto"/>
                <w:sz w:val="18"/>
                <w:szCs w:val="18"/>
              </w:rPr>
              <w:t>提供不得分。</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9分</w:t>
            </w:r>
          </w:p>
        </w:tc>
        <w:tc>
          <w:tcPr>
            <w:tcW w:w="668" w:type="dxa"/>
            <w:vAlign w:val="center"/>
          </w:tcPr>
          <w:p>
            <w:pPr>
              <w:pStyle w:val="50"/>
              <w:spacing w:line="240" w:lineRule="auto"/>
              <w:jc w:val="center"/>
              <w:rPr>
                <w:rFonts w:hint="eastAsia" w:ascii="宋体" w:hAnsi="宋体" w:eastAsia="宋体" w:cs="宋体"/>
                <w:sz w:val="18"/>
                <w:szCs w:val="18"/>
                <w:lang w:val="en-US" w:eastAsia="zh-CN"/>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091"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b/>
                <w:bCs w:val="0"/>
                <w:sz w:val="18"/>
                <w:szCs w:val="18"/>
              </w:rPr>
              <w:t>实施方案</w:t>
            </w: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15分）</w:t>
            </w:r>
          </w:p>
        </w:tc>
        <w:tc>
          <w:tcPr>
            <w:tcW w:w="6223" w:type="dxa"/>
            <w:vAlign w:val="center"/>
          </w:tcPr>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根据</w:t>
            </w:r>
            <w:r>
              <w:rPr>
                <w:rFonts w:hint="eastAsia" w:ascii="宋体" w:hAnsi="宋体" w:eastAsia="宋体" w:cs="宋体"/>
                <w:color w:val="auto"/>
                <w:sz w:val="18"/>
                <w:szCs w:val="18"/>
              </w:rPr>
              <w:t>各</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提供项目的实施方案</w:t>
            </w:r>
            <w:r>
              <w:rPr>
                <w:rFonts w:hint="eastAsia" w:ascii="宋体" w:hAnsi="宋体" w:eastAsia="宋体" w:cs="宋体"/>
                <w:color w:val="auto"/>
                <w:sz w:val="18"/>
                <w:szCs w:val="18"/>
                <w:lang w:eastAsia="zh-CN"/>
              </w:rPr>
              <w:t>的</w:t>
            </w:r>
            <w:r>
              <w:rPr>
                <w:rFonts w:hint="eastAsia" w:ascii="宋体" w:hAnsi="宋体" w:eastAsia="宋体" w:cs="宋体"/>
                <w:color w:val="auto"/>
                <w:sz w:val="18"/>
                <w:szCs w:val="18"/>
              </w:rPr>
              <w:t>科学性、合理性、规范性和可操作性</w:t>
            </w:r>
            <w:r>
              <w:rPr>
                <w:rFonts w:hint="eastAsia" w:ascii="宋体" w:hAnsi="宋体" w:eastAsia="宋体" w:cs="宋体"/>
                <w:color w:val="auto"/>
                <w:sz w:val="18"/>
                <w:szCs w:val="18"/>
                <w:lang w:eastAsia="zh-CN"/>
              </w:rPr>
              <w:t>，并</w:t>
            </w:r>
            <w:r>
              <w:rPr>
                <w:rFonts w:hint="eastAsia" w:ascii="宋体" w:hAnsi="宋体" w:eastAsia="宋体" w:cs="宋体"/>
                <w:color w:val="auto"/>
                <w:sz w:val="18"/>
                <w:szCs w:val="18"/>
              </w:rPr>
              <w:t>针对本项目实施重难点理解分析透彻，并提供应对措施及流程</w:t>
            </w:r>
            <w:r>
              <w:rPr>
                <w:rFonts w:hint="eastAsia" w:ascii="宋体" w:hAnsi="宋体" w:eastAsia="宋体" w:cs="宋体"/>
                <w:color w:val="auto"/>
                <w:sz w:val="18"/>
                <w:szCs w:val="18"/>
                <w:lang w:eastAsia="zh-CN"/>
              </w:rPr>
              <w:t>等，进行综合评分：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实施方案全面，具有合理的项目进度安排、组织架构，具有良好的实施阶段进度控制、项目需求计划、应急风险控制管理、质量保障等措施，对重难点分析理解全面透彻，应对措施及流程完善全面可行。得15分；</w:t>
            </w:r>
          </w:p>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实施方案</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全面，进度安排、组织架构</w:t>
            </w:r>
            <w:r>
              <w:rPr>
                <w:rFonts w:hint="eastAsia" w:ascii="宋体" w:hAnsi="宋体" w:eastAsia="宋体" w:cs="宋体"/>
                <w:color w:val="auto"/>
                <w:sz w:val="18"/>
                <w:szCs w:val="18"/>
                <w:lang w:eastAsia="zh-CN"/>
              </w:rPr>
              <w:t>较</w:t>
            </w:r>
            <w:r>
              <w:rPr>
                <w:rFonts w:hint="eastAsia" w:ascii="宋体" w:hAnsi="宋体" w:eastAsia="宋体" w:cs="宋体"/>
                <w:color w:val="auto"/>
                <w:sz w:val="18"/>
                <w:szCs w:val="18"/>
              </w:rPr>
              <w:t>合理，进度控制、风险控制管理、质量保障措施</w:t>
            </w:r>
            <w:r>
              <w:rPr>
                <w:rFonts w:hint="eastAsia" w:ascii="宋体" w:hAnsi="宋体" w:eastAsia="宋体" w:cs="宋体"/>
                <w:color w:val="auto"/>
                <w:sz w:val="18"/>
                <w:szCs w:val="18"/>
                <w:lang w:eastAsia="zh-CN"/>
              </w:rPr>
              <w:t>较全面</w:t>
            </w:r>
            <w:r>
              <w:rPr>
                <w:rFonts w:hint="eastAsia" w:ascii="宋体" w:hAnsi="宋体" w:eastAsia="宋体" w:cs="宋体"/>
                <w:color w:val="auto"/>
                <w:sz w:val="18"/>
                <w:szCs w:val="18"/>
              </w:rPr>
              <w:t>，对重难点分析理解较全面，有</w:t>
            </w:r>
            <w:r>
              <w:rPr>
                <w:rFonts w:hint="eastAsia" w:ascii="宋体" w:hAnsi="宋体" w:eastAsia="宋体" w:cs="宋体"/>
                <w:color w:val="auto"/>
                <w:sz w:val="18"/>
                <w:szCs w:val="18"/>
                <w:lang w:eastAsia="zh-CN"/>
              </w:rPr>
              <w:t>较可行的</w:t>
            </w:r>
            <w:r>
              <w:rPr>
                <w:rFonts w:hint="eastAsia" w:ascii="宋体" w:hAnsi="宋体" w:eastAsia="宋体" w:cs="宋体"/>
                <w:color w:val="auto"/>
                <w:sz w:val="18"/>
                <w:szCs w:val="18"/>
              </w:rPr>
              <w:t>应对措施及流程。得10分；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中：</w:t>
            </w:r>
            <w:r>
              <w:rPr>
                <w:rFonts w:hint="eastAsia" w:ascii="宋体" w:hAnsi="宋体" w:eastAsia="宋体" w:cs="宋体"/>
                <w:color w:val="auto"/>
                <w:sz w:val="18"/>
                <w:szCs w:val="18"/>
              </w:rPr>
              <w:t>实施方案不够全面，进度安排、组织架构</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，进度控制、风险控制管理、质量保障措施</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，对重难点分析理解</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，有应对措施及流程</w:t>
            </w:r>
            <w:r>
              <w:rPr>
                <w:rFonts w:hint="eastAsia" w:ascii="宋体" w:hAnsi="宋体" w:eastAsia="宋体" w:cs="宋体"/>
                <w:color w:val="auto"/>
                <w:sz w:val="18"/>
                <w:szCs w:val="18"/>
                <w:lang w:eastAsia="zh-CN"/>
              </w:rPr>
              <w:t>但不够全面</w:t>
            </w:r>
            <w:r>
              <w:rPr>
                <w:rFonts w:hint="eastAsia" w:ascii="宋体" w:hAnsi="宋体" w:eastAsia="宋体" w:cs="宋体"/>
                <w:color w:val="auto"/>
                <w:sz w:val="18"/>
                <w:szCs w:val="18"/>
              </w:rPr>
              <w:t>。得</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p>
            <w:pPr>
              <w:pStyle w:val="50"/>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差：</w:t>
            </w:r>
            <w:r>
              <w:rPr>
                <w:rFonts w:hint="eastAsia" w:ascii="宋体" w:hAnsi="宋体" w:eastAsia="宋体" w:cs="宋体"/>
                <w:color w:val="auto"/>
                <w:sz w:val="18"/>
                <w:szCs w:val="18"/>
              </w:rPr>
              <w:t>实施方案不全面，进度安排、组织架构不合理，没有进度控制、风险控制管理、质量保障措施，对重难点分析理解片面，应对措施及流程空洞或欠缺。得</w:t>
            </w:r>
            <w:r>
              <w:rPr>
                <w:rFonts w:hint="eastAsia" w:ascii="宋体" w:hAnsi="宋体" w:eastAsia="宋体" w:cs="宋体"/>
                <w:color w:val="auto"/>
                <w:sz w:val="18"/>
                <w:szCs w:val="18"/>
                <w:lang w:val="en-US" w:eastAsia="zh-CN"/>
              </w:rPr>
              <w:t>0.5</w:t>
            </w:r>
            <w:r>
              <w:rPr>
                <w:rFonts w:hint="eastAsia" w:ascii="宋体" w:hAnsi="宋体" w:eastAsia="宋体" w:cs="宋体"/>
                <w:color w:val="auto"/>
                <w:sz w:val="18"/>
                <w:szCs w:val="18"/>
              </w:rPr>
              <w:t>分。</w:t>
            </w:r>
          </w:p>
          <w:p>
            <w:pPr>
              <w:pStyle w:val="50"/>
              <w:spacing w:line="240" w:lineRule="auto"/>
              <w:jc w:val="both"/>
              <w:rPr>
                <w:rFonts w:hint="eastAsia" w:ascii="宋体" w:hAnsi="宋体" w:eastAsia="宋体" w:cs="宋体"/>
                <w:bCs/>
                <w:color w:val="auto"/>
                <w:spacing w:val="10"/>
                <w:kern w:val="0"/>
                <w:sz w:val="18"/>
                <w:szCs w:val="18"/>
                <w:lang w:val="en-US" w:eastAsia="zh-CN" w:bidi="ar-SA"/>
              </w:rPr>
            </w:pPr>
            <w:r>
              <w:rPr>
                <w:rFonts w:hint="eastAsia" w:ascii="宋体" w:hAnsi="宋体" w:eastAsia="宋体" w:cs="宋体"/>
                <w:b/>
                <w:bCs w:val="0"/>
                <w:color w:val="auto"/>
                <w:sz w:val="18"/>
                <w:szCs w:val="18"/>
              </w:rPr>
              <w:t>注：</w:t>
            </w:r>
            <w:r>
              <w:rPr>
                <w:rFonts w:hint="eastAsia" w:ascii="宋体" w:hAnsi="宋体" w:eastAsia="宋体" w:cs="宋体"/>
                <w:b/>
                <w:bCs w:val="0"/>
                <w:color w:val="auto"/>
                <w:sz w:val="18"/>
                <w:szCs w:val="18"/>
                <w:lang w:eastAsia="zh-CN"/>
              </w:rPr>
              <w:t>未</w:t>
            </w:r>
            <w:r>
              <w:rPr>
                <w:rFonts w:hint="eastAsia" w:ascii="宋体" w:hAnsi="宋体" w:eastAsia="宋体" w:cs="宋体"/>
                <w:b/>
                <w:bCs w:val="0"/>
                <w:color w:val="auto"/>
                <w:sz w:val="18"/>
                <w:szCs w:val="18"/>
              </w:rPr>
              <w:t>提供不得分。</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15</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091" w:type="dxa"/>
            <w:vAlign w:val="center"/>
          </w:tcPr>
          <w:p>
            <w:pPr>
              <w:pStyle w:val="50"/>
              <w:spacing w:line="24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售后服务方案</w:t>
            </w:r>
          </w:p>
          <w:p>
            <w:pPr>
              <w:pStyle w:val="50"/>
              <w:spacing w:line="24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10分）</w:t>
            </w:r>
          </w:p>
        </w:tc>
        <w:tc>
          <w:tcPr>
            <w:tcW w:w="6223" w:type="dxa"/>
            <w:vAlign w:val="center"/>
          </w:tcPr>
          <w:p>
            <w:pPr>
              <w:pStyle w:val="50"/>
              <w:spacing w:line="240" w:lineRule="auto"/>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根据</w:t>
            </w:r>
            <w:r>
              <w:rPr>
                <w:rFonts w:hint="eastAsia" w:ascii="宋体" w:hAnsi="宋体" w:eastAsia="宋体" w:cs="宋体"/>
                <w:color w:val="auto"/>
                <w:sz w:val="18"/>
                <w:szCs w:val="18"/>
              </w:rPr>
              <w:t>各</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针对本项目</w:t>
            </w:r>
            <w:r>
              <w:rPr>
                <w:rFonts w:hint="eastAsia" w:ascii="宋体" w:hAnsi="宋体" w:eastAsia="宋体" w:cs="宋体"/>
                <w:color w:val="auto"/>
                <w:sz w:val="18"/>
                <w:szCs w:val="18"/>
                <w:lang w:eastAsia="zh-CN"/>
              </w:rPr>
              <w:t>所提供的</w:t>
            </w:r>
            <w:r>
              <w:rPr>
                <w:rFonts w:hint="eastAsia" w:ascii="宋体" w:hAnsi="宋体" w:eastAsia="宋体" w:cs="宋体"/>
                <w:color w:val="auto"/>
                <w:sz w:val="18"/>
                <w:szCs w:val="18"/>
              </w:rPr>
              <w:t>售后服务承诺、服务响应流程、应急服务流程提</w:t>
            </w:r>
            <w:r>
              <w:rPr>
                <w:rFonts w:hint="eastAsia" w:ascii="宋体" w:hAnsi="宋体" w:eastAsia="宋体" w:cs="宋体"/>
                <w:color w:val="auto"/>
                <w:sz w:val="18"/>
                <w:szCs w:val="18"/>
                <w:lang w:eastAsia="zh-CN"/>
              </w:rPr>
              <w:t>供的</w:t>
            </w:r>
            <w:r>
              <w:rPr>
                <w:rFonts w:hint="eastAsia" w:ascii="宋体" w:hAnsi="宋体" w:eastAsia="宋体" w:cs="宋体"/>
                <w:color w:val="auto"/>
                <w:sz w:val="18"/>
                <w:szCs w:val="18"/>
              </w:rPr>
              <w:t>详细方案</w:t>
            </w:r>
            <w:r>
              <w:rPr>
                <w:rFonts w:hint="eastAsia" w:ascii="宋体" w:hAnsi="宋体" w:eastAsia="宋体" w:cs="宋体"/>
                <w:color w:val="auto"/>
                <w:sz w:val="18"/>
                <w:szCs w:val="18"/>
                <w:lang w:eastAsia="zh-CN"/>
              </w:rPr>
              <w:t>等，进行综合评分：</w:t>
            </w:r>
          </w:p>
          <w:p>
            <w:pPr>
              <w:pStyle w:val="50"/>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lang w:eastAsia="zh-CN"/>
              </w:rPr>
              <w:t>优：</w:t>
            </w:r>
            <w:r>
              <w:rPr>
                <w:rFonts w:hint="eastAsia" w:ascii="宋体" w:hAnsi="宋体" w:eastAsia="宋体" w:cs="宋体"/>
                <w:color w:val="auto"/>
                <w:sz w:val="18"/>
                <w:szCs w:val="18"/>
              </w:rPr>
              <w:t>针对本项目的服务承诺、服务响应流程、应急服务流程清晰，完全满足项目突发性需求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服务响应时间：到达现场2小时</w:t>
            </w:r>
            <w:r>
              <w:rPr>
                <w:rFonts w:hint="eastAsia" w:ascii="宋体" w:hAnsi="宋体" w:eastAsia="宋体" w:cs="宋体"/>
                <w:color w:val="auto"/>
                <w:sz w:val="18"/>
                <w:szCs w:val="18"/>
                <w:highlight w:val="none"/>
                <w:lang w:eastAsia="zh-CN"/>
              </w:rPr>
              <w:t>及以内</w:t>
            </w:r>
            <w:r>
              <w:rPr>
                <w:rFonts w:hint="eastAsia" w:ascii="宋体" w:hAnsi="宋体" w:eastAsia="宋体" w:cs="宋体"/>
                <w:color w:val="auto"/>
                <w:sz w:val="18"/>
                <w:szCs w:val="18"/>
                <w:highlight w:val="none"/>
              </w:rPr>
              <w:t>，得10分；</w:t>
            </w:r>
          </w:p>
          <w:p>
            <w:pPr>
              <w:pStyle w:val="50"/>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lang w:eastAsia="zh-CN"/>
              </w:rPr>
              <w:t>良：</w:t>
            </w:r>
            <w:r>
              <w:rPr>
                <w:rFonts w:hint="eastAsia" w:ascii="宋体" w:hAnsi="宋体" w:eastAsia="宋体" w:cs="宋体"/>
                <w:color w:val="auto"/>
                <w:sz w:val="18"/>
                <w:szCs w:val="18"/>
              </w:rPr>
              <w:t>针对本项目的服务承诺、服务响应流程、应急服务流程较清晰，基本满足项目突发性需求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服务响应时间：到达现场时间</w:t>
            </w:r>
            <w:r>
              <w:rPr>
                <w:rFonts w:hint="eastAsia" w:ascii="宋体" w:hAnsi="宋体" w:eastAsia="宋体" w:cs="宋体"/>
                <w:color w:val="auto"/>
                <w:sz w:val="18"/>
                <w:szCs w:val="18"/>
                <w:highlight w:val="none"/>
                <w:lang w:val="en-US" w:eastAsia="zh-CN"/>
              </w:rPr>
              <w:t>2（不含）-3</w:t>
            </w:r>
            <w:r>
              <w:rPr>
                <w:rFonts w:hint="eastAsia" w:ascii="宋体" w:hAnsi="宋体" w:eastAsia="宋体" w:cs="宋体"/>
                <w:color w:val="auto"/>
                <w:sz w:val="18"/>
                <w:szCs w:val="18"/>
                <w:highlight w:val="none"/>
              </w:rPr>
              <w:t>小时</w:t>
            </w:r>
            <w:r>
              <w:rPr>
                <w:rFonts w:hint="eastAsia" w:ascii="宋体" w:hAnsi="宋体" w:eastAsia="宋体" w:cs="宋体"/>
                <w:color w:val="auto"/>
                <w:sz w:val="18"/>
                <w:szCs w:val="18"/>
                <w:highlight w:val="none"/>
                <w:lang w:eastAsia="zh-CN"/>
              </w:rPr>
              <w:t>（含）</w:t>
            </w:r>
            <w:r>
              <w:rPr>
                <w:rFonts w:hint="eastAsia" w:ascii="宋体" w:hAnsi="宋体" w:eastAsia="宋体" w:cs="宋体"/>
                <w:color w:val="auto"/>
                <w:sz w:val="18"/>
                <w:szCs w:val="18"/>
                <w:highlight w:val="none"/>
              </w:rPr>
              <w:t>的，得4分；</w:t>
            </w:r>
          </w:p>
          <w:p>
            <w:pPr>
              <w:pStyle w:val="5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中：</w:t>
            </w:r>
            <w:r>
              <w:rPr>
                <w:rFonts w:hint="eastAsia" w:ascii="宋体" w:hAnsi="宋体" w:eastAsia="宋体" w:cs="宋体"/>
                <w:color w:val="auto"/>
                <w:sz w:val="18"/>
                <w:szCs w:val="18"/>
              </w:rPr>
              <w:t>针对本项目的服务承诺、服务响应流程、应急服务流程</w:t>
            </w:r>
            <w:r>
              <w:rPr>
                <w:rFonts w:hint="eastAsia" w:ascii="宋体" w:hAnsi="宋体" w:eastAsia="宋体" w:cs="宋体"/>
                <w:color w:val="auto"/>
                <w:sz w:val="18"/>
                <w:szCs w:val="18"/>
                <w:lang w:eastAsia="zh-CN"/>
              </w:rPr>
              <w:t>一般</w:t>
            </w:r>
            <w:r>
              <w:rPr>
                <w:rFonts w:hint="eastAsia" w:ascii="宋体" w:hAnsi="宋体" w:eastAsia="宋体" w:cs="宋体"/>
                <w:color w:val="auto"/>
                <w:sz w:val="18"/>
                <w:szCs w:val="18"/>
              </w:rPr>
              <w:t>，基本满足项目突发性需求</w:t>
            </w:r>
            <w:r>
              <w:rPr>
                <w:rFonts w:hint="eastAsia" w:ascii="宋体" w:hAnsi="宋体" w:eastAsia="宋体" w:cs="宋体"/>
                <w:color w:val="auto"/>
                <w:sz w:val="18"/>
                <w:szCs w:val="18"/>
                <w:highlight w:val="none"/>
              </w:rPr>
              <w:t>，当系统出现故障或采购人需要，接收到采购人电话通知后，</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服务响应时间：到达现场时间</w:t>
            </w:r>
            <w:r>
              <w:rPr>
                <w:rFonts w:hint="eastAsia" w:ascii="宋体" w:hAnsi="宋体" w:eastAsia="宋体" w:cs="宋体"/>
                <w:color w:val="auto"/>
                <w:sz w:val="18"/>
                <w:szCs w:val="18"/>
                <w:highlight w:val="none"/>
                <w:lang w:val="en-US" w:eastAsia="zh-CN"/>
              </w:rPr>
              <w:t>3（不含）-4</w:t>
            </w:r>
            <w:r>
              <w:rPr>
                <w:rFonts w:hint="eastAsia" w:ascii="宋体" w:hAnsi="宋体" w:eastAsia="宋体" w:cs="宋体"/>
                <w:color w:val="auto"/>
                <w:sz w:val="18"/>
                <w:szCs w:val="18"/>
                <w:highlight w:val="none"/>
              </w:rPr>
              <w:t>小时</w:t>
            </w:r>
            <w:r>
              <w:rPr>
                <w:rFonts w:hint="eastAsia" w:ascii="宋体" w:hAnsi="宋体" w:eastAsia="宋体" w:cs="宋体"/>
                <w:color w:val="auto"/>
                <w:sz w:val="18"/>
                <w:szCs w:val="18"/>
                <w:highlight w:val="none"/>
                <w:lang w:eastAsia="zh-CN"/>
              </w:rPr>
              <w:t>（含）</w:t>
            </w:r>
            <w:r>
              <w:rPr>
                <w:rFonts w:hint="eastAsia" w:ascii="宋体" w:hAnsi="宋体" w:eastAsia="宋体" w:cs="宋体"/>
                <w:color w:val="auto"/>
                <w:sz w:val="18"/>
                <w:szCs w:val="18"/>
                <w:highlight w:val="none"/>
              </w:rPr>
              <w:t>的，得4分；</w:t>
            </w:r>
          </w:p>
          <w:p>
            <w:pPr>
              <w:pStyle w:val="50"/>
              <w:spacing w:line="240" w:lineRule="auto"/>
              <w:jc w:val="both"/>
              <w:rPr>
                <w:rFonts w:hint="eastAsia" w:ascii="宋体" w:hAnsi="宋体" w:eastAsia="宋体" w:cs="宋体"/>
                <w:sz w:val="18"/>
                <w:szCs w:val="18"/>
              </w:rPr>
            </w:pPr>
            <w:r>
              <w:rPr>
                <w:rFonts w:hint="eastAsia" w:ascii="宋体" w:hAnsi="宋体" w:eastAsia="宋体" w:cs="宋体"/>
                <w:sz w:val="18"/>
                <w:szCs w:val="18"/>
                <w:lang w:eastAsia="zh-CN"/>
              </w:rPr>
              <w:t>差：</w:t>
            </w:r>
            <w:r>
              <w:rPr>
                <w:rFonts w:hint="eastAsia" w:ascii="宋体" w:hAnsi="宋体" w:eastAsia="宋体" w:cs="宋体"/>
                <w:sz w:val="18"/>
                <w:szCs w:val="18"/>
              </w:rPr>
              <w:t>针对本项目的服务承诺、服务响应流程、应急服务流程不清晰或未表述，不能满足项目突发性需求，当系统出现故障或采购人需要，接收到采购人电话通知后，</w:t>
            </w:r>
            <w:r>
              <w:rPr>
                <w:rFonts w:hint="eastAsia" w:ascii="宋体" w:hAnsi="宋体" w:eastAsia="宋体" w:cs="宋体"/>
                <w:sz w:val="18"/>
                <w:szCs w:val="18"/>
                <w:lang w:eastAsia="zh-CN"/>
              </w:rPr>
              <w:t>供应商</w:t>
            </w:r>
            <w:r>
              <w:rPr>
                <w:rFonts w:hint="eastAsia" w:ascii="宋体" w:hAnsi="宋体" w:eastAsia="宋体" w:cs="宋体"/>
                <w:sz w:val="18"/>
                <w:szCs w:val="18"/>
              </w:rPr>
              <w:t>服务响应时间：到达现场时间</w:t>
            </w:r>
            <w:r>
              <w:rPr>
                <w:rFonts w:hint="eastAsia" w:ascii="宋体" w:hAnsi="宋体" w:eastAsia="宋体" w:cs="宋体"/>
                <w:sz w:val="18"/>
                <w:szCs w:val="18"/>
                <w:lang w:eastAsia="zh-CN"/>
              </w:rPr>
              <w:t>超过</w:t>
            </w:r>
            <w:r>
              <w:rPr>
                <w:rFonts w:hint="eastAsia" w:ascii="宋体" w:hAnsi="宋体" w:eastAsia="宋体" w:cs="宋体"/>
                <w:sz w:val="18"/>
                <w:szCs w:val="18"/>
              </w:rPr>
              <w:t>4小时</w:t>
            </w:r>
            <w:r>
              <w:rPr>
                <w:rFonts w:hint="eastAsia" w:ascii="宋体" w:hAnsi="宋体" w:eastAsia="宋体" w:cs="宋体"/>
                <w:sz w:val="18"/>
                <w:szCs w:val="18"/>
                <w:lang w:eastAsia="zh-CN"/>
              </w:rPr>
              <w:t>（不含）</w:t>
            </w:r>
            <w:r>
              <w:rPr>
                <w:rFonts w:hint="eastAsia" w:ascii="宋体" w:hAnsi="宋体" w:eastAsia="宋体" w:cs="宋体"/>
                <w:sz w:val="18"/>
                <w:szCs w:val="18"/>
              </w:rPr>
              <w:t>的，得1分。</w:t>
            </w:r>
          </w:p>
          <w:p>
            <w:pPr>
              <w:pStyle w:val="50"/>
              <w:spacing w:line="240" w:lineRule="auto"/>
              <w:jc w:val="both"/>
              <w:rPr>
                <w:rFonts w:hint="eastAsia" w:ascii="宋体" w:hAnsi="宋体" w:eastAsia="宋体" w:cs="宋体"/>
                <w:bCs/>
                <w:spacing w:val="10"/>
                <w:kern w:val="0"/>
                <w:sz w:val="18"/>
                <w:szCs w:val="18"/>
                <w:lang w:val="en-US" w:eastAsia="zh-CN" w:bidi="ar-SA"/>
              </w:rPr>
            </w:pPr>
            <w:r>
              <w:rPr>
                <w:rFonts w:hint="eastAsia" w:ascii="宋体" w:hAnsi="宋体" w:eastAsia="宋体" w:cs="宋体"/>
                <w:b/>
                <w:bCs w:val="0"/>
                <w:sz w:val="18"/>
                <w:szCs w:val="18"/>
              </w:rPr>
              <w:t>注：未见</w:t>
            </w:r>
            <w:r>
              <w:rPr>
                <w:rFonts w:hint="eastAsia" w:ascii="宋体" w:hAnsi="宋体" w:eastAsia="宋体" w:cs="宋体"/>
                <w:b/>
                <w:bCs w:val="0"/>
                <w:sz w:val="18"/>
                <w:szCs w:val="18"/>
                <w:lang w:eastAsia="zh-CN"/>
              </w:rPr>
              <w:t>提供</w:t>
            </w:r>
            <w:r>
              <w:rPr>
                <w:rFonts w:hint="eastAsia" w:ascii="宋体" w:hAnsi="宋体" w:eastAsia="宋体" w:cs="宋体"/>
                <w:b/>
                <w:bCs w:val="0"/>
                <w:sz w:val="18"/>
                <w:szCs w:val="18"/>
              </w:rPr>
              <w:t>不得分。</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10</w:t>
            </w:r>
            <w:r>
              <w:rPr>
                <w:rFonts w:hint="eastAsia" w:ascii="宋体" w:hAnsi="宋体" w:eastAsia="宋体" w:cs="宋体"/>
                <w:sz w:val="18"/>
                <w:szCs w:val="18"/>
                <w:lang w:eastAsia="zh-CN"/>
              </w:rPr>
              <w:t>分</w:t>
            </w:r>
          </w:p>
        </w:tc>
        <w:tc>
          <w:tcPr>
            <w:tcW w:w="668" w:type="dxa"/>
            <w:vAlign w:val="center"/>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28" w:type="dxa"/>
            <w:vAlign w:val="center"/>
          </w:tcPr>
          <w:p>
            <w:pPr>
              <w:pStyle w:val="5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091" w:type="dxa"/>
            <w:vAlign w:val="center"/>
          </w:tcPr>
          <w:p>
            <w:pPr>
              <w:pStyle w:val="50"/>
              <w:spacing w:line="240" w:lineRule="auto"/>
              <w:jc w:val="center"/>
              <w:rPr>
                <w:rFonts w:hint="eastAsia" w:ascii="宋体" w:hAnsi="宋体" w:eastAsia="宋体" w:cs="宋体"/>
                <w:b/>
                <w:bCs w:val="0"/>
                <w:sz w:val="18"/>
                <w:szCs w:val="18"/>
                <w:lang w:eastAsia="zh-CN"/>
              </w:rPr>
            </w:pPr>
            <w:r>
              <w:rPr>
                <w:rFonts w:hint="eastAsia" w:ascii="宋体" w:hAnsi="宋体" w:eastAsia="宋体" w:cs="宋体"/>
                <w:b/>
                <w:bCs w:val="0"/>
                <w:sz w:val="18"/>
                <w:szCs w:val="18"/>
              </w:rPr>
              <w:t>价格评分</w:t>
            </w:r>
            <w:r>
              <w:rPr>
                <w:rFonts w:hint="eastAsia" w:ascii="宋体" w:hAnsi="宋体" w:eastAsia="宋体" w:cs="宋体"/>
                <w:b/>
                <w:bCs w:val="0"/>
                <w:sz w:val="18"/>
                <w:szCs w:val="18"/>
                <w:lang w:eastAsia="zh-CN"/>
              </w:rPr>
              <w:t>（</w:t>
            </w:r>
            <w:r>
              <w:rPr>
                <w:rFonts w:hint="eastAsia" w:ascii="宋体" w:hAnsi="宋体" w:eastAsia="宋体" w:cs="宋体"/>
                <w:b/>
                <w:bCs w:val="0"/>
                <w:sz w:val="18"/>
                <w:szCs w:val="18"/>
                <w:lang w:val="en-US" w:eastAsia="zh-CN"/>
              </w:rPr>
              <w:t>20</w:t>
            </w:r>
            <w:r>
              <w:rPr>
                <w:rFonts w:hint="eastAsia" w:ascii="宋体" w:hAnsi="宋体" w:eastAsia="宋体" w:cs="宋体"/>
                <w:b/>
                <w:bCs w:val="0"/>
                <w:sz w:val="18"/>
                <w:szCs w:val="18"/>
                <w:lang w:eastAsia="zh-CN"/>
              </w:rPr>
              <w:t>分）</w:t>
            </w:r>
          </w:p>
        </w:tc>
        <w:tc>
          <w:tcPr>
            <w:tcW w:w="6223" w:type="dxa"/>
          </w:tcPr>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（1）满足院内采购文件要求且最终价格最低的报价为评标基准价，其价格为满分。</w:t>
            </w:r>
          </w:p>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（2）各有效响应供应商的价格评分统一按照下列公式计算：</w:t>
            </w:r>
          </w:p>
          <w:p>
            <w:pPr>
              <w:pStyle w:val="50"/>
              <w:spacing w:line="240" w:lineRule="auto"/>
              <w:jc w:val="left"/>
              <w:rPr>
                <w:rFonts w:hint="eastAsia" w:ascii="宋体" w:hAnsi="宋体" w:eastAsia="宋体" w:cs="宋体"/>
                <w:sz w:val="18"/>
                <w:szCs w:val="18"/>
              </w:rPr>
            </w:pPr>
            <w:r>
              <w:rPr>
                <w:rFonts w:hint="eastAsia" w:ascii="宋体" w:hAnsi="宋体" w:eastAsia="宋体" w:cs="宋体"/>
                <w:sz w:val="18"/>
                <w:szCs w:val="18"/>
              </w:rPr>
              <w:t>报价得分 = （评标基准价/最终报价）×价格权值</w:t>
            </w:r>
          </w:p>
        </w:tc>
        <w:tc>
          <w:tcPr>
            <w:tcW w:w="819" w:type="dxa"/>
            <w:vAlign w:val="center"/>
          </w:tcPr>
          <w:p>
            <w:pPr>
              <w:pStyle w:val="50"/>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rPr>
              <w:t>20</w:t>
            </w:r>
            <w:r>
              <w:rPr>
                <w:rFonts w:hint="eastAsia" w:ascii="宋体" w:hAnsi="宋体" w:eastAsia="宋体" w:cs="宋体"/>
                <w:sz w:val="18"/>
                <w:szCs w:val="18"/>
                <w:lang w:eastAsia="zh-CN"/>
              </w:rPr>
              <w:t>分</w:t>
            </w:r>
          </w:p>
        </w:tc>
        <w:tc>
          <w:tcPr>
            <w:tcW w:w="668" w:type="dxa"/>
          </w:tcPr>
          <w:p>
            <w:pPr>
              <w:pStyle w:val="50"/>
              <w:spacing w:line="240" w:lineRule="auto"/>
              <w:jc w:val="center"/>
              <w:rPr>
                <w:rFonts w:hint="eastAsia" w:ascii="宋体" w:hAnsi="宋体" w:eastAsia="宋体" w:cs="宋体"/>
                <w:sz w:val="18"/>
                <w:szCs w:val="18"/>
              </w:rPr>
            </w:pPr>
          </w:p>
        </w:tc>
        <w:tc>
          <w:tcPr>
            <w:tcW w:w="951" w:type="dxa"/>
            <w:vAlign w:val="center"/>
          </w:tcPr>
          <w:p>
            <w:pPr>
              <w:pStyle w:val="50"/>
              <w:spacing w:line="240" w:lineRule="auto"/>
              <w:jc w:val="center"/>
              <w:rPr>
                <w:rFonts w:hint="eastAsia" w:ascii="宋体" w:hAnsi="宋体" w:eastAsia="宋体" w:cs="宋体"/>
                <w:bCs/>
                <w:spacing w:val="10"/>
                <w:kern w:val="0"/>
                <w:sz w:val="18"/>
                <w:szCs w:val="18"/>
                <w:lang w:val="en-US" w:eastAsia="zh-CN" w:bidi="ar-SA"/>
              </w:rPr>
            </w:pPr>
            <w:r>
              <w:rPr>
                <w:rFonts w:hint="eastAsia" w:ascii="宋体" w:hAnsi="宋体" w:cs="宋体"/>
                <w:sz w:val="18"/>
                <w:szCs w:val="18"/>
                <w:lang w:eastAsia="zh-CN"/>
              </w:rPr>
              <w:t>第（）页</w:t>
            </w:r>
          </w:p>
        </w:tc>
      </w:tr>
    </w:tbl>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ind w:left="0" w:leftChars="0" w:firstLine="0" w:firstLineChars="0"/>
        <w:rPr>
          <w:rFonts w:ascii="宋体" w:hAnsi="宋体" w:cs="宋体"/>
          <w:b/>
          <w:bCs/>
          <w:sz w:val="28"/>
          <w:szCs w:val="28"/>
        </w:rPr>
      </w:pPr>
    </w:p>
    <w:p>
      <w:pPr>
        <w:spacing w:line="360" w:lineRule="auto"/>
        <w:jc w:val="center"/>
        <w:outlineLvl w:val="9"/>
        <w:rPr>
          <w:rFonts w:hint="eastAsia" w:ascii="宋体" w:hAnsi="宋体"/>
          <w:b/>
          <w:bCs/>
          <w:sz w:val="28"/>
          <w:szCs w:val="28"/>
        </w:rPr>
      </w:pPr>
      <w:bookmarkStart w:id="297" w:name="_Toc28122"/>
      <w:bookmarkStart w:id="298" w:name="_Toc23966"/>
      <w:bookmarkStart w:id="299" w:name="_Toc32116"/>
      <w:bookmarkStart w:id="300" w:name="_Toc2130"/>
      <w:bookmarkStart w:id="301" w:name="_Toc3917"/>
    </w:p>
    <w:p>
      <w:pPr>
        <w:spacing w:line="360" w:lineRule="auto"/>
        <w:jc w:val="center"/>
        <w:outlineLvl w:val="0"/>
      </w:pPr>
      <w:bookmarkStart w:id="302" w:name="_Toc13707"/>
      <w:bookmarkStart w:id="303" w:name="_Toc25928"/>
      <w:r>
        <w:rPr>
          <w:rFonts w:hint="eastAsia" w:ascii="宋体" w:hAnsi="宋体"/>
          <w:b/>
          <w:bCs/>
          <w:sz w:val="28"/>
          <w:szCs w:val="28"/>
        </w:rPr>
        <w:t>报价表</w:t>
      </w:r>
      <w:bookmarkEnd w:id="297"/>
      <w:bookmarkEnd w:id="298"/>
      <w:bookmarkEnd w:id="299"/>
      <w:bookmarkEnd w:id="300"/>
      <w:bookmarkEnd w:id="301"/>
      <w:bookmarkEnd w:id="302"/>
      <w:bookmarkEnd w:id="303"/>
    </w:p>
    <w:tbl>
      <w:tblPr>
        <w:tblStyle w:val="22"/>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2"/>
        <w:gridCol w:w="5715"/>
        <w:gridCol w:w="16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1" w:type="pct"/>
            <w:tcBorders>
              <w:right w:val="single" w:color="000000" w:sz="4" w:space="0"/>
            </w:tcBorders>
            <w:vAlign w:val="center"/>
          </w:tcPr>
          <w:p>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pPr>
              <w:spacing w:before="140"/>
              <w:ind w:right="45"/>
              <w:jc w:val="center"/>
              <w:rPr>
                <w:rFonts w:ascii="宋体" w:hAnsi="宋体" w:cs="宋体"/>
                <w:b/>
                <w:szCs w:val="21"/>
                <w:lang w:val="zh-CN" w:bidi="zh-CN"/>
              </w:rPr>
            </w:pPr>
            <w:r>
              <w:rPr>
                <w:rFonts w:hint="eastAsia" w:ascii="宋体" w:hAnsi="宋体" w:cs="宋体"/>
                <w:b/>
                <w:szCs w:val="21"/>
                <w:lang w:val="zh-CN" w:bidi="zh-CN"/>
              </w:rPr>
              <w:t>报价（人民币：元）</w:t>
            </w:r>
          </w:p>
        </w:tc>
        <w:tc>
          <w:tcPr>
            <w:tcW w:w="800" w:type="pct"/>
            <w:tcBorders>
              <w:left w:val="single" w:color="000000" w:sz="4" w:space="0"/>
            </w:tcBorders>
            <w:vAlign w:val="center"/>
          </w:tcPr>
          <w:p>
            <w:pPr>
              <w:ind w:left="634"/>
              <w:rPr>
                <w:rFonts w:ascii="宋体" w:hAnsi="宋体" w:cs="宋体"/>
                <w:b/>
                <w:szCs w:val="21"/>
                <w:lang w:val="zh-CN" w:bidi="zh-CN"/>
              </w:rPr>
            </w:pPr>
            <w:r>
              <w:rPr>
                <w:rFonts w:hint="eastAsia" w:ascii="宋体" w:hAnsi="宋体" w:cs="宋体"/>
                <w:b/>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pPr>
              <w:jc w:val="center"/>
              <w:rPr>
                <w:rFonts w:ascii="宋体" w:hAnsi="宋体" w:cs="宋体"/>
                <w:bCs/>
                <w:szCs w:val="21"/>
                <w:lang w:val="zh-CN" w:bidi="zh-CN"/>
              </w:rPr>
            </w:pPr>
            <w:r>
              <w:rPr>
                <w:rFonts w:hint="eastAsia" w:ascii="宋体" w:hAnsi="宋体" w:cs="宋体"/>
                <w:sz w:val="21"/>
                <w:szCs w:val="21"/>
                <w:lang w:val="en-US" w:eastAsia="zh-CN"/>
              </w:rPr>
              <w:t>南方医科大学第五附属医院窗口微信支付宝扫码支付项目</w:t>
            </w:r>
          </w:p>
        </w:tc>
        <w:tc>
          <w:tcPr>
            <w:tcW w:w="2817" w:type="pct"/>
            <w:tcBorders>
              <w:top w:val="single" w:color="000000" w:sz="4" w:space="0"/>
              <w:left w:val="single" w:color="000000" w:sz="4" w:space="0"/>
              <w:right w:val="single" w:color="000000" w:sz="4" w:space="0"/>
            </w:tcBorders>
            <w:vAlign w:val="center"/>
          </w:tcPr>
          <w:p>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pPr>
              <w:spacing w:line="360" w:lineRule="auto"/>
              <w:jc w:val="left"/>
              <w:rPr>
                <w:rFonts w:ascii="宋体" w:hAnsi="宋体" w:cs="宋体"/>
                <w:bCs/>
                <w:szCs w:val="21"/>
                <w:lang w:val="zh-CN" w:bidi="zh-CN"/>
              </w:rPr>
            </w:pPr>
          </w:p>
          <w:p>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pPr>
              <w:spacing w:before="86" w:line="364" w:lineRule="auto"/>
              <w:ind w:right="188"/>
              <w:jc w:val="center"/>
              <w:rPr>
                <w:rFonts w:ascii="宋体" w:hAnsi="宋体" w:cs="宋体"/>
                <w:bCs/>
                <w:szCs w:val="21"/>
                <w:lang w:val="zh-CN" w:bidi="zh-CN"/>
              </w:rPr>
            </w:pPr>
          </w:p>
        </w:tc>
      </w:tr>
    </w:tbl>
    <w:p>
      <w:pPr>
        <w:pStyle w:val="28"/>
      </w:pPr>
    </w:p>
    <w:p>
      <w:pPr>
        <w:pStyle w:val="28"/>
      </w:pPr>
    </w:p>
    <w:p>
      <w:pPr>
        <w:pStyle w:val="28"/>
        <w:spacing w:line="360" w:lineRule="auto"/>
        <w:jc w:val="left"/>
        <w:rPr>
          <w:rFonts w:ascii="黑体" w:hAnsi="黑体" w:eastAsia="黑体"/>
          <w:szCs w:val="21"/>
        </w:rPr>
      </w:pPr>
      <w:bookmarkStart w:id="304" w:name="_Toc1767"/>
      <w:bookmarkStart w:id="305" w:name="_Toc12770"/>
      <w:bookmarkStart w:id="306" w:name="_Toc28125"/>
      <w:r>
        <w:rPr>
          <w:rFonts w:hint="eastAsia" w:ascii="宋体" w:hAnsi="宋体"/>
          <w:b/>
          <w:bCs/>
          <w:szCs w:val="21"/>
        </w:rPr>
        <w:t>1.温馨提示（金额大写）：</w:t>
      </w:r>
      <w:r>
        <w:rPr>
          <w:rFonts w:hint="eastAsia" w:ascii="宋体" w:hAnsi="宋体"/>
          <w:szCs w:val="21"/>
        </w:rPr>
        <w:t>壹、贰、叁、肆、伍、陆、柒、捌、玖、拾 、佰、仟、万</w:t>
      </w:r>
    </w:p>
    <w:p>
      <w:pPr>
        <w:tabs>
          <w:tab w:val="left" w:pos="180"/>
          <w:tab w:val="left" w:pos="1620"/>
        </w:tabs>
        <w:spacing w:line="360" w:lineRule="auto"/>
        <w:outlineLvl w:val="2"/>
        <w:rPr>
          <w:rFonts w:ascii="宋体" w:hAnsi="宋体" w:cs="宋体"/>
          <w:b/>
          <w:sz w:val="24"/>
        </w:rPr>
      </w:pPr>
      <w:bookmarkStart w:id="307" w:name="_Toc30244"/>
      <w:r>
        <w:rPr>
          <w:rFonts w:hint="eastAsia" w:ascii="宋体" w:hAnsi="宋体" w:cs="宋体"/>
          <w:b/>
          <w:szCs w:val="21"/>
        </w:rPr>
        <w:t>2.其他承诺：</w:t>
      </w:r>
      <w:bookmarkEnd w:id="307"/>
    </w:p>
    <w:bookmarkEnd w:id="304"/>
    <w:bookmarkEnd w:id="305"/>
    <w:bookmarkEnd w:id="306"/>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308" w:name="_Toc10413"/>
      <w:bookmarkStart w:id="309" w:name="_Toc2864"/>
      <w:bookmarkStart w:id="310" w:name="_Toc16360"/>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308"/>
      <w:bookmarkEnd w:id="309"/>
      <w:bookmarkEnd w:id="310"/>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4"/>
        <w:outlineLvl w:val="9"/>
        <w:rPr>
          <w:sz w:val="32"/>
          <w:szCs w:val="32"/>
        </w:rPr>
      </w:pPr>
    </w:p>
    <w:p>
      <w:pPr>
        <w:rPr>
          <w:rFonts w:ascii="宋体" w:hAnsi="宋体" w:cs="宋体"/>
          <w:b/>
          <w:bCs/>
          <w:sz w:val="32"/>
          <w:szCs w:val="32"/>
        </w:rPr>
      </w:pPr>
    </w:p>
    <w:p>
      <w:pPr>
        <w:pStyle w:val="4"/>
        <w:outlineLvl w:val="9"/>
        <w:rPr>
          <w:sz w:val="32"/>
          <w:szCs w:val="32"/>
        </w:rPr>
      </w:pPr>
    </w:p>
    <w:p/>
    <w:bookmarkEnd w:id="279"/>
    <w:bookmarkEnd w:id="280"/>
    <w:bookmarkEnd w:id="281"/>
    <w:bookmarkEnd w:id="282"/>
    <w:p>
      <w:pPr>
        <w:pStyle w:val="32"/>
        <w:tabs>
          <w:tab w:val="left" w:pos="1050"/>
          <w:tab w:val="center" w:pos="4535"/>
        </w:tabs>
        <w:spacing w:line="360" w:lineRule="auto"/>
        <w:jc w:val="center"/>
        <w:outlineLvl w:val="0"/>
        <w:rPr>
          <w:b/>
          <w:bCs/>
          <w:sz w:val="32"/>
          <w:szCs w:val="32"/>
        </w:rPr>
      </w:pPr>
      <w:bookmarkStart w:id="311" w:name="_Toc28851"/>
      <w:bookmarkStart w:id="312" w:name="_Toc21213"/>
      <w:bookmarkStart w:id="313" w:name="_Toc31077"/>
      <w:bookmarkStart w:id="314" w:name="_Toc31787"/>
      <w:bookmarkStart w:id="315" w:name="_Toc23684"/>
      <w:bookmarkStart w:id="316" w:name="_Toc6214"/>
      <w:bookmarkStart w:id="317" w:name="_Toc19528"/>
      <w:bookmarkStart w:id="318" w:name="_Toc20948"/>
      <w:bookmarkStart w:id="319" w:name="_Toc16207"/>
      <w:bookmarkStart w:id="320" w:name="_Toc21561"/>
      <w:bookmarkStart w:id="321" w:name="_Toc31674"/>
      <w:r>
        <w:rPr>
          <w:rFonts w:hint="eastAsia"/>
          <w:b/>
          <w:bCs/>
          <w:sz w:val="32"/>
          <w:szCs w:val="32"/>
        </w:rPr>
        <w:t>法定代表人资格证明书</w:t>
      </w:r>
      <w:bookmarkEnd w:id="311"/>
      <w:bookmarkEnd w:id="312"/>
      <w:bookmarkEnd w:id="313"/>
      <w:bookmarkEnd w:id="314"/>
      <w:bookmarkEnd w:id="315"/>
      <w:bookmarkEnd w:id="316"/>
      <w:bookmarkEnd w:id="317"/>
      <w:bookmarkEnd w:id="318"/>
      <w:bookmarkEnd w:id="319"/>
    </w:p>
    <w:p>
      <w:pPr>
        <w:pStyle w:val="32"/>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32"/>
        <w:spacing w:line="360" w:lineRule="auto"/>
        <w:ind w:firstLine="560"/>
      </w:pPr>
    </w:p>
    <w:p>
      <w:pPr>
        <w:pStyle w:val="32"/>
        <w:spacing w:line="360" w:lineRule="auto"/>
        <w:ind w:firstLine="560"/>
        <w:rPr>
          <w:u w:val="single"/>
        </w:rPr>
      </w:pPr>
      <w:r>
        <w:rPr>
          <w:rFonts w:hint="eastAsia"/>
        </w:rPr>
        <w:t>公司法定代表人签字（盖章）：</w:t>
      </w:r>
      <w:r>
        <w:rPr>
          <w:rFonts w:hint="eastAsia"/>
          <w:u w:val="single"/>
        </w:rPr>
        <w:t xml:space="preserve">                                  </w:t>
      </w:r>
    </w:p>
    <w:p>
      <w:pPr>
        <w:pStyle w:val="32"/>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32"/>
        <w:spacing w:line="360" w:lineRule="auto"/>
        <w:ind w:firstLine="560"/>
        <w:rPr>
          <w:u w:val="single"/>
        </w:rPr>
      </w:pPr>
      <w:r>
        <w:rPr>
          <w:rFonts w:hint="eastAsia"/>
        </w:rPr>
        <w:t>日  期：</w:t>
      </w:r>
      <w:r>
        <w:rPr>
          <w:rFonts w:hint="eastAsia"/>
          <w:u w:val="single"/>
        </w:rPr>
        <w:t xml:space="preserve">                                                           </w:t>
      </w:r>
    </w:p>
    <w:p>
      <w:pPr>
        <w:pStyle w:val="32"/>
        <w:spacing w:line="360" w:lineRule="auto"/>
        <w:rPr>
          <w:b/>
          <w:bCs/>
          <w:sz w:val="28"/>
          <w:szCs w:val="28"/>
        </w:rPr>
      </w:pPr>
    </w:p>
    <w:p>
      <w:pPr>
        <w:pStyle w:val="32"/>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2"/>
        <w:spacing w:line="360" w:lineRule="auto"/>
        <w:jc w:val="center"/>
        <w:rPr>
          <w:b/>
          <w:bCs/>
          <w:sz w:val="32"/>
          <w:szCs w:val="32"/>
        </w:rPr>
      </w:pPr>
      <w:bookmarkStart w:id="322" w:name="_Toc14853"/>
      <w:bookmarkStart w:id="323" w:name="_Toc18443"/>
      <w:bookmarkStart w:id="324" w:name="_Toc7276"/>
      <w:bookmarkStart w:id="325" w:name="_Toc14020"/>
      <w:bookmarkStart w:id="326" w:name="_Toc15050"/>
      <w:bookmarkStart w:id="327" w:name="_Toc14591"/>
      <w:bookmarkStart w:id="328" w:name="_Toc22175"/>
      <w:bookmarkStart w:id="329" w:name="_Toc3241"/>
      <w:bookmarkStart w:id="330" w:name="_Toc28957"/>
      <w:bookmarkStart w:id="331" w:name="_Toc3758"/>
      <w:bookmarkStart w:id="332" w:name="_Toc23685"/>
    </w:p>
    <w:p>
      <w:pPr>
        <w:pStyle w:val="32"/>
        <w:spacing w:line="360" w:lineRule="auto"/>
        <w:jc w:val="center"/>
        <w:rPr>
          <w:b/>
          <w:bCs/>
          <w:sz w:val="32"/>
          <w:szCs w:val="32"/>
        </w:rPr>
      </w:pPr>
    </w:p>
    <w:p>
      <w:pPr>
        <w:pStyle w:val="32"/>
        <w:spacing w:line="360" w:lineRule="auto"/>
        <w:jc w:val="center"/>
        <w:rPr>
          <w:b/>
          <w:bCs/>
          <w:sz w:val="32"/>
          <w:szCs w:val="32"/>
        </w:rPr>
      </w:pPr>
    </w:p>
    <w:p>
      <w:pPr>
        <w:pStyle w:val="32"/>
        <w:spacing w:line="360" w:lineRule="auto"/>
        <w:jc w:val="center"/>
        <w:outlineLvl w:val="0"/>
        <w:rPr>
          <w:b/>
          <w:bCs/>
          <w:sz w:val="32"/>
          <w:szCs w:val="32"/>
        </w:rPr>
      </w:pPr>
      <w:bookmarkStart w:id="333" w:name="_Toc17511"/>
      <w:bookmarkStart w:id="334" w:name="_Toc9844"/>
      <w:bookmarkStart w:id="335" w:name="_Toc23308"/>
      <w:bookmarkStart w:id="336" w:name="_Toc8550"/>
      <w:bookmarkStart w:id="337" w:name="_Toc16980"/>
      <w:r>
        <w:rPr>
          <w:rFonts w:hint="eastAsia"/>
          <w:b/>
          <w:bCs/>
          <w:sz w:val="32"/>
          <w:szCs w:val="32"/>
        </w:rPr>
        <w:t>法定代表人授权委托书</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pStyle w:val="33"/>
        <w:spacing w:line="360" w:lineRule="auto"/>
        <w:jc w:val="left"/>
        <w:rPr>
          <w:b/>
          <w:bCs/>
          <w:sz w:val="24"/>
          <w:szCs w:val="24"/>
        </w:rPr>
      </w:pPr>
      <w:r>
        <w:rPr>
          <w:rFonts w:hint="eastAsia"/>
          <w:b/>
          <w:bCs/>
          <w:sz w:val="24"/>
          <w:szCs w:val="24"/>
        </w:rPr>
        <w:t>本授权书声明：</w:t>
      </w:r>
    </w:p>
    <w:p>
      <w:pPr>
        <w:pStyle w:val="32"/>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32"/>
        <w:spacing w:line="360" w:lineRule="auto"/>
        <w:ind w:firstLine="560"/>
        <w:rPr>
          <w:u w:val="single"/>
        </w:rPr>
      </w:pPr>
      <w:r>
        <w:rPr>
          <w:rFonts w:hint="eastAsia"/>
        </w:rPr>
        <w:t xml:space="preserve">授权日期： </w:t>
      </w:r>
      <w:r>
        <w:rPr>
          <w:rFonts w:hint="eastAsia"/>
          <w:u w:val="single"/>
        </w:rPr>
        <w:t xml:space="preserve">                 至                   </w:t>
      </w:r>
    </w:p>
    <w:p>
      <w:pPr>
        <w:pStyle w:val="32"/>
        <w:spacing w:line="360" w:lineRule="auto"/>
        <w:ind w:firstLine="560"/>
      </w:pPr>
      <w:r>
        <w:rPr>
          <w:rFonts w:hint="eastAsia"/>
        </w:rPr>
        <w:t>本授权书在签字盖章后生效，特此声明。</w:t>
      </w:r>
    </w:p>
    <w:p>
      <w:pPr>
        <w:pStyle w:val="32"/>
        <w:spacing w:line="360" w:lineRule="auto"/>
        <w:ind w:firstLine="560"/>
        <w:rPr>
          <w:u w:val="single"/>
        </w:rPr>
      </w:pPr>
      <w:r>
        <w:rPr>
          <w:rFonts w:hint="eastAsia"/>
        </w:rPr>
        <w:t>公司法定代表人签字（盖章）：</w:t>
      </w:r>
      <w:r>
        <w:rPr>
          <w:rFonts w:hint="eastAsia"/>
          <w:u w:val="single"/>
        </w:rPr>
        <w:t xml:space="preserve">                                </w:t>
      </w:r>
    </w:p>
    <w:p>
      <w:pPr>
        <w:pStyle w:val="32"/>
        <w:spacing w:line="360" w:lineRule="auto"/>
        <w:ind w:firstLine="560"/>
      </w:pPr>
      <w:r>
        <w:rPr>
          <w:rFonts w:hint="eastAsia"/>
        </w:rPr>
        <w:t>被授权人签字（盖章）：</w:t>
      </w:r>
      <w:r>
        <w:rPr>
          <w:rFonts w:hint="eastAsia"/>
          <w:u w:val="single"/>
        </w:rPr>
        <w:t xml:space="preserve">                                        </w:t>
      </w:r>
    </w:p>
    <w:p>
      <w:pPr>
        <w:pStyle w:val="32"/>
        <w:spacing w:line="360" w:lineRule="auto"/>
        <w:ind w:firstLine="560"/>
        <w:rPr>
          <w:u w:val="single"/>
        </w:rPr>
      </w:pPr>
      <w:r>
        <w:rPr>
          <w:rFonts w:hint="eastAsia"/>
        </w:rPr>
        <w:t>公司名称（加盖公章）：</w:t>
      </w:r>
      <w:r>
        <w:rPr>
          <w:rFonts w:hint="eastAsia"/>
          <w:u w:val="single"/>
        </w:rPr>
        <w:t xml:space="preserve">                                        </w:t>
      </w:r>
    </w:p>
    <w:p>
      <w:pPr>
        <w:pStyle w:val="32"/>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32"/>
        <w:spacing w:line="360" w:lineRule="auto"/>
        <w:ind w:firstLine="560"/>
        <w:rPr>
          <w:sz w:val="28"/>
          <w:szCs w:val="28"/>
        </w:rPr>
      </w:pPr>
      <w:r>
        <w:rPr>
          <w:rFonts w:hint="eastAsia"/>
          <w:sz w:val="28"/>
          <w:szCs w:val="28"/>
        </w:rPr>
        <w:t xml:space="preserve">                                    </w:t>
      </w:r>
    </w:p>
    <w:p>
      <w:pPr>
        <w:pStyle w:val="32"/>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8"/>
        <w:ind w:firstLine="3975" w:firstLineChars="1100"/>
        <w:rPr>
          <w:b/>
          <w:bCs/>
          <w:sz w:val="36"/>
          <w:szCs w:val="36"/>
        </w:rPr>
      </w:pPr>
    </w:p>
    <w:p>
      <w:pPr>
        <w:pStyle w:val="32"/>
        <w:tabs>
          <w:tab w:val="left" w:pos="1050"/>
          <w:tab w:val="center" w:pos="4535"/>
        </w:tabs>
        <w:spacing w:line="360" w:lineRule="auto"/>
        <w:jc w:val="center"/>
        <w:rPr>
          <w:b/>
          <w:bCs/>
          <w:sz w:val="32"/>
          <w:szCs w:val="32"/>
        </w:rPr>
      </w:pPr>
    </w:p>
    <w:p>
      <w:pPr>
        <w:pStyle w:val="32"/>
        <w:tabs>
          <w:tab w:val="left" w:pos="1050"/>
          <w:tab w:val="center" w:pos="4535"/>
        </w:tabs>
        <w:spacing w:line="360" w:lineRule="auto"/>
        <w:jc w:val="center"/>
        <w:outlineLvl w:val="0"/>
        <w:rPr>
          <w:b/>
          <w:bCs/>
          <w:sz w:val="28"/>
          <w:szCs w:val="28"/>
        </w:rPr>
      </w:pPr>
      <w:bookmarkStart w:id="338" w:name="_Toc10212"/>
      <w:bookmarkStart w:id="339" w:name="_Toc4618"/>
      <w:bookmarkStart w:id="340" w:name="_Toc8475"/>
      <w:bookmarkStart w:id="341" w:name="_Toc32281"/>
      <w:bookmarkStart w:id="342" w:name="_Toc16763"/>
      <w:bookmarkStart w:id="343" w:name="_Toc8826"/>
      <w:bookmarkStart w:id="344" w:name="_Toc32324"/>
      <w:r>
        <w:rPr>
          <w:rFonts w:hint="eastAsia"/>
          <w:b/>
          <w:bCs/>
          <w:sz w:val="28"/>
          <w:szCs w:val="28"/>
        </w:rPr>
        <w:t>2021年1月1日以来同类项目经验情况一览表</w:t>
      </w:r>
      <w:bookmarkEnd w:id="320"/>
      <w:bookmarkEnd w:id="321"/>
      <w:bookmarkEnd w:id="338"/>
      <w:bookmarkEnd w:id="339"/>
      <w:bookmarkEnd w:id="340"/>
      <w:bookmarkEnd w:id="341"/>
      <w:bookmarkEnd w:id="342"/>
      <w:bookmarkEnd w:id="343"/>
      <w:bookmarkEnd w:id="344"/>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1"/>
                <w:szCs w:val="21"/>
              </w:rPr>
            </w:pPr>
            <w:r>
              <w:rPr>
                <w:rFonts w:hint="eastAsia" w:ascii="宋体" w:hAnsi="宋体"/>
                <w:b/>
                <w:sz w:val="21"/>
                <w:szCs w:val="21"/>
              </w:rPr>
              <w:t>序号</w:t>
            </w:r>
          </w:p>
        </w:tc>
        <w:tc>
          <w:tcPr>
            <w:tcW w:w="1452" w:type="dxa"/>
            <w:vAlign w:val="center"/>
          </w:tcPr>
          <w:p>
            <w:pPr>
              <w:spacing w:line="360" w:lineRule="auto"/>
              <w:jc w:val="center"/>
              <w:rPr>
                <w:rFonts w:ascii="宋体" w:hAnsi="宋体"/>
                <w:b/>
                <w:sz w:val="21"/>
                <w:szCs w:val="21"/>
              </w:rPr>
            </w:pPr>
            <w:r>
              <w:rPr>
                <w:rFonts w:hint="eastAsia" w:ascii="宋体" w:hAnsi="宋体"/>
                <w:b/>
                <w:sz w:val="21"/>
                <w:szCs w:val="21"/>
              </w:rPr>
              <w:t>业主名称</w:t>
            </w:r>
          </w:p>
        </w:tc>
        <w:tc>
          <w:tcPr>
            <w:tcW w:w="2656" w:type="dxa"/>
            <w:vAlign w:val="center"/>
          </w:tcPr>
          <w:p>
            <w:pPr>
              <w:spacing w:line="360" w:lineRule="auto"/>
              <w:jc w:val="center"/>
              <w:rPr>
                <w:rFonts w:ascii="宋体" w:hAnsi="宋体"/>
                <w:b/>
                <w:sz w:val="21"/>
                <w:szCs w:val="21"/>
              </w:rPr>
            </w:pPr>
            <w:r>
              <w:rPr>
                <w:rFonts w:hint="eastAsia" w:ascii="宋体" w:hAnsi="宋体"/>
                <w:b/>
                <w:sz w:val="21"/>
                <w:szCs w:val="21"/>
              </w:rPr>
              <w:t>项目名称</w:t>
            </w:r>
          </w:p>
        </w:tc>
        <w:tc>
          <w:tcPr>
            <w:tcW w:w="1995" w:type="dxa"/>
            <w:vAlign w:val="center"/>
          </w:tcPr>
          <w:p>
            <w:pPr>
              <w:spacing w:line="360" w:lineRule="auto"/>
              <w:jc w:val="center"/>
              <w:rPr>
                <w:rFonts w:ascii="宋体" w:hAnsi="宋体"/>
                <w:b/>
                <w:sz w:val="21"/>
                <w:szCs w:val="21"/>
              </w:rPr>
            </w:pPr>
            <w:r>
              <w:rPr>
                <w:rFonts w:hint="eastAsia" w:ascii="宋体" w:hAnsi="宋体"/>
                <w:b/>
                <w:sz w:val="21"/>
                <w:szCs w:val="21"/>
              </w:rPr>
              <w:t>合同签订时间</w:t>
            </w:r>
          </w:p>
        </w:tc>
        <w:tc>
          <w:tcPr>
            <w:tcW w:w="2551" w:type="dxa"/>
            <w:vAlign w:val="center"/>
          </w:tcPr>
          <w:p>
            <w:pPr>
              <w:jc w:val="center"/>
              <w:rPr>
                <w:rFonts w:ascii="宋体" w:hAnsi="宋体"/>
                <w:b/>
                <w:sz w:val="21"/>
                <w:szCs w:val="21"/>
              </w:rPr>
            </w:pPr>
            <w:r>
              <w:rPr>
                <w:rFonts w:hint="eastAsia" w:ascii="宋体" w:hAnsi="宋体"/>
                <w:b/>
                <w:sz w:val="21"/>
                <w:szCs w:val="21"/>
              </w:rPr>
              <w:t>业主单位</w:t>
            </w:r>
          </w:p>
          <w:p>
            <w:pPr>
              <w:jc w:val="center"/>
              <w:rPr>
                <w:rFonts w:ascii="宋体" w:hAnsi="宋体"/>
                <w:b/>
                <w:sz w:val="21"/>
                <w:szCs w:val="21"/>
              </w:rPr>
            </w:pPr>
            <w:r>
              <w:rPr>
                <w:rFonts w:hint="eastAsia" w:ascii="宋体" w:hAnsi="宋体"/>
                <w:b/>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1"/>
                <w:szCs w:val="21"/>
              </w:rPr>
            </w:pPr>
            <w:r>
              <w:rPr>
                <w:rFonts w:hint="eastAsia" w:ascii="宋体" w:hAnsi="宋体"/>
                <w:sz w:val="21"/>
                <w:szCs w:val="21"/>
              </w:rPr>
              <w:t>1</w:t>
            </w:r>
          </w:p>
        </w:tc>
        <w:tc>
          <w:tcPr>
            <w:tcW w:w="1452" w:type="dxa"/>
            <w:vAlign w:val="center"/>
          </w:tcPr>
          <w:p>
            <w:pPr>
              <w:spacing w:line="360" w:lineRule="auto"/>
              <w:jc w:val="center"/>
              <w:rPr>
                <w:rFonts w:ascii="宋体" w:hAnsi="宋体"/>
                <w:sz w:val="21"/>
                <w:szCs w:val="21"/>
              </w:rPr>
            </w:pPr>
          </w:p>
        </w:tc>
        <w:tc>
          <w:tcPr>
            <w:tcW w:w="2656" w:type="dxa"/>
            <w:vAlign w:val="center"/>
          </w:tcPr>
          <w:p>
            <w:pPr>
              <w:spacing w:line="360" w:lineRule="auto"/>
              <w:jc w:val="center"/>
              <w:rPr>
                <w:rFonts w:ascii="宋体" w:hAnsi="宋体"/>
                <w:sz w:val="21"/>
                <w:szCs w:val="21"/>
              </w:rPr>
            </w:pPr>
          </w:p>
        </w:tc>
        <w:tc>
          <w:tcPr>
            <w:tcW w:w="1995" w:type="dxa"/>
            <w:vAlign w:val="center"/>
          </w:tcPr>
          <w:p>
            <w:pPr>
              <w:spacing w:line="360" w:lineRule="auto"/>
              <w:jc w:val="center"/>
              <w:rPr>
                <w:rFonts w:ascii="宋体" w:hAnsi="宋体"/>
                <w:sz w:val="21"/>
                <w:szCs w:val="21"/>
              </w:rPr>
            </w:pPr>
          </w:p>
        </w:tc>
        <w:tc>
          <w:tcPr>
            <w:tcW w:w="2551" w:type="dxa"/>
            <w:vAlign w:val="center"/>
          </w:tcPr>
          <w:p>
            <w:pPr>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1"/>
                <w:szCs w:val="21"/>
              </w:rPr>
            </w:pPr>
            <w:r>
              <w:rPr>
                <w:rFonts w:hint="eastAsia" w:ascii="宋体" w:hAnsi="宋体"/>
                <w:sz w:val="21"/>
                <w:szCs w:val="21"/>
              </w:rPr>
              <w:t>2</w:t>
            </w:r>
          </w:p>
        </w:tc>
        <w:tc>
          <w:tcPr>
            <w:tcW w:w="1452" w:type="dxa"/>
            <w:vAlign w:val="center"/>
          </w:tcPr>
          <w:p>
            <w:pPr>
              <w:spacing w:line="360" w:lineRule="auto"/>
              <w:jc w:val="center"/>
              <w:rPr>
                <w:rFonts w:ascii="宋体" w:hAnsi="宋体"/>
                <w:sz w:val="21"/>
                <w:szCs w:val="21"/>
              </w:rPr>
            </w:pPr>
          </w:p>
        </w:tc>
        <w:tc>
          <w:tcPr>
            <w:tcW w:w="2656" w:type="dxa"/>
            <w:vAlign w:val="center"/>
          </w:tcPr>
          <w:p>
            <w:pPr>
              <w:spacing w:line="360" w:lineRule="auto"/>
              <w:jc w:val="center"/>
              <w:rPr>
                <w:rFonts w:ascii="宋体" w:hAnsi="宋体"/>
                <w:sz w:val="21"/>
                <w:szCs w:val="21"/>
              </w:rPr>
            </w:pPr>
          </w:p>
        </w:tc>
        <w:tc>
          <w:tcPr>
            <w:tcW w:w="1995" w:type="dxa"/>
            <w:vAlign w:val="center"/>
          </w:tcPr>
          <w:p>
            <w:pPr>
              <w:spacing w:line="360" w:lineRule="auto"/>
              <w:jc w:val="center"/>
              <w:rPr>
                <w:rFonts w:ascii="宋体" w:hAnsi="宋体"/>
                <w:sz w:val="21"/>
                <w:szCs w:val="21"/>
              </w:rPr>
            </w:pPr>
          </w:p>
        </w:tc>
        <w:tc>
          <w:tcPr>
            <w:tcW w:w="2551" w:type="dxa"/>
            <w:vAlign w:val="center"/>
          </w:tcPr>
          <w:p>
            <w:pPr>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1"/>
                <w:szCs w:val="21"/>
              </w:rPr>
            </w:pPr>
            <w:r>
              <w:rPr>
                <w:rFonts w:hint="eastAsia" w:ascii="宋体" w:hAnsi="宋体"/>
                <w:sz w:val="21"/>
                <w:szCs w:val="21"/>
              </w:rPr>
              <w:t>…</w:t>
            </w:r>
          </w:p>
        </w:tc>
        <w:tc>
          <w:tcPr>
            <w:tcW w:w="1452" w:type="dxa"/>
            <w:vAlign w:val="center"/>
          </w:tcPr>
          <w:p>
            <w:pPr>
              <w:spacing w:line="360" w:lineRule="auto"/>
              <w:jc w:val="center"/>
              <w:rPr>
                <w:rFonts w:ascii="宋体" w:hAnsi="宋体"/>
                <w:sz w:val="21"/>
                <w:szCs w:val="21"/>
              </w:rPr>
            </w:pPr>
          </w:p>
        </w:tc>
        <w:tc>
          <w:tcPr>
            <w:tcW w:w="2656" w:type="dxa"/>
            <w:vAlign w:val="center"/>
          </w:tcPr>
          <w:p>
            <w:pPr>
              <w:spacing w:line="360" w:lineRule="auto"/>
              <w:jc w:val="center"/>
              <w:rPr>
                <w:rFonts w:ascii="宋体" w:hAnsi="宋体"/>
                <w:sz w:val="21"/>
                <w:szCs w:val="21"/>
              </w:rPr>
            </w:pPr>
          </w:p>
        </w:tc>
        <w:tc>
          <w:tcPr>
            <w:tcW w:w="1995" w:type="dxa"/>
            <w:vAlign w:val="center"/>
          </w:tcPr>
          <w:p>
            <w:pPr>
              <w:spacing w:line="360" w:lineRule="auto"/>
              <w:jc w:val="center"/>
              <w:rPr>
                <w:rFonts w:ascii="宋体" w:hAnsi="宋体"/>
                <w:sz w:val="21"/>
                <w:szCs w:val="21"/>
              </w:rPr>
            </w:pPr>
          </w:p>
        </w:tc>
        <w:tc>
          <w:tcPr>
            <w:tcW w:w="2551" w:type="dxa"/>
            <w:vAlign w:val="center"/>
          </w:tcPr>
          <w:p>
            <w:pPr>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1"/>
                <w:szCs w:val="21"/>
              </w:rPr>
            </w:pPr>
            <w:r>
              <w:rPr>
                <w:rFonts w:hint="eastAsia" w:ascii="宋体" w:hAnsi="宋体"/>
                <w:sz w:val="21"/>
                <w:szCs w:val="21"/>
              </w:rPr>
              <w:t>小计</w:t>
            </w:r>
          </w:p>
        </w:tc>
        <w:tc>
          <w:tcPr>
            <w:tcW w:w="1452" w:type="dxa"/>
            <w:vAlign w:val="center"/>
          </w:tcPr>
          <w:p>
            <w:pPr>
              <w:spacing w:line="360" w:lineRule="auto"/>
              <w:jc w:val="center"/>
              <w:rPr>
                <w:rFonts w:ascii="宋体" w:hAnsi="宋体"/>
                <w:sz w:val="21"/>
                <w:szCs w:val="21"/>
              </w:rPr>
            </w:pPr>
          </w:p>
        </w:tc>
        <w:tc>
          <w:tcPr>
            <w:tcW w:w="2656" w:type="dxa"/>
            <w:vAlign w:val="center"/>
          </w:tcPr>
          <w:p>
            <w:pPr>
              <w:spacing w:line="360" w:lineRule="auto"/>
              <w:jc w:val="center"/>
              <w:rPr>
                <w:rFonts w:ascii="宋体" w:hAnsi="宋体"/>
                <w:sz w:val="21"/>
                <w:szCs w:val="21"/>
              </w:rPr>
            </w:pPr>
          </w:p>
        </w:tc>
        <w:tc>
          <w:tcPr>
            <w:tcW w:w="1995" w:type="dxa"/>
            <w:vAlign w:val="center"/>
          </w:tcPr>
          <w:p>
            <w:pPr>
              <w:spacing w:line="360" w:lineRule="auto"/>
              <w:jc w:val="center"/>
              <w:rPr>
                <w:rFonts w:ascii="宋体" w:hAnsi="宋体"/>
                <w:sz w:val="21"/>
                <w:szCs w:val="21"/>
              </w:rPr>
            </w:pPr>
          </w:p>
        </w:tc>
        <w:tc>
          <w:tcPr>
            <w:tcW w:w="2551" w:type="dxa"/>
            <w:vAlign w:val="center"/>
          </w:tcPr>
          <w:p>
            <w:pPr>
              <w:spacing w:line="360" w:lineRule="auto"/>
              <w:jc w:val="center"/>
              <w:rPr>
                <w:rFonts w:ascii="宋体" w:hAnsi="宋体"/>
                <w:sz w:val="21"/>
                <w:szCs w:val="21"/>
              </w:rPr>
            </w:pPr>
          </w:p>
        </w:tc>
      </w:tr>
    </w:tbl>
    <w:p>
      <w:pPr>
        <w:pStyle w:val="28"/>
        <w:rPr>
          <w:rFonts w:ascii="宋体" w:hAnsi="宋体"/>
          <w:sz w:val="21"/>
          <w:szCs w:val="21"/>
        </w:rPr>
      </w:pPr>
    </w:p>
    <w:p>
      <w:pPr>
        <w:pStyle w:val="28"/>
        <w:spacing w:line="360" w:lineRule="auto"/>
        <w:ind w:firstLine="420" w:firstLineChars="200"/>
        <w:outlineLvl w:val="0"/>
        <w:rPr>
          <w:b/>
          <w:bCs/>
          <w:sz w:val="36"/>
          <w:szCs w:val="36"/>
        </w:rPr>
      </w:pPr>
      <w:bookmarkStart w:id="345" w:name="_Toc16613"/>
      <w:bookmarkStart w:id="346" w:name="_Toc6536"/>
      <w:bookmarkStart w:id="347" w:name="_Toc24098"/>
      <w:bookmarkStart w:id="348" w:name="_Toc11313"/>
      <w:bookmarkStart w:id="349" w:name="_Toc18838"/>
      <w:bookmarkStart w:id="350" w:name="_Toc18643"/>
      <w:bookmarkStart w:id="351" w:name="_Toc18859"/>
      <w:r>
        <w:rPr>
          <w:rFonts w:hint="eastAsia" w:ascii="宋体" w:hAnsi="宋体"/>
          <w:sz w:val="21"/>
          <w:szCs w:val="21"/>
        </w:rPr>
        <w:t>注：</w:t>
      </w:r>
      <w:bookmarkEnd w:id="345"/>
      <w:bookmarkEnd w:id="346"/>
      <w:bookmarkEnd w:id="347"/>
      <w:bookmarkEnd w:id="348"/>
      <w:bookmarkEnd w:id="349"/>
      <w:r>
        <w:rPr>
          <w:rFonts w:hint="eastAsia" w:ascii="宋体" w:hAnsi="宋体"/>
          <w:sz w:val="21"/>
          <w:szCs w:val="21"/>
        </w:rPr>
        <w:t>2021年至今同类项目（如统一结算、综合支付等相关信息化建设项目案例）的业绩用户名单（需提供合同关键页复印件或中标通知书复印件，并加盖供应商公司公章）</w:t>
      </w:r>
      <w:bookmarkEnd w:id="350"/>
      <w:bookmarkEnd w:id="351"/>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1" w:type="default"/>
          <w:footerReference r:id="rId12" w:type="default"/>
          <w:pgSz w:w="11906" w:h="16838"/>
          <w:pgMar w:top="1440" w:right="1134" w:bottom="1440" w:left="1134" w:header="851" w:footer="992" w:gutter="0"/>
          <w:pgNumType w:fmt="decimal"/>
          <w:cols w:space="720" w:num="1"/>
          <w:docGrid w:linePitch="312" w:charSpace="0"/>
        </w:sectPr>
      </w:pPr>
      <w:bookmarkStart w:id="352" w:name="_Toc9749"/>
      <w:bookmarkStart w:id="353" w:name="_Toc27180"/>
      <w:bookmarkStart w:id="354" w:name="_Toc40346385"/>
      <w:bookmarkStart w:id="355" w:name="_Toc17929"/>
      <w:bookmarkStart w:id="356" w:name="_Toc24877"/>
      <w:bookmarkStart w:id="357" w:name="_Toc40776119"/>
      <w:bookmarkStart w:id="358" w:name="_Toc21435"/>
      <w:bookmarkStart w:id="359" w:name="_Toc20164"/>
      <w:bookmarkStart w:id="360" w:name="_Toc16505"/>
      <w:bookmarkStart w:id="361" w:name="_Toc23732"/>
      <w:bookmarkStart w:id="362" w:name="_Toc40346226"/>
      <w:bookmarkStart w:id="363" w:name="_Toc30558"/>
    </w:p>
    <w:bookmarkEnd w:id="352"/>
    <w:bookmarkEnd w:id="353"/>
    <w:bookmarkEnd w:id="354"/>
    <w:bookmarkEnd w:id="355"/>
    <w:bookmarkEnd w:id="356"/>
    <w:bookmarkEnd w:id="357"/>
    <w:bookmarkEnd w:id="358"/>
    <w:bookmarkEnd w:id="359"/>
    <w:bookmarkEnd w:id="360"/>
    <w:bookmarkEnd w:id="361"/>
    <w:bookmarkEnd w:id="362"/>
    <w:bookmarkEnd w:id="363"/>
    <w:p>
      <w:pPr>
        <w:pStyle w:val="32"/>
        <w:spacing w:line="360" w:lineRule="auto"/>
        <w:jc w:val="center"/>
        <w:outlineLvl w:val="0"/>
        <w:rPr>
          <w:b/>
          <w:bCs/>
          <w:color w:val="auto"/>
          <w:sz w:val="28"/>
          <w:szCs w:val="28"/>
        </w:rPr>
      </w:pPr>
      <w:bookmarkStart w:id="364" w:name="_Toc25012"/>
      <w:bookmarkStart w:id="365" w:name="_Toc14093"/>
      <w:bookmarkStart w:id="366" w:name="_Toc11836"/>
      <w:bookmarkStart w:id="367" w:name="_Toc17932"/>
      <w:bookmarkStart w:id="368" w:name="_Toc19803"/>
      <w:bookmarkStart w:id="369" w:name="_Toc1521"/>
      <w:bookmarkStart w:id="370" w:name="_Toc5396"/>
      <w:bookmarkStart w:id="371" w:name="_Toc27834"/>
      <w:bookmarkStart w:id="372" w:name="_Toc16816"/>
      <w:bookmarkStart w:id="373" w:name="_Toc24705"/>
      <w:bookmarkStart w:id="374" w:name="_Toc2196"/>
      <w:bookmarkStart w:id="375" w:name="_Toc16193"/>
      <w:bookmarkStart w:id="376" w:name="_Toc14321"/>
      <w:bookmarkStart w:id="377" w:name="_Toc20215"/>
      <w:bookmarkStart w:id="378" w:name="_Toc4538"/>
      <w:bookmarkStart w:id="379" w:name="_Toc9813"/>
      <w:bookmarkStart w:id="380" w:name="_Toc20949"/>
      <w:bookmarkStart w:id="381" w:name="_Toc9308"/>
      <w:bookmarkStart w:id="382" w:name="_Toc5237"/>
      <w:bookmarkStart w:id="383" w:name="_Toc3390"/>
      <w:bookmarkStart w:id="384" w:name="_Toc22349"/>
      <w:bookmarkStart w:id="385" w:name="_Toc16586"/>
      <w:bookmarkStart w:id="386" w:name="_Toc12567"/>
      <w:bookmarkStart w:id="387" w:name="_Toc29986"/>
      <w:bookmarkStart w:id="388" w:name="_Toc12986"/>
      <w:bookmarkStart w:id="389" w:name="_Toc9085"/>
      <w:bookmarkStart w:id="390" w:name="_Toc6773"/>
      <w:r>
        <w:rPr>
          <w:rFonts w:hint="eastAsia"/>
          <w:b/>
          <w:bCs/>
          <w:color w:val="auto"/>
          <w:sz w:val="28"/>
          <w:szCs w:val="28"/>
        </w:rPr>
        <w:t>公平竞争承诺书</w:t>
      </w:r>
      <w:bookmarkEnd w:id="364"/>
      <w:bookmarkEnd w:id="365"/>
      <w:bookmarkEnd w:id="366"/>
      <w:bookmarkEnd w:id="367"/>
      <w:bookmarkEnd w:id="368"/>
      <w:bookmarkEnd w:id="369"/>
      <w:bookmarkEnd w:id="370"/>
      <w:bookmarkEnd w:id="371"/>
      <w:bookmarkEnd w:id="372"/>
      <w:bookmarkEnd w:id="373"/>
      <w:bookmarkEnd w:id="374"/>
      <w:bookmarkEnd w:id="375"/>
      <w:bookmarkEnd w:id="376"/>
    </w:p>
    <w:p>
      <w:pPr>
        <w:pStyle w:val="29"/>
        <w:rPr>
          <w:rFonts w:hint="eastAsia"/>
          <w:b/>
          <w:bCs/>
          <w:color w:val="auto"/>
          <w:sz w:val="21"/>
          <w:szCs w:val="21"/>
        </w:rPr>
      </w:pPr>
      <w:r>
        <w:rPr>
          <w:rFonts w:hint="eastAsia"/>
          <w:b/>
          <w:bCs/>
          <w:color w:val="auto"/>
          <w:sz w:val="21"/>
          <w:szCs w:val="21"/>
          <w:lang w:eastAsia="zh-CN"/>
        </w:rPr>
        <w:t>南方医科大学第五附属医院</w:t>
      </w:r>
      <w:r>
        <w:rPr>
          <w:rFonts w:hint="eastAsia"/>
          <w:b/>
          <w:bCs/>
          <w:color w:val="auto"/>
          <w:sz w:val="21"/>
          <w:szCs w:val="21"/>
        </w:rPr>
        <w:t>：</w:t>
      </w:r>
    </w:p>
    <w:p>
      <w:pPr>
        <w:pStyle w:val="29"/>
        <w:rPr>
          <w:rFonts w:hint="eastAsia"/>
          <w:b/>
          <w:bCs/>
          <w:color w:val="auto"/>
          <w:sz w:val="21"/>
          <w:szCs w:val="21"/>
        </w:rPr>
      </w:pP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本公司愿接受贵单位邀请，积极参加</w:t>
      </w:r>
      <w:r>
        <w:rPr>
          <w:rFonts w:hint="eastAsia"/>
          <w:color w:val="auto"/>
          <w:sz w:val="21"/>
          <w:szCs w:val="21"/>
          <w:u w:val="single"/>
          <w:lang w:val="en-US" w:eastAsia="zh-CN"/>
        </w:rPr>
        <w:t>*******项目（项目编号：******）</w:t>
      </w:r>
      <w:r>
        <w:rPr>
          <w:rFonts w:hint="eastAsia"/>
          <w:color w:val="auto"/>
          <w:sz w:val="21"/>
          <w:szCs w:val="21"/>
          <w:lang w:val="en-US" w:eastAsia="zh-CN"/>
        </w:rPr>
        <w:t xml:space="preserve"> 的采购活动。为杜绝商业贿赂现象，维护良好管理秩序，共同营造公平、公正的竞争环境，我方郑重承诺：</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10"/>
        <w:spacing w:line="360" w:lineRule="auto"/>
        <w:ind w:firstLine="420" w:firstLineChars="200"/>
        <w:outlineLvl w:val="2"/>
        <w:rPr>
          <w:rFonts w:hint="eastAsia"/>
          <w:color w:val="auto"/>
          <w:sz w:val="21"/>
          <w:szCs w:val="21"/>
          <w:lang w:val="en-US" w:eastAsia="zh-CN"/>
        </w:rPr>
      </w:pPr>
      <w:bookmarkStart w:id="391" w:name="_Toc13586"/>
      <w:r>
        <w:rPr>
          <w:rFonts w:hint="eastAsia"/>
          <w:color w:val="auto"/>
          <w:sz w:val="21"/>
          <w:szCs w:val="21"/>
          <w:lang w:val="en-US" w:eastAsia="zh-CN"/>
        </w:rPr>
        <w:t>3.保证不私下接触贵单位负责采购组织工作的人员及相关领导。 </w:t>
      </w:r>
      <w:bookmarkEnd w:id="391"/>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10"/>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9"/>
        <w:rPr>
          <w:rFonts w:hint="eastAsia"/>
          <w:color w:val="auto"/>
          <w:sz w:val="21"/>
          <w:szCs w:val="21"/>
        </w:rPr>
      </w:pPr>
    </w:p>
    <w:p>
      <w:pPr>
        <w:pStyle w:val="29"/>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9"/>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9"/>
        <w:spacing w:line="360" w:lineRule="auto"/>
        <w:ind w:firstLine="420" w:firstLineChars="2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9"/>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9"/>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9"/>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pStyle w:val="32"/>
        <w:spacing w:line="360" w:lineRule="auto"/>
        <w:jc w:val="center"/>
        <w:outlineLvl w:val="9"/>
        <w:rPr>
          <w:rFonts w:hint="eastAsia"/>
          <w:b/>
          <w:bCs/>
          <w:sz w:val="32"/>
          <w:szCs w:val="32"/>
        </w:rPr>
      </w:pPr>
    </w:p>
    <w:p>
      <w:pPr>
        <w:pStyle w:val="32"/>
        <w:spacing w:line="360" w:lineRule="auto"/>
        <w:jc w:val="center"/>
        <w:outlineLvl w:val="9"/>
        <w:rPr>
          <w:rFonts w:hint="eastAsia"/>
          <w:b/>
          <w:bCs/>
          <w:sz w:val="32"/>
          <w:szCs w:val="32"/>
        </w:rPr>
      </w:pPr>
    </w:p>
    <w:p>
      <w:pPr>
        <w:pStyle w:val="32"/>
        <w:spacing w:line="360" w:lineRule="auto"/>
        <w:jc w:val="center"/>
        <w:outlineLvl w:val="0"/>
        <w:rPr>
          <w:b/>
          <w:bCs/>
          <w:sz w:val="32"/>
          <w:szCs w:val="32"/>
        </w:rPr>
      </w:pPr>
      <w:bookmarkStart w:id="392" w:name="_Toc31249"/>
      <w:bookmarkStart w:id="393" w:name="_Toc5834"/>
      <w:r>
        <w:rPr>
          <w:rFonts w:hint="eastAsia"/>
          <w:b/>
          <w:bCs/>
          <w:sz w:val="32"/>
          <w:szCs w:val="32"/>
        </w:rPr>
        <w:t>关于资格和响应文件的声明函</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2"/>
      <w:bookmarkEnd w:id="393"/>
    </w:p>
    <w:p>
      <w:pPr>
        <w:spacing w:line="400" w:lineRule="exact"/>
        <w:rPr>
          <w:rFonts w:ascii="宋体" w:hAnsi="宋体"/>
          <w:sz w:val="21"/>
          <w:szCs w:val="21"/>
        </w:rPr>
      </w:pPr>
      <w:r>
        <w:rPr>
          <w:rFonts w:hint="eastAsia" w:ascii="宋体" w:hAnsi="宋体"/>
          <w:sz w:val="21"/>
          <w:szCs w:val="21"/>
        </w:rPr>
        <w:t>致：南方医科大学第五附属医院</w:t>
      </w:r>
    </w:p>
    <w:p>
      <w:pPr>
        <w:spacing w:line="400" w:lineRule="exact"/>
        <w:ind w:firstLine="420" w:firstLineChars="200"/>
        <w:rPr>
          <w:rFonts w:ascii="宋体" w:hAnsi="宋体"/>
          <w:sz w:val="21"/>
          <w:szCs w:val="21"/>
        </w:rPr>
      </w:pPr>
      <w:r>
        <w:rPr>
          <w:rFonts w:hint="eastAsia" w:ascii="宋体" w:hAnsi="宋体"/>
          <w:sz w:val="21"/>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sz w:val="21"/>
          <w:szCs w:val="21"/>
        </w:rPr>
      </w:pPr>
      <w:r>
        <w:rPr>
          <w:rFonts w:hint="eastAsia" w:ascii="宋体" w:hAnsi="宋体"/>
          <w:sz w:val="21"/>
          <w:szCs w:val="21"/>
        </w:rPr>
        <w:t>1.我方具有独立承担民事责任的能力；</w:t>
      </w:r>
    </w:p>
    <w:p>
      <w:pPr>
        <w:spacing w:line="400" w:lineRule="exact"/>
        <w:rPr>
          <w:rFonts w:ascii="宋体" w:hAnsi="宋体"/>
          <w:sz w:val="21"/>
          <w:szCs w:val="21"/>
        </w:rPr>
      </w:pPr>
      <w:r>
        <w:rPr>
          <w:rFonts w:hint="eastAsia" w:ascii="宋体" w:hAnsi="宋体"/>
          <w:sz w:val="21"/>
          <w:szCs w:val="21"/>
        </w:rPr>
        <w:t>2.我方具有良好的商业信誉和健全的财务会计制度；</w:t>
      </w:r>
    </w:p>
    <w:p>
      <w:pPr>
        <w:spacing w:line="400" w:lineRule="exact"/>
        <w:rPr>
          <w:rFonts w:ascii="宋体" w:hAnsi="宋体"/>
          <w:sz w:val="21"/>
          <w:szCs w:val="21"/>
        </w:rPr>
      </w:pPr>
      <w:r>
        <w:rPr>
          <w:rFonts w:hint="eastAsia" w:ascii="宋体" w:hAnsi="宋体"/>
          <w:sz w:val="21"/>
          <w:szCs w:val="21"/>
        </w:rPr>
        <w:t>3.我方有依法缴纳税收和社会保障资金的良好记录；</w:t>
      </w:r>
    </w:p>
    <w:p>
      <w:pPr>
        <w:spacing w:line="400" w:lineRule="exact"/>
        <w:rPr>
          <w:rFonts w:ascii="宋体" w:hAnsi="宋体"/>
          <w:sz w:val="21"/>
          <w:szCs w:val="21"/>
        </w:rPr>
      </w:pPr>
      <w:r>
        <w:rPr>
          <w:rFonts w:hint="eastAsia" w:ascii="宋体" w:hAnsi="宋体"/>
          <w:sz w:val="21"/>
          <w:szCs w:val="21"/>
        </w:rPr>
        <w:t>4.我方具有履行合同所必需的设备和专业技术能力；</w:t>
      </w:r>
    </w:p>
    <w:p>
      <w:pPr>
        <w:spacing w:line="400" w:lineRule="exact"/>
        <w:rPr>
          <w:rFonts w:ascii="宋体" w:hAnsi="宋体"/>
          <w:sz w:val="21"/>
          <w:szCs w:val="21"/>
        </w:rPr>
      </w:pPr>
      <w:r>
        <w:rPr>
          <w:rFonts w:hint="eastAsia" w:ascii="宋体" w:hAnsi="宋体"/>
          <w:sz w:val="21"/>
          <w:szCs w:val="21"/>
        </w:rPr>
        <w:t>5.我方不存在以下情况：以联合体形式参加本项目院内采购活动；</w:t>
      </w:r>
    </w:p>
    <w:p>
      <w:pPr>
        <w:pStyle w:val="12"/>
        <w:spacing w:line="400" w:lineRule="exact"/>
        <w:rPr>
          <w:sz w:val="21"/>
          <w:szCs w:val="21"/>
        </w:rPr>
      </w:pPr>
      <w:r>
        <w:rPr>
          <w:rFonts w:hint="eastAsia" w:ascii="宋体" w:hAnsi="宋体"/>
          <w:sz w:val="21"/>
          <w:szCs w:val="21"/>
        </w:rPr>
        <w:t>6.我方不存在以下情况：以分包、转包形式参加本项目院内采购活动；</w:t>
      </w:r>
    </w:p>
    <w:p>
      <w:pPr>
        <w:spacing w:line="400" w:lineRule="exact"/>
        <w:rPr>
          <w:rFonts w:ascii="宋体" w:hAnsi="宋体"/>
          <w:sz w:val="21"/>
          <w:szCs w:val="21"/>
        </w:rPr>
      </w:pPr>
      <w:r>
        <w:rPr>
          <w:rFonts w:hint="eastAsia" w:ascii="宋体" w:hAnsi="宋体"/>
          <w:sz w:val="21"/>
          <w:szCs w:val="21"/>
        </w:rPr>
        <w:t>7.我方在参加政府采购活动前3年内在经营活动中没有重大违法、违规及刑事犯罪记录；</w:t>
      </w:r>
    </w:p>
    <w:p>
      <w:pPr>
        <w:spacing w:line="400" w:lineRule="exact"/>
        <w:rPr>
          <w:rFonts w:ascii="宋体" w:hAnsi="宋体"/>
          <w:sz w:val="21"/>
          <w:szCs w:val="21"/>
        </w:rPr>
      </w:pPr>
      <w:r>
        <w:rPr>
          <w:rFonts w:hint="eastAsia" w:ascii="宋体" w:hAnsi="宋体"/>
          <w:sz w:val="21"/>
          <w:szCs w:val="21"/>
        </w:rPr>
        <w:t>8.我方不存在以下情况：法定代表人或单位负责人为同一人或者存在直接控股、管理关系的不同供应商，不同时参加本采购项目的院内采购活动；</w:t>
      </w:r>
    </w:p>
    <w:p>
      <w:pPr>
        <w:spacing w:line="400" w:lineRule="exact"/>
        <w:rPr>
          <w:rFonts w:ascii="宋体" w:hAnsi="宋体"/>
          <w:sz w:val="21"/>
          <w:szCs w:val="21"/>
        </w:rPr>
      </w:pPr>
      <w:r>
        <w:rPr>
          <w:rFonts w:hint="eastAsia" w:ascii="宋体" w:hAnsi="宋体"/>
          <w:sz w:val="21"/>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sz w:val="21"/>
          <w:szCs w:val="21"/>
        </w:rPr>
      </w:pPr>
      <w:r>
        <w:rPr>
          <w:rFonts w:hint="eastAsia" w:ascii="宋体" w:hAnsi="宋体"/>
          <w:sz w:val="21"/>
          <w:szCs w:val="21"/>
        </w:rPr>
        <w:t>10.我方为本次磋商所提交的所有证明其合格和资格的文件是真实的和正确的，并愿为其真实性和正确性承担法律责任。</w:t>
      </w:r>
    </w:p>
    <w:p>
      <w:pPr>
        <w:pStyle w:val="12"/>
        <w:spacing w:line="400" w:lineRule="exact"/>
        <w:rPr>
          <w:sz w:val="21"/>
          <w:szCs w:val="21"/>
        </w:rPr>
      </w:pPr>
    </w:p>
    <w:p>
      <w:pPr>
        <w:spacing w:line="400" w:lineRule="exact"/>
        <w:rPr>
          <w:rFonts w:ascii="宋体" w:hAnsi="宋体"/>
          <w:sz w:val="21"/>
          <w:szCs w:val="21"/>
        </w:rPr>
      </w:pPr>
    </w:p>
    <w:p>
      <w:pPr>
        <w:spacing w:line="400" w:lineRule="exact"/>
        <w:rPr>
          <w:rFonts w:ascii="宋体" w:hAnsi="宋体"/>
          <w:sz w:val="21"/>
          <w:szCs w:val="21"/>
        </w:rPr>
      </w:pPr>
      <w:r>
        <w:rPr>
          <w:rFonts w:hint="eastAsia" w:ascii="宋体" w:hAnsi="宋体"/>
          <w:sz w:val="21"/>
          <w:szCs w:val="21"/>
        </w:rPr>
        <w:t>如有违法、违规、弄虚作假行为，所造成的损失、不良后果及法律责任，一律由我方承担。</w:t>
      </w:r>
    </w:p>
    <w:p>
      <w:pPr>
        <w:spacing w:line="400" w:lineRule="exact"/>
        <w:rPr>
          <w:rFonts w:ascii="宋体" w:hAnsi="宋体"/>
          <w:sz w:val="21"/>
          <w:szCs w:val="21"/>
        </w:rPr>
      </w:pPr>
      <w:r>
        <w:rPr>
          <w:rFonts w:hint="eastAsia" w:ascii="宋体" w:hAnsi="宋体"/>
          <w:sz w:val="21"/>
          <w:szCs w:val="21"/>
        </w:rPr>
        <w:t>特此声明！</w:t>
      </w:r>
    </w:p>
    <w:p>
      <w:pPr>
        <w:spacing w:line="276" w:lineRule="auto"/>
        <w:rPr>
          <w:rFonts w:ascii="宋体" w:hAnsi="宋体"/>
          <w:sz w:val="21"/>
          <w:szCs w:val="21"/>
        </w:rPr>
      </w:pPr>
    </w:p>
    <w:p>
      <w:pPr>
        <w:spacing w:line="360" w:lineRule="auto"/>
        <w:rPr>
          <w:rFonts w:ascii="宋体" w:hAnsi="宋体"/>
          <w:sz w:val="21"/>
          <w:szCs w:val="21"/>
        </w:rPr>
      </w:pPr>
    </w:p>
    <w:p>
      <w:pPr>
        <w:spacing w:line="360" w:lineRule="auto"/>
        <w:ind w:firstLine="4830" w:firstLineChars="2300"/>
        <w:jc w:val="both"/>
        <w:rPr>
          <w:rFonts w:ascii="宋体" w:hAnsi="宋体"/>
          <w:sz w:val="21"/>
          <w:szCs w:val="21"/>
        </w:rPr>
      </w:pPr>
      <w:r>
        <w:rPr>
          <w:rFonts w:hint="eastAsia" w:ascii="宋体" w:hAnsi="宋体"/>
          <w:sz w:val="21"/>
          <w:szCs w:val="21"/>
        </w:rPr>
        <w:t>公司名称（盖章）：</w:t>
      </w:r>
    </w:p>
    <w:p>
      <w:pPr>
        <w:pStyle w:val="28"/>
        <w:jc w:val="right"/>
        <w:rPr>
          <w:sz w:val="21"/>
          <w:szCs w:val="21"/>
        </w:rPr>
      </w:pPr>
    </w:p>
    <w:p>
      <w:pPr>
        <w:spacing w:line="360" w:lineRule="auto"/>
        <w:ind w:firstLine="1050" w:firstLineChars="500"/>
        <w:jc w:val="both"/>
        <w:rPr>
          <w:rFonts w:ascii="宋体" w:hAnsi="宋体"/>
          <w:sz w:val="21"/>
          <w:szCs w:val="21"/>
        </w:rPr>
      </w:pPr>
      <w:r>
        <w:rPr>
          <w:rFonts w:hint="eastAsia" w:ascii="宋体" w:hAnsi="宋体"/>
          <w:sz w:val="21"/>
          <w:szCs w:val="21"/>
        </w:rPr>
        <w:t>公司法定代表人（或法定代表人授权代表）（签字或盖章）：</w:t>
      </w:r>
    </w:p>
    <w:p>
      <w:pPr>
        <w:pStyle w:val="28"/>
        <w:jc w:val="right"/>
        <w:rPr>
          <w:sz w:val="21"/>
          <w:szCs w:val="21"/>
        </w:rPr>
      </w:pPr>
    </w:p>
    <w:p>
      <w:pPr>
        <w:spacing w:line="360" w:lineRule="auto"/>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日期：　　年　  月　  日</w:t>
      </w:r>
    </w:p>
    <w:p>
      <w:pPr>
        <w:pStyle w:val="28"/>
        <w:rPr>
          <w:rFonts w:ascii="宋体" w:hAnsi="宋体"/>
          <w:sz w:val="21"/>
          <w:szCs w:val="21"/>
        </w:rPr>
      </w:pPr>
    </w:p>
    <w:p>
      <w:pPr>
        <w:pStyle w:val="28"/>
        <w:rPr>
          <w:rFonts w:ascii="宋体" w:hAnsi="宋体"/>
          <w:sz w:val="21"/>
          <w:szCs w:val="21"/>
        </w:rPr>
      </w:pPr>
    </w:p>
    <w:p>
      <w:pPr>
        <w:pStyle w:val="28"/>
        <w:rPr>
          <w:rFonts w:ascii="宋体" w:hAnsi="宋体"/>
          <w:sz w:val="21"/>
          <w:szCs w:val="21"/>
        </w:rPr>
      </w:pPr>
    </w:p>
    <w:p>
      <w:pPr>
        <w:pStyle w:val="28"/>
        <w:rPr>
          <w:rFonts w:ascii="宋体" w:hAnsi="宋体"/>
          <w:sz w:val="21"/>
          <w:szCs w:val="21"/>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5"/>
        <w:ind w:left="1890"/>
        <w:outlineLvl w:val="0"/>
        <w:rPr>
          <w:rFonts w:ascii="宋体" w:hAnsi="宋体" w:eastAsia="宋体"/>
          <w:sz w:val="40"/>
        </w:rPr>
      </w:pPr>
      <w:bookmarkStart w:id="394" w:name="_Toc13355"/>
      <w:bookmarkStart w:id="395" w:name="_Toc26686"/>
      <w:bookmarkStart w:id="396" w:name="_Toc26031"/>
      <w:bookmarkStart w:id="397" w:name="_Toc25218"/>
      <w:r>
        <w:rPr>
          <w:rFonts w:hint="eastAsia" w:ascii="宋体" w:hAnsi="宋体" w:eastAsia="宋体"/>
          <w:sz w:val="40"/>
        </w:rPr>
        <w:t>第</w:t>
      </w:r>
      <w:r>
        <w:rPr>
          <w:rFonts w:hint="eastAsia" w:ascii="宋体" w:hAnsi="宋体" w:eastAsia="宋体"/>
          <w:sz w:val="40"/>
          <w:lang w:eastAsia="zh-CN"/>
        </w:rPr>
        <w:t>六</w:t>
      </w:r>
      <w:r>
        <w:rPr>
          <w:rFonts w:hint="eastAsia" w:ascii="宋体" w:hAnsi="宋体" w:eastAsia="宋体"/>
          <w:sz w:val="40"/>
        </w:rPr>
        <w:t>部分 合同模板（成功报名后获取）</w:t>
      </w:r>
      <w:bookmarkEnd w:id="394"/>
      <w:bookmarkEnd w:id="395"/>
      <w:bookmarkEnd w:id="396"/>
      <w:bookmarkEnd w:id="397"/>
    </w:p>
    <w:p/>
    <w:p>
      <w:pPr>
        <w:pStyle w:val="28"/>
      </w:pPr>
    </w:p>
    <w:p>
      <w:pPr>
        <w:pStyle w:val="28"/>
      </w:pPr>
    </w:p>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21</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D21771D1"/>
    <w:multiLevelType w:val="singleLevel"/>
    <w:tmpl w:val="D21771D1"/>
    <w:lvl w:ilvl="0" w:tentative="0">
      <w:start w:val="5"/>
      <w:numFmt w:val="chineseCounting"/>
      <w:suff w:val="nothing"/>
      <w:lvlText w:val="%1、"/>
      <w:lvlJc w:val="left"/>
      <w:rPr>
        <w:rFonts w:hint="eastAsia"/>
      </w:rPr>
    </w:lvl>
  </w:abstractNum>
  <w:abstractNum w:abstractNumId="2">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E169D"/>
    <w:rsid w:val="05907E7A"/>
    <w:rsid w:val="05A160AF"/>
    <w:rsid w:val="05F1758E"/>
    <w:rsid w:val="05FD0365"/>
    <w:rsid w:val="06094FA0"/>
    <w:rsid w:val="06095D7A"/>
    <w:rsid w:val="061159F2"/>
    <w:rsid w:val="066F5ED2"/>
    <w:rsid w:val="06A23A0E"/>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3B3D0D"/>
    <w:rsid w:val="0B862EB3"/>
    <w:rsid w:val="0BCD2048"/>
    <w:rsid w:val="0C0F3A3B"/>
    <w:rsid w:val="0C705246"/>
    <w:rsid w:val="0C777C61"/>
    <w:rsid w:val="0C7F15DD"/>
    <w:rsid w:val="0CAD27D4"/>
    <w:rsid w:val="0D160A9A"/>
    <w:rsid w:val="0D801814"/>
    <w:rsid w:val="0E372937"/>
    <w:rsid w:val="0E9F2CA1"/>
    <w:rsid w:val="0EBB3568"/>
    <w:rsid w:val="0ED05230"/>
    <w:rsid w:val="0EE9378D"/>
    <w:rsid w:val="0EF25956"/>
    <w:rsid w:val="0F265CBB"/>
    <w:rsid w:val="0F9E4485"/>
    <w:rsid w:val="0FBD35E2"/>
    <w:rsid w:val="110D6E86"/>
    <w:rsid w:val="113C5045"/>
    <w:rsid w:val="114607DF"/>
    <w:rsid w:val="119A5B5D"/>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24E8C"/>
    <w:rsid w:val="167B40EE"/>
    <w:rsid w:val="17087F4C"/>
    <w:rsid w:val="17113B2D"/>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BFD2B35"/>
    <w:rsid w:val="1C947494"/>
    <w:rsid w:val="1CAC7FE6"/>
    <w:rsid w:val="1CEC2934"/>
    <w:rsid w:val="1D497BBF"/>
    <w:rsid w:val="1DE30DB3"/>
    <w:rsid w:val="1E4F22B0"/>
    <w:rsid w:val="1E8F164C"/>
    <w:rsid w:val="1F157919"/>
    <w:rsid w:val="1F187406"/>
    <w:rsid w:val="1F3070F5"/>
    <w:rsid w:val="1FD22E68"/>
    <w:rsid w:val="20995391"/>
    <w:rsid w:val="20A765DE"/>
    <w:rsid w:val="20B81B4B"/>
    <w:rsid w:val="20BA0FF9"/>
    <w:rsid w:val="21282075"/>
    <w:rsid w:val="213217A6"/>
    <w:rsid w:val="21981AF8"/>
    <w:rsid w:val="21CD34F8"/>
    <w:rsid w:val="21CF3215"/>
    <w:rsid w:val="21D627A8"/>
    <w:rsid w:val="226B2757"/>
    <w:rsid w:val="22A53EBB"/>
    <w:rsid w:val="22F85FBE"/>
    <w:rsid w:val="22FB2B87"/>
    <w:rsid w:val="23AA1602"/>
    <w:rsid w:val="23D90A65"/>
    <w:rsid w:val="249C6C69"/>
    <w:rsid w:val="254A0970"/>
    <w:rsid w:val="255D353C"/>
    <w:rsid w:val="25673FA5"/>
    <w:rsid w:val="25E24AF9"/>
    <w:rsid w:val="25FE3B3F"/>
    <w:rsid w:val="262F2952"/>
    <w:rsid w:val="26C058B2"/>
    <w:rsid w:val="26C20E41"/>
    <w:rsid w:val="26F058DC"/>
    <w:rsid w:val="270154D7"/>
    <w:rsid w:val="274618E3"/>
    <w:rsid w:val="276D06A4"/>
    <w:rsid w:val="27715F5E"/>
    <w:rsid w:val="27AE57DA"/>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777CDA"/>
    <w:rsid w:val="2CAF6493"/>
    <w:rsid w:val="2CEA637E"/>
    <w:rsid w:val="2D07550B"/>
    <w:rsid w:val="2D133B9A"/>
    <w:rsid w:val="2DA7679B"/>
    <w:rsid w:val="2DBA49A8"/>
    <w:rsid w:val="2DF92135"/>
    <w:rsid w:val="2ED14194"/>
    <w:rsid w:val="2EED0E18"/>
    <w:rsid w:val="2F0C7F22"/>
    <w:rsid w:val="2F19582D"/>
    <w:rsid w:val="2FB56247"/>
    <w:rsid w:val="2FD82C2E"/>
    <w:rsid w:val="2FD961E4"/>
    <w:rsid w:val="30573A78"/>
    <w:rsid w:val="30595E2E"/>
    <w:rsid w:val="311010E0"/>
    <w:rsid w:val="31120C66"/>
    <w:rsid w:val="31EA386E"/>
    <w:rsid w:val="325E309D"/>
    <w:rsid w:val="334360A9"/>
    <w:rsid w:val="336674BC"/>
    <w:rsid w:val="34A22A19"/>
    <w:rsid w:val="34FE707E"/>
    <w:rsid w:val="352528EA"/>
    <w:rsid w:val="35794AFA"/>
    <w:rsid w:val="3587007C"/>
    <w:rsid w:val="35C661CB"/>
    <w:rsid w:val="35DD25C0"/>
    <w:rsid w:val="36147FBB"/>
    <w:rsid w:val="36BA60D8"/>
    <w:rsid w:val="370B587C"/>
    <w:rsid w:val="37D377B6"/>
    <w:rsid w:val="380B2F5F"/>
    <w:rsid w:val="385A7E36"/>
    <w:rsid w:val="38B82A1B"/>
    <w:rsid w:val="38DF2C21"/>
    <w:rsid w:val="39823272"/>
    <w:rsid w:val="3991089E"/>
    <w:rsid w:val="39D13924"/>
    <w:rsid w:val="3A3B4327"/>
    <w:rsid w:val="3A534CD1"/>
    <w:rsid w:val="3A774B2A"/>
    <w:rsid w:val="3ACF3804"/>
    <w:rsid w:val="3B0010CB"/>
    <w:rsid w:val="3B310FC0"/>
    <w:rsid w:val="3BEE2CE0"/>
    <w:rsid w:val="3C0F64B4"/>
    <w:rsid w:val="3C3D70DE"/>
    <w:rsid w:val="3C683C2C"/>
    <w:rsid w:val="3CBB1C36"/>
    <w:rsid w:val="3CF94A44"/>
    <w:rsid w:val="3D231754"/>
    <w:rsid w:val="3D6A0B18"/>
    <w:rsid w:val="3D8C7F47"/>
    <w:rsid w:val="3DBE51F4"/>
    <w:rsid w:val="3E7B5325"/>
    <w:rsid w:val="3EBA1C45"/>
    <w:rsid w:val="3ED66BA4"/>
    <w:rsid w:val="3EDD79DB"/>
    <w:rsid w:val="3F3F0226"/>
    <w:rsid w:val="3F4202DD"/>
    <w:rsid w:val="3F5800C9"/>
    <w:rsid w:val="3F8955E2"/>
    <w:rsid w:val="3FBA6306"/>
    <w:rsid w:val="3FF52FF7"/>
    <w:rsid w:val="3FF90CDB"/>
    <w:rsid w:val="40065B1F"/>
    <w:rsid w:val="402D613B"/>
    <w:rsid w:val="40D14838"/>
    <w:rsid w:val="4147306E"/>
    <w:rsid w:val="416135FA"/>
    <w:rsid w:val="41B3338B"/>
    <w:rsid w:val="41B60C35"/>
    <w:rsid w:val="42126977"/>
    <w:rsid w:val="422B266E"/>
    <w:rsid w:val="42A321BA"/>
    <w:rsid w:val="42AF6223"/>
    <w:rsid w:val="4345095B"/>
    <w:rsid w:val="434D6A95"/>
    <w:rsid w:val="435B5C8B"/>
    <w:rsid w:val="44055F4E"/>
    <w:rsid w:val="44062D00"/>
    <w:rsid w:val="44322CC3"/>
    <w:rsid w:val="44546201"/>
    <w:rsid w:val="44581F51"/>
    <w:rsid w:val="44623562"/>
    <w:rsid w:val="449832F3"/>
    <w:rsid w:val="44C53281"/>
    <w:rsid w:val="44C77996"/>
    <w:rsid w:val="44DB5CD7"/>
    <w:rsid w:val="451E6F60"/>
    <w:rsid w:val="45244DEA"/>
    <w:rsid w:val="459D52E1"/>
    <w:rsid w:val="46797876"/>
    <w:rsid w:val="46D069DB"/>
    <w:rsid w:val="46F11087"/>
    <w:rsid w:val="47507A0D"/>
    <w:rsid w:val="47D9027C"/>
    <w:rsid w:val="485129D4"/>
    <w:rsid w:val="4877067E"/>
    <w:rsid w:val="489B2349"/>
    <w:rsid w:val="48A2539B"/>
    <w:rsid w:val="48DC7F2A"/>
    <w:rsid w:val="48F44CB0"/>
    <w:rsid w:val="49040430"/>
    <w:rsid w:val="49054F84"/>
    <w:rsid w:val="491410D3"/>
    <w:rsid w:val="493279BC"/>
    <w:rsid w:val="498F7622"/>
    <w:rsid w:val="49DD1D3E"/>
    <w:rsid w:val="4A3B6FBA"/>
    <w:rsid w:val="4AD56B06"/>
    <w:rsid w:val="4B0F46CF"/>
    <w:rsid w:val="4B440351"/>
    <w:rsid w:val="4BAF7449"/>
    <w:rsid w:val="4C1C290F"/>
    <w:rsid w:val="4C981BA5"/>
    <w:rsid w:val="4C9A5A81"/>
    <w:rsid w:val="4CBC198F"/>
    <w:rsid w:val="4CED0E4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501E1C67"/>
    <w:rsid w:val="50EE6E23"/>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8F2085"/>
    <w:rsid w:val="53A776AF"/>
    <w:rsid w:val="53CA1AF3"/>
    <w:rsid w:val="541C6BA8"/>
    <w:rsid w:val="5517137F"/>
    <w:rsid w:val="555F1376"/>
    <w:rsid w:val="556E2985"/>
    <w:rsid w:val="55D55D03"/>
    <w:rsid w:val="56187F25"/>
    <w:rsid w:val="5623033B"/>
    <w:rsid w:val="5658445F"/>
    <w:rsid w:val="565B60B7"/>
    <w:rsid w:val="568F6108"/>
    <w:rsid w:val="57075019"/>
    <w:rsid w:val="5781659C"/>
    <w:rsid w:val="578A27C0"/>
    <w:rsid w:val="579161E1"/>
    <w:rsid w:val="57FC6C5A"/>
    <w:rsid w:val="584A1AA0"/>
    <w:rsid w:val="5851284C"/>
    <w:rsid w:val="58C63BF6"/>
    <w:rsid w:val="58D76A1B"/>
    <w:rsid w:val="58E15EFD"/>
    <w:rsid w:val="592F538E"/>
    <w:rsid w:val="597F6A6D"/>
    <w:rsid w:val="5A4B59E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5FDE073D"/>
    <w:rsid w:val="60423FDD"/>
    <w:rsid w:val="605C00F9"/>
    <w:rsid w:val="60636240"/>
    <w:rsid w:val="609036BE"/>
    <w:rsid w:val="6094289E"/>
    <w:rsid w:val="609D45C5"/>
    <w:rsid w:val="61306A6A"/>
    <w:rsid w:val="614B10EF"/>
    <w:rsid w:val="618D132F"/>
    <w:rsid w:val="622B3E41"/>
    <w:rsid w:val="629E3783"/>
    <w:rsid w:val="62A438B2"/>
    <w:rsid w:val="6325419E"/>
    <w:rsid w:val="634618F9"/>
    <w:rsid w:val="635941B3"/>
    <w:rsid w:val="638766EA"/>
    <w:rsid w:val="63921828"/>
    <w:rsid w:val="63F91B7F"/>
    <w:rsid w:val="646F7B60"/>
    <w:rsid w:val="647462EB"/>
    <w:rsid w:val="648D3E98"/>
    <w:rsid w:val="64B84B37"/>
    <w:rsid w:val="64C02086"/>
    <w:rsid w:val="64EE24CE"/>
    <w:rsid w:val="650831F3"/>
    <w:rsid w:val="655E4932"/>
    <w:rsid w:val="656C1014"/>
    <w:rsid w:val="658925AF"/>
    <w:rsid w:val="658C7FE7"/>
    <w:rsid w:val="65C228AD"/>
    <w:rsid w:val="65F140EA"/>
    <w:rsid w:val="66043442"/>
    <w:rsid w:val="667A1821"/>
    <w:rsid w:val="66845C96"/>
    <w:rsid w:val="6707117E"/>
    <w:rsid w:val="67414E9A"/>
    <w:rsid w:val="6772399F"/>
    <w:rsid w:val="6780006F"/>
    <w:rsid w:val="67CE708C"/>
    <w:rsid w:val="67ED6F46"/>
    <w:rsid w:val="68030228"/>
    <w:rsid w:val="68483F0B"/>
    <w:rsid w:val="684D2239"/>
    <w:rsid w:val="689247F6"/>
    <w:rsid w:val="689C77C3"/>
    <w:rsid w:val="68B72DD1"/>
    <w:rsid w:val="68D20173"/>
    <w:rsid w:val="69EB62D8"/>
    <w:rsid w:val="6A223FFE"/>
    <w:rsid w:val="6A274C05"/>
    <w:rsid w:val="6A8A3A22"/>
    <w:rsid w:val="6B1D66F3"/>
    <w:rsid w:val="6BDB0F79"/>
    <w:rsid w:val="6BFF4B66"/>
    <w:rsid w:val="6C12412D"/>
    <w:rsid w:val="6C8332B6"/>
    <w:rsid w:val="6D103C17"/>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C4BBE"/>
    <w:rsid w:val="725F0F5E"/>
    <w:rsid w:val="72787E71"/>
    <w:rsid w:val="72926C63"/>
    <w:rsid w:val="72A82BE8"/>
    <w:rsid w:val="72DF63D6"/>
    <w:rsid w:val="73016540"/>
    <w:rsid w:val="73172C86"/>
    <w:rsid w:val="73B36618"/>
    <w:rsid w:val="73FC0799"/>
    <w:rsid w:val="74315994"/>
    <w:rsid w:val="743D52CE"/>
    <w:rsid w:val="74544FB3"/>
    <w:rsid w:val="746E51F9"/>
    <w:rsid w:val="748E4362"/>
    <w:rsid w:val="752E6281"/>
    <w:rsid w:val="75334E74"/>
    <w:rsid w:val="75490967"/>
    <w:rsid w:val="75693EA1"/>
    <w:rsid w:val="75877F73"/>
    <w:rsid w:val="761C28F6"/>
    <w:rsid w:val="76A55731"/>
    <w:rsid w:val="76C73875"/>
    <w:rsid w:val="77021966"/>
    <w:rsid w:val="776963DA"/>
    <w:rsid w:val="783919C4"/>
    <w:rsid w:val="784C49BD"/>
    <w:rsid w:val="78D00495"/>
    <w:rsid w:val="78FA1F51"/>
    <w:rsid w:val="795067BF"/>
    <w:rsid w:val="7971313A"/>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930386"/>
    <w:rsid w:val="7DCC0EB3"/>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7"/>
    <w:autoRedefine/>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autoRedefine/>
    <w:qFormat/>
    <w:uiPriority w:val="0"/>
    <w:pPr>
      <w:ind w:firstLine="830" w:firstLineChars="352"/>
    </w:pPr>
    <w:rPr>
      <w:rFonts w:ascii="仿宋_GB2312" w:eastAsia="仿宋_GB2312"/>
      <w:sz w:val="32"/>
    </w:rPr>
  </w:style>
  <w:style w:type="paragraph" w:styleId="9">
    <w:name w:val="table of authorities"/>
    <w:basedOn w:val="1"/>
    <w:next w:val="1"/>
    <w:autoRedefine/>
    <w:unhideWhenUsed/>
    <w:qFormat/>
    <w:uiPriority w:val="99"/>
    <w:pPr>
      <w:ind w:left="420" w:leftChars="200"/>
    </w:pPr>
  </w:style>
  <w:style w:type="paragraph" w:styleId="10">
    <w:name w:val="Normal Indent"/>
    <w:basedOn w:val="1"/>
    <w:autoRedefine/>
    <w:qFormat/>
    <w:uiPriority w:val="99"/>
    <w:pPr>
      <w:ind w:firstLine="420"/>
    </w:pPr>
  </w:style>
  <w:style w:type="paragraph" w:styleId="11">
    <w:name w:val="annotation text"/>
    <w:basedOn w:val="1"/>
    <w:autoRedefine/>
    <w:unhideWhenUsed/>
    <w:qFormat/>
    <w:uiPriority w:val="99"/>
    <w:pPr>
      <w:jc w:val="left"/>
    </w:pPr>
  </w:style>
  <w:style w:type="paragraph" w:styleId="12">
    <w:name w:val="Body Text"/>
    <w:basedOn w:val="1"/>
    <w:link w:val="44"/>
    <w:autoRedefine/>
    <w:qFormat/>
    <w:uiPriority w:val="0"/>
    <w:pPr>
      <w:spacing w:after="120"/>
    </w:pPr>
  </w:style>
  <w:style w:type="paragraph" w:styleId="13">
    <w:name w:val="List Bullet 2"/>
    <w:basedOn w:val="1"/>
    <w:autoRedefine/>
    <w:qFormat/>
    <w:uiPriority w:val="0"/>
    <w:pPr>
      <w:numPr>
        <w:ilvl w:val="0"/>
        <w:numId w:val="1"/>
      </w:numPr>
    </w:pPr>
  </w:style>
  <w:style w:type="paragraph" w:styleId="14">
    <w:name w:val="Plain Text"/>
    <w:basedOn w:val="1"/>
    <w:autoRedefine/>
    <w:qFormat/>
    <w:uiPriority w:val="0"/>
    <w:rPr>
      <w:rFonts w:ascii="宋体" w:hAnsi="Courier New" w:cs="Courier New"/>
      <w:szCs w:val="21"/>
    </w:rPr>
  </w:style>
  <w:style w:type="paragraph" w:styleId="15">
    <w:name w:val="Balloon Text"/>
    <w:basedOn w:val="1"/>
    <w:link w:val="36"/>
    <w:autoRedefine/>
    <w:qFormat/>
    <w:uiPriority w:val="0"/>
    <w:rPr>
      <w:sz w:val="18"/>
      <w:szCs w:val="18"/>
    </w:rPr>
  </w:style>
  <w:style w:type="paragraph" w:styleId="16">
    <w:name w:val="footer"/>
    <w:basedOn w:val="1"/>
    <w:link w:val="42"/>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autoRedefine/>
    <w:qFormat/>
    <w:uiPriority w:val="0"/>
    <w:pPr>
      <w:spacing w:after="120"/>
      <w:ind w:left="420" w:leftChars="200"/>
    </w:pPr>
    <w:rPr>
      <w:sz w:val="16"/>
      <w:szCs w:val="16"/>
    </w:rPr>
  </w:style>
  <w:style w:type="paragraph" w:styleId="19">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20">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w:basedOn w:val="12"/>
    <w:autoRedefine/>
    <w:qFormat/>
    <w:uiPriority w:val="0"/>
    <w:pPr>
      <w:ind w:firstLine="420" w:firstLineChars="100"/>
    </w:pPr>
  </w:style>
  <w:style w:type="table" w:styleId="23">
    <w:name w:val="Table Grid"/>
    <w:basedOn w:val="22"/>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ascii="Tahoma" w:hAnsi="Tahoma" w:eastAsia="宋体"/>
      <w:b/>
      <w:bCs/>
      <w:spacing w:val="10"/>
      <w:kern w:val="2"/>
      <w:sz w:val="24"/>
      <w:szCs w:val="24"/>
      <w:lang w:val="en-US" w:eastAsia="zh-CN" w:bidi="ar-SA"/>
    </w:rPr>
  </w:style>
  <w:style w:type="character" w:styleId="26">
    <w:name w:val="page number"/>
    <w:autoRedefine/>
    <w:qFormat/>
    <w:uiPriority w:val="0"/>
    <w:rPr>
      <w:lang w:val="en-US" w:eastAsia="zh-CN" w:bidi="ar-SA"/>
    </w:rPr>
  </w:style>
  <w:style w:type="character" w:styleId="27">
    <w:name w:val="Hyperlink"/>
    <w:autoRedefine/>
    <w:qFormat/>
    <w:uiPriority w:val="99"/>
    <w:rPr>
      <w:rFonts w:eastAsia="宋体"/>
      <w:color w:val="0000FF"/>
      <w:kern w:val="2"/>
      <w:sz w:val="24"/>
      <w:szCs w:val="24"/>
      <w:u w:val="single"/>
      <w:lang w:val="en-US" w:eastAsia="zh-CN" w:bidi="ar-SA"/>
    </w:rPr>
  </w:style>
  <w:style w:type="paragraph" w:customStyle="1" w:styleId="2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0"/>
    <w:pPr>
      <w:ind w:firstLine="420" w:firstLineChars="200"/>
    </w:pPr>
    <w:rPr>
      <w:rFonts w:ascii="Calibri" w:hAnsi="Calibri"/>
      <w:szCs w:val="22"/>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p16"/>
    <w:basedOn w:val="1"/>
    <w:autoRedefine/>
    <w:qFormat/>
    <w:uiPriority w:val="0"/>
    <w:pPr>
      <w:widowControl/>
    </w:pPr>
    <w:rPr>
      <w:rFonts w:ascii="宋体" w:hAnsi="宋体" w:cs="宋体"/>
      <w:kern w:val="0"/>
      <w:szCs w:val="21"/>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autoRedefine/>
    <w:qFormat/>
    <w:uiPriority w:val="0"/>
  </w:style>
  <w:style w:type="character" w:customStyle="1" w:styleId="36">
    <w:name w:val="批注框文本 Char"/>
    <w:basedOn w:val="24"/>
    <w:link w:val="15"/>
    <w:autoRedefine/>
    <w:qFormat/>
    <w:uiPriority w:val="0"/>
    <w:rPr>
      <w:rFonts w:ascii="Times New Roman" w:hAnsi="Times New Roman" w:eastAsia="宋体" w:cs="Times New Roman"/>
      <w:kern w:val="2"/>
      <w:sz w:val="18"/>
      <w:szCs w:val="18"/>
    </w:rPr>
  </w:style>
  <w:style w:type="character" w:customStyle="1" w:styleId="37">
    <w:name w:val="标题 3 Char"/>
    <w:basedOn w:val="24"/>
    <w:link w:val="6"/>
    <w:autoRedefine/>
    <w:semiHidden/>
    <w:qFormat/>
    <w:uiPriority w:val="0"/>
    <w:rPr>
      <w:rFonts w:ascii="Times New Roman" w:hAnsi="Times New Roman" w:eastAsia="宋体" w:cs="Times New Roman"/>
      <w:b/>
      <w:bCs/>
      <w:kern w:val="2"/>
      <w:sz w:val="32"/>
      <w:szCs w:val="32"/>
    </w:rPr>
  </w:style>
  <w:style w:type="paragraph" w:customStyle="1" w:styleId="38">
    <w:name w:val="--规划正文"/>
    <w:basedOn w:val="1"/>
    <w:autoRedefine/>
    <w:qFormat/>
    <w:uiPriority w:val="0"/>
    <w:pPr>
      <w:spacing w:line="360" w:lineRule="auto"/>
      <w:ind w:firstLine="200" w:firstLineChars="200"/>
    </w:pPr>
    <w:rPr>
      <w:rFonts w:ascii="宋体"/>
      <w:kern w:val="0"/>
      <w:sz w:val="24"/>
      <w:szCs w:val="20"/>
    </w:rPr>
  </w:style>
  <w:style w:type="paragraph" w:customStyle="1" w:styleId="39">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2">
    <w:name w:val="页脚 Char"/>
    <w:basedOn w:val="24"/>
    <w:link w:val="16"/>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4">
    <w:name w:val="正文文本 Char"/>
    <w:basedOn w:val="24"/>
    <w:link w:val="12"/>
    <w:autoRedefine/>
    <w:qFormat/>
    <w:uiPriority w:val="0"/>
    <w:rPr>
      <w:rFonts w:ascii="Times New Roman" w:hAnsi="Times New Roman" w:eastAsia="宋体" w:cs="Times New Roman"/>
      <w:kern w:val="2"/>
      <w:sz w:val="21"/>
      <w:szCs w:val="24"/>
    </w:rPr>
  </w:style>
  <w:style w:type="paragraph" w:customStyle="1" w:styleId="45">
    <w:name w:val="正文文本_0"/>
    <w:basedOn w:val="1"/>
    <w:autoRedefine/>
    <w:qFormat/>
    <w:uiPriority w:val="0"/>
    <w:pPr>
      <w:spacing w:after="120" w:line="276" w:lineRule="auto"/>
    </w:pPr>
    <w:rPr>
      <w:rFonts w:ascii="Tahoma" w:hAnsi="Tahoma"/>
      <w:kern w:val="0"/>
      <w:sz w:val="20"/>
      <w:szCs w:val="20"/>
    </w:rPr>
  </w:style>
  <w:style w:type="paragraph" w:customStyle="1" w:styleId="46">
    <w:name w:val="普通(网站)1"/>
    <w:basedOn w:val="1"/>
    <w:autoRedefine/>
    <w:qFormat/>
    <w:uiPriority w:val="0"/>
    <w:pPr>
      <w:widowControl/>
    </w:pPr>
    <w:rPr>
      <w:rFonts w:hAnsi="宋体"/>
      <w:sz w:val="15"/>
      <w:szCs w:val="15"/>
    </w:rPr>
  </w:style>
  <w:style w:type="paragraph" w:customStyle="1" w:styleId="47">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8">
    <w:name w:val="表格标题"/>
    <w:basedOn w:val="1"/>
    <w:autoRedefine/>
    <w:qFormat/>
    <w:uiPriority w:val="0"/>
    <w:rPr>
      <w:rFonts w:ascii="宋体" w:hAnsi="宋体" w:cs="宋体"/>
      <w:sz w:val="20"/>
      <w:szCs w:val="20"/>
    </w:rPr>
  </w:style>
  <w:style w:type="paragraph" w:customStyle="1" w:styleId="49">
    <w:name w:val="其他"/>
    <w:basedOn w:val="1"/>
    <w:autoRedefine/>
    <w:qFormat/>
    <w:uiPriority w:val="0"/>
    <w:pPr>
      <w:spacing w:line="312" w:lineRule="auto"/>
      <w:ind w:firstLine="360"/>
    </w:pPr>
    <w:rPr>
      <w:rFonts w:ascii="宋体" w:hAnsi="宋体" w:cs="宋体"/>
      <w:sz w:val="20"/>
      <w:szCs w:val="20"/>
    </w:rPr>
  </w:style>
  <w:style w:type="paragraph" w:customStyle="1" w:styleId="50">
    <w:name w:val="表格文字"/>
    <w:basedOn w:val="1"/>
    <w:autoRedefine/>
    <w:qFormat/>
    <w:uiPriority w:val="0"/>
    <w:pPr>
      <w:spacing w:before="25" w:after="25"/>
      <w:jc w:val="left"/>
    </w:pPr>
    <w:rPr>
      <w:bCs/>
      <w:spacing w:val="10"/>
      <w:kern w:val="0"/>
      <w:sz w:val="24"/>
      <w:szCs w:val="20"/>
    </w:rPr>
  </w:style>
  <w:style w:type="paragraph" w:customStyle="1" w:styleId="51">
    <w:name w:val="Mo_正文0_宋体小四"/>
    <w:autoRedefine/>
    <w:qFormat/>
    <w:uiPriority w:val="0"/>
    <w:pPr>
      <w:spacing w:line="360" w:lineRule="auto"/>
      <w:ind w:firstLine="200" w:firstLineChars="200"/>
    </w:pPr>
    <w:rPr>
      <w:rFonts w:ascii="Times New Roman" w:hAnsi="Times New Roman" w:eastAsia="宋体" w:cstheme="minorBidi"/>
      <w:kern w:val="2"/>
      <w:sz w:val="24"/>
      <w:szCs w:val="28"/>
      <w:lang w:val="en-US" w:eastAsia="zh-CN" w:bidi="ar-SA"/>
    </w:rPr>
  </w:style>
  <w:style w:type="paragraph" w:customStyle="1" w:styleId="52">
    <w:name w:val="WPSOffice手动目录 2"/>
    <w:autoRedefine/>
    <w:qFormat/>
    <w:uiPriority w:val="0"/>
    <w:pPr>
      <w:ind w:leftChars="200"/>
    </w:pPr>
    <w:rPr>
      <w:rFonts w:ascii="Times New Roman" w:hAnsi="Times New Roman" w:eastAsia="宋体" w:cs="Times New Roman"/>
      <w:sz w:val="20"/>
      <w:szCs w:val="20"/>
    </w:rPr>
  </w:style>
  <w:style w:type="paragraph" w:customStyle="1" w:styleId="53">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19</Pages>
  <Words>1364</Words>
  <Characters>7779</Characters>
  <Lines>64</Lines>
  <Paragraphs>18</Paragraphs>
  <TotalTime>12</TotalTime>
  <ScaleCrop>false</ScaleCrop>
  <LinksUpToDate>false</LinksUpToDate>
  <CharactersWithSpaces>9125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2024-03-05T01:34:00Z</cp:lastPrinted>
  <dcterms:modified xsi:type="dcterms:W3CDTF">2024-04-15T03:10:14Z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1E4FDFFCEA0C46728F625B8A72B7AC4C_13</vt:lpwstr>
  </property>
</Properties>
</file>