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7040"/>
      <w:bookmarkStart w:id="2" w:name="_Toc14315"/>
      <w:bookmarkStart w:id="3" w:name="_Toc15553"/>
      <w:bookmarkStart w:id="4" w:name="_Toc3493"/>
      <w:bookmarkStart w:id="5" w:name="_Toc15365"/>
      <w:bookmarkStart w:id="6" w:name="_Toc16091"/>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公务车定点加油项目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NYWYF2024000</w:t>
      </w:r>
      <w:r>
        <w:rPr>
          <w:rFonts w:hint="eastAsia" w:ascii="宋体" w:hAnsi="宋体"/>
          <w:b/>
          <w:bCs/>
          <w:color w:val="auto"/>
          <w:sz w:val="36"/>
          <w:szCs w:val="36"/>
          <w:highlight w:val="none"/>
          <w:lang w:val="en-US" w:eastAsia="zh-CN"/>
        </w:rPr>
        <w:t>6</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2"/>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bookmarkStart w:id="136" w:name="_GoBack"/>
      <w:bookmarkEnd w:id="136"/>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南方医科大学第五附属医院公务车定点加油项目+NYWY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06</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bCs/>
          <w:color w:val="auto"/>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w:t>
      </w:r>
      <w:r>
        <w:rPr>
          <w:rFonts w:hint="eastAsia" w:ascii="宋体" w:hAnsi="宋体"/>
          <w:bCs/>
          <w:color w:val="auto"/>
          <w:sz w:val="24"/>
          <w:szCs w:val="24"/>
        </w:rPr>
        <w:t>（详</w:t>
      </w:r>
      <w:r>
        <w:rPr>
          <w:rFonts w:hint="eastAsia" w:ascii="宋体" w:hAnsi="宋体"/>
          <w:bCs/>
          <w:color w:val="auto"/>
          <w:sz w:val="24"/>
          <w:szCs w:val="24"/>
          <w:lang w:val="en-US" w:eastAsia="zh-CN"/>
        </w:rPr>
        <w:t>见相关格式文件）</w:t>
      </w:r>
    </w:p>
    <w:p>
      <w:pPr>
        <w:pStyle w:val="23"/>
        <w:numPr>
          <w:ilvl w:val="0"/>
          <w:numId w:val="2"/>
        </w:numPr>
        <w:spacing w:line="360" w:lineRule="auto"/>
        <w:ind w:left="840" w:leftChars="0" w:firstLineChars="0"/>
        <w:rPr>
          <w:rFonts w:hint="default" w:ascii="宋体" w:hAnsi="宋体" w:eastAsia="宋体" w:cs="Times New Roman"/>
          <w:color w:val="0000FF"/>
          <w:sz w:val="24"/>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成品油零售经营批准证书</w:t>
      </w:r>
      <w:r>
        <w:rPr>
          <w:rFonts w:hint="eastAsia" w:ascii="Times New Roman" w:hAnsi="宋体" w:eastAsia="宋体" w:cs="Times New Roman"/>
          <w:color w:val="0000FF"/>
          <w:sz w:val="24"/>
          <w:lang w:eastAsia="zh-CN"/>
        </w:rPr>
        <w:t>（需提供证书复印件并加盖供应商公司公章）</w:t>
      </w:r>
    </w:p>
    <w:p>
      <w:pPr>
        <w:pStyle w:val="23"/>
        <w:numPr>
          <w:ilvl w:val="0"/>
          <w:numId w:val="2"/>
        </w:numPr>
        <w:spacing w:line="360" w:lineRule="auto"/>
        <w:ind w:left="840" w:leftChars="0" w:firstLineChars="0"/>
        <w:rPr>
          <w:rFonts w:hint="eastAsia" w:ascii="Times New Roman" w:hAnsi="宋体" w:eastAsia="宋体" w:cs="Times New Roman"/>
          <w:color w:val="000000"/>
          <w:sz w:val="24"/>
          <w:lang w:eastAsia="zh-CN"/>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危险化学品经营许可证</w:t>
      </w:r>
      <w:r>
        <w:rPr>
          <w:rFonts w:hint="eastAsia" w:ascii="Times New Roman" w:hAnsi="宋体" w:eastAsia="宋体" w:cs="Times New Roman"/>
          <w:color w:val="0000FF"/>
          <w:sz w:val="24"/>
          <w:lang w:eastAsia="zh-CN"/>
        </w:rPr>
        <w:t>（需提供证件复印件并加盖供应商公司公章）</w:t>
      </w:r>
    </w:p>
    <w:p>
      <w:pPr>
        <w:pStyle w:val="23"/>
        <w:numPr>
          <w:ilvl w:val="0"/>
          <w:numId w:val="2"/>
        </w:numPr>
        <w:spacing w:line="360" w:lineRule="auto"/>
        <w:ind w:left="840" w:leftChars="0" w:firstLineChars="0"/>
        <w:rPr>
          <w:rFonts w:hint="default" w:ascii="宋体" w:hAnsi="宋体" w:eastAsia="宋体" w:cs="Times New Roman"/>
          <w:color w:val="0000FF"/>
          <w:sz w:val="24"/>
          <w:lang w:val="en-US" w:eastAsia="zh-CN"/>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p>
      <w:pPr>
        <w:pStyle w:val="23"/>
        <w:numPr>
          <w:ilvl w:val="0"/>
          <w:numId w:val="0"/>
        </w:numPr>
        <w:spacing w:line="360" w:lineRule="auto"/>
        <w:ind w:left="420" w:leftChars="0"/>
        <w:rPr>
          <w:rFonts w:hint="eastAsia" w:ascii="宋体" w:hAnsi="宋体" w:eastAsia="宋体" w:cs="Times New Roman"/>
          <w:sz w:val="24"/>
        </w:rPr>
      </w:pP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12520"/>
      <w:bookmarkStart w:id="13" w:name="_Toc40776111"/>
      <w:bookmarkStart w:id="14" w:name="_Toc15870"/>
      <w:bookmarkStart w:id="15" w:name="_Toc1994"/>
      <w:bookmarkStart w:id="16" w:name="_Toc29113"/>
      <w:bookmarkStart w:id="17" w:name="_Toc8364"/>
      <w:bookmarkStart w:id="18" w:name="_Toc435"/>
      <w:bookmarkStart w:id="19" w:name="_Toc28703"/>
      <w:bookmarkStart w:id="20" w:name="_Toc11075"/>
      <w:bookmarkStart w:id="21" w:name="_Toc11305"/>
      <w:bookmarkStart w:id="22" w:name="_Toc3471"/>
      <w:bookmarkStart w:id="23" w:name="_Toc40346216"/>
      <w:bookmarkStart w:id="24" w:name="_Toc21249"/>
      <w:bookmarkStart w:id="25" w:name="_Toc26267"/>
      <w:bookmarkStart w:id="26" w:name="_Toc7291"/>
      <w:bookmarkStart w:id="27" w:name="_Toc40346375"/>
      <w:bookmarkStart w:id="28" w:name="_Toc6547"/>
      <w:r>
        <w:rPr>
          <w:rFonts w:hint="eastAsia" w:ascii="宋体" w:hAnsi="宋体"/>
          <w:b/>
          <w:bCs/>
          <w:sz w:val="72"/>
          <w:szCs w:val="72"/>
          <w:lang w:eastAsia="zh-CN"/>
        </w:rPr>
        <w:t>报名资料</w:t>
      </w:r>
    </w:p>
    <w:p>
      <w:pPr>
        <w:pStyle w:val="2"/>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27997"/>
      <w:bookmarkStart w:id="31" w:name="_Toc40776112"/>
      <w:bookmarkStart w:id="32" w:name="_Toc20884"/>
      <w:bookmarkStart w:id="33" w:name="_Toc2916"/>
      <w:bookmarkStart w:id="34" w:name="_Toc40346217"/>
      <w:bookmarkStart w:id="35" w:name="_Toc1743"/>
      <w:bookmarkStart w:id="36" w:name="_Toc17709"/>
    </w:p>
    <w:p>
      <w:pPr>
        <w:widowControl/>
        <w:spacing w:line="360" w:lineRule="auto"/>
        <w:ind w:firstLine="600"/>
        <w:outlineLvl w:val="0"/>
        <w:rPr>
          <w:rFonts w:cs="宋体"/>
          <w:kern w:val="0"/>
          <w:sz w:val="30"/>
          <w:szCs w:val="30"/>
        </w:rPr>
      </w:pPr>
      <w:bookmarkStart w:id="37" w:name="_Toc11485"/>
      <w:bookmarkStart w:id="38" w:name="_Toc29102"/>
      <w:bookmarkStart w:id="39" w:name="_Toc31538"/>
      <w:bookmarkStart w:id="40" w:name="_Toc2012"/>
      <w:bookmarkStart w:id="41" w:name="_Toc23097"/>
      <w:bookmarkStart w:id="42" w:name="_Toc30979"/>
      <w:bookmarkStart w:id="43" w:name="_Toc2029"/>
      <w:bookmarkStart w:id="44" w:name="_Toc5238"/>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17930"/>
      <w:bookmarkStart w:id="47" w:name="_Toc40346218"/>
      <w:bookmarkStart w:id="48" w:name="_Toc31993"/>
      <w:bookmarkStart w:id="49" w:name="_Toc11558"/>
      <w:bookmarkStart w:id="50" w:name="_Toc16794"/>
      <w:bookmarkStart w:id="51" w:name="_Toc27867"/>
      <w:bookmarkStart w:id="52" w:name="_Toc7052"/>
      <w:bookmarkStart w:id="53" w:name="_Toc40346377"/>
      <w:bookmarkStart w:id="54" w:name="_Toc40776113"/>
      <w:bookmarkStart w:id="55" w:name="_Toc21483"/>
      <w:bookmarkStart w:id="56" w:name="_Toc29767"/>
      <w:bookmarkStart w:id="57" w:name="_Toc11141"/>
      <w:bookmarkStart w:id="58" w:name="_Toc24763"/>
      <w:bookmarkStart w:id="59" w:name="_Toc4013"/>
      <w:bookmarkStart w:id="60" w:name="_Toc14824"/>
      <w:bookmarkStart w:id="61" w:name="_Toc28064"/>
      <w:bookmarkStart w:id="62" w:name="_Toc12645"/>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40346378"/>
      <w:bookmarkStart w:id="64" w:name="_Toc27771"/>
      <w:bookmarkStart w:id="65" w:name="_Toc40776114"/>
      <w:bookmarkStart w:id="66" w:name="_Toc16813"/>
      <w:bookmarkStart w:id="67" w:name="_Toc24651"/>
      <w:bookmarkStart w:id="68" w:name="_Toc9883"/>
      <w:bookmarkStart w:id="69" w:name="_Toc1324"/>
      <w:bookmarkStart w:id="70" w:name="_Toc19831"/>
      <w:bookmarkStart w:id="71" w:name="_Toc14287"/>
      <w:bookmarkStart w:id="72" w:name="_Toc32709"/>
      <w:bookmarkStart w:id="73" w:name="_Toc26029"/>
      <w:bookmarkStart w:id="74" w:name="_Toc17537"/>
      <w:bookmarkStart w:id="75" w:name="_Toc31197"/>
      <w:bookmarkStart w:id="76" w:name="_Toc4563"/>
      <w:bookmarkStart w:id="77" w:name="_Toc11334"/>
      <w:bookmarkStart w:id="78" w:name="_Toc40346219"/>
      <w:bookmarkStart w:id="79" w:name="_Toc6438"/>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12650"/>
      <w:bookmarkStart w:id="81" w:name="_Toc14586"/>
      <w:bookmarkStart w:id="82" w:name="_Toc21940"/>
      <w:bookmarkStart w:id="83" w:name="_Toc40776115"/>
      <w:bookmarkStart w:id="84" w:name="_Toc27868"/>
      <w:bookmarkStart w:id="85" w:name="_Toc13222"/>
      <w:bookmarkStart w:id="86" w:name="_Toc18353"/>
      <w:bookmarkStart w:id="87" w:name="_Toc3895"/>
      <w:bookmarkStart w:id="88" w:name="_Toc30336"/>
      <w:bookmarkStart w:id="89" w:name="_Toc20994"/>
      <w:bookmarkStart w:id="90" w:name="_Toc17483"/>
      <w:bookmarkStart w:id="91" w:name="_Toc21686"/>
      <w:bookmarkStart w:id="92" w:name="_Toc27206"/>
      <w:bookmarkStart w:id="93" w:name="_Toc40346379"/>
      <w:bookmarkStart w:id="94" w:name="_Toc5634"/>
      <w:bookmarkStart w:id="95" w:name="_Toc40346220"/>
      <w:bookmarkStart w:id="96" w:name="_Toc5189"/>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30904"/>
      <w:bookmarkStart w:id="98" w:name="_Toc14462"/>
      <w:bookmarkStart w:id="99" w:name="_Toc40776116"/>
      <w:bookmarkStart w:id="100" w:name="_Toc11547"/>
      <w:bookmarkStart w:id="101" w:name="_Toc8526"/>
      <w:bookmarkStart w:id="102" w:name="_Toc30856"/>
      <w:bookmarkStart w:id="103" w:name="_Toc12127"/>
      <w:bookmarkStart w:id="104" w:name="_Toc3498"/>
      <w:bookmarkStart w:id="105" w:name="_Toc9282"/>
      <w:bookmarkStart w:id="106" w:name="_Toc32371"/>
      <w:bookmarkStart w:id="107" w:name="_Toc27009"/>
      <w:bookmarkStart w:id="108" w:name="_Toc40346221"/>
      <w:bookmarkStart w:id="109" w:name="_Toc21449"/>
      <w:bookmarkStart w:id="110" w:name="_Toc40346380"/>
      <w:bookmarkStart w:id="111" w:name="_Toc10454"/>
      <w:bookmarkStart w:id="112" w:name="_Toc5220"/>
      <w:bookmarkStart w:id="113" w:name="_Toc2764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13184"/>
      <w:bookmarkStart w:id="115" w:name="_Toc15539"/>
      <w:bookmarkStart w:id="116" w:name="_Toc10399"/>
      <w:bookmarkStart w:id="117" w:name="_Toc28747"/>
      <w:bookmarkStart w:id="118" w:name="_Toc21213"/>
      <w:bookmarkStart w:id="119" w:name="_Toc6691"/>
      <w:bookmarkStart w:id="120" w:name="_Toc9697"/>
      <w:bookmarkStart w:id="121" w:name="_Toc31077"/>
      <w:bookmarkStart w:id="122" w:name="_Toc16728"/>
      <w:bookmarkStart w:id="123" w:name="_Toc8637"/>
      <w:bookmarkStart w:id="124" w:name="_Toc16608"/>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18443"/>
      <w:bookmarkStart w:id="128" w:name="_Toc15050"/>
      <w:bookmarkStart w:id="129" w:name="_Toc20854"/>
      <w:bookmarkStart w:id="130" w:name="_Toc3758"/>
      <w:bookmarkStart w:id="131" w:name="_Toc14020"/>
      <w:bookmarkStart w:id="132" w:name="_Toc7276"/>
      <w:bookmarkStart w:id="133" w:name="_Toc15934"/>
      <w:bookmarkStart w:id="134" w:name="_Toc3241"/>
      <w:bookmarkStart w:id="135" w:name="_Toc14853"/>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color w:val="0000FF"/>
          <w:sz w:val="28"/>
          <w:szCs w:val="28"/>
        </w:rPr>
      </w:pPr>
      <w:r>
        <w:rPr>
          <w:rFonts w:hint="eastAsia" w:ascii="宋体" w:hAnsi="宋体"/>
          <w:sz w:val="28"/>
          <w:szCs w:val="28"/>
        </w:rPr>
        <w:t>提供有效期内成品油零售经营批准证书</w:t>
      </w:r>
      <w:r>
        <w:rPr>
          <w:rFonts w:hint="eastAsia" w:ascii="宋体" w:hAnsi="宋体"/>
          <w:color w:val="0000FF"/>
          <w:sz w:val="28"/>
          <w:szCs w:val="28"/>
        </w:rPr>
        <w:t>（需提供证书复印件并加盖供应商公司公章）</w:t>
      </w:r>
    </w:p>
    <w:p>
      <w:pPr>
        <w:pStyle w:val="23"/>
        <w:numPr>
          <w:ilvl w:val="0"/>
          <w:numId w:val="0"/>
        </w:numPr>
        <w:spacing w:line="360" w:lineRule="auto"/>
        <w:rPr>
          <w:rFonts w:hint="eastAsia" w:ascii="宋体" w:hAnsi="宋体"/>
          <w:sz w:val="28"/>
          <w:szCs w:val="28"/>
        </w:rPr>
      </w:pPr>
    </w:p>
    <w:p>
      <w:pPr>
        <w:pStyle w:val="23"/>
        <w:numPr>
          <w:ilvl w:val="0"/>
          <w:numId w:val="0"/>
        </w:numPr>
        <w:spacing w:line="360" w:lineRule="auto"/>
        <w:rPr>
          <w:rFonts w:hint="eastAsia" w:ascii="宋体" w:hAnsi="宋体"/>
          <w:color w:val="0000FF"/>
          <w:sz w:val="28"/>
          <w:szCs w:val="28"/>
        </w:rPr>
      </w:pPr>
      <w:r>
        <w:rPr>
          <w:rFonts w:hint="eastAsia" w:ascii="宋体" w:hAnsi="宋体"/>
          <w:sz w:val="28"/>
          <w:szCs w:val="28"/>
        </w:rPr>
        <w:t>提供有效期内危险化学品经营许可证</w:t>
      </w:r>
      <w:r>
        <w:rPr>
          <w:rFonts w:hint="eastAsia" w:ascii="宋体" w:hAnsi="宋体"/>
          <w:color w:val="0000FF"/>
          <w:sz w:val="28"/>
          <w:szCs w:val="28"/>
        </w:rPr>
        <w:t>（需提供证件复印件并加盖供应商公司公章）</w:t>
      </w:r>
    </w:p>
    <w:p>
      <w:pPr>
        <w:pStyle w:val="23"/>
        <w:numPr>
          <w:ilvl w:val="0"/>
          <w:numId w:val="0"/>
        </w:numPr>
        <w:spacing w:line="360" w:lineRule="auto"/>
        <w:rPr>
          <w:rFonts w:hint="eastAsia" w:ascii="宋体" w:hAnsi="宋体"/>
          <w:sz w:val="28"/>
          <w:szCs w:val="28"/>
        </w:rPr>
      </w:pPr>
    </w:p>
    <w:p>
      <w:pPr>
        <w:pStyle w:val="23"/>
        <w:numPr>
          <w:ilvl w:val="0"/>
          <w:numId w:val="0"/>
        </w:numPr>
        <w:spacing w:line="360" w:lineRule="auto"/>
        <w:rPr>
          <w:rFonts w:hint="eastAsia" w:ascii="宋体" w:hAnsi="宋体"/>
          <w:color w:val="0000FF"/>
          <w:sz w:val="28"/>
          <w:szCs w:val="28"/>
        </w:rPr>
      </w:pPr>
      <w:r>
        <w:rPr>
          <w:rFonts w:hint="eastAsia" w:ascii="宋体" w:hAnsi="宋体"/>
          <w:sz w:val="28"/>
          <w:szCs w:val="28"/>
        </w:rPr>
        <w:t>本项目不接受联合体，不允许转包，分包</w:t>
      </w:r>
      <w:r>
        <w:rPr>
          <w:rFonts w:hint="eastAsia" w:ascii="宋体" w:hAnsi="宋体"/>
          <w:color w:val="0000FF"/>
          <w:sz w:val="28"/>
          <w:szCs w:val="28"/>
        </w:rPr>
        <w:t>（需提供承诺函，承诺函必须包含相关文字涵义内容，并加盖供应商公司公章）</w:t>
      </w:r>
    </w:p>
    <w:p>
      <w:pPr>
        <w:pStyle w:val="23"/>
        <w:numPr>
          <w:ilvl w:val="0"/>
          <w:numId w:val="0"/>
        </w:numPr>
        <w:spacing w:line="360" w:lineRule="auto"/>
        <w:rPr>
          <w:rFonts w:hint="eastAsia" w:ascii="宋体" w:hAnsi="宋体" w:eastAsia="宋体" w:cs="宋体"/>
          <w:color w:val="auto"/>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7000C65"/>
    <w:rsid w:val="083500C1"/>
    <w:rsid w:val="0B665D0E"/>
    <w:rsid w:val="0C03487B"/>
    <w:rsid w:val="0CBE6EDC"/>
    <w:rsid w:val="0D8344AC"/>
    <w:rsid w:val="14C35BD0"/>
    <w:rsid w:val="14EF6DCA"/>
    <w:rsid w:val="172327DB"/>
    <w:rsid w:val="1B060F39"/>
    <w:rsid w:val="1D177890"/>
    <w:rsid w:val="1D2A0A29"/>
    <w:rsid w:val="1DB71923"/>
    <w:rsid w:val="1E2075D2"/>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48C5956"/>
    <w:rsid w:val="55252680"/>
    <w:rsid w:val="563C073B"/>
    <w:rsid w:val="56F43601"/>
    <w:rsid w:val="582C52DD"/>
    <w:rsid w:val="597F2160"/>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1"/>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2"/>
    <w:autoRedefine/>
    <w:qFormat/>
    <w:uiPriority w:val="0"/>
    <w:rPr>
      <w:rFonts w:ascii="宋体" w:hAnsi="Courier New" w:cs="Courier New"/>
      <w:szCs w:val="21"/>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4"/>
    <w:link w:val="11"/>
    <w:autoRedefine/>
    <w:qFormat/>
    <w:uiPriority w:val="99"/>
    <w:rPr>
      <w:sz w:val="18"/>
      <w:szCs w:val="18"/>
    </w:rPr>
  </w:style>
  <w:style w:type="character" w:customStyle="1" w:styleId="19">
    <w:name w:val="页脚 Char"/>
    <w:basedOn w:val="14"/>
    <w:link w:val="10"/>
    <w:autoRedefine/>
    <w:qFormat/>
    <w:uiPriority w:val="99"/>
    <w:rPr>
      <w:sz w:val="18"/>
      <w:szCs w:val="18"/>
    </w:rPr>
  </w:style>
  <w:style w:type="character" w:customStyle="1" w:styleId="20">
    <w:name w:val="标题 2 Char"/>
    <w:basedOn w:val="14"/>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4"/>
    <w:link w:val="8"/>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0</TotalTime>
  <ScaleCrop>false</ScaleCrop>
  <LinksUpToDate>false</LinksUpToDate>
  <CharactersWithSpaces>2079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2024-04-12T00:30:45Z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17C3EDEA72794B369AA43B4109BBCEC9_13</vt:lpwstr>
  </property>
</Properties>
</file>