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2023000</w:t>
      </w:r>
      <w:r>
        <w:rPr>
          <w:rFonts w:hint="eastAsia" w:ascii="宋体" w:hAnsi="宋体" w:cs="Times New Roman"/>
          <w:b/>
          <w:bCs/>
          <w:kern w:val="2"/>
          <w:sz w:val="36"/>
          <w:szCs w:val="36"/>
          <w:lang w:val="en-US" w:eastAsia="zh-CN" w:bidi="ar-SA"/>
        </w:rPr>
        <w:t>6</w:t>
      </w:r>
    </w:p>
    <w:p>
      <w:pPr>
        <w:pStyle w:val="21"/>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776106"/>
          <w:bookmarkStart w:id="2" w:name="_Toc40346211"/>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6</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w:t>
      </w:r>
      <w:r>
        <w:rPr>
          <w:rFonts w:hint="eastAsia" w:ascii="宋体" w:hAnsi="宋体" w:cs="宋体"/>
          <w:kern w:val="0"/>
          <w:sz w:val="21"/>
          <w:szCs w:val="21"/>
          <w:lang w:val="en-US" w:eastAsia="zh-CN"/>
        </w:rPr>
        <w:t>6</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南方医科大学第五附属医院公务车定点加油项目</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3.项目概况：</w:t>
      </w:r>
      <w:r>
        <w:rPr>
          <w:rFonts w:hint="eastAsia" w:ascii="宋体" w:hAnsi="宋体" w:eastAsia="宋体" w:cs="宋体"/>
          <w:sz w:val="21"/>
          <w:szCs w:val="21"/>
          <w:lang w:val="en-US" w:eastAsia="zh-CN"/>
        </w:rPr>
        <w:t>现有1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台公务车（6台救护车和</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台行政车），采购一家公司为医院提供定点加油服务。</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4.报价要求：</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5.服务期限：</w:t>
      </w:r>
      <w:r>
        <w:rPr>
          <w:rFonts w:hint="eastAsia" w:ascii="宋体" w:hAnsi="宋体" w:eastAsia="宋体" w:cs="宋体"/>
          <w:sz w:val="21"/>
          <w:szCs w:val="21"/>
          <w:lang w:val="en-US" w:eastAsia="zh-CN"/>
        </w:rPr>
        <w:t>自合同签订之日起1年。</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bookmarkStart w:id="272" w:name="_GoBack"/>
      <w:bookmarkEnd w:id="272"/>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16</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4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numPr>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第一次</w:t>
      </w:r>
      <w:r>
        <w:rPr>
          <w:rFonts w:hint="eastAsia" w:ascii="宋体" w:hAnsi="宋体" w:cs="宋体"/>
          <w:b/>
          <w:bCs/>
          <w:color w:val="auto"/>
          <w:sz w:val="21"/>
          <w:szCs w:val="21"/>
          <w:lang w:val="en-US" w:eastAsia="zh-CN"/>
        </w:rPr>
        <w:t>公告</w:t>
      </w:r>
      <w:r>
        <w:rPr>
          <w:rFonts w:hint="eastAsia" w:ascii="宋体" w:hAnsi="宋体" w:eastAsia="宋体" w:cs="宋体"/>
          <w:b/>
          <w:bCs/>
          <w:color w:val="auto"/>
          <w:sz w:val="21"/>
          <w:szCs w:val="21"/>
          <w:lang w:val="en-US" w:eastAsia="zh-CN"/>
        </w:rPr>
        <w:t>报名成功公司不用重复报名</w:t>
      </w:r>
      <w:r>
        <w:rPr>
          <w:rFonts w:hint="eastAsia" w:ascii="宋体" w:hAnsi="宋体" w:cs="宋体"/>
          <w:b/>
          <w:bCs/>
          <w:color w:val="auto"/>
          <w:sz w:val="21"/>
          <w:szCs w:val="21"/>
          <w:lang w:val="en-US" w:eastAsia="zh-CN"/>
        </w:rPr>
        <w:t>。</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1.具备独立承担民事责任能力，为中华人民共和国境内合法注册的独立法人企业或个体工商户（需提供有效的营业执照副本复印件，并加盖供应商公司公章）；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2.提供有效期内成品油零售经营批准证书（需提供证书复印件并加盖供应商公司公章）；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3.提供有效期危险化学品经营许可证（需提供证件复印件并加盖供应商公司公章）；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4.本项目不接受联合体，不允许转包，分包。（需提供承诺函，承诺函必须包含相关文字涵义内容，并加盖供应商公司公章）</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11</w:t>
      </w:r>
      <w:r>
        <w:rPr>
          <w:rFonts w:hint="eastAsia" w:ascii="宋体" w:hAnsi="宋体" w:eastAsia="宋体" w:cs="宋体"/>
          <w:kern w:val="0"/>
          <w:sz w:val="21"/>
          <w:szCs w:val="21"/>
        </w:rPr>
        <w:t>日</w:t>
      </w:r>
    </w:p>
    <w:p>
      <w:pPr>
        <w:pStyle w:val="2"/>
        <w:rPr>
          <w:lang w:val="en-US" w:eastAsia="zh-CN"/>
        </w:rPr>
      </w:pPr>
    </w:p>
    <w:p>
      <w:pPr>
        <w:keepNext w:val="0"/>
        <w:keepLines w:val="0"/>
        <w:pageBreakBefore w:val="0"/>
        <w:widowControl/>
        <w:kinsoku/>
        <w:overflowPunct/>
        <w:topLinePunct w:val="0"/>
        <w:bidi w:val="0"/>
        <w:adjustRightInd/>
        <w:snapToGrid/>
        <w:spacing w:line="360" w:lineRule="exact"/>
        <w:jc w:val="right"/>
        <w:rPr>
          <w:rFonts w:hint="eastAsia"/>
        </w:rPr>
      </w:pPr>
    </w:p>
    <w:p>
      <w:pPr>
        <w:numPr>
          <w:ilvl w:val="0"/>
          <w:numId w:val="3"/>
        </w:numPr>
        <w:spacing w:line="360" w:lineRule="auto"/>
        <w:ind w:firstLine="422" w:firstLineChars="150"/>
        <w:jc w:val="center"/>
        <w:outlineLvl w:val="0"/>
        <w:rPr>
          <w:rFonts w:hint="eastAsia" w:ascii="宋体" w:hAnsi="宋体"/>
          <w:b/>
          <w:bCs/>
          <w:color w:val="auto"/>
          <w:sz w:val="28"/>
          <w:szCs w:val="28"/>
        </w:rPr>
      </w:pPr>
      <w:bookmarkStart w:id="4" w:name="_Toc27350"/>
      <w:bookmarkStart w:id="5" w:name="_Toc25861"/>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6" w:name="_Toc163481896"/>
      <w:bookmarkStart w:id="7" w:name="_Toc297666003"/>
      <w:r>
        <w:rPr>
          <w:rFonts w:hint="eastAsia" w:ascii="宋体" w:hAnsi="宋体" w:eastAsia="宋体" w:cs="宋体"/>
          <w:b/>
          <w:color w:val="000000"/>
          <w:sz w:val="21"/>
          <w:szCs w:val="21"/>
        </w:rPr>
        <w:t>一、</w:t>
      </w:r>
      <w:bookmarkEnd w:id="6"/>
      <w:r>
        <w:rPr>
          <w:rFonts w:hint="eastAsia" w:ascii="宋体" w:hAnsi="宋体" w:eastAsia="宋体" w:cs="宋体"/>
          <w:b/>
          <w:color w:val="000000"/>
          <w:sz w:val="21"/>
          <w:szCs w:val="21"/>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rPr>
      </w:pPr>
      <w:r>
        <w:rPr>
          <w:rFonts w:hint="eastAsia" w:ascii="宋体" w:hAnsi="宋体" w:eastAsia="宋体" w:cs="宋体"/>
          <w:b/>
          <w:bCs/>
          <w:color w:val="000000"/>
          <w:sz w:val="21"/>
          <w:szCs w:val="21"/>
        </w:rPr>
        <w:t>1.项目名称：</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公务车定点加油</w:t>
      </w:r>
      <w:r>
        <w:rPr>
          <w:rFonts w:hint="eastAsia" w:ascii="宋体" w:hAnsi="宋体" w:eastAsia="宋体" w:cs="宋体"/>
          <w:color w:val="auto"/>
          <w:sz w:val="21"/>
          <w:szCs w:val="21"/>
        </w:rPr>
        <w:t>项目</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现有1</w:t>
      </w:r>
      <w:r>
        <w:rPr>
          <w:rFonts w:hint="eastAsia" w:ascii="宋体" w:hAnsi="宋体" w:eastAsia="宋体" w:cs="宋体"/>
          <w:sz w:val="21"/>
          <w:szCs w:val="21"/>
          <w:lang w:val="en-US" w:eastAsia="zh-CN"/>
        </w:rPr>
        <w:t>3</w:t>
      </w:r>
      <w:r>
        <w:rPr>
          <w:rFonts w:hint="eastAsia" w:ascii="宋体" w:hAnsi="宋体" w:eastAsia="宋体" w:cs="宋体"/>
          <w:sz w:val="21"/>
          <w:szCs w:val="21"/>
        </w:rPr>
        <w:t>台公务车（6台救护车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一家公司</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eastAsia="宋体" w:cs="宋体"/>
          <w:color w:val="000000"/>
          <w:sz w:val="21"/>
          <w:szCs w:val="21"/>
          <w:lang w:val="en-US" w:eastAsia="zh-CN"/>
        </w:rPr>
        <w:t>28</w:t>
      </w:r>
      <w:r>
        <w:rPr>
          <w:rFonts w:hint="eastAsia" w:ascii="宋体" w:hAnsi="宋体" w:eastAsia="宋体" w:cs="宋体"/>
          <w:color w:val="000000"/>
          <w:sz w:val="21"/>
          <w:szCs w:val="21"/>
        </w:rPr>
        <w:t>万元</w:t>
      </w:r>
      <w:r>
        <w:rPr>
          <w:rFonts w:hint="eastAsia" w:ascii="宋体" w:hAnsi="宋体" w:eastAsia="宋体" w:cs="宋体"/>
          <w:color w:val="auto"/>
          <w:kern w:val="0"/>
          <w:sz w:val="21"/>
          <w:szCs w:val="21"/>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5"/>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车辆加油及油品要求</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公司所提供的燃油油品质量必须达到国家质量认证标准和安全环保等相关标准及要求，须提供有效的油品来源证明文件，严禁提供假冒伪劣、过期变质物资，如因油质问题，致使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车辆部件损坏，公司应无条件赔偿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 xml:space="preserve"> 公司加油设备必须通过质量技术监督局计量部门监测，保证加油机油量符合国家计量标准。若出现短斤少两或数据造假的，公司应支付当月所供应油量总价款的200%作为违约金赔偿，同时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5.6</w:t>
      </w:r>
      <w:r>
        <w:rPr>
          <w:rFonts w:hint="eastAsia" w:ascii="宋体" w:hAnsi="宋体" w:eastAsia="宋体" w:cs="宋体"/>
          <w:sz w:val="21"/>
          <w:szCs w:val="21"/>
        </w:rPr>
        <w:t>公司须列明可供油品种类、标号，并按照当日挂牌零售价的下浮价报价</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.7公司每次加油完毕后向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5.8</w:t>
      </w:r>
      <w:r>
        <w:rPr>
          <w:rFonts w:hint="eastAsia" w:ascii="宋体" w:hAnsi="宋体" w:eastAsia="宋体" w:cs="宋体"/>
          <w:sz w:val="21"/>
          <w:szCs w:val="21"/>
        </w:rPr>
        <w:t>公司必须严格执行投标时的优惠条件，保证供油质量，准确计量，提供优质、方便、快捷的服务。当油品供应紧张时，必须优先满足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5.9</w:t>
      </w:r>
      <w:r>
        <w:rPr>
          <w:rFonts w:hint="eastAsia" w:ascii="宋体" w:hAnsi="宋体" w:eastAsia="宋体" w:cs="宋体"/>
          <w:sz w:val="21"/>
          <w:szCs w:val="21"/>
        </w:rPr>
        <w:t xml:space="preserve"> 公司应认真落实防火安全责任制，确保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加油车辆的安全，如加油时，因安全生产措施不力，造成生产安全事故的均由公司负全责。</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.10公司在受理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 服务期间，如公司暂不能为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rPr>
        <w:t>5.12</w:t>
      </w:r>
      <w:r>
        <w:rPr>
          <w:rFonts w:hint="eastAsia" w:ascii="宋体" w:hAnsi="宋体" w:eastAsia="宋体" w:cs="宋体"/>
          <w:sz w:val="21"/>
          <w:szCs w:val="21"/>
        </w:rPr>
        <w:t>公司加油站提供每天24h服务，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有紧急需求时，公司应为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6.付款说明</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采用先加油后付款方式，成交供应商统计每月加油总数、油品及金额，并出</w:t>
      </w:r>
      <w:r>
        <w:rPr>
          <w:rFonts w:hint="eastAsia" w:ascii="宋体" w:hAnsi="宋体" w:eastAsia="宋体" w:cs="宋体"/>
          <w:color w:val="auto"/>
          <w:sz w:val="21"/>
          <w:szCs w:val="21"/>
          <w:lang w:val="en-US" w:eastAsia="zh-CN"/>
        </w:rPr>
        <w:t>具采购人司机签名确认的单据，普通发票交给采购人，采购人在收到发票，经核实无误后，30个工作</w:t>
      </w:r>
      <w:r>
        <w:rPr>
          <w:rFonts w:hint="eastAsia" w:ascii="宋体" w:hAnsi="宋体" w:eastAsia="宋体" w:cs="宋体"/>
          <w:color w:val="000000"/>
          <w:sz w:val="21"/>
          <w:szCs w:val="21"/>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b/>
          <w:color w:val="auto"/>
          <w:sz w:val="24"/>
          <w:highlight w:val="none"/>
        </w:rPr>
      </w:pPr>
      <w:bookmarkStart w:id="8" w:name="_Toc27614"/>
      <w:bookmarkStart w:id="9" w:name="_Toc20762"/>
      <w:bookmarkStart w:id="10" w:name="_Toc28850"/>
      <w:bookmarkStart w:id="11" w:name="_Toc8122"/>
      <w:bookmarkStart w:id="12" w:name="_Toc26796"/>
      <w:bookmarkStart w:id="13" w:name="_Toc6416"/>
      <w:bookmarkStart w:id="14" w:name="_Toc20606"/>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如</w:t>
      </w:r>
      <w:r>
        <w:rPr>
          <w:rFonts w:hint="eastAsia" w:ascii="宋体" w:hAnsi="宋体" w:eastAsia="宋体" w:cs="宋体"/>
          <w:sz w:val="21"/>
          <w:szCs w:val="21"/>
        </w:rPr>
        <w:t>标有“★”的条款均为必须完全满足指标，报价人须进行实质性响应，报价人若有一项带“★”的条款未响应或不满足，将</w:t>
      </w:r>
      <w:r>
        <w:rPr>
          <w:rFonts w:hint="eastAsia" w:ascii="宋体" w:hAnsi="宋体" w:eastAsia="宋体" w:cs="宋体"/>
          <w:sz w:val="21"/>
          <w:szCs w:val="21"/>
          <w:lang w:val="en-US" w:eastAsia="zh-CN"/>
        </w:rPr>
        <w:t>按无效投标处理。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2.如标有“▲”的条款均为评审的重要评分指标，报价人若有部分“▲”条款未响应或不满足，将导致其响应性评审严重扣分。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4075"/>
      <w:bookmarkStart w:id="16" w:name="_Toc3222"/>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sz w:val="21"/>
          <w:szCs w:val="21"/>
          <w:lang w:val="en-US" w:eastAsia="zh-CN"/>
        </w:rPr>
      </w:pPr>
      <w:bookmarkStart w:id="17" w:name="_Toc11917"/>
      <w:r>
        <w:rPr>
          <w:rFonts w:hint="eastAsia" w:ascii="宋体" w:hAnsi="宋体" w:eastAsia="宋体" w:cs="宋体"/>
          <w:b/>
          <w:bCs/>
          <w:sz w:val="21"/>
          <w:szCs w:val="21"/>
          <w:lang w:val="en-US" w:eastAsia="zh-CN"/>
        </w:rPr>
        <w:t>3.成交原则：根据评审标准按综合评分法进行评审，按其评审总得分由高到低顺序排列评分情况，排名第一的供应商为第一成交候选人。</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4.供应商有下列情形之一的，将列入我院黑名单管理，在此后的三年内不得参与我院任何采买活动：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（1）提供虚假材料谋取中标、成交的；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（2）采取不正当手段诋毁、排挤其它供应商的；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（3）与其他供应商或者采购机构恶意串通围标的；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（4）随意申请撤换或放弃中标/成交结果的；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p>
    <w:p>
      <w:pPr>
        <w:pStyle w:val="5"/>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3.响应文件需要一正伍副共6份，封面应注明“正本”、“副本”字样并加盖公章、装订成册，副本可用正本复印并在封面上加盖公章。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346212"/>
      <w:bookmarkStart w:id="20" w:name="_Toc40776107"/>
    </w:p>
    <w:bookmarkEnd w:id="19"/>
    <w:bookmarkEnd w:id="20"/>
    <w:p>
      <w:pPr>
        <w:rPr>
          <w:rFonts w:hint="eastAsia" w:ascii="宋体" w:hAnsi="宋体" w:eastAsia="宋体"/>
          <w:color w:val="auto"/>
          <w:sz w:val="40"/>
        </w:rPr>
      </w:pPr>
      <w:bookmarkStart w:id="21" w:name="_Toc5829"/>
      <w:bookmarkStart w:id="22" w:name="_Toc2347"/>
      <w:bookmarkStart w:id="23" w:name="_Toc32164"/>
      <w:bookmarkStart w:id="24" w:name="_Toc30326"/>
      <w:bookmarkStart w:id="25" w:name="_Toc7581"/>
      <w:bookmarkStart w:id="26" w:name="_Toc13814"/>
      <w:bookmarkStart w:id="27" w:name="_Toc19354"/>
      <w:bookmarkStart w:id="28" w:name="_Toc40776108"/>
      <w:bookmarkStart w:id="29" w:name="_Toc40346213"/>
      <w:bookmarkStart w:id="30" w:name="_Toc2647"/>
      <w:bookmarkStart w:id="31" w:name="_Toc30230"/>
      <w:bookmarkStart w:id="32" w:name="_Toc32228"/>
      <w:bookmarkStart w:id="33" w:name="_Toc9461"/>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
        <w:rPr>
          <w:rFonts w:hint="eastAsia" w:ascii="宋体" w:hAnsi="宋体" w:eastAsia="宋体"/>
          <w:color w:val="auto"/>
          <w:sz w:val="40"/>
        </w:rPr>
      </w:pPr>
    </w:p>
    <w:p>
      <w:pPr>
        <w:rPr>
          <w:rFonts w:hint="eastAsia"/>
        </w:rPr>
      </w:pPr>
    </w:p>
    <w:p>
      <w:pPr>
        <w:pStyle w:val="3"/>
        <w:jc w:val="both"/>
        <w:outlineLvl w:val="0"/>
        <w:rPr>
          <w:rFonts w:hint="eastAsia" w:ascii="宋体" w:hAnsi="宋体" w:eastAsia="宋体"/>
          <w:color w:val="auto"/>
          <w:sz w:val="40"/>
        </w:rPr>
      </w:pPr>
    </w:p>
    <w:p>
      <w:pPr>
        <w:pStyle w:val="3"/>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34" w:name="_Toc26336"/>
      <w:bookmarkStart w:id="35" w:name="_Toc40346373"/>
      <w:bookmarkStart w:id="36" w:name="_Toc23126"/>
      <w:bookmarkStart w:id="37" w:name="_Toc40776109"/>
      <w:bookmarkStart w:id="38" w:name="_Toc10842"/>
      <w:bookmarkStart w:id="39" w:name="_Toc10941"/>
      <w:bookmarkStart w:id="40" w:name="_Toc13972"/>
      <w:bookmarkStart w:id="41" w:name="_Toc40346214"/>
      <w:bookmarkStart w:id="42" w:name="_Toc11236"/>
      <w:bookmarkStart w:id="43" w:name="_Toc17987"/>
      <w:bookmarkStart w:id="44" w:name="_Toc30201"/>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13293"/>
      <w:bookmarkStart w:id="47"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2"/>
        <w:rPr>
          <w:rFonts w:ascii="仿宋" w:hAnsi="仿宋" w:eastAsia="仿宋" w:cs="宋体"/>
          <w:b/>
          <w:color w:val="auto"/>
          <w:kern w:val="0"/>
          <w:sz w:val="24"/>
          <w:szCs w:val="32"/>
        </w:rPr>
      </w:pPr>
    </w:p>
    <w:p>
      <w:pPr>
        <w:rPr>
          <w:rFonts w:ascii="仿宋" w:hAnsi="仿宋" w:eastAsia="仿宋" w:cs="宋体"/>
          <w:b/>
          <w:color w:val="auto"/>
          <w:kern w:val="0"/>
          <w:sz w:val="24"/>
          <w:szCs w:val="32"/>
        </w:rPr>
      </w:pPr>
    </w:p>
    <w:p>
      <w:pPr>
        <w:pStyle w:val="2"/>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9134"/>
      <w:bookmarkStart w:id="49" w:name="_Toc23156"/>
      <w:bookmarkStart w:id="50" w:name="_Toc10213"/>
      <w:bookmarkStart w:id="51" w:name="_Toc12431"/>
      <w:bookmarkStart w:id="52" w:name="_Toc4407"/>
      <w:bookmarkStart w:id="53" w:name="_Toc25470"/>
      <w:bookmarkStart w:id="54" w:name="_Toc40346222"/>
      <w:bookmarkStart w:id="55" w:name="_Toc18837"/>
      <w:bookmarkStart w:id="56" w:name="_Toc28217"/>
      <w:bookmarkStart w:id="57" w:name="_Toc40346381"/>
      <w:bookmarkStart w:id="58" w:name="_Toc3784"/>
      <w:bookmarkStart w:id="59" w:name="_Toc22145"/>
      <w:bookmarkStart w:id="60" w:name="_Toc22864"/>
      <w:bookmarkStart w:id="61"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12520"/>
      <w:bookmarkStart w:id="63" w:name="_Toc40346375"/>
      <w:bookmarkStart w:id="64" w:name="_Toc15870"/>
      <w:bookmarkStart w:id="65" w:name="_Toc40776111"/>
      <w:bookmarkStart w:id="66" w:name="_Toc8364"/>
      <w:bookmarkStart w:id="67" w:name="_Toc11075"/>
      <w:bookmarkStart w:id="68" w:name="_Toc435"/>
      <w:bookmarkStart w:id="69" w:name="_Toc3471"/>
      <w:bookmarkStart w:id="70" w:name="_Toc11305"/>
      <w:bookmarkStart w:id="71" w:name="_Toc40346216"/>
      <w:bookmarkStart w:id="72" w:name="_Toc26267"/>
      <w:bookmarkStart w:id="73" w:name="_Toc7291"/>
      <w:bookmarkStart w:id="74" w:name="_Toc6547"/>
      <w:bookmarkStart w:id="75" w:name="_Toc28703"/>
      <w:bookmarkStart w:id="76" w:name="_Toc1994"/>
      <w:bookmarkStart w:id="77" w:name="_Toc29113"/>
      <w:bookmarkStart w:id="78" w:name="_Toc21249"/>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376"/>
      <w:bookmarkStart w:id="80" w:name="_Toc40346217"/>
      <w:bookmarkStart w:id="81" w:name="_Toc27997"/>
      <w:bookmarkStart w:id="82" w:name="_Toc2916"/>
      <w:bookmarkStart w:id="83" w:name="_Toc40776112"/>
      <w:bookmarkStart w:id="84" w:name="_Toc17709"/>
      <w:bookmarkStart w:id="85" w:name="_Toc1743"/>
      <w:bookmarkStart w:id="86" w:name="_Toc20884"/>
    </w:p>
    <w:p>
      <w:pPr>
        <w:widowControl/>
        <w:spacing w:line="360" w:lineRule="auto"/>
        <w:ind w:firstLine="600"/>
        <w:outlineLvl w:val="0"/>
        <w:rPr>
          <w:rFonts w:cs="宋体"/>
          <w:kern w:val="0"/>
          <w:sz w:val="30"/>
          <w:szCs w:val="30"/>
        </w:rPr>
      </w:pPr>
      <w:bookmarkStart w:id="87" w:name="_Toc19699"/>
      <w:bookmarkStart w:id="88" w:name="_Toc5238"/>
      <w:bookmarkStart w:id="89" w:name="_Toc11485"/>
      <w:bookmarkStart w:id="90" w:name="_Toc2029"/>
      <w:bookmarkStart w:id="91" w:name="_Toc29102"/>
      <w:bookmarkStart w:id="92" w:name="_Toc23097"/>
      <w:bookmarkStart w:id="93" w:name="_Toc2012"/>
      <w:bookmarkStart w:id="94" w:name="_Toc30979"/>
      <w:bookmarkStart w:id="95" w:name="_Toc315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7867"/>
      <w:bookmarkStart w:id="97" w:name="_Toc7052"/>
      <w:bookmarkStart w:id="98" w:name="_Toc16794"/>
      <w:bookmarkStart w:id="99" w:name="_Toc12645"/>
      <w:bookmarkStart w:id="100" w:name="_Toc40346218"/>
      <w:bookmarkStart w:id="101" w:name="_Toc11558"/>
      <w:bookmarkStart w:id="102" w:name="_Toc28064"/>
      <w:bookmarkStart w:id="103" w:name="_Toc40346377"/>
      <w:bookmarkStart w:id="104" w:name="_Toc14824"/>
      <w:bookmarkStart w:id="105" w:name="_Toc29767"/>
      <w:bookmarkStart w:id="106" w:name="_Toc24763"/>
      <w:bookmarkStart w:id="107" w:name="_Toc31993"/>
      <w:bookmarkStart w:id="108" w:name="_Toc4013"/>
      <w:bookmarkStart w:id="109" w:name="_Toc17930"/>
      <w:bookmarkStart w:id="110" w:name="_Toc11141"/>
      <w:bookmarkStart w:id="111" w:name="_Toc40776113"/>
      <w:bookmarkStart w:id="112"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324"/>
      <w:bookmarkStart w:id="114" w:name="_Toc40776114"/>
      <w:bookmarkStart w:id="115" w:name="_Toc6438"/>
      <w:bookmarkStart w:id="116" w:name="_Toc11334"/>
      <w:bookmarkStart w:id="117" w:name="_Toc4563"/>
      <w:bookmarkStart w:id="118" w:name="_Toc40346378"/>
      <w:bookmarkStart w:id="119" w:name="_Toc19831"/>
      <w:bookmarkStart w:id="120" w:name="_Toc31197"/>
      <w:bookmarkStart w:id="121" w:name="_Toc32709"/>
      <w:bookmarkStart w:id="122" w:name="_Toc9883"/>
      <w:bookmarkStart w:id="123" w:name="_Toc14287"/>
      <w:bookmarkStart w:id="124" w:name="_Toc24651"/>
      <w:bookmarkStart w:id="125" w:name="_Toc26029"/>
      <w:bookmarkStart w:id="126" w:name="_Toc27771"/>
      <w:bookmarkStart w:id="127" w:name="_Toc17537"/>
      <w:bookmarkStart w:id="128" w:name="_Toc16813"/>
      <w:bookmarkStart w:id="129" w:name="_Toc40346219"/>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3895"/>
      <w:bookmarkStart w:id="131" w:name="_Toc21940"/>
      <w:bookmarkStart w:id="132" w:name="_Toc40776115"/>
      <w:bookmarkStart w:id="133" w:name="_Toc13222"/>
      <w:bookmarkStart w:id="134" w:name="_Toc40346220"/>
      <w:bookmarkStart w:id="135" w:name="_Toc27868"/>
      <w:bookmarkStart w:id="136" w:name="_Toc20994"/>
      <w:bookmarkStart w:id="137" w:name="_Toc18353"/>
      <w:bookmarkStart w:id="138" w:name="_Toc14586"/>
      <w:bookmarkStart w:id="139" w:name="_Toc5189"/>
      <w:bookmarkStart w:id="140" w:name="_Toc30336"/>
      <w:bookmarkStart w:id="141" w:name="_Toc17483"/>
      <w:bookmarkStart w:id="142" w:name="_Toc5634"/>
      <w:bookmarkStart w:id="143" w:name="_Toc40346379"/>
      <w:bookmarkStart w:id="144" w:name="_Toc27206"/>
      <w:bookmarkStart w:id="145" w:name="_Toc12650"/>
      <w:bookmarkStart w:id="146" w:name="_Toc21686"/>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5220"/>
      <w:bookmarkStart w:id="148" w:name="_Toc21449"/>
      <w:bookmarkStart w:id="149" w:name="_Toc40776116"/>
      <w:bookmarkStart w:id="150" w:name="_Toc9282"/>
      <w:bookmarkStart w:id="151" w:name="_Toc27009"/>
      <w:bookmarkStart w:id="152" w:name="_Toc14462"/>
      <w:bookmarkStart w:id="153" w:name="_Toc12127"/>
      <w:bookmarkStart w:id="154" w:name="_Toc3498"/>
      <w:bookmarkStart w:id="155" w:name="_Toc40346221"/>
      <w:bookmarkStart w:id="156" w:name="_Toc32371"/>
      <w:bookmarkStart w:id="157" w:name="_Toc30856"/>
      <w:bookmarkStart w:id="158" w:name="_Toc27646"/>
      <w:bookmarkStart w:id="159" w:name="_Toc30904"/>
      <w:bookmarkStart w:id="160" w:name="_Toc8526"/>
      <w:bookmarkStart w:id="161" w:name="_Toc10454"/>
      <w:bookmarkStart w:id="162" w:name="_Toc11547"/>
      <w:bookmarkStart w:id="163" w:name="_Toc40346380"/>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1"/>
        <w:ind w:firstLine="3975" w:firstLineChars="1100"/>
        <w:rPr>
          <w:b/>
          <w:bCs/>
          <w:color w:val="auto"/>
          <w:sz w:val="36"/>
          <w:szCs w:val="36"/>
        </w:rPr>
      </w:pPr>
      <w:bookmarkStart w:id="164" w:name="_Toc24584"/>
      <w:bookmarkStart w:id="165" w:name="_Toc27920"/>
      <w:bookmarkStart w:id="166" w:name="_Toc31006"/>
      <w:bookmarkStart w:id="167" w:name="_Toc6985"/>
      <w:r>
        <w:rPr>
          <w:rFonts w:hint="eastAsia"/>
          <w:b/>
          <w:bCs/>
          <w:color w:val="auto"/>
          <w:sz w:val="36"/>
          <w:szCs w:val="36"/>
        </w:rPr>
        <w:t>目  录</w:t>
      </w:r>
      <w:bookmarkEnd w:id="164"/>
      <w:bookmarkEnd w:id="165"/>
      <w:bookmarkEnd w:id="166"/>
      <w:bookmarkEnd w:id="167"/>
    </w:p>
    <w:tbl>
      <w:tblPr>
        <w:tblStyle w:val="15"/>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1月1日</w:t>
            </w:r>
            <w:r>
              <w:rPr>
                <w:rFonts w:hint="eastAsia" w:ascii="宋体" w:hAnsi="宋体" w:eastAsia="宋体" w:cs="宋体"/>
                <w:kern w:val="2"/>
                <w:sz w:val="24"/>
                <w:szCs w:val="24"/>
                <w:lang w:val="en-US" w:eastAsia="zh-CN" w:bidi="ar-SA"/>
              </w:rPr>
              <w:t>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2"/>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bookmarkEnd w:id="168"/>
    <w:bookmarkEnd w:id="169"/>
    <w:bookmarkEnd w:id="170"/>
    <w:bookmarkEnd w:id="171"/>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无偏离：所投产品/服务响应采购文件需求；</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正偏离：所投产品/服务优于/高于采购文件需求；</w:t>
      </w:r>
    </w:p>
    <w:p>
      <w:pPr>
        <w:widowControl/>
        <w:spacing w:line="24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负偏离：所投产品/服务不符合采购文件需求。</w:t>
      </w:r>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240" w:lineRule="auto"/>
        <w:ind w:firstLine="422" w:firstLineChars="200"/>
        <w:rPr>
          <w:rFonts w:hint="eastAsia" w:ascii="宋体" w:hAnsi="宋体" w:eastAsia="宋体" w:cs="宋体"/>
          <w:b/>
          <w:bCs/>
          <w:kern w:val="2"/>
          <w:sz w:val="21"/>
          <w:szCs w:val="21"/>
          <w:lang w:val="en-US" w:eastAsia="zh-CN" w:bidi="ar-SA"/>
        </w:rPr>
      </w:pPr>
      <w:bookmarkStart w:id="192" w:name="_Toc16131"/>
      <w:bookmarkStart w:id="193" w:name="_Toc31897"/>
      <w:bookmarkStart w:id="194" w:name="_Toc19330"/>
      <w:bookmarkStart w:id="195" w:name="_Toc28342"/>
      <w:bookmarkStart w:id="196" w:name="_Toc26114"/>
      <w:bookmarkStart w:id="197" w:name="_Toc15903"/>
      <w:bookmarkStart w:id="198" w:name="_Toc14718"/>
      <w:r>
        <w:rPr>
          <w:rFonts w:hint="eastAsia" w:ascii="宋体" w:hAnsi="宋体" w:eastAsia="宋体" w:cs="宋体"/>
          <w:b/>
          <w:bCs/>
          <w:kern w:val="2"/>
          <w:sz w:val="21"/>
          <w:szCs w:val="21"/>
          <w:lang w:val="en-US" w:eastAsia="zh-CN" w:bidi="ar-SA"/>
        </w:rPr>
        <w:t>一、</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eastAsia="宋体" w:cs="宋体"/>
          <w:b/>
          <w:bCs/>
          <w:kern w:val="2"/>
          <w:sz w:val="21"/>
          <w:szCs w:val="21"/>
          <w:lang w:val="en-US" w:eastAsia="zh-CN" w:bidi="ar-SA"/>
        </w:rPr>
        <w:t>车辆加油及油品要求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是否偏离</w:t>
            </w:r>
          </w:p>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bl>
    <w:p>
      <w:pPr>
        <w:spacing w:line="240" w:lineRule="auto"/>
        <w:ind w:firstLine="422" w:firstLineChars="200"/>
        <w:rPr>
          <w:rFonts w:ascii="宋体" w:hAnsi="宋体"/>
          <w:b/>
          <w:bCs/>
          <w:szCs w:val="21"/>
        </w:rPr>
      </w:pPr>
      <w:bookmarkStart w:id="199" w:name="_Toc2277"/>
    </w:p>
    <w:bookmarkEnd w:id="199"/>
    <w:p>
      <w:pPr>
        <w:pStyle w:val="21"/>
        <w:spacing w:line="240" w:lineRule="auto"/>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21"/>
        <w:numPr>
          <w:ilvl w:val="0"/>
          <w:numId w:val="0"/>
        </w:numPr>
        <w:spacing w:line="240" w:lineRule="auto"/>
        <w:rPr>
          <w:rFonts w:hint="eastAsia"/>
          <w:lang w:val="en-US" w:eastAsia="zh-CN"/>
        </w:rPr>
      </w:pPr>
    </w:p>
    <w:p>
      <w:pPr>
        <w:spacing w:line="24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三、报价要求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numPr>
          <w:ilvl w:val="0"/>
          <w:numId w:val="0"/>
        </w:numPr>
        <w:spacing w:line="240" w:lineRule="auto"/>
        <w:rPr>
          <w:rFonts w:hint="eastAsia" w:ascii="宋体" w:hAnsi="宋体" w:eastAsia="宋体" w:cs="Times New Roman"/>
          <w:b/>
          <w:bCs/>
          <w:kern w:val="2"/>
          <w:sz w:val="21"/>
          <w:szCs w:val="21"/>
          <w:lang w:val="en-US" w:eastAsia="zh-CN" w:bidi="ar-SA"/>
        </w:rPr>
      </w:pPr>
    </w:p>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宋体"/>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6"/>
        <w:numPr>
          <w:ilvl w:val="0"/>
          <w:numId w:val="0"/>
        </w:numPr>
        <w:spacing w:line="240" w:lineRule="auto"/>
        <w:ind w:firstLine="422" w:firstLineChars="200"/>
        <w:rPr>
          <w:rFonts w:hint="eastAsia" w:ascii="宋体" w:hAnsi="宋体" w:cs="Times New Roman"/>
          <w:b/>
          <w:bCs/>
          <w:kern w:val="2"/>
          <w:sz w:val="21"/>
          <w:szCs w:val="21"/>
          <w:lang w:val="en-US" w:eastAsia="zh-CN" w:bidi="ar-SA"/>
        </w:r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五、</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六、</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10" w:type="default"/>
          <w:pgSz w:w="11906" w:h="16838"/>
          <w:pgMar w:top="1440" w:right="1134" w:bottom="1440" w:left="1134" w:header="851" w:footer="992" w:gutter="0"/>
          <w:pgNumType w:fmt="decimal"/>
          <w:cols w:space="720" w:num="1"/>
          <w:docGrid w:linePitch="312" w:charSpace="0"/>
        </w:sect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1"/>
        <w:rPr>
          <w:rFonts w:hint="eastAsia"/>
          <w:lang w:eastAsia="zh-CN"/>
        </w:rPr>
      </w:pPr>
    </w:p>
    <w:tbl>
      <w:tblPr>
        <w:tblStyle w:val="15"/>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1"/>
        <w:spacing w:line="360" w:lineRule="auto"/>
        <w:rPr>
          <w:rFonts w:hint="eastAsia" w:ascii="宋体" w:hAnsi="宋体"/>
          <w:b/>
          <w:bCs/>
          <w:color w:val="auto"/>
          <w:sz w:val="24"/>
        </w:rPr>
      </w:pPr>
    </w:p>
    <w:p>
      <w:pPr>
        <w:pStyle w:val="21"/>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1"/>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1"/>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600" w:firstLineChars="1500"/>
        <w:jc w:val="left"/>
        <w:outlineLvl w:val="0"/>
        <w:rPr>
          <w:rFonts w:ascii="宋体" w:hAnsi="宋体"/>
          <w:color w:val="auto"/>
          <w:sz w:val="24"/>
        </w:rPr>
      </w:pPr>
      <w:bookmarkStart w:id="200" w:name="_Toc9462"/>
      <w:bookmarkStart w:id="201" w:name="_Toc16161"/>
      <w:bookmarkStart w:id="202" w:name="_Toc2112"/>
      <w:r>
        <w:rPr>
          <w:rFonts w:hint="eastAsia" w:ascii="宋体" w:hAnsi="宋体"/>
          <w:color w:val="auto"/>
          <w:sz w:val="24"/>
          <w:lang w:eastAsia="zh-CN"/>
        </w:rPr>
        <w:t>公司</w:t>
      </w:r>
      <w:r>
        <w:rPr>
          <w:rFonts w:hint="eastAsia" w:ascii="宋体" w:hAnsi="宋体"/>
          <w:color w:val="auto"/>
          <w:sz w:val="24"/>
        </w:rPr>
        <w:t>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5524"/>
      <w:bookmarkStart w:id="205" w:name="_Toc20458"/>
      <w:r>
        <w:rPr>
          <w:rFonts w:hint="eastAsia" w:ascii="宋体" w:hAnsi="宋体"/>
          <w:color w:val="auto"/>
          <w:sz w:val="24"/>
          <w:lang w:eastAsia="zh-CN"/>
        </w:rPr>
        <w:t>公司</w:t>
      </w:r>
      <w:r>
        <w:rPr>
          <w:rFonts w:hint="eastAsia" w:ascii="宋体" w:hAnsi="宋体"/>
          <w:color w:val="auto"/>
          <w:sz w:val="24"/>
        </w:rPr>
        <w:t>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6060"/>
      <w:bookmarkStart w:id="208" w:name="_Toc15734"/>
      <w:r>
        <w:rPr>
          <w:rFonts w:hint="eastAsia" w:ascii="宋体" w:hAnsi="宋体"/>
          <w:color w:val="auto"/>
          <w:sz w:val="24"/>
        </w:rPr>
        <w:t>日  期：    年    月     日</w:t>
      </w:r>
      <w:bookmarkEnd w:id="206"/>
      <w:bookmarkEnd w:id="207"/>
      <w:bookmarkEnd w:id="208"/>
    </w:p>
    <w:p>
      <w:pPr>
        <w:pStyle w:val="21"/>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21213"/>
      <w:bookmarkStart w:id="210" w:name="_Toc6214"/>
      <w:bookmarkStart w:id="211" w:name="_Toc31077"/>
      <w:bookmarkStart w:id="212" w:name="_Toc28851"/>
      <w:bookmarkStart w:id="213" w:name="_Toc21561"/>
      <w:bookmarkStart w:id="214" w:name="_Toc31674"/>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bookmarkEnd w:id="209"/>
    <w:bookmarkEnd w:id="210"/>
    <w:bookmarkEnd w:id="211"/>
    <w:bookmarkEnd w:id="212"/>
    <w:p>
      <w:pPr>
        <w:pStyle w:val="25"/>
        <w:tabs>
          <w:tab w:val="left" w:pos="1050"/>
          <w:tab w:val="center" w:pos="4535"/>
        </w:tabs>
        <w:spacing w:line="360" w:lineRule="auto"/>
        <w:jc w:val="center"/>
        <w:outlineLvl w:val="0"/>
        <w:rPr>
          <w:b/>
          <w:bCs/>
          <w:sz w:val="32"/>
          <w:szCs w:val="32"/>
        </w:rPr>
      </w:pPr>
      <w:bookmarkStart w:id="215" w:name="_Toc19528"/>
      <w:bookmarkStart w:id="216" w:name="_Toc31787"/>
      <w:bookmarkStart w:id="217" w:name="_Toc23684"/>
      <w:bookmarkStart w:id="218" w:name="_Toc14020"/>
      <w:bookmarkStart w:id="219" w:name="_Toc18443"/>
      <w:bookmarkStart w:id="220" w:name="_Toc22175"/>
      <w:bookmarkStart w:id="221" w:name="_Toc3241"/>
      <w:bookmarkStart w:id="222" w:name="_Toc3758"/>
      <w:bookmarkStart w:id="223" w:name="_Toc15050"/>
      <w:bookmarkStart w:id="224" w:name="_Toc28957"/>
      <w:bookmarkStart w:id="225" w:name="_Toc7276"/>
      <w:bookmarkStart w:id="226" w:name="_Toc14591"/>
      <w:bookmarkStart w:id="227" w:name="_Toc23685"/>
      <w:bookmarkStart w:id="228" w:name="_Toc14853"/>
      <w:r>
        <w:rPr>
          <w:rFonts w:hint="eastAsia"/>
          <w:b/>
          <w:bCs/>
          <w:sz w:val="32"/>
          <w:szCs w:val="32"/>
        </w:rPr>
        <w:t>法定代表人资格证明书</w:t>
      </w:r>
      <w:bookmarkEnd w:id="215"/>
      <w:bookmarkEnd w:id="216"/>
      <w:bookmarkEnd w:id="217"/>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18"/>
    <w:bookmarkEnd w:id="219"/>
    <w:bookmarkEnd w:id="220"/>
    <w:bookmarkEnd w:id="221"/>
    <w:bookmarkEnd w:id="222"/>
    <w:bookmarkEnd w:id="223"/>
    <w:bookmarkEnd w:id="224"/>
    <w:bookmarkEnd w:id="225"/>
    <w:bookmarkEnd w:id="226"/>
    <w:bookmarkEnd w:id="227"/>
    <w:bookmarkEnd w:id="228"/>
    <w:p>
      <w:pPr>
        <w:pStyle w:val="25"/>
        <w:spacing w:line="360" w:lineRule="auto"/>
        <w:jc w:val="center"/>
        <w:outlineLvl w:val="0"/>
        <w:rPr>
          <w:b/>
          <w:bCs/>
          <w:sz w:val="32"/>
          <w:szCs w:val="32"/>
        </w:rPr>
      </w:pPr>
      <w:bookmarkStart w:id="229" w:name="_Toc9844"/>
      <w:bookmarkStart w:id="230" w:name="_Toc23308"/>
      <w:bookmarkStart w:id="231" w:name="_Toc17511"/>
      <w:r>
        <w:rPr>
          <w:rFonts w:hint="eastAsia"/>
          <w:b/>
          <w:bCs/>
          <w:sz w:val="32"/>
          <w:szCs w:val="32"/>
        </w:rPr>
        <w:t>法定代表人授权委托书</w:t>
      </w:r>
      <w:bookmarkEnd w:id="229"/>
      <w:bookmarkEnd w:id="230"/>
      <w:bookmarkEnd w:id="231"/>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32" w:name="_Toc10212"/>
      <w:bookmarkStart w:id="233" w:name="_Toc32281"/>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20</w:t>
      </w:r>
      <w:r>
        <w:rPr>
          <w:rFonts w:hint="eastAsia"/>
          <w:b/>
          <w:bCs/>
          <w:color w:val="auto"/>
          <w:sz w:val="32"/>
          <w:szCs w:val="32"/>
          <w:lang w:val="en-US" w:eastAsia="zh-CN"/>
        </w:rPr>
        <w:t>21</w:t>
      </w:r>
      <w:r>
        <w:rPr>
          <w:rFonts w:hint="eastAsia"/>
          <w:b/>
          <w:bCs/>
          <w:color w:val="auto"/>
          <w:sz w:val="32"/>
          <w:szCs w:val="32"/>
        </w:rPr>
        <w:t>年</w:t>
      </w:r>
      <w:r>
        <w:rPr>
          <w:rFonts w:hint="eastAsia"/>
          <w:b/>
          <w:bCs/>
          <w:color w:val="auto"/>
          <w:sz w:val="32"/>
          <w:szCs w:val="32"/>
          <w:lang w:val="en-US" w:eastAsia="zh-CN"/>
        </w:rPr>
        <w:t>1月1日</w:t>
      </w:r>
      <w:r>
        <w:rPr>
          <w:rFonts w:hint="eastAsia"/>
          <w:b/>
          <w:bCs/>
          <w:color w:val="auto"/>
          <w:sz w:val="32"/>
          <w:szCs w:val="32"/>
        </w:rPr>
        <w:t>至今同类项目经验情况一览表</w:t>
      </w:r>
      <w:bookmarkEnd w:id="213"/>
      <w:bookmarkEnd w:id="214"/>
      <w:bookmarkEnd w:id="232"/>
      <w:bookmarkEnd w:id="233"/>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1"/>
        <w:rPr>
          <w:rFonts w:ascii="宋体" w:hAnsi="宋体"/>
          <w:color w:val="auto"/>
          <w:sz w:val="24"/>
        </w:rPr>
      </w:pPr>
    </w:p>
    <w:p>
      <w:pPr>
        <w:pStyle w:val="21"/>
        <w:spacing w:line="360" w:lineRule="auto"/>
        <w:ind w:firstLine="480" w:firstLineChars="200"/>
        <w:outlineLvl w:val="0"/>
        <w:rPr>
          <w:b/>
          <w:bCs/>
          <w:color w:val="auto"/>
          <w:sz w:val="36"/>
          <w:szCs w:val="36"/>
        </w:rPr>
      </w:pPr>
      <w:bookmarkStart w:id="234" w:name="_Toc6536"/>
      <w:bookmarkStart w:id="235" w:name="_Toc16613"/>
      <w:r>
        <w:rPr>
          <w:rFonts w:hint="eastAsia" w:ascii="宋体" w:hAnsi="宋体"/>
          <w:color w:val="auto"/>
          <w:sz w:val="24"/>
        </w:rPr>
        <w:t>注：20</w:t>
      </w:r>
      <w:r>
        <w:rPr>
          <w:rFonts w:hint="eastAsia" w:ascii="宋体" w:hAnsi="宋体"/>
          <w:color w:val="auto"/>
          <w:sz w:val="24"/>
          <w:lang w:val="en-US" w:eastAsia="zh-CN"/>
        </w:rPr>
        <w:t>21</w:t>
      </w:r>
      <w:r>
        <w:rPr>
          <w:rFonts w:hint="eastAsia" w:ascii="宋体" w:hAnsi="宋体"/>
          <w:color w:val="auto"/>
          <w:sz w:val="24"/>
        </w:rPr>
        <w:t>年</w:t>
      </w:r>
      <w:r>
        <w:rPr>
          <w:rFonts w:hint="eastAsia" w:ascii="宋体" w:hAnsi="宋体"/>
          <w:color w:val="auto"/>
          <w:sz w:val="24"/>
          <w:lang w:val="en-US" w:eastAsia="zh-CN"/>
        </w:rPr>
        <w:t>1月1日</w:t>
      </w:r>
      <w:r>
        <w:rPr>
          <w:rFonts w:hint="eastAsia" w:ascii="宋体" w:hAnsi="宋体"/>
          <w:color w:val="auto"/>
          <w:sz w:val="24"/>
        </w:rPr>
        <w:t>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34"/>
      <w:bookmarkEnd w:id="235"/>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6" w:name="_Toc40346385"/>
      <w:bookmarkStart w:id="237" w:name="_Toc30558"/>
      <w:bookmarkStart w:id="238" w:name="_Toc20164"/>
      <w:bookmarkStart w:id="239" w:name="_Toc21435"/>
      <w:bookmarkStart w:id="240" w:name="_Toc27180"/>
      <w:bookmarkStart w:id="241" w:name="_Toc9749"/>
      <w:bookmarkStart w:id="242" w:name="_Toc40776119"/>
      <w:bookmarkStart w:id="243" w:name="_Toc40346226"/>
      <w:bookmarkStart w:id="244" w:name="_Toc23732"/>
      <w:bookmarkStart w:id="245" w:name="_Toc16505"/>
      <w:bookmarkStart w:id="246" w:name="_Toc24877"/>
      <w:bookmarkStart w:id="247" w:name="_Toc17929"/>
    </w:p>
    <w:bookmarkEnd w:id="236"/>
    <w:bookmarkEnd w:id="237"/>
    <w:bookmarkEnd w:id="238"/>
    <w:bookmarkEnd w:id="239"/>
    <w:bookmarkEnd w:id="240"/>
    <w:bookmarkEnd w:id="241"/>
    <w:bookmarkEnd w:id="242"/>
    <w:bookmarkEnd w:id="243"/>
    <w:bookmarkEnd w:id="244"/>
    <w:bookmarkEnd w:id="245"/>
    <w:bookmarkEnd w:id="246"/>
    <w:bookmarkEnd w:id="247"/>
    <w:p>
      <w:pPr>
        <w:pStyle w:val="25"/>
        <w:spacing w:line="360" w:lineRule="auto"/>
        <w:jc w:val="center"/>
        <w:outlineLvl w:val="0"/>
        <w:rPr>
          <w:rFonts w:hint="eastAsia"/>
          <w:b/>
          <w:bCs/>
          <w:color w:val="auto"/>
          <w:sz w:val="32"/>
          <w:szCs w:val="32"/>
        </w:rPr>
      </w:pPr>
      <w:bookmarkStart w:id="248" w:name="_Toc14321"/>
      <w:bookmarkStart w:id="249" w:name="_Toc17932"/>
      <w:bookmarkStart w:id="250" w:name="_Toc27834"/>
      <w:bookmarkStart w:id="251" w:name="_Toc1521"/>
      <w:bookmarkStart w:id="252" w:name="_Toc25012"/>
      <w:bookmarkStart w:id="253" w:name="_Toc16816"/>
      <w:bookmarkStart w:id="254" w:name="_Toc2196"/>
      <w:bookmarkStart w:id="255" w:name="_Toc5396"/>
      <w:bookmarkStart w:id="256" w:name="_Toc19803"/>
      <w:bookmarkStart w:id="257" w:name="_Toc24705"/>
      <w:bookmarkStart w:id="258" w:name="_Toc14093"/>
      <w:r>
        <w:rPr>
          <w:rFonts w:hint="eastAsia"/>
          <w:b/>
          <w:bCs/>
          <w:color w:val="auto"/>
          <w:sz w:val="32"/>
          <w:szCs w:val="32"/>
        </w:rPr>
        <w:t>公平竞争承诺书</w:t>
      </w:r>
      <w:bookmarkEnd w:id="248"/>
      <w:bookmarkEnd w:id="249"/>
      <w:bookmarkEnd w:id="250"/>
      <w:bookmarkEnd w:id="251"/>
      <w:bookmarkEnd w:id="252"/>
      <w:bookmarkEnd w:id="253"/>
      <w:bookmarkEnd w:id="254"/>
      <w:bookmarkEnd w:id="255"/>
      <w:bookmarkEnd w:id="256"/>
      <w:bookmarkEnd w:id="257"/>
      <w:bookmarkEnd w:id="258"/>
    </w:p>
    <w:p>
      <w:pPr>
        <w:pStyle w:val="25"/>
        <w:spacing w:line="360" w:lineRule="auto"/>
        <w:jc w:val="both"/>
        <w:outlineLvl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南方医科大学第五附属医院：</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w:t>
      </w:r>
      <w:r>
        <w:rPr>
          <w:rFonts w:hint="eastAsia"/>
          <w:color w:val="auto"/>
          <w:sz w:val="21"/>
          <w:szCs w:val="21"/>
          <w:highlight w:val="yellow"/>
          <w:lang w:val="en-US" w:eastAsia="zh-CN"/>
        </w:rPr>
        <w:t>参加</w:t>
      </w:r>
      <w:r>
        <w:rPr>
          <w:rFonts w:hint="eastAsia"/>
          <w:color w:val="auto"/>
          <w:sz w:val="21"/>
          <w:szCs w:val="21"/>
          <w:highlight w:val="yellow"/>
          <w:u w:val="single"/>
          <w:lang w:val="en-US" w:eastAsia="zh-CN"/>
        </w:rPr>
        <w:t>*******项目（项目编号：******）</w:t>
      </w:r>
      <w:r>
        <w:rPr>
          <w:rFonts w:hint="eastAsia"/>
          <w:color w:val="auto"/>
          <w:sz w:val="21"/>
          <w:szCs w:val="21"/>
          <w:highlight w:val="yellow"/>
          <w:lang w:val="en-US" w:eastAsia="zh-CN"/>
        </w:rPr>
        <w:t xml:space="preserve"> </w:t>
      </w:r>
      <w:r>
        <w:rPr>
          <w:rFonts w:hint="eastAsia"/>
          <w:color w:val="auto"/>
          <w:sz w:val="21"/>
          <w:szCs w:val="21"/>
          <w:lang w:val="en-US" w:eastAsia="zh-CN"/>
        </w:rPr>
        <w:t>的采购活动。为杜绝商业贿赂现象，维护良好管理秩序，共同营造公平、公正的竞争环境，我方郑重承诺：</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3.保证不私下接触贵单位负责采购组织工作的人员及相关领导。 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2"/>
        <w:rPr>
          <w:rFonts w:hint="eastAsia"/>
          <w:color w:val="auto"/>
          <w:sz w:val="21"/>
          <w:szCs w:val="21"/>
        </w:rPr>
      </w:pPr>
    </w:p>
    <w:p>
      <w:pPr>
        <w:pStyle w:val="22"/>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2"/>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ind w:firstLine="1260" w:firstLineChars="6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59" w:name="_Toc20949"/>
      <w:bookmarkStart w:id="260" w:name="_Toc12567"/>
      <w:bookmarkStart w:id="261" w:name="_Toc29986"/>
      <w:bookmarkStart w:id="262" w:name="_Toc4538"/>
      <w:bookmarkStart w:id="263" w:name="_Toc9085"/>
      <w:bookmarkStart w:id="264" w:name="_Toc9333"/>
      <w:bookmarkStart w:id="265" w:name="_Toc12986"/>
      <w:bookmarkStart w:id="266" w:name="_Toc9813"/>
      <w:bookmarkStart w:id="267" w:name="_Toc22349"/>
      <w:bookmarkStart w:id="268" w:name="_Toc6773"/>
      <w:bookmarkStart w:id="269" w:name="_Toc9308"/>
      <w:bookmarkStart w:id="270" w:name="_Toc5237"/>
      <w:r>
        <w:rPr>
          <w:rFonts w:hint="eastAsia"/>
          <w:b/>
          <w:bCs/>
          <w:color w:val="auto"/>
          <w:sz w:val="32"/>
          <w:szCs w:val="32"/>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1"/>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1"/>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1"/>
        <w:rPr>
          <w:rFonts w:hint="eastAsia" w:ascii="宋体" w:hAnsi="宋体"/>
          <w:color w:val="auto"/>
          <w:sz w:val="24"/>
          <w:highlight w:val="none"/>
        </w:rPr>
      </w:pPr>
    </w:p>
    <w:p>
      <w:pPr>
        <w:pStyle w:val="21"/>
        <w:rPr>
          <w:rFonts w:hint="eastAsia" w:ascii="宋体" w:hAnsi="宋体"/>
          <w:color w:val="auto"/>
          <w:sz w:val="24"/>
          <w:highlight w:val="none"/>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1" w:name="_Toc17933"/>
      <w:r>
        <w:rPr>
          <w:rFonts w:hint="eastAsia" w:ascii="宋体" w:hAnsi="宋体" w:eastAsia="宋体"/>
          <w:color w:val="auto"/>
          <w:sz w:val="40"/>
          <w:lang w:eastAsia="zh-CN"/>
        </w:rPr>
        <w:t>合同模板</w:t>
      </w:r>
      <w:bookmarkEnd w:id="271"/>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7862043"/>
    <w:rsid w:val="079C2FAC"/>
    <w:rsid w:val="07ED5D2D"/>
    <w:rsid w:val="0A9C5E28"/>
    <w:rsid w:val="0AA45825"/>
    <w:rsid w:val="0B0A3975"/>
    <w:rsid w:val="0B6E199F"/>
    <w:rsid w:val="0BCD2048"/>
    <w:rsid w:val="0C705246"/>
    <w:rsid w:val="0CAD27D4"/>
    <w:rsid w:val="0ED05230"/>
    <w:rsid w:val="10014154"/>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0D03C68"/>
    <w:rsid w:val="31120C66"/>
    <w:rsid w:val="31EA386E"/>
    <w:rsid w:val="32E15A65"/>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A758D2"/>
    <w:rsid w:val="58D76A1B"/>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7"/>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4"/>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17</Pages>
  <Words>5226</Words>
  <Characters>5527</Characters>
  <Lines>93</Lines>
  <Paragraphs>26</Paragraphs>
  <TotalTime>0</TotalTime>
  <ScaleCrop>false</ScaleCrop>
  <LinksUpToDate>false</LinksUpToDate>
  <CharactersWithSpaces>6227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2024-04-12T00:30:24Z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222C360A81D343FAAFC796000A4406F4</vt:lpwstr>
  </property>
</Properties>
</file>