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远程胎监服务项目</w:t>
      </w: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2"/>
      </w:pPr>
    </w:p>
    <w:p>
      <w:pPr>
        <w:pStyle w:val="22"/>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项目编号：NYWYF2024000</w:t>
      </w:r>
      <w:r>
        <w:rPr>
          <w:rFonts w:hint="eastAsia" w:ascii="宋体" w:hAnsi="宋体" w:cs="Times New Roman"/>
          <w:b/>
          <w:bCs/>
          <w:color w:val="auto"/>
          <w:kern w:val="2"/>
          <w:sz w:val="36"/>
          <w:szCs w:val="36"/>
          <w:highlight w:val="none"/>
          <w:lang w:val="en-US" w:eastAsia="zh-CN" w:bidi="ar-SA"/>
        </w:rPr>
        <w:t>5</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4</w:t>
      </w:r>
      <w:r>
        <w:rPr>
          <w:rFonts w:hint="eastAsia" w:ascii="宋体" w:hAnsi="宋体"/>
          <w:b/>
          <w:bCs/>
          <w:color w:val="auto"/>
          <w:sz w:val="32"/>
          <w:szCs w:val="32"/>
        </w:rPr>
        <w:t>年</w:t>
      </w:r>
      <w:r>
        <w:rPr>
          <w:rFonts w:hint="eastAsia" w:ascii="宋体" w:hAnsi="宋体"/>
          <w:b/>
          <w:bCs/>
          <w:color w:val="auto"/>
          <w:sz w:val="32"/>
          <w:szCs w:val="32"/>
          <w:lang w:val="en-US" w:eastAsia="zh-CN"/>
        </w:rPr>
        <w:t>3</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highlight w:val="yellow"/>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3</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7</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8</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21</w:t>
      </w:r>
      <w:r>
        <w:rPr>
          <w:b/>
          <w:bCs w:val="0"/>
          <w:color w:val="auto"/>
          <w:kern w:val="0"/>
          <w:sz w:val="28"/>
          <w:szCs w:val="28"/>
          <w:highlight w:val="none"/>
        </w:rPr>
        <w:fldChar w:fldCharType="end"/>
      </w:r>
    </w:p>
    <w:p>
      <w:pPr>
        <w:spacing w:line="360" w:lineRule="auto"/>
        <w:jc w:val="both"/>
        <w:outlineLvl w:val="0"/>
        <w:rPr>
          <w:rFonts w:hint="eastAsia" w:ascii="宋体" w:hAnsi="宋体"/>
          <w:b/>
          <w:bCs/>
          <w:color w:val="auto"/>
          <w:sz w:val="28"/>
          <w:szCs w:val="28"/>
          <w:highlight w:val="none"/>
        </w:rPr>
      </w:pPr>
      <w:bookmarkStart w:id="0" w:name="_Toc19427"/>
      <w:bookmarkStart w:id="1" w:name="_Toc40346211"/>
      <w:bookmarkStart w:id="2" w:name="_Toc40776106"/>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5861"/>
      <w:bookmarkStart w:id="4" w:name="_Toc27350"/>
      <w:r>
        <w:rPr>
          <w:rFonts w:hint="eastAsia" w:ascii="宋体" w:hAnsi="宋体" w:eastAsia="宋体" w:cs="宋体"/>
          <w:color w:val="auto"/>
          <w:kern w:val="0"/>
          <w:sz w:val="21"/>
          <w:szCs w:val="21"/>
        </w:rPr>
        <w:t> 为进一步提升产科服务能力，加强孕妇在孕中晚期的胎儿监护，特别是对高危和高龄孕妇的有效管理，及时发现胎儿异常，根据我院业务发展需要，现拟遴选一家服务公司承接医院远程胎监服务，现根据相关规定特此公告，欢迎符合条件的供应商参与报名。</w:t>
      </w:r>
    </w:p>
    <w:p>
      <w:pPr>
        <w:keepNext w:val="0"/>
        <w:keepLines w:val="0"/>
        <w:pageBreakBefore w:val="0"/>
        <w:numPr>
          <w:ilvl w:val="0"/>
          <w:numId w:val="2"/>
        </w:numPr>
        <w:tabs>
          <w:tab w:val="left" w:pos="0"/>
          <w:tab w:val="left" w:pos="7174"/>
        </w:tabs>
        <w:kinsoku/>
        <w:wordWrap/>
        <w:overflowPunct/>
        <w:topLinePunct w:val="0"/>
        <w:bidi w:val="0"/>
        <w:spacing w:line="36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NYWYF2024000</w:t>
      </w:r>
      <w:r>
        <w:rPr>
          <w:rFonts w:hint="eastAsia" w:ascii="宋体" w:hAnsi="宋体" w:cs="宋体"/>
          <w:kern w:val="0"/>
          <w:sz w:val="21"/>
          <w:szCs w:val="21"/>
          <w:lang w:val="en-US" w:eastAsia="zh-CN"/>
        </w:rPr>
        <w:t>5</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w:t>
      </w:r>
      <w:r>
        <w:rPr>
          <w:rFonts w:hint="eastAsia" w:ascii="宋体" w:hAnsi="宋体" w:eastAsia="宋体" w:cs="宋体"/>
          <w:color w:val="000000"/>
          <w:sz w:val="21"/>
          <w:szCs w:val="21"/>
          <w:lang w:val="en-US" w:eastAsia="zh-CN"/>
        </w:rPr>
        <w:t>远程胎监服务项目</w:t>
      </w:r>
    </w:p>
    <w:p>
      <w:pPr>
        <w:pStyle w:val="22"/>
        <w:keepNext w:val="0"/>
        <w:keepLines w:val="0"/>
        <w:pageBreakBefore w:val="0"/>
        <w:kinsoku/>
        <w:wordWrap/>
        <w:overflowPunct/>
        <w:topLinePunct w:val="0"/>
        <w:bidi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w:t>
      </w: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.服务期</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两</w:t>
      </w:r>
      <w:r>
        <w:rPr>
          <w:rFonts w:hint="eastAsia" w:ascii="宋体" w:hAnsi="宋体" w:eastAsia="宋体" w:cs="宋体"/>
          <w:sz w:val="21"/>
          <w:szCs w:val="21"/>
          <w:lang w:val="en-US" w:eastAsia="zh-CN"/>
        </w:rPr>
        <w:t>年</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rPr>
      </w:pPr>
      <w:r>
        <w:rPr>
          <w:rFonts w:hint="eastAsia" w:ascii="宋体" w:hAnsi="宋体" w:cs="宋体"/>
          <w:b/>
          <w:bCs/>
          <w:sz w:val="21"/>
          <w:szCs w:val="21"/>
          <w:lang w:val="en-US" w:eastAsia="zh-CN"/>
        </w:rPr>
        <w:t>4</w:t>
      </w:r>
      <w:r>
        <w:rPr>
          <w:rFonts w:hint="eastAsia" w:ascii="宋体" w:hAnsi="宋体" w:eastAsia="宋体" w:cs="宋体"/>
          <w:b/>
          <w:bCs/>
          <w:sz w:val="21"/>
          <w:szCs w:val="21"/>
        </w:rPr>
        <w:t>.采购内容及要求：</w:t>
      </w:r>
      <w:r>
        <w:rPr>
          <w:rFonts w:hint="eastAsia" w:ascii="宋体" w:hAnsi="宋体" w:eastAsia="宋体" w:cs="宋体"/>
          <w:sz w:val="21"/>
          <w:szCs w:val="21"/>
        </w:rPr>
        <w:t>详见第二部分用户需求书。</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b w:val="0"/>
          <w:bCs w:val="0"/>
          <w:color w:val="auto"/>
          <w:sz w:val="21"/>
          <w:szCs w:val="21"/>
          <w:lang w:val="en-US" w:eastAsia="zh-CN"/>
        </w:rPr>
        <w:t>4年3月</w:t>
      </w:r>
      <w:r>
        <w:rPr>
          <w:rFonts w:hint="eastAsia" w:ascii="宋体" w:hAnsi="宋体" w:cs="宋体"/>
          <w:b w:val="0"/>
          <w:bCs w:val="0"/>
          <w:color w:val="auto"/>
          <w:sz w:val="21"/>
          <w:szCs w:val="21"/>
          <w:lang w:val="en-US" w:eastAsia="zh-CN"/>
        </w:rPr>
        <w:t>29</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1.在中华人民共和国境内注册，具有独立承担民事责任的能力。提交有效的营业执照</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或事业法人登记证或身份证等相关证明） 副本复印件并加盖供应商公章；分公司报名的，必须提供总公司的营业执照副本复印件及总公司针对本项目授权复印件,并加盖供应商公章。</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2.具有良好的商业信書和健全的财务会计制度。需出具声明函，内容必须包含相关文字含义内容，并加盖供应商公章。</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3.具有履行合同所必需的设备和专业技术能力。需出具声明函，内容必须包含相关文字含义内容，并加盖供应商公章。</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cs="宋体"/>
          <w:color w:val="auto"/>
          <w:kern w:val="0"/>
          <w:sz w:val="21"/>
          <w:szCs w:val="21"/>
          <w:lang w:eastAsia="zh-CN"/>
        </w:rPr>
        <w:t>具</w:t>
      </w:r>
      <w:r>
        <w:rPr>
          <w:rFonts w:hint="eastAsia" w:ascii="宋体" w:hAnsi="宋体" w:eastAsia="宋体" w:cs="宋体"/>
          <w:color w:val="auto"/>
          <w:kern w:val="0"/>
          <w:sz w:val="21"/>
          <w:szCs w:val="21"/>
        </w:rPr>
        <w:t>有依法缴纳税收和社会保障资金的良好记录。需出具声明函，内容必须包含相关文字含义内容，并加盖供应商公章。</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5.参加采购活动前三年内，在经营活动中没有重大违法记录。需出具声明函，内容必须包含相关文字含义内容，并加盖供应商公章。</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.单位负责人为同一人或者存在直接控股、管理关系的不同供应商,不得参加同一合同项下的采购活动。需出具声明函，内容必须包含相关文字含义内容，并加盖供应商公章。</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7</w:t>
      </w:r>
      <w:r>
        <w:rPr>
          <w:rFonts w:hint="eastAsia" w:ascii="宋体" w:hAnsi="宋体" w:eastAsia="宋体" w:cs="宋体"/>
          <w:color w:val="auto"/>
          <w:kern w:val="0"/>
          <w:sz w:val="21"/>
          <w:szCs w:val="21"/>
          <w:lang w:val="en-US" w:eastAsia="zh-CN"/>
        </w:rPr>
        <w:t>.供应商所投设备具有有效医疗器械注册证。需提供相关证明材料，并加盖供应商公章。</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shd w:val="clear" w:color="auto" w:fill="FFFFFF"/>
        </w:rPr>
        <w:t>注：供应商若不能同时满足以上条件则视为投标参与无效。</w:t>
      </w:r>
      <w:r>
        <w:rPr>
          <w:rFonts w:hint="eastAsia" w:ascii="宋体" w:hAnsi="宋体" w:eastAsia="宋体" w:cs="宋体"/>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翁</w:t>
      </w:r>
      <w:r>
        <w:rPr>
          <w:rFonts w:hint="eastAsia" w:ascii="宋体" w:hAnsi="宋体" w:eastAsia="宋体" w:cs="宋体"/>
          <w:color w:val="auto"/>
          <w:kern w:val="0"/>
          <w:sz w:val="21"/>
          <w:szCs w:val="21"/>
          <w:lang w:val="en-US" w:eastAsia="zh-CN"/>
        </w:rPr>
        <w:t>老师：020-62236</w:t>
      </w:r>
      <w:r>
        <w:rPr>
          <w:rFonts w:hint="eastAsia" w:ascii="宋体" w:hAnsi="宋体" w:cs="宋体"/>
          <w:color w:val="auto"/>
          <w:kern w:val="0"/>
          <w:sz w:val="21"/>
          <w:szCs w:val="21"/>
          <w:lang w:val="en-US" w:eastAsia="zh-CN"/>
        </w:rPr>
        <w:t>037</w:t>
      </w:r>
      <w:bookmarkStart w:id="286" w:name="_GoBack"/>
      <w:bookmarkEnd w:id="286"/>
      <w:r>
        <w:rPr>
          <w:rFonts w:hint="eastAsia" w:ascii="宋体" w:hAnsi="宋体" w:eastAsia="宋体" w:cs="宋体"/>
          <w:color w:val="auto"/>
          <w:kern w:val="0"/>
          <w:sz w:val="21"/>
          <w:szCs w:val="21"/>
          <w:lang w:val="en-US" w:eastAsia="zh-CN"/>
        </w:rPr>
        <w:t>（项目需求咨询）</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rPr>
        <w:t>南方医科大学第五附属医院</w:t>
      </w:r>
    </w:p>
    <w:p>
      <w:pPr>
        <w:keepNext w:val="0"/>
        <w:keepLines w:val="0"/>
        <w:pageBreakBefore w:val="0"/>
        <w:widowControl/>
        <w:kinsoku/>
        <w:wordWrap/>
        <w:overflowPunct/>
        <w:topLinePunct w:val="0"/>
        <w:bidi w:val="0"/>
        <w:spacing w:line="360" w:lineRule="exact"/>
        <w:jc w:val="right"/>
        <w:textAlignment w:val="auto"/>
        <w:rPr>
          <w:lang w:val="en-US" w:eastAsia="zh-CN"/>
        </w:rPr>
      </w:pPr>
      <w:r>
        <w:rPr>
          <w:rFonts w:hint="eastAsia" w:ascii="宋体" w:hAnsi="宋体" w:eastAsia="宋体" w:cs="宋体"/>
          <w:kern w:val="0"/>
          <w:sz w:val="21"/>
          <w:szCs w:val="21"/>
          <w:lang w:val="en-US" w:eastAsia="zh-CN"/>
        </w:rPr>
        <w:t>2023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cs="宋体"/>
          <w:sz w:val="21"/>
          <w:szCs w:val="21"/>
          <w:shd w:val="clear" w:color="auto" w:fill="FFFFFF"/>
          <w:lang w:val="en-US" w:eastAsia="zh-CN"/>
        </w:rPr>
        <w:t>26</w:t>
      </w:r>
      <w:r>
        <w:rPr>
          <w:rFonts w:hint="eastAsia" w:ascii="宋体" w:hAnsi="宋体" w:eastAsia="宋体" w:cs="宋体"/>
          <w:kern w:val="0"/>
          <w:sz w:val="21"/>
          <w:szCs w:val="21"/>
        </w:rPr>
        <w:t>日</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p>
    <w:p>
      <w:pPr>
        <w:widowControl/>
        <w:spacing w:line="360" w:lineRule="auto"/>
        <w:jc w:val="right"/>
        <w:rPr>
          <w:rFonts w:hint="eastAsia" w:cs="宋体" w:asciiTheme="minorEastAsia" w:hAnsiTheme="minorEastAsia"/>
          <w:kern w:val="0"/>
          <w:sz w:val="21"/>
          <w:szCs w:val="21"/>
        </w:rPr>
      </w:pPr>
    </w:p>
    <w:p>
      <w:pPr>
        <w:bidi w:val="0"/>
        <w:spacing w:line="360" w:lineRule="auto"/>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rFonts w:ascii="Calibri" w:hAnsi="Calibri" w:eastAsia="宋体" w:cs="Times New Roman"/>
          <w:kern w:val="2"/>
          <w:sz w:val="21"/>
          <w:szCs w:val="21"/>
          <w:lang w:val="en-US" w:eastAsia="zh-CN" w:bidi="ar-SA"/>
        </w:rPr>
      </w:pPr>
    </w:p>
    <w:p>
      <w:pPr>
        <w:pStyle w:val="2"/>
        <w:rPr>
          <w:rFonts w:ascii="Calibri" w:hAnsi="Calibri" w:eastAsia="宋体" w:cs="Times New Roman"/>
          <w:kern w:val="2"/>
          <w:sz w:val="21"/>
          <w:szCs w:val="21"/>
          <w:lang w:val="en-US" w:eastAsia="zh-CN" w:bidi="ar-SA"/>
        </w:rPr>
      </w:pPr>
    </w:p>
    <w:p>
      <w:pPr>
        <w:rPr>
          <w:lang w:val="en-US" w:eastAsia="zh-CN"/>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一、项目概况</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b w:val="0"/>
          <w:bCs w:val="0"/>
          <w:sz w:val="21"/>
          <w:szCs w:val="21"/>
        </w:rPr>
        <w:t>远程胎心监护技术服务是通过互联网的连网方式与胎儿监护仪连接，连接远程胎儿监护仪对孕妇的胎儿心率、宫缩压力、胎动的生理参数进行实时监护，方便孕妇就医、保障孕妇孕期胎儿安全。由</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在采购人单位建立服务点，由专业人员指导患者使用远程胎心监护仪，配合医护人员解答监护结果、出具检测报告，向患者提供远程胎心监护仪；提供24小时胎心监护服务；提供自动、人工及专家判读服务；提供实时传输功能。</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二、技术服务要求</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（一）远程胎儿监护系统</w:t>
      </w:r>
      <w:r>
        <w:rPr>
          <w:rFonts w:hint="eastAsia" w:ascii="宋体" w:hAnsi="宋体" w:cs="宋体"/>
          <w:b/>
          <w:bCs/>
          <w:sz w:val="21"/>
          <w:szCs w:val="21"/>
          <w:lang w:val="en-US" w:eastAsia="zh-CN"/>
        </w:rPr>
        <w:t>（此为1项评审参数）</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主要用途：远程胎儿监护网络系统采用互联网的连网方式与胎儿监护仪连接，对连接孕妇的胎儿心率、宫缩压力、胎动的生理参数进行实时监护。特殊病例根据存储的信息可为以后的治疗提供参考和依据。系统可进行文字报警和声音报警提示。可对当前处于监护的孕妇和以前监护过的历史孕妇进行各种所需数据的回顾查看、打印等操作。系统由胎儿监护网络系统、设备终端组成，可连接采购人HIS系统。</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2.采</w:t>
      </w:r>
      <w:r>
        <w:rPr>
          <w:rFonts w:hint="eastAsia" w:ascii="宋体" w:hAnsi="宋体" w:eastAsia="宋体" w:cs="宋体"/>
          <w:b w:val="0"/>
          <w:bCs w:val="0"/>
          <w:sz w:val="21"/>
          <w:szCs w:val="21"/>
          <w:highlight w:val="none"/>
        </w:rPr>
        <w:t>用以太网或</w:t>
      </w:r>
      <w:r>
        <w:rPr>
          <w:rFonts w:hint="eastAsia" w:ascii="宋体" w:hAnsi="宋体" w:eastAsia="宋体" w:cs="宋体"/>
          <w:b w:val="0"/>
          <w:bCs w:val="0"/>
          <w:sz w:val="21"/>
          <w:szCs w:val="21"/>
        </w:rPr>
        <w:t>4.G WIFI，不用重新布线，可连接所有院外胎儿监护仪，同时监护的人数理论上无上限。</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3.院外采用无线网络将孕妇的胎心率、宫缩值、胎动数据传输到中央主机，实现无距离限制的数据传输。</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4.中央主机本地可存储≥100万病例资料及胎心率监护图形，云端可存储的病例资料无上限，并且可随时调出储存监护资料，进行分析、评分或打印输出。具有浏览和查询功能，便于病例查找。</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5.中央站显示胎儿心率曲线、宫缩压力曲线、胎动标记、医生事件标记、当前时间、孕妇姓名等信息，并可冻结和回放。具有超限/到点报警功能。</w:t>
      </w:r>
      <w:bookmarkStart w:id="5" w:name="page47"/>
      <w:bookmarkEnd w:id="5"/>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（二）胎儿监护仪客户端</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1.采用超声多普勒原理。胎心率测量范围：50-210bpm（bpm：次/分钟）。测量误差：≤±2bpm；工作频率：1.0MHz±10%。</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bCs/>
          <w:sz w:val="21"/>
          <w:szCs w:val="21"/>
        </w:rPr>
      </w:pPr>
      <w:r>
        <w:rPr>
          <w:rFonts w:hint="eastAsia" w:ascii="宋体" w:hAnsi="宋体" w:eastAsia="宋体" w:cs="宋体"/>
          <w:b w:val="0"/>
          <w:bCs w:val="0"/>
          <w:sz w:val="21"/>
          <w:szCs w:val="21"/>
        </w:rPr>
        <w:t>▲</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rPr>
        <w:t>.宫缩压力测量范围：0-100压力单位,非线性误差：≤±3%；</w:t>
      </w:r>
      <w:r>
        <w:rPr>
          <w:rFonts w:hint="eastAsia" w:ascii="宋体" w:hAnsi="宋体" w:eastAsia="宋体" w:cs="宋体"/>
          <w:b/>
          <w:bCs/>
          <w:sz w:val="21"/>
          <w:szCs w:val="21"/>
        </w:rPr>
        <w:t>（提供具有</w:t>
      </w:r>
      <w:r>
        <w:rPr>
          <w:rFonts w:hint="eastAsia" w:ascii="宋体" w:hAnsi="宋体" w:eastAsia="宋体" w:cs="宋体"/>
          <w:b/>
          <w:bCs/>
          <w:sz w:val="21"/>
          <w:szCs w:val="21"/>
          <w:lang w:eastAsia="zh-CN"/>
        </w:rPr>
        <w:t>有效期内</w:t>
      </w:r>
      <w:r>
        <w:rPr>
          <w:rFonts w:hint="eastAsia" w:ascii="宋体" w:hAnsi="宋体" w:eastAsia="宋体" w:cs="宋体"/>
          <w:b/>
          <w:bCs/>
          <w:sz w:val="21"/>
          <w:szCs w:val="21"/>
        </w:rPr>
        <w:t>CMA或CNAS资质的第三方检验机构出具的检测报告复印件）。</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rPr>
        <w:t>.产品组成：主机（有屏幕能显示数据）加二合一有线探头（胎心探头和宫缩压探头）。内置可充电锂电池。设备链接孕妇端可以连续监测时长至少达到60分钟，数据分段（系统可设置时间）上传后台，医生可以读取数据。</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rPr>
        <w:t>.孕妇端自动识别胎监定位预警功能：孕妇5分钟内无法找到胎心，系统会自动提示孕妇，10分钟内未监测到符合条件的胎心，系统会自动提示孕妇。</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（三）服务要求</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1.服务内涵</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提供</w:t>
      </w:r>
      <w:r>
        <w:rPr>
          <w:rFonts w:hint="eastAsia" w:ascii="宋体" w:hAnsi="宋体" w:eastAsia="宋体" w:cs="宋体"/>
          <w:b w:val="0"/>
          <w:bCs w:val="0"/>
          <w:sz w:val="21"/>
          <w:szCs w:val="21"/>
          <w:lang w:eastAsia="zh-CN"/>
        </w:rPr>
        <w:t>采购人</w:t>
      </w:r>
      <w:r>
        <w:rPr>
          <w:rFonts w:hint="eastAsia" w:ascii="宋体" w:hAnsi="宋体" w:eastAsia="宋体" w:cs="宋体"/>
          <w:b w:val="0"/>
          <w:bCs w:val="0"/>
          <w:sz w:val="21"/>
          <w:szCs w:val="21"/>
        </w:rPr>
        <w:t>院内产科(门诊、病区、急诊等)胎心监护服务；以智能胎儿监护服务为核心，提高精准记录胎心率、宫缩压力、胎动次数等方面的能力，实现远程监护、报告分析和危险预警，并完成云端记录、历史数据查询、每日报告分析的服务目标，加强孕期数字化管理，提高整体胎儿监护能力，降低采购人</w:t>
      </w:r>
      <w:r>
        <w:rPr>
          <w:rFonts w:hint="eastAsia" w:ascii="宋体" w:hAnsi="宋体" w:eastAsia="宋体" w:cs="宋体"/>
          <w:b w:val="0"/>
          <w:bCs w:val="0"/>
          <w:sz w:val="21"/>
          <w:szCs w:val="21"/>
          <w:lang w:eastAsia="zh-CN"/>
        </w:rPr>
        <w:t>医院</w:t>
      </w:r>
      <w:r>
        <w:rPr>
          <w:rFonts w:hint="eastAsia" w:ascii="宋体" w:hAnsi="宋体" w:eastAsia="宋体" w:cs="宋体"/>
          <w:b w:val="0"/>
          <w:bCs w:val="0"/>
          <w:sz w:val="21"/>
          <w:szCs w:val="21"/>
        </w:rPr>
        <w:t>围产儿的死亡率，提高产科胎心监护服务质量。</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2.服务方式</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▲（1）</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根据采购人需求派驻至少1名技术人员</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妇产科临床专业或护理专业，并经系统的岗前培训</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到采购人单位，负责远程胎儿监护系统的设备管理、设备使用培训、设备租</w:t>
      </w:r>
      <w:r>
        <w:rPr>
          <w:rFonts w:hint="eastAsia" w:ascii="宋体" w:hAnsi="宋体" w:eastAsia="宋体" w:cs="宋体"/>
          <w:b w:val="0"/>
          <w:bCs w:val="0"/>
          <w:sz w:val="21"/>
          <w:szCs w:val="21"/>
          <w:lang w:val="en-US" w:eastAsia="zh-CN"/>
        </w:rPr>
        <w:t>赁和回收等工作。</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▲（2）采购人妇产科医护人员开具监护项目单据后，由</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技术人员到采购人单位对孕妇提供</w:t>
      </w:r>
      <w:r>
        <w:rPr>
          <w:rFonts w:hint="eastAsia" w:ascii="宋体" w:hAnsi="宋体" w:eastAsia="宋体" w:cs="宋体"/>
          <w:b w:val="0"/>
          <w:bCs w:val="0"/>
          <w:sz w:val="21"/>
          <w:szCs w:val="21"/>
        </w:rPr>
        <w:t>相关技术咨询指导服务，向孕妇登记发放设备，并指导培训孕妇安全使用。</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（3）孕产妇使用的设备，所上传的胎儿监护数据和结果，</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技术人员（</w:t>
      </w:r>
      <w:r>
        <w:rPr>
          <w:rFonts w:hint="eastAsia" w:ascii="宋体" w:hAnsi="宋体" w:eastAsia="宋体" w:cs="宋体"/>
          <w:b w:val="0"/>
          <w:bCs w:val="0"/>
          <w:sz w:val="21"/>
          <w:szCs w:val="21"/>
          <w:lang w:val="en-US" w:eastAsia="zh-CN"/>
        </w:rPr>
        <w:t>妇产科专业，职称为主治及以上</w:t>
      </w:r>
      <w:r>
        <w:rPr>
          <w:rFonts w:hint="eastAsia" w:ascii="宋体" w:hAnsi="宋体" w:eastAsia="宋体" w:cs="宋体"/>
          <w:b w:val="0"/>
          <w:bCs w:val="0"/>
          <w:sz w:val="21"/>
          <w:szCs w:val="21"/>
        </w:rPr>
        <w:t>）负责进行初步处理和分析，20分钟内，</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技术人员（</w:t>
      </w:r>
      <w:r>
        <w:rPr>
          <w:rFonts w:hint="eastAsia" w:ascii="宋体" w:hAnsi="宋体" w:eastAsia="宋体" w:cs="宋体"/>
          <w:b w:val="0"/>
          <w:bCs w:val="0"/>
          <w:sz w:val="21"/>
          <w:szCs w:val="21"/>
          <w:lang w:val="en-US" w:eastAsia="zh-CN"/>
        </w:rPr>
        <w:t>妇产科专业，职称为主治及以上</w:t>
      </w:r>
      <w:r>
        <w:rPr>
          <w:rFonts w:hint="eastAsia" w:ascii="宋体" w:hAnsi="宋体" w:eastAsia="宋体" w:cs="宋体"/>
          <w:b w:val="0"/>
          <w:bCs w:val="0"/>
          <w:sz w:val="21"/>
          <w:szCs w:val="21"/>
        </w:rPr>
        <w:t>）将数据和初步处理、分析结果传送至采购人指定医生工作站（或采购人对应孕产妇监管医生的智能手机）和孕产妇的智能手机上。</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▲（4）数据并发解决方案：胎监孕妇同时间在线量较大情况，数据同时段上传并发较高，系统可自动分流到孕产妇监管医生。</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▲（5）服务期间，</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负责相关设备技术培训及售后维护等工作（4小时内），设备因质量因素损失、灭失的，</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负责维修、更换服务。</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eastAsia="宋体" w:cs="宋体"/>
          <w:b/>
          <w:bCs/>
          <w:sz w:val="21"/>
          <w:szCs w:val="21"/>
          <w:lang w:eastAsia="zh-CN"/>
        </w:rPr>
        <w:t>服务</w:t>
      </w:r>
      <w:r>
        <w:rPr>
          <w:rFonts w:hint="eastAsia" w:ascii="宋体" w:hAnsi="宋体" w:eastAsia="宋体" w:cs="宋体"/>
          <w:b/>
          <w:bCs/>
          <w:sz w:val="21"/>
          <w:szCs w:val="21"/>
        </w:rPr>
        <w:t>费用收取方式及标准</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按照孕妇使用设备收取</w:t>
      </w:r>
      <w:r>
        <w:rPr>
          <w:rFonts w:hint="eastAsia" w:ascii="宋体" w:hAnsi="宋体" w:eastAsia="宋体" w:cs="宋体"/>
          <w:b w:val="0"/>
          <w:bCs w:val="0"/>
          <w:sz w:val="21"/>
          <w:szCs w:val="21"/>
          <w:lang w:eastAsia="zh-CN"/>
        </w:rPr>
        <w:t>服务</w:t>
      </w:r>
      <w:r>
        <w:rPr>
          <w:rFonts w:hint="eastAsia" w:ascii="宋体" w:hAnsi="宋体" w:eastAsia="宋体" w:cs="宋体"/>
          <w:b w:val="0"/>
          <w:bCs w:val="0"/>
          <w:sz w:val="21"/>
          <w:szCs w:val="21"/>
        </w:rPr>
        <w:t>费用（可以通过微信、支付宝等方式），服务项目应结合采购人实际情况制定，并经过采购人同意方可实施。</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eastAsia="zh-CN"/>
        </w:rPr>
        <w:t>按照孕妇使用设备收取设备租赁费</w:t>
      </w:r>
      <w:r>
        <w:rPr>
          <w:rFonts w:hint="eastAsia" w:ascii="宋体" w:hAnsi="宋体" w:eastAsia="宋体" w:cs="宋体"/>
          <w:b w:val="0"/>
          <w:bCs w:val="0"/>
          <w:sz w:val="21"/>
          <w:szCs w:val="21"/>
          <w:lang w:val="en-US" w:eastAsia="zh-CN"/>
        </w:rPr>
        <w:t>及判读费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两者合计不超过1</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00元/月/人</w:t>
      </w:r>
      <w:r>
        <w:rPr>
          <w:rFonts w:hint="eastAsia" w:ascii="宋体" w:hAnsi="宋体" w:eastAsia="宋体" w:cs="宋体"/>
          <w:b w:val="0"/>
          <w:bCs w:val="0"/>
          <w:sz w:val="21"/>
          <w:szCs w:val="21"/>
          <w:lang w:eastAsia="zh-CN"/>
        </w:rPr>
        <w:t>。</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）服务能力和义务</w:t>
      </w:r>
      <w:bookmarkStart w:id="6" w:name="page48"/>
      <w:bookmarkEnd w:id="6"/>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a</w:t>
      </w:r>
      <w:r>
        <w:rPr>
          <w:rFonts w:hint="eastAsia" w:ascii="宋体" w:hAnsi="宋体" w:eastAsia="宋体" w:cs="宋体"/>
          <w:b w:val="0"/>
          <w:bCs w:val="0"/>
          <w:sz w:val="21"/>
          <w:szCs w:val="21"/>
          <w:lang w:eastAsia="zh-CN"/>
        </w:rPr>
        <w:t>.</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为采购人提供数据分析的同时将数据传输给采购人（胎监数据无异常，采购人通过电脑终端、手机APP的方式均可查看数据，或</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予以定期报告）。</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b</w:t>
      </w:r>
      <w:r>
        <w:rPr>
          <w:rFonts w:hint="eastAsia" w:ascii="宋体" w:hAnsi="宋体" w:eastAsia="宋体" w:cs="宋体"/>
          <w:b w:val="0"/>
          <w:bCs w:val="0"/>
          <w:sz w:val="21"/>
          <w:szCs w:val="21"/>
          <w:lang w:eastAsia="zh-CN"/>
        </w:rPr>
        <w:t>.</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提供远程胎儿监护服务中，</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负责远程数据的实时动态服务，包含对监护数据的实时监测、报告分析及预警信息提示。若发现胎心曲线异常，第一步，</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及时通知采购人监管工作站医生或值班医生，同时告知孕产妇及其家人；情况比较严重时，</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在完成第一步工作的同时，通知采购人产科值班主任或科室主任；危急情况下，</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负责及时通知孕妇前往医院就诊。</w:t>
      </w:r>
      <w:r>
        <w:rPr>
          <w:rFonts w:hint="eastAsia" w:ascii="宋体" w:hAnsi="宋体" w:cs="宋体"/>
          <w:b/>
          <w:bCs/>
          <w:sz w:val="21"/>
          <w:szCs w:val="21"/>
          <w:lang w:eastAsia="zh-CN"/>
        </w:rPr>
        <w:t>（需提供承诺函，并加盖供应商公章）</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bCs/>
          <w:sz w:val="21"/>
          <w:szCs w:val="21"/>
          <w:lang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c</w:t>
      </w:r>
      <w:r>
        <w:rPr>
          <w:rFonts w:hint="eastAsia" w:ascii="宋体" w:hAnsi="宋体" w:eastAsia="宋体" w:cs="宋体"/>
          <w:b w:val="0"/>
          <w:bCs w:val="0"/>
          <w:sz w:val="21"/>
          <w:szCs w:val="21"/>
          <w:lang w:eastAsia="zh-CN"/>
        </w:rPr>
        <w:t>.在动态远程数据分析服务过程中，</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发现异常数据时需通过采购人和孕妇预留的电话发出预警信息。由于</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的产品质量问题导致监测数据错误或不完善，而造成的责任全部由</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承担。</w:t>
      </w:r>
      <w:r>
        <w:rPr>
          <w:rFonts w:hint="eastAsia" w:ascii="宋体" w:hAnsi="宋体" w:eastAsia="宋体" w:cs="宋体"/>
          <w:b/>
          <w:bCs/>
          <w:sz w:val="21"/>
          <w:szCs w:val="21"/>
          <w:lang w:eastAsia="zh-CN"/>
        </w:rPr>
        <w:t>（需提供承诺函，并加盖供应商公章）</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d</w:t>
      </w:r>
      <w:r>
        <w:rPr>
          <w:rFonts w:hint="eastAsia" w:ascii="宋体" w:hAnsi="宋体" w:eastAsia="宋体" w:cs="宋体"/>
          <w:b w:val="0"/>
          <w:bCs w:val="0"/>
          <w:sz w:val="21"/>
          <w:szCs w:val="21"/>
          <w:lang w:eastAsia="zh-CN"/>
        </w:rPr>
        <w:t>.平台运营人员需经专业培训，并具有熟练和准确的胎监结果判读能力，其中平台值班</w:t>
      </w:r>
      <w:r>
        <w:rPr>
          <w:rFonts w:hint="eastAsia" w:ascii="宋体" w:hAnsi="宋体" w:eastAsia="宋体" w:cs="宋体"/>
          <w:b w:val="0"/>
          <w:bCs w:val="0"/>
          <w:sz w:val="21"/>
          <w:szCs w:val="21"/>
          <w:highlight w:val="none"/>
          <w:lang w:eastAsia="zh-CN"/>
        </w:rPr>
        <w:t>医</w:t>
      </w:r>
      <w:r>
        <w:rPr>
          <w:rFonts w:hint="eastAsia" w:ascii="宋体" w:hAnsi="宋体" w:eastAsia="宋体" w:cs="宋体"/>
          <w:b w:val="0"/>
          <w:bCs w:val="0"/>
          <w:sz w:val="21"/>
          <w:szCs w:val="21"/>
          <w:lang w:eastAsia="zh-CN"/>
        </w:rPr>
        <w:t>生是</w:t>
      </w:r>
      <w:r>
        <w:rPr>
          <w:rFonts w:hint="eastAsia" w:ascii="宋体" w:hAnsi="宋体" w:eastAsia="宋体" w:cs="宋体"/>
          <w:b w:val="0"/>
          <w:bCs w:val="0"/>
          <w:sz w:val="21"/>
          <w:szCs w:val="21"/>
          <w:lang w:val="en-US" w:eastAsia="zh-CN"/>
        </w:rPr>
        <w:t>中级职称及以上的</w:t>
      </w:r>
      <w:r>
        <w:rPr>
          <w:rFonts w:hint="eastAsia" w:ascii="宋体" w:hAnsi="宋体" w:eastAsia="宋体" w:cs="宋体"/>
          <w:b w:val="0"/>
          <w:bCs w:val="0"/>
          <w:sz w:val="21"/>
          <w:szCs w:val="21"/>
          <w:lang w:eastAsia="zh-CN"/>
        </w:rPr>
        <w:t>妇产科医生；派驻人员需掌握规范、正确的胎监的测量方法。参与该项目所有人员具有保守孕妇隐私的责任，均不得泄露孕妇任何信息。</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4.服务保障</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（1）远程胎儿监测设备不少于</w:t>
      </w:r>
      <w:r>
        <w:rPr>
          <w:rFonts w:hint="eastAsia" w:ascii="宋体" w:hAnsi="宋体" w:cs="宋体"/>
          <w:b w:val="0"/>
          <w:bCs w:val="0"/>
          <w:sz w:val="21"/>
          <w:szCs w:val="21"/>
          <w:lang w:val="en-US" w:eastAsia="zh-CN"/>
        </w:rPr>
        <w:t>20</w:t>
      </w:r>
      <w:r>
        <w:rPr>
          <w:rFonts w:hint="eastAsia" w:ascii="宋体" w:hAnsi="宋体" w:eastAsia="宋体" w:cs="宋体"/>
          <w:b w:val="0"/>
          <w:bCs w:val="0"/>
          <w:sz w:val="21"/>
          <w:szCs w:val="21"/>
          <w:lang w:val="en-US" w:eastAsia="zh-CN"/>
        </w:rPr>
        <w:t>台/月，满足孕妇需求。</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需有应急保障方案完善详细，包含但不限于设备不足、设备存在故障、软件系统出现故障等情况的应急响应机制，并做好</w:t>
      </w:r>
      <w:r>
        <w:rPr>
          <w:rFonts w:hint="eastAsia" w:ascii="宋体" w:hAnsi="宋体" w:eastAsia="宋体" w:cs="宋体"/>
          <w:b w:val="0"/>
          <w:bCs w:val="0"/>
          <w:sz w:val="21"/>
          <w:szCs w:val="21"/>
        </w:rPr>
        <w:t>采购人医生非工作时间及节假日期间病情诊治和应急处理方面的补位，提供可行的运行方案。</w:t>
      </w:r>
    </w:p>
    <w:p>
      <w:pPr>
        <w:keepNext w:val="0"/>
        <w:keepLines w:val="0"/>
        <w:pageBreakBefore w:val="0"/>
        <w:numPr>
          <w:ilvl w:val="0"/>
          <w:numId w:val="0"/>
        </w:numPr>
        <w:kinsoku/>
        <w:wordWrap/>
        <w:overflowPunct/>
        <w:topLinePunct w:val="0"/>
        <w:autoSpaceDE w:val="0"/>
        <w:autoSpaceDN w:val="0"/>
        <w:bidi w:val="0"/>
        <w:spacing w:line="360" w:lineRule="exact"/>
        <w:ind w:firstLine="210" w:firstLineChars="1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应当依照《互联网诊疗管理办法（试行）》进行诊断活动。</w:t>
      </w:r>
      <w:r>
        <w:rPr>
          <w:rFonts w:hint="eastAsia" w:ascii="宋体" w:hAnsi="宋体" w:cs="宋体"/>
          <w:b/>
          <w:bCs/>
          <w:sz w:val="21"/>
          <w:szCs w:val="21"/>
          <w:lang w:eastAsia="zh-CN"/>
        </w:rPr>
        <w:t>（需提供承诺函，并加盖供应商公章）</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四、商务要求</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bookmarkStart w:id="7" w:name="page49"/>
      <w:bookmarkEnd w:id="7"/>
      <w:r>
        <w:rPr>
          <w:rFonts w:hint="eastAsia" w:ascii="宋体" w:hAnsi="宋体" w:eastAsia="宋体" w:cs="宋体"/>
          <w:b w:val="0"/>
          <w:bCs w:val="0"/>
          <w:sz w:val="21"/>
          <w:szCs w:val="21"/>
          <w:lang w:eastAsia="zh-CN"/>
        </w:rPr>
        <w:t>1.服务期限：两年。</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2.管理费（</w:t>
      </w:r>
      <w:r>
        <w:rPr>
          <w:rFonts w:hint="eastAsia" w:ascii="宋体" w:hAnsi="宋体" w:cs="宋体"/>
          <w:b w:val="0"/>
          <w:bCs w:val="0"/>
          <w:sz w:val="21"/>
          <w:szCs w:val="21"/>
          <w:highlight w:val="none"/>
          <w:lang w:val="en-US" w:eastAsia="zh-CN"/>
        </w:rPr>
        <w:t>含税</w:t>
      </w:r>
      <w:r>
        <w:rPr>
          <w:rFonts w:hint="eastAsia" w:ascii="宋体" w:hAnsi="宋体" w:eastAsia="宋体" w:cs="宋体"/>
          <w:b w:val="0"/>
          <w:bCs w:val="0"/>
          <w:sz w:val="21"/>
          <w:szCs w:val="21"/>
          <w:highlight w:val="none"/>
          <w:lang w:val="en-US" w:eastAsia="zh-CN"/>
        </w:rPr>
        <w:t>）：每月每人不低于实收服务费的10%收取管理费用。按实际服务孕妇数量进行结算。</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3.结算方式：</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合同期内，结算按照月结方式执行，所有税费由</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承担。</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根据管理费收取标准，提供</w:t>
      </w:r>
      <w:r>
        <w:rPr>
          <w:rFonts w:hint="eastAsia" w:ascii="宋体" w:hAnsi="宋体" w:eastAsia="宋体" w:cs="宋体"/>
          <w:b w:val="0"/>
          <w:bCs w:val="0"/>
          <w:sz w:val="21"/>
          <w:szCs w:val="21"/>
          <w:lang w:eastAsia="zh-CN"/>
        </w:rPr>
        <w:t>远程胎监服务登记表、设备押金收据以及</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服务费用统计表，在</w:t>
      </w:r>
      <w:r>
        <w:rPr>
          <w:rFonts w:hint="eastAsia" w:ascii="宋体" w:hAnsi="宋体" w:eastAsia="宋体" w:cs="宋体"/>
          <w:b w:val="0"/>
          <w:bCs w:val="0"/>
          <w:sz w:val="21"/>
          <w:szCs w:val="21"/>
          <w:lang w:val="en-US" w:eastAsia="zh-CN"/>
        </w:rPr>
        <w:t>每月1日前统计上月实际提供远程胎监服务产妇数量给采购人确认并核对无误后，</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在每月5日前支付上月管理费用到采购人指定账户，管理费用按成交价收取。</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服务地点：采购人指定地点。</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bCs/>
          <w:sz w:val="21"/>
          <w:szCs w:val="21"/>
          <w:lang w:eastAsia="zh-CN"/>
        </w:rPr>
      </w:pPr>
      <w:r>
        <w:rPr>
          <w:rFonts w:hint="eastAsia" w:ascii="宋体" w:hAnsi="宋体" w:eastAsia="宋体" w:cs="宋体"/>
          <w:b w:val="0"/>
          <w:bCs w:val="0"/>
          <w:sz w:val="21"/>
          <w:szCs w:val="21"/>
          <w:lang w:val="en-US" w:eastAsia="zh-CN"/>
        </w:rPr>
        <w:t>5.</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在参与本次招标活动前三年无违法违规收集使用个人信息行为，</w:t>
      </w:r>
      <w:r>
        <w:rPr>
          <w:rFonts w:hint="eastAsia" w:ascii="宋体" w:hAnsi="宋体" w:eastAsia="宋体" w:cs="宋体"/>
          <w:b/>
          <w:bCs/>
          <w:sz w:val="21"/>
          <w:szCs w:val="21"/>
          <w:lang w:val="en-US" w:eastAsia="zh-CN"/>
        </w:rPr>
        <w:t>需提供承诺函</w:t>
      </w:r>
      <w:r>
        <w:rPr>
          <w:rFonts w:hint="eastAsia" w:ascii="宋体" w:hAnsi="宋体" w:eastAsia="宋体" w:cs="宋体"/>
          <w:b/>
          <w:bCs/>
          <w:sz w:val="21"/>
          <w:szCs w:val="21"/>
          <w:lang w:eastAsia="zh-CN"/>
        </w:rPr>
        <w:t>。</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6.</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在本项目服务期间，若违法违规收集并使用与本诊疗活动有关的个人信息进行非法活动，将承担相应法律责任同时承担不低于非法利益10倍的经济赔偿。采购人与供应商即时终止合同且不负任何违约责任。</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lang w:eastAsia="zh-CN"/>
        </w:rPr>
        <w:t>参与本服务活动所有病人的数据及相关信息归采购人所有，</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不得另作它用。服务活动终止后，应采购人要求在规定的时间内完成移交，且保证数据的完整性。</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lang w:eastAsia="zh-CN"/>
        </w:rPr>
        <w:t>服务合同签订15个工作日内，</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lang w:eastAsia="zh-CN"/>
        </w:rPr>
        <w:t>必须提供至少</w:t>
      </w:r>
      <w:r>
        <w:rPr>
          <w:rFonts w:hint="eastAsia" w:ascii="宋体" w:hAnsi="宋体" w:eastAsia="宋体" w:cs="宋体"/>
          <w:b w:val="0"/>
          <w:bCs w:val="0"/>
          <w:sz w:val="21"/>
          <w:szCs w:val="21"/>
          <w:lang w:val="en-US" w:eastAsia="zh-CN"/>
        </w:rPr>
        <w:t>1名</w:t>
      </w:r>
      <w:r>
        <w:rPr>
          <w:rFonts w:hint="eastAsia" w:ascii="宋体" w:hAnsi="宋体" w:eastAsia="宋体" w:cs="宋体"/>
          <w:b w:val="0"/>
          <w:bCs w:val="0"/>
          <w:sz w:val="21"/>
          <w:szCs w:val="21"/>
          <w:lang w:eastAsia="zh-CN"/>
        </w:rPr>
        <w:t>驻场人员（</w:t>
      </w:r>
      <w:r>
        <w:rPr>
          <w:rFonts w:hint="eastAsia" w:ascii="宋体" w:hAnsi="宋体" w:eastAsia="宋体" w:cs="宋体"/>
          <w:b w:val="0"/>
          <w:bCs w:val="0"/>
          <w:sz w:val="21"/>
          <w:szCs w:val="21"/>
          <w:lang w:val="en-US" w:eastAsia="zh-CN"/>
        </w:rPr>
        <w:t>妇产科临床专业或护理专业，并经系统的岗前培训</w:t>
      </w:r>
      <w:r>
        <w:rPr>
          <w:rFonts w:hint="eastAsia" w:ascii="宋体" w:hAnsi="宋体" w:eastAsia="宋体" w:cs="宋体"/>
          <w:b w:val="0"/>
          <w:bCs w:val="0"/>
          <w:sz w:val="21"/>
          <w:szCs w:val="21"/>
          <w:lang w:eastAsia="zh-CN"/>
        </w:rPr>
        <w:t>）保障系统正常运行，避免人员缺位引发的医疗投诉及纠纷，并负责完成产品的调试和使用培训辅导工作。</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9.本项目按月营业额返还比例进行报价评审。</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w:t>
      </w:r>
      <w:r>
        <w:rPr>
          <w:rFonts w:hint="eastAsia" w:ascii="宋体" w:hAnsi="宋体" w:cs="宋体"/>
          <w:b/>
          <w:bCs/>
          <w:sz w:val="21"/>
          <w:szCs w:val="21"/>
          <w:lang w:val="en-US" w:eastAsia="zh-CN"/>
        </w:rPr>
        <w:t>其他</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在合同履行期间，如出现因违法经营受到刑事处罚或者责令停产停业、吊销许可证或者执照、5000元及以上罚款等行政处罚，一经查证属实，采购人有权单方解除协议（合同），且无需承担任何违约责任。</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en-US" w:eastAsia="zh-CN"/>
        </w:rPr>
        <w:t>关于</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对发生孕妇投诉和医疗纠纷的处理及责任划分:如果出现</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平台数据分析人员判读错误，出现医疗纠纷，</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是直接责任人，在项目开展期间出现与项目有关的医疗纠纷，</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应作为第一责任人及时处理及善后(关于处理赔偿等问题，</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可以采取和解赔偿或诉讼等途径，经医疗事故鉴定责任后，按国家相关法规执行)。如</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因此被追究责任的，</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应向</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承担全部责任。</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负责办理员工的劳动用工手续、及工伤意外伤害事故、居住证等事宜及安排住宿。如发生劳动纠纷给</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造成损失，</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应予以赔偿。</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.如发生</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员工造成</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人员或第三方财产损失和人身损害等的，</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应承担连带赔偿赔偿责任，非因</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原因造成</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及其员工财产损失和人身损害等的，</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不承担任何责任。</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发现</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及其员工在服务区使用</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设备、设施、物品和水电做个人私事，发现一次，</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需支付</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违约金200元，累计3次以上（含3次）的，</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有权终止合同，要求</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支付违约金2000元，并且给</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造成的经济损失由</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承担赔偿责任。</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应与员工签订劳动合同，按时支付工资，如出现劳动争议、劳资纠纷、或因其它任何由</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过失出现罢工或给</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造成任何损失的，由</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全权负责，</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有权单方解除合同并给予相应处罚。</w:t>
      </w:r>
    </w:p>
    <w:p>
      <w:pPr>
        <w:keepNext w:val="0"/>
        <w:keepLines w:val="0"/>
        <w:pageBreakBefore w:val="0"/>
        <w:numPr>
          <w:ilvl w:val="0"/>
          <w:numId w:val="0"/>
        </w:numPr>
        <w:kinsoku/>
        <w:wordWrap/>
        <w:overflowPunct/>
        <w:topLinePunct w:val="0"/>
        <w:autoSpaceDE w:val="0"/>
        <w:autoSpaceDN w:val="0"/>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7</w:t>
      </w:r>
      <w:r>
        <w:rPr>
          <w:rFonts w:hint="eastAsia" w:ascii="宋体" w:hAnsi="宋体" w:eastAsia="宋体" w:cs="宋体"/>
          <w:b w:val="0"/>
          <w:bCs w:val="0"/>
          <w:sz w:val="21"/>
          <w:szCs w:val="21"/>
          <w:lang w:val="en-US" w:eastAsia="zh-CN"/>
        </w:rPr>
        <w:t>.如遇政策或上级要求终止项目，</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应无条件接受并终止本合同，造成的损失与</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 xml:space="preserve">无关。 </w:t>
      </w:r>
    </w:p>
    <w:p>
      <w:pPr>
        <w:spacing w:line="360" w:lineRule="auto"/>
        <w:ind w:firstLine="422" w:firstLineChars="200"/>
        <w:rPr>
          <w:rFonts w:hint="eastAsia" w:ascii="宋体" w:hAnsi="宋体"/>
          <w:b/>
          <w:color w:val="auto"/>
          <w:sz w:val="21"/>
          <w:szCs w:val="21"/>
          <w:highlight w:val="none"/>
        </w:rPr>
      </w:pPr>
      <w:bookmarkStart w:id="8" w:name="_Toc27614"/>
      <w:bookmarkStart w:id="9" w:name="_Toc28850"/>
      <w:bookmarkStart w:id="10" w:name="_Toc20762"/>
      <w:bookmarkStart w:id="11" w:name="_Toc6416"/>
      <w:bookmarkStart w:id="12" w:name="_Toc20606"/>
      <w:bookmarkStart w:id="13" w:name="_Toc26796"/>
      <w:bookmarkStart w:id="14" w:name="_Toc8122"/>
    </w:p>
    <w:p>
      <w:pPr>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备注：</w:t>
      </w:r>
    </w:p>
    <w:p>
      <w:pPr>
        <w:pStyle w:val="7"/>
        <w:spacing w:line="360" w:lineRule="auto"/>
        <w:ind w:firstLine="420" w:firstLineChars="200"/>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1"/>
          <w:szCs w:val="21"/>
          <w:highlight w:val="none"/>
          <w:lang w:val="en-US" w:eastAsia="zh-CN" w:bidi="ar-SA"/>
        </w:rPr>
        <w:t>按无效投标处理。</w:t>
      </w:r>
    </w:p>
    <w:p>
      <w:pPr>
        <w:pStyle w:val="7"/>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trike w:val="0"/>
          <w:dstrike w:val="0"/>
          <w:color w:val="auto"/>
          <w:kern w:val="2"/>
          <w:sz w:val="21"/>
          <w:szCs w:val="21"/>
          <w:highlight w:val="none"/>
          <w:lang w:val="en-US" w:eastAsia="zh-CN" w:bidi="ar-SA"/>
        </w:rPr>
        <w:t>2.标有“▲”的条款均为评审的重要评分指标，报价人若有部分“▲”条款未响应或不满足，将导致</w:t>
      </w:r>
      <w:r>
        <w:rPr>
          <w:rFonts w:hint="eastAsia" w:ascii="宋体" w:hAnsi="宋体" w:eastAsia="宋体" w:cs="宋体"/>
          <w:color w:val="auto"/>
          <w:sz w:val="21"/>
          <w:szCs w:val="21"/>
          <w:highlight w:val="none"/>
          <w:lang w:val="en-US" w:eastAsia="zh-CN"/>
        </w:rPr>
        <w:t>其响应性评审严重扣分。</w:t>
      </w:r>
      <w:bookmarkEnd w:id="1"/>
      <w:bookmarkEnd w:id="2"/>
      <w:bookmarkEnd w:id="8"/>
      <w:bookmarkEnd w:id="9"/>
      <w:bookmarkEnd w:id="10"/>
      <w:bookmarkEnd w:id="11"/>
      <w:bookmarkEnd w:id="12"/>
      <w:bookmarkEnd w:id="13"/>
      <w:bookmarkEnd w:id="14"/>
      <w:bookmarkStart w:id="15" w:name="_Toc3222"/>
      <w:bookmarkStart w:id="16" w:name="_Toc4075"/>
    </w:p>
    <w:p>
      <w:pPr>
        <w:pStyle w:val="7"/>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3.评审基准价：</w:t>
      </w:r>
      <w:r>
        <w:rPr>
          <w:rFonts w:hint="eastAsia" w:ascii="宋体" w:hAnsi="宋体" w:eastAsia="宋体" w:cs="宋体"/>
          <w:color w:val="auto"/>
          <w:sz w:val="21"/>
          <w:szCs w:val="21"/>
          <w:highlight w:val="none"/>
          <w:lang w:val="en-US" w:eastAsia="zh-CN"/>
        </w:rPr>
        <w:t>通过本项目审查且报价价格最高的报价为评审基准价，其价格为满分。</w:t>
      </w:r>
      <w:bookmarkStart w:id="17" w:name="_Toc11917"/>
    </w:p>
    <w:p>
      <w:pPr>
        <w:pStyle w:val="7"/>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.成交原则：</w:t>
      </w:r>
      <w:r>
        <w:rPr>
          <w:rFonts w:hint="eastAsia" w:ascii="宋体" w:hAnsi="宋体" w:eastAsia="宋体" w:cs="宋体"/>
          <w:color w:val="auto"/>
          <w:sz w:val="21"/>
          <w:szCs w:val="21"/>
          <w:highlight w:val="none"/>
        </w:rPr>
        <w:t>根据评审标准按综合评分法进行评审，按其评审总得分由高到低顺序排列评分情况，排名第一的供应商为第一成交候选人。</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.报价要求：本项目采用多轮次报价，各供应商现场再次统一填写总价报价表。</w:t>
      </w:r>
    </w:p>
    <w:p>
      <w:pPr>
        <w:pStyle w:val="7"/>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6.供应商有下列情形之一的，将列入我院黑名单管理，在此后的三年内不得参与我院任何采买活动：</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pStyle w:val="5"/>
        <w:spacing w:line="360" w:lineRule="auto"/>
        <w:rPr>
          <w:rFonts w:hint="eastAsia" w:ascii="宋体" w:hAnsi="宋体" w:eastAsia="宋体" w:cs="宋体"/>
          <w:b w:val="0"/>
          <w:bCs w:val="0"/>
          <w:strike w:val="0"/>
          <w:dstrike w:val="0"/>
          <w:color w:val="auto"/>
          <w:kern w:val="2"/>
          <w:sz w:val="21"/>
          <w:szCs w:val="21"/>
          <w:highlight w:val="none"/>
          <w:lang w:val="en-US" w:eastAsia="zh-CN" w:bidi="ar-SA"/>
        </w:rPr>
      </w:pPr>
    </w:p>
    <w:p>
      <w:pPr>
        <w:pStyle w:val="5"/>
        <w:rPr>
          <w:rFonts w:hint="eastAsia" w:ascii="宋体" w:hAnsi="宋体" w:cs="宋体"/>
          <w:color w:val="0000FF"/>
          <w:sz w:val="21"/>
          <w:szCs w:val="21"/>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jc w:val="center"/>
        <w:outlineLvl w:val="0"/>
        <w:rPr>
          <w:rFonts w:hint="eastAsia"/>
          <w:b/>
          <w:bCs/>
          <w:color w:val="auto"/>
          <w:kern w:val="0"/>
          <w:sz w:val="28"/>
          <w:szCs w:val="28"/>
        </w:rPr>
      </w:pPr>
      <w:r>
        <w:rPr>
          <w:rFonts w:hint="eastAsia"/>
          <w:b/>
          <w:bCs/>
          <w:color w:val="auto"/>
          <w:kern w:val="0"/>
          <w:sz w:val="28"/>
          <w:szCs w:val="28"/>
        </w:rPr>
        <w:t xml:space="preserve">第三部分  </w:t>
      </w:r>
      <w:bookmarkStart w:id="18" w:name="_Toc270"/>
      <w:r>
        <w:rPr>
          <w:rFonts w:hint="eastAsia"/>
          <w:b/>
          <w:bCs/>
          <w:color w:val="auto"/>
          <w:kern w:val="0"/>
          <w:sz w:val="28"/>
          <w:szCs w:val="28"/>
        </w:rPr>
        <w:t>资料整理注意事项</w:t>
      </w:r>
      <w:bookmarkEnd w:id="15"/>
      <w:bookmarkEnd w:id="16"/>
      <w:bookmarkEnd w:id="17"/>
      <w:bookmarkEnd w:id="18"/>
    </w:p>
    <w:p>
      <w:pPr>
        <w:pStyle w:val="8"/>
        <w:numPr>
          <w:ilvl w:val="0"/>
          <w:numId w:val="0"/>
        </w:num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w:t>
      </w:r>
      <w:r>
        <w:rPr>
          <w:rFonts w:hint="eastAsia" w:ascii="宋体" w:hAnsi="宋体" w:cs="宋体"/>
          <w:szCs w:val="21"/>
          <w:lang w:eastAsia="zh-CN"/>
        </w:rPr>
        <w:t>伍</w:t>
      </w:r>
      <w:r>
        <w:rPr>
          <w:rFonts w:hint="eastAsia" w:ascii="宋体" w:hAnsi="宋体" w:cs="宋体"/>
          <w:szCs w:val="21"/>
        </w:rPr>
        <w:t>副共</w:t>
      </w:r>
      <w:r>
        <w:rPr>
          <w:rFonts w:hint="eastAsia" w:ascii="宋体" w:hAnsi="宋体" w:cs="宋体"/>
          <w:szCs w:val="21"/>
          <w:lang w:val="en-US" w:eastAsia="zh-CN"/>
        </w:rPr>
        <w:t>6</w:t>
      </w:r>
      <w:r>
        <w:rPr>
          <w:rFonts w:hint="eastAsia" w:ascii="宋体" w:hAnsi="宋体" w:cs="宋体"/>
          <w:szCs w:val="21"/>
        </w:rPr>
        <w:t>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bidi w:val="0"/>
        <w:rPr>
          <w:rFonts w:hint="eastAsia"/>
        </w:rPr>
      </w:pPr>
      <w:bookmarkStart w:id="19" w:name="_Toc13814"/>
      <w:bookmarkStart w:id="20" w:name="_Toc2647"/>
      <w:bookmarkStart w:id="21" w:name="_Toc2347"/>
      <w:bookmarkStart w:id="22" w:name="_Toc7581"/>
      <w:bookmarkStart w:id="23" w:name="_Toc30326"/>
      <w:bookmarkStart w:id="24" w:name="_Toc40776108"/>
      <w:bookmarkStart w:id="25" w:name="_Toc5829"/>
      <w:bookmarkStart w:id="26" w:name="_Toc19354"/>
      <w:bookmarkStart w:id="27" w:name="_Toc40346213"/>
      <w:bookmarkStart w:id="28" w:name="_Toc30230"/>
      <w:bookmarkStart w:id="29" w:name="_Toc9461"/>
      <w:bookmarkStart w:id="30" w:name="_Toc32164"/>
      <w:bookmarkStart w:id="31" w:name="_Toc32228"/>
    </w:p>
    <w:p>
      <w:pPr>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3"/>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9"/>
      <w:bookmarkEnd w:id="20"/>
      <w:bookmarkEnd w:id="21"/>
      <w:bookmarkEnd w:id="22"/>
      <w:bookmarkEnd w:id="23"/>
      <w:bookmarkEnd w:id="24"/>
      <w:bookmarkEnd w:id="25"/>
      <w:bookmarkEnd w:id="26"/>
      <w:bookmarkEnd w:id="27"/>
      <w:bookmarkEnd w:id="28"/>
      <w:bookmarkEnd w:id="29"/>
      <w:bookmarkEnd w:id="30"/>
      <w:bookmarkEnd w:id="31"/>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21"/>
        <w:rPr>
          <w:color w:val="auto"/>
        </w:rPr>
      </w:pPr>
      <w:bookmarkStart w:id="32" w:name="_Toc11236"/>
      <w:bookmarkStart w:id="33" w:name="_Toc40346214"/>
      <w:bookmarkStart w:id="34" w:name="_Toc30201"/>
      <w:bookmarkStart w:id="35" w:name="_Toc10941"/>
      <w:bookmarkStart w:id="36" w:name="_Toc23126"/>
      <w:bookmarkStart w:id="37" w:name="_Toc17987"/>
      <w:bookmarkStart w:id="38" w:name="_Toc13972"/>
      <w:bookmarkStart w:id="39" w:name="_Toc10842"/>
      <w:bookmarkStart w:id="40" w:name="_Toc40346373"/>
      <w:bookmarkStart w:id="41" w:name="_Toc26336"/>
      <w:bookmarkStart w:id="42" w:name="_Toc40776109"/>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widowControl/>
        <w:spacing w:line="360" w:lineRule="auto"/>
        <w:jc w:val="left"/>
        <w:outlineLvl w:val="0"/>
        <w:rPr>
          <w:rFonts w:ascii="仿宋" w:hAnsi="仿宋" w:eastAsia="仿宋" w:cs="宋体"/>
          <w:b/>
          <w:color w:val="auto"/>
          <w:kern w:val="0"/>
          <w:sz w:val="24"/>
          <w:szCs w:val="32"/>
        </w:rPr>
      </w:pPr>
      <w:bookmarkStart w:id="43" w:name="_Toc13293"/>
      <w:bookmarkStart w:id="44" w:name="_Toc12695"/>
      <w:bookmarkStart w:id="45" w:name="_Toc3033"/>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6" w:name="_Toc15870"/>
      <w:bookmarkStart w:id="47" w:name="_Toc435"/>
      <w:bookmarkStart w:id="48" w:name="_Toc26267"/>
      <w:bookmarkStart w:id="49" w:name="_Toc7291"/>
      <w:bookmarkStart w:id="50" w:name="_Toc28703"/>
      <w:bookmarkStart w:id="51" w:name="_Toc11075"/>
      <w:bookmarkStart w:id="52" w:name="_Toc3471"/>
      <w:bookmarkStart w:id="53" w:name="_Toc21249"/>
      <w:bookmarkStart w:id="54" w:name="_Toc6547"/>
      <w:bookmarkStart w:id="55" w:name="_Toc40346216"/>
      <w:bookmarkStart w:id="56" w:name="_Toc29113"/>
      <w:bookmarkStart w:id="57" w:name="_Toc12520"/>
      <w:bookmarkStart w:id="58" w:name="_Toc40776111"/>
      <w:bookmarkStart w:id="59" w:name="_Toc8364"/>
      <w:bookmarkStart w:id="60" w:name="_Toc40346375"/>
      <w:bookmarkStart w:id="61" w:name="_Toc1994"/>
      <w:bookmarkStart w:id="62" w:name="_Toc11305"/>
    </w:p>
    <w:p>
      <w:pPr>
        <w:widowControl/>
        <w:spacing w:line="360" w:lineRule="auto"/>
        <w:ind w:firstLine="600"/>
        <w:outlineLvl w:val="0"/>
      </w:pPr>
      <w:bookmarkStart w:id="63" w:name="_Toc4769"/>
      <w:r>
        <w:rPr>
          <w:rFonts w:ascii="宋体" w:hAnsi="宋体" w:cs="宋体"/>
          <w:kern w:val="0"/>
          <w:sz w:val="30"/>
          <w:szCs w:val="30"/>
        </w:rPr>
        <w:t>项目编号：</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Start w:id="64" w:name="_Toc40776112"/>
      <w:bookmarkStart w:id="65" w:name="_Toc27997"/>
      <w:bookmarkStart w:id="66" w:name="_Toc20884"/>
      <w:bookmarkStart w:id="67" w:name="_Toc40346217"/>
      <w:bookmarkStart w:id="68" w:name="_Toc40346376"/>
      <w:bookmarkStart w:id="69" w:name="_Toc2916"/>
      <w:bookmarkStart w:id="70" w:name="_Toc1743"/>
      <w:bookmarkStart w:id="71" w:name="_Toc17709"/>
    </w:p>
    <w:p>
      <w:pPr>
        <w:widowControl/>
        <w:spacing w:line="360" w:lineRule="auto"/>
        <w:ind w:firstLine="600"/>
        <w:outlineLvl w:val="0"/>
        <w:rPr>
          <w:rFonts w:cs="宋体"/>
          <w:kern w:val="0"/>
          <w:sz w:val="30"/>
          <w:szCs w:val="30"/>
        </w:rPr>
      </w:pPr>
      <w:bookmarkStart w:id="72" w:name="_Toc2029"/>
      <w:bookmarkStart w:id="73" w:name="_Toc5238"/>
      <w:bookmarkStart w:id="74" w:name="_Toc23992"/>
      <w:bookmarkStart w:id="75" w:name="_Toc23097"/>
      <w:bookmarkStart w:id="76" w:name="_Toc30979"/>
      <w:bookmarkStart w:id="77" w:name="_Toc2012"/>
      <w:bookmarkStart w:id="78" w:name="_Toc11485"/>
      <w:bookmarkStart w:id="79" w:name="_Toc19699"/>
      <w:bookmarkStart w:id="80" w:name="_Toc29102"/>
      <w:bookmarkStart w:id="81" w:name="_Toc31538"/>
      <w:r>
        <w:rPr>
          <w:rFonts w:hint="eastAsia" w:ascii="宋体" w:hAnsi="宋体" w:cs="宋体"/>
          <w:kern w:val="0"/>
          <w:sz w:val="30"/>
          <w:szCs w:val="30"/>
          <w:lang w:eastAsia="zh-CN"/>
        </w:rPr>
        <w:t>供应商</w:t>
      </w:r>
      <w:r>
        <w:rPr>
          <w:rFonts w:ascii="宋体" w:hAnsi="宋体" w:cs="宋体"/>
          <w:kern w:val="0"/>
          <w:sz w:val="30"/>
          <w:szCs w:val="30"/>
        </w:rPr>
        <w:t>名称：</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widowControl/>
        <w:spacing w:line="360" w:lineRule="auto"/>
        <w:ind w:firstLine="600"/>
        <w:outlineLvl w:val="0"/>
        <w:rPr>
          <w:rFonts w:cs="宋体"/>
          <w:kern w:val="0"/>
          <w:sz w:val="30"/>
          <w:szCs w:val="30"/>
        </w:rPr>
      </w:pPr>
      <w:bookmarkStart w:id="82" w:name="_Toc29767"/>
      <w:bookmarkStart w:id="83" w:name="_Toc40346377"/>
      <w:bookmarkStart w:id="84" w:name="_Toc4013"/>
      <w:bookmarkStart w:id="85" w:name="_Toc11558"/>
      <w:bookmarkStart w:id="86" w:name="_Toc16794"/>
      <w:bookmarkStart w:id="87" w:name="_Toc21483"/>
      <w:bookmarkStart w:id="88" w:name="_Toc17930"/>
      <w:bookmarkStart w:id="89" w:name="_Toc12113"/>
      <w:bookmarkStart w:id="90" w:name="_Toc11141"/>
      <w:bookmarkStart w:id="91" w:name="_Toc14824"/>
      <w:bookmarkStart w:id="92" w:name="_Toc27867"/>
      <w:bookmarkStart w:id="93" w:name="_Toc12645"/>
      <w:bookmarkStart w:id="94" w:name="_Toc40776113"/>
      <w:bookmarkStart w:id="95" w:name="_Toc31993"/>
      <w:bookmarkStart w:id="96" w:name="_Toc24763"/>
      <w:bookmarkStart w:id="97" w:name="_Toc40346218"/>
      <w:bookmarkStart w:id="98" w:name="_Toc28064"/>
      <w:bookmarkStart w:id="99" w:name="_Toc7052"/>
      <w:r>
        <w:rPr>
          <w:rFonts w:ascii="宋体" w:hAnsi="宋体" w:cs="宋体"/>
          <w:kern w:val="0"/>
          <w:sz w:val="30"/>
          <w:szCs w:val="30"/>
        </w:rPr>
        <w:t>业务代表：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kern w:val="0"/>
          <w:sz w:val="30"/>
          <w:szCs w:val="30"/>
        </w:rPr>
      </w:pPr>
      <w:bookmarkStart w:id="100" w:name="_Toc11334"/>
      <w:bookmarkStart w:id="101" w:name="_Toc40346378"/>
      <w:bookmarkStart w:id="102" w:name="_Toc1324"/>
      <w:bookmarkStart w:id="103" w:name="_Toc40776114"/>
      <w:bookmarkStart w:id="104" w:name="_Toc14287"/>
      <w:bookmarkStart w:id="105" w:name="_Toc19831"/>
      <w:bookmarkStart w:id="106" w:name="_Toc26029"/>
      <w:bookmarkStart w:id="107" w:name="_Toc32709"/>
      <w:bookmarkStart w:id="108" w:name="_Toc25370"/>
      <w:bookmarkStart w:id="109" w:name="_Toc6438"/>
      <w:bookmarkStart w:id="110" w:name="_Toc17537"/>
      <w:bookmarkStart w:id="111" w:name="_Toc24651"/>
      <w:bookmarkStart w:id="112" w:name="_Toc16813"/>
      <w:bookmarkStart w:id="113" w:name="_Toc4563"/>
      <w:bookmarkStart w:id="114" w:name="_Toc40346219"/>
      <w:bookmarkStart w:id="115" w:name="_Toc9883"/>
      <w:bookmarkStart w:id="116" w:name="_Toc31197"/>
      <w:bookmarkStart w:id="117" w:name="_Toc27771"/>
      <w:r>
        <w:rPr>
          <w:rFonts w:ascii="宋体" w:hAnsi="宋体" w:cs="宋体"/>
          <w:kern w:val="0"/>
          <w:sz w:val="30"/>
          <w:szCs w:val="30"/>
        </w:rPr>
        <w:t>联系电话：</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widowControl/>
        <w:spacing w:line="360" w:lineRule="auto"/>
        <w:ind w:firstLine="600"/>
        <w:outlineLvl w:val="0"/>
        <w:rPr>
          <w:rFonts w:cs="宋体"/>
          <w:kern w:val="0"/>
          <w:sz w:val="30"/>
          <w:szCs w:val="30"/>
        </w:rPr>
      </w:pPr>
      <w:bookmarkStart w:id="118" w:name="_Toc27868"/>
      <w:bookmarkStart w:id="119" w:name="_Toc17483"/>
      <w:bookmarkStart w:id="120" w:name="_Toc27206"/>
      <w:bookmarkStart w:id="121" w:name="_Toc12650"/>
      <w:bookmarkStart w:id="122" w:name="_Toc20994"/>
      <w:bookmarkStart w:id="123" w:name="_Toc14586"/>
      <w:bookmarkStart w:id="124" w:name="_Toc40776115"/>
      <w:bookmarkStart w:id="125" w:name="_Toc30336"/>
      <w:bookmarkStart w:id="126" w:name="_Toc40346220"/>
      <w:bookmarkStart w:id="127" w:name="_Toc13222"/>
      <w:bookmarkStart w:id="128" w:name="_Toc21686"/>
      <w:bookmarkStart w:id="129" w:name="_Toc19057"/>
      <w:bookmarkStart w:id="130" w:name="_Toc5634"/>
      <w:bookmarkStart w:id="131" w:name="_Toc40346379"/>
      <w:bookmarkStart w:id="132" w:name="_Toc18353"/>
      <w:bookmarkStart w:id="133" w:name="_Toc5189"/>
      <w:bookmarkStart w:id="134" w:name="_Toc3895"/>
      <w:bookmarkStart w:id="135" w:name="_Toc21940"/>
      <w:r>
        <w:rPr>
          <w:rFonts w:ascii="宋体" w:hAnsi="宋体" w:cs="宋体"/>
          <w:kern w:val="0"/>
          <w:sz w:val="30"/>
          <w:szCs w:val="30"/>
        </w:rPr>
        <w:t>联系邮箱：</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widowControl/>
        <w:spacing w:line="360" w:lineRule="auto"/>
        <w:ind w:firstLine="600"/>
        <w:outlineLvl w:val="0"/>
        <w:rPr>
          <w:rFonts w:cs="宋体"/>
          <w:kern w:val="0"/>
          <w:sz w:val="30"/>
          <w:szCs w:val="30"/>
        </w:rPr>
      </w:pPr>
      <w:bookmarkStart w:id="136" w:name="_Toc14462"/>
      <w:bookmarkStart w:id="137" w:name="_Toc21449"/>
      <w:bookmarkStart w:id="138" w:name="_Toc27646"/>
      <w:bookmarkStart w:id="139" w:name="_Toc32371"/>
      <w:bookmarkStart w:id="140" w:name="_Toc30856"/>
      <w:bookmarkStart w:id="141" w:name="_Toc27009"/>
      <w:bookmarkStart w:id="142" w:name="_Toc40346221"/>
      <w:bookmarkStart w:id="143" w:name="_Toc8526"/>
      <w:bookmarkStart w:id="144" w:name="_Toc22276"/>
      <w:bookmarkStart w:id="145" w:name="_Toc11547"/>
      <w:bookmarkStart w:id="146" w:name="_Toc40346380"/>
      <w:bookmarkStart w:id="147" w:name="_Toc12127"/>
      <w:bookmarkStart w:id="148" w:name="_Toc5220"/>
      <w:bookmarkStart w:id="149" w:name="_Toc40776116"/>
      <w:bookmarkStart w:id="150" w:name="_Toc30904"/>
      <w:bookmarkStart w:id="151" w:name="_Toc3498"/>
      <w:bookmarkStart w:id="152" w:name="_Toc10454"/>
      <w:bookmarkStart w:id="153" w:name="_Toc9282"/>
      <w:r>
        <w:rPr>
          <w:rFonts w:ascii="宋体" w:hAnsi="宋体" w:cs="宋体"/>
          <w:kern w:val="0"/>
          <w:sz w:val="30"/>
          <w:szCs w:val="30"/>
        </w:rPr>
        <w:t>日    期：</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hint="eastAsia" w:ascii="仿宋" w:hAnsi="仿宋" w:eastAsia="仿宋" w:cs="宋体"/>
          <w:b/>
          <w:color w:val="auto"/>
          <w:kern w:val="0"/>
          <w:sz w:val="24"/>
          <w:szCs w:val="32"/>
        </w:rPr>
      </w:pPr>
    </w:p>
    <w:p>
      <w:pPr>
        <w:widowControl/>
        <w:spacing w:line="360" w:lineRule="auto"/>
        <w:jc w:val="center"/>
        <w:outlineLvl w:val="0"/>
        <w:rPr>
          <w:b/>
          <w:bCs/>
          <w:color w:val="auto"/>
          <w:sz w:val="28"/>
          <w:szCs w:val="28"/>
        </w:rPr>
      </w:pPr>
      <w:r>
        <w:rPr>
          <w:rFonts w:hint="eastAsia"/>
          <w:b/>
          <w:bCs/>
          <w:color w:val="auto"/>
          <w:sz w:val="28"/>
          <w:szCs w:val="28"/>
        </w:rPr>
        <w:t>目  录</w:t>
      </w:r>
    </w:p>
    <w:tbl>
      <w:tblPr>
        <w:tblStyle w:val="15"/>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96"/>
        <w:gridCol w:w="8246"/>
        <w:gridCol w:w="1824"/>
      </w:tblGrid>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4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1"/>
                <w:szCs w:val="21"/>
              </w:rPr>
            </w:pPr>
            <w:r>
              <w:rPr>
                <w:rFonts w:hint="eastAsia" w:ascii="宋体" w:hAnsi="宋体"/>
                <w:bCs/>
                <w:color w:val="auto"/>
                <w:sz w:val="21"/>
                <w:szCs w:val="21"/>
                <w:lang w:val="en-US" w:eastAsia="zh-CN"/>
              </w:rPr>
              <w:t>1</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封面</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1"/>
                <w:szCs w:val="21"/>
              </w:rPr>
            </w:pPr>
            <w:r>
              <w:rPr>
                <w:rFonts w:hint="eastAsia" w:ascii="宋体" w:hAnsi="宋体"/>
                <w:bCs/>
                <w:color w:val="auto"/>
                <w:sz w:val="21"/>
                <w:szCs w:val="21"/>
                <w:lang w:val="en-US" w:eastAsia="zh-CN"/>
              </w:rPr>
              <w:t>2</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目录</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3</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sz w:val="21"/>
                <w:szCs w:val="21"/>
              </w:rPr>
              <w:t xml:space="preserve">评分自查表 </w:t>
            </w:r>
            <w:r>
              <w:rPr>
                <w:rFonts w:hint="eastAsia" w:ascii="宋体" w:hAnsi="宋体"/>
                <w:b/>
                <w:bCs/>
                <w:color w:val="FF0000"/>
                <w:sz w:val="21"/>
                <w:szCs w:val="21"/>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4</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color w:val="auto"/>
                <w:sz w:val="21"/>
                <w:szCs w:val="21"/>
              </w:rPr>
              <w:t>用户需求偏离表</w:t>
            </w:r>
            <w:r>
              <w:rPr>
                <w:rFonts w:hint="eastAsia" w:ascii="宋体" w:hAnsi="宋体" w:eastAsia="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5</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eastAsia="zh-CN"/>
              </w:rPr>
              <w:t>供应商</w:t>
            </w:r>
            <w:r>
              <w:rPr>
                <w:rFonts w:hint="eastAsia" w:ascii="宋体" w:hAnsi="宋体" w:eastAsia="宋体"/>
                <w:color w:val="auto"/>
                <w:sz w:val="21"/>
                <w:szCs w:val="21"/>
              </w:rPr>
              <w:t>营业执照</w:t>
            </w:r>
            <w:r>
              <w:rPr>
                <w:rFonts w:hint="eastAsia" w:ascii="宋体" w:hAnsi="宋体"/>
                <w:b/>
                <w:bCs/>
                <w:color w:val="auto"/>
                <w:sz w:val="21"/>
                <w:szCs w:val="21"/>
                <w:lang w:eastAsia="zh-CN"/>
              </w:rPr>
              <w:t>（提供</w:t>
            </w:r>
            <w:r>
              <w:rPr>
                <w:rFonts w:hint="eastAsia" w:ascii="宋体" w:hAnsi="宋体" w:eastAsia="宋体"/>
                <w:b/>
                <w:bCs/>
                <w:color w:val="auto"/>
                <w:sz w:val="21"/>
                <w:szCs w:val="21"/>
              </w:rPr>
              <w:t>复印件并加盖供应商</w:t>
            </w:r>
            <w:r>
              <w:rPr>
                <w:rFonts w:hint="eastAsia" w:ascii="宋体" w:hAnsi="宋体"/>
                <w:b/>
                <w:bCs/>
                <w:color w:val="auto"/>
                <w:sz w:val="21"/>
                <w:szCs w:val="21"/>
                <w:lang w:eastAsia="zh-CN"/>
              </w:rPr>
              <w:t>公司</w:t>
            </w:r>
            <w:r>
              <w:rPr>
                <w:rFonts w:hint="eastAsia" w:ascii="宋体" w:hAnsi="宋体" w:eastAsia="宋体"/>
                <w:b/>
                <w:bCs/>
                <w:color w:val="auto"/>
                <w:sz w:val="21"/>
                <w:szCs w:val="21"/>
              </w:rPr>
              <w:t>公章</w:t>
            </w:r>
            <w:r>
              <w:rPr>
                <w:rFonts w:hint="eastAsia" w:ascii="宋体" w:hAnsi="宋体"/>
                <w:b/>
                <w:bCs/>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6</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供应商法定代表人资格证明书</w:t>
            </w:r>
            <w:r>
              <w:rPr>
                <w:rFonts w:hint="eastAsia" w:ascii="宋体" w:hAnsi="宋体" w:eastAsia="宋体"/>
                <w:b/>
                <w:bCs/>
                <w:color w:val="auto"/>
                <w:sz w:val="21"/>
                <w:szCs w:val="21"/>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供应商法定代表人授权委托书</w:t>
            </w:r>
            <w:r>
              <w:rPr>
                <w:rFonts w:hint="eastAsia" w:ascii="宋体" w:hAnsi="宋体" w:eastAsia="宋体"/>
                <w:b/>
                <w:bCs/>
                <w:color w:val="auto"/>
                <w:sz w:val="21"/>
                <w:szCs w:val="21"/>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8</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具有良好的商业信書和健全的财务会计制度。</w:t>
            </w:r>
            <w:r>
              <w:rPr>
                <w:rFonts w:hint="eastAsia" w:ascii="宋体" w:hAnsi="宋体" w:eastAsia="宋体" w:cs="Times New Roman"/>
                <w:b/>
                <w:bCs/>
                <w:color w:val="auto"/>
                <w:sz w:val="21"/>
                <w:szCs w:val="21"/>
                <w:lang w:val="en-US" w:eastAsia="zh-CN"/>
              </w:rPr>
              <w:t>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9</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具有履行合同所必需的设备和专业技术能力。</w:t>
            </w:r>
            <w:r>
              <w:rPr>
                <w:rFonts w:hint="eastAsia" w:ascii="宋体" w:hAnsi="宋体" w:eastAsia="宋体" w:cs="Times New Roman"/>
                <w:b/>
                <w:bCs/>
                <w:color w:val="auto"/>
                <w:sz w:val="21"/>
                <w:szCs w:val="21"/>
                <w:lang w:val="en-US" w:eastAsia="zh-CN"/>
              </w:rPr>
              <w:t>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10</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具有依法缴纳税收和社会保障资金的良好记录。</w:t>
            </w:r>
            <w:r>
              <w:rPr>
                <w:rFonts w:hint="eastAsia" w:ascii="宋体" w:hAnsi="宋体" w:eastAsia="宋体" w:cs="Times New Roman"/>
                <w:b/>
                <w:bCs/>
                <w:color w:val="auto"/>
                <w:sz w:val="21"/>
                <w:szCs w:val="21"/>
                <w:lang w:val="en-US" w:eastAsia="zh-CN"/>
              </w:rPr>
              <w:t>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11</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参加采购活动前三年内，在经营活动中没有重大违法记录。</w:t>
            </w:r>
            <w:r>
              <w:rPr>
                <w:rFonts w:hint="eastAsia" w:ascii="宋体" w:hAnsi="宋体" w:eastAsia="宋体" w:cs="Times New Roman"/>
                <w:b/>
                <w:bCs/>
                <w:color w:val="auto"/>
                <w:sz w:val="21"/>
                <w:szCs w:val="21"/>
                <w:lang w:val="en-US" w:eastAsia="zh-CN"/>
              </w:rPr>
              <w:t>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12</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单位负责人为同一人或者存在直接控股、管理关系的不同供应商,不得参加同一合同项下的采购活动。</w:t>
            </w:r>
            <w:r>
              <w:rPr>
                <w:rFonts w:hint="eastAsia" w:ascii="宋体" w:hAnsi="宋体" w:eastAsia="宋体" w:cs="Times New Roman"/>
                <w:b/>
                <w:bCs/>
                <w:color w:val="auto"/>
                <w:sz w:val="21"/>
                <w:szCs w:val="21"/>
                <w:lang w:val="en-US" w:eastAsia="zh-CN"/>
              </w:rPr>
              <w:t>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13</w:t>
            </w:r>
          </w:p>
        </w:tc>
        <w:tc>
          <w:tcPr>
            <w:tcW w:w="824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供应商所投设备具有有效医疗器械注册证。</w:t>
            </w:r>
            <w:r>
              <w:rPr>
                <w:rFonts w:hint="eastAsia" w:ascii="宋体" w:hAnsi="宋体" w:eastAsia="宋体" w:cs="Times New Roman"/>
                <w:b/>
                <w:bCs/>
                <w:color w:val="auto"/>
                <w:kern w:val="2"/>
                <w:sz w:val="21"/>
                <w:szCs w:val="21"/>
                <w:lang w:val="en-US" w:eastAsia="zh-CN" w:bidi="ar-SA"/>
              </w:rPr>
              <w:t>需提供相关证明材料，并加盖供应商公章</w:t>
            </w:r>
          </w:p>
        </w:tc>
        <w:tc>
          <w:tcPr>
            <w:tcW w:w="1824"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宋体"/>
                <w:color w:val="0000FF"/>
                <w:kern w:val="0"/>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14</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宋体"/>
                <w:color w:val="0000FF"/>
                <w:kern w:val="0"/>
                <w:sz w:val="21"/>
                <w:szCs w:val="21"/>
                <w:lang w:val="en-US" w:eastAsia="zh-CN" w:bidi="ar-SA"/>
              </w:rPr>
            </w:pPr>
            <w:r>
              <w:rPr>
                <w:rFonts w:hint="eastAsia" w:ascii="宋体" w:hAnsi="宋体"/>
                <w:b/>
                <w:bCs/>
                <w:sz w:val="21"/>
                <w:szCs w:val="21"/>
                <w:lang w:eastAsia="zh-CN"/>
              </w:rPr>
              <w:t>“</w:t>
            </w:r>
            <w:r>
              <w:rPr>
                <w:rFonts w:hint="eastAsia" w:ascii="宋体" w:hAnsi="宋体" w:eastAsia="宋体" w:cs="宋体"/>
                <w:b w:val="0"/>
                <w:bCs w:val="0"/>
                <w:sz w:val="21"/>
                <w:szCs w:val="21"/>
                <w:lang w:eastAsia="zh-CN"/>
              </w:rPr>
              <w:t>★</w:t>
            </w:r>
            <w:r>
              <w:rPr>
                <w:rFonts w:hint="eastAsia" w:ascii="宋体" w:hAnsi="宋体"/>
                <w:b/>
                <w:bCs/>
                <w:sz w:val="21"/>
                <w:szCs w:val="21"/>
                <w:lang w:eastAsia="zh-CN"/>
              </w:rPr>
              <w:t>”条款响应内容</w:t>
            </w:r>
            <w:r>
              <w:rPr>
                <w:rFonts w:hint="eastAsia" w:ascii="宋体" w:hAnsi="宋体" w:eastAsia="宋体" w:cs="Times New Roman"/>
                <w:b/>
                <w:bCs/>
                <w:color w:val="FF0000"/>
                <w:kern w:val="2"/>
                <w:sz w:val="21"/>
                <w:szCs w:val="21"/>
                <w:lang w:val="en-US" w:eastAsia="zh-CN" w:bidi="ar-SA"/>
              </w:rPr>
              <w:t>(需按采购文件第二部分用户需求书要求提供相关材料）</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15</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报价表</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cs="Times New Roman"/>
                <w:bCs/>
                <w:color w:val="auto"/>
                <w:kern w:val="2"/>
                <w:sz w:val="21"/>
                <w:szCs w:val="21"/>
                <w:lang w:val="en-US" w:eastAsia="zh-CN" w:bidi="ar-SA"/>
              </w:rPr>
              <w:t>16</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公司简介</w:t>
            </w:r>
            <w:r>
              <w:rPr>
                <w:rFonts w:hint="eastAsia" w:ascii="宋体" w:hAnsi="宋体" w:cs="Times New Roman"/>
                <w:b/>
                <w:bCs/>
                <w:color w:val="auto"/>
                <w:sz w:val="21"/>
                <w:szCs w:val="21"/>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17</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kern w:val="2"/>
                <w:sz w:val="21"/>
                <w:szCs w:val="21"/>
                <w:lang w:val="en-US" w:eastAsia="zh-CN" w:bidi="ar-SA"/>
              </w:rPr>
              <w:t>整体服务实施方案</w:t>
            </w:r>
            <w:r>
              <w:rPr>
                <w:rFonts w:hint="eastAsia" w:ascii="宋体" w:hAnsi="宋体" w:cs="Times New Roman"/>
                <w:b/>
                <w:bCs/>
                <w:color w:val="auto"/>
                <w:kern w:val="2"/>
                <w:sz w:val="21"/>
                <w:szCs w:val="21"/>
                <w:lang w:val="en-US" w:eastAsia="zh-CN" w:bidi="ar-SA"/>
              </w:rPr>
              <w:t>（内容包含但不限于</w:t>
            </w:r>
            <w:r>
              <w:rPr>
                <w:rFonts w:hint="eastAsia" w:hAnsi="宋体" w:cs="宋体"/>
                <w:b/>
                <w:bCs/>
                <w:sz w:val="21"/>
                <w:szCs w:val="21"/>
                <w:lang w:eastAsia="zh-CN"/>
              </w:rPr>
              <w:t>服务进度安排、配备</w:t>
            </w:r>
            <w:r>
              <w:rPr>
                <w:rFonts w:hint="eastAsia" w:ascii="宋体" w:hAnsi="宋体" w:eastAsia="宋体" w:cs="宋体"/>
                <w:b/>
                <w:bCs/>
                <w:sz w:val="21"/>
                <w:szCs w:val="21"/>
                <w:lang w:val="en-US" w:eastAsia="zh-CN"/>
              </w:rPr>
              <w:t>人员</w:t>
            </w:r>
            <w:r>
              <w:rPr>
                <w:rFonts w:hint="eastAsia" w:ascii="宋体" w:hAnsi="宋体" w:eastAsia="宋体" w:cs="宋体"/>
                <w:b/>
                <w:bCs/>
                <w:sz w:val="21"/>
                <w:szCs w:val="21"/>
              </w:rPr>
              <w:t>、</w:t>
            </w:r>
            <w:r>
              <w:rPr>
                <w:rFonts w:hint="eastAsia" w:hAnsi="宋体" w:cs="宋体"/>
                <w:b/>
                <w:bCs/>
                <w:sz w:val="21"/>
                <w:szCs w:val="21"/>
                <w:lang w:eastAsia="zh-CN"/>
              </w:rPr>
              <w:t>时间点控制衔接流畅、质量管理保障</w:t>
            </w:r>
            <w:r>
              <w:rPr>
                <w:rFonts w:hint="eastAsia" w:ascii="宋体" w:hAnsi="宋体" w:eastAsia="宋体" w:cs="宋体"/>
                <w:b/>
                <w:bCs/>
                <w:sz w:val="21"/>
                <w:szCs w:val="21"/>
              </w:rPr>
              <w:t>等</w:t>
            </w:r>
            <w:r>
              <w:rPr>
                <w:rFonts w:hint="eastAsia" w:ascii="宋体" w:hAnsi="宋体" w:cs="宋体"/>
                <w:b/>
                <w:bCs/>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18</w:t>
            </w:r>
          </w:p>
        </w:tc>
        <w:tc>
          <w:tcPr>
            <w:tcW w:w="8246" w:type="dxa"/>
            <w:tcBorders>
              <w:top w:val="single" w:color="000000" w:sz="4" w:space="0"/>
              <w:left w:val="nil"/>
              <w:bottom w:val="single" w:color="000000" w:sz="4" w:space="0"/>
              <w:right w:val="single" w:color="000000" w:sz="4" w:space="0"/>
            </w:tcBorders>
            <w:vAlign w:val="center"/>
          </w:tcPr>
          <w:p>
            <w:pPr>
              <w:jc w:val="both"/>
              <w:textAlignment w:val="center"/>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kern w:val="2"/>
                <w:sz w:val="21"/>
                <w:szCs w:val="21"/>
                <w:lang w:val="en-US" w:eastAsia="zh-CN" w:bidi="ar-SA"/>
              </w:rPr>
              <w:t>应急保障方案</w:t>
            </w:r>
            <w:r>
              <w:rPr>
                <w:rFonts w:hint="eastAsia" w:ascii="宋体" w:hAnsi="宋体" w:cs="Times New Roman"/>
                <w:b/>
                <w:bCs/>
                <w:color w:val="auto"/>
                <w:kern w:val="2"/>
                <w:sz w:val="21"/>
                <w:szCs w:val="21"/>
                <w:lang w:val="en-US" w:eastAsia="zh-CN" w:bidi="ar-SA"/>
              </w:rPr>
              <w:t>（内容包含但不限于</w:t>
            </w:r>
            <w:r>
              <w:rPr>
                <w:rFonts w:hint="eastAsia" w:ascii="宋体" w:hAnsi="宋体" w:eastAsia="宋体" w:cs="宋体"/>
                <w:b/>
                <w:bCs/>
                <w:sz w:val="21"/>
                <w:szCs w:val="21"/>
                <w:lang w:val="en-US" w:eastAsia="zh-CN"/>
              </w:rPr>
              <w:t>设备不足、设备存在故障、软件系统出现故障</w:t>
            </w:r>
            <w:r>
              <w:rPr>
                <w:rFonts w:hint="eastAsia" w:ascii="宋体" w:hAnsi="宋体" w:eastAsia="宋体" w:cs="宋体"/>
                <w:b/>
                <w:bCs/>
                <w:sz w:val="21"/>
                <w:szCs w:val="21"/>
              </w:rPr>
              <w:t>等</w:t>
            </w:r>
            <w:r>
              <w:rPr>
                <w:rFonts w:hint="eastAsia" w:ascii="宋体" w:hAnsi="宋体" w:cs="宋体"/>
                <w:b/>
                <w:bCs/>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19</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投入设备情况</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20</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4"/>
                <w:highlight w:val="none"/>
                <w:u w:val="none"/>
                <w:lang w:val="en-US" w:eastAsia="zh-CN"/>
              </w:rPr>
            </w:pPr>
            <w:r>
              <w:rPr>
                <w:rFonts w:hint="eastAsia" w:ascii="宋体" w:hAnsi="宋体" w:cs="宋体"/>
                <w:kern w:val="2"/>
                <w:sz w:val="21"/>
                <w:szCs w:val="21"/>
                <w:highlight w:val="none"/>
                <w:lang w:val="en-US" w:eastAsia="zh-CN" w:bidi="ar-SA"/>
              </w:rPr>
              <w:t>投入人员一览表（详见相关格式）</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21</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cs="Times New Roman"/>
                <w:color w:val="auto"/>
                <w:sz w:val="21"/>
                <w:szCs w:val="21"/>
                <w:lang w:val="en-US" w:eastAsia="zh-CN"/>
              </w:rPr>
              <w:t>2021</w:t>
            </w:r>
            <w:r>
              <w:rPr>
                <w:rFonts w:hint="eastAsia" w:ascii="宋体" w:hAnsi="宋体" w:eastAsia="宋体" w:cs="Times New Roman"/>
                <w:color w:val="auto"/>
                <w:sz w:val="21"/>
                <w:szCs w:val="21"/>
                <w:lang w:val="en-US" w:eastAsia="zh-CN"/>
              </w:rPr>
              <w:t>年至今同类项目的业绩用户名单</w:t>
            </w:r>
            <w:r>
              <w:rPr>
                <w:rFonts w:hint="eastAsia" w:ascii="宋体" w:hAnsi="宋体" w:eastAsia="宋体" w:cs="Times New Roman"/>
                <w:b/>
                <w:bCs/>
                <w:color w:val="auto"/>
                <w:sz w:val="21"/>
                <w:szCs w:val="21"/>
                <w:lang w:val="en-US" w:eastAsia="zh-CN"/>
              </w:rPr>
              <w:t>（需提供合同关键页复印件</w:t>
            </w:r>
            <w:r>
              <w:rPr>
                <w:rFonts w:hint="eastAsia" w:ascii="宋体" w:hAnsi="宋体" w:cs="Times New Roman"/>
                <w:b/>
                <w:bCs/>
                <w:color w:val="auto"/>
                <w:sz w:val="21"/>
                <w:szCs w:val="21"/>
                <w:lang w:val="en-US" w:eastAsia="zh-CN"/>
              </w:rPr>
              <w:t>或</w:t>
            </w:r>
            <w:r>
              <w:rPr>
                <w:rFonts w:hint="eastAsia" w:ascii="宋体" w:hAnsi="宋体" w:eastAsia="宋体" w:cs="Times New Roman"/>
                <w:b/>
                <w:bCs/>
                <w:color w:val="auto"/>
                <w:sz w:val="21"/>
                <w:szCs w:val="21"/>
                <w:lang w:val="en-US" w:eastAsia="zh-CN"/>
              </w:rPr>
              <w:t>中标通知书复印件，并加盖</w:t>
            </w:r>
            <w:r>
              <w:rPr>
                <w:rFonts w:hint="eastAsia" w:ascii="宋体" w:hAnsi="宋体" w:cs="Times New Roman"/>
                <w:b/>
                <w:bCs/>
                <w:color w:val="auto"/>
                <w:sz w:val="21"/>
                <w:szCs w:val="21"/>
                <w:lang w:val="en-US" w:eastAsia="zh-CN"/>
              </w:rPr>
              <w:t>供应商公司</w:t>
            </w:r>
            <w:r>
              <w:rPr>
                <w:rFonts w:hint="eastAsia" w:ascii="宋体" w:hAnsi="宋体" w:eastAsia="宋体" w:cs="Times New Roman"/>
                <w:b/>
                <w:bCs/>
                <w:color w:val="auto"/>
                <w:sz w:val="21"/>
                <w:szCs w:val="21"/>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22</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bCs/>
                <w:sz w:val="21"/>
                <w:szCs w:val="21"/>
              </w:rPr>
              <w:t>公平竞争承诺书</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23</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bCs/>
                <w:kern w:val="2"/>
                <w:sz w:val="21"/>
                <w:szCs w:val="21"/>
                <w:lang w:val="en-US" w:eastAsia="zh-CN" w:bidi="ar-SA"/>
              </w:rPr>
            </w:pPr>
            <w:r>
              <w:rPr>
                <w:rFonts w:hint="eastAsia" w:ascii="宋体" w:hAnsi="宋体"/>
                <w:bCs/>
                <w:sz w:val="21"/>
                <w:szCs w:val="21"/>
              </w:rPr>
              <w:t>关于资格和响应文件的声明函</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24</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zh-CN" w:eastAsia="zh-CN" w:bidi="ar-SA"/>
              </w:rPr>
            </w:pPr>
            <w:r>
              <w:rPr>
                <w:rFonts w:hint="eastAsia" w:ascii="宋体" w:hAnsi="宋体"/>
                <w:bCs/>
                <w:sz w:val="21"/>
                <w:szCs w:val="21"/>
              </w:rPr>
              <w:t>公司认为需补充的相关资格文件或证明</w:t>
            </w:r>
            <w:r>
              <w:rPr>
                <w:rFonts w:hint="eastAsia" w:ascii="宋体" w:hAnsi="宋体"/>
                <w:b/>
                <w:bCs w:val="0"/>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bl>
    <w:p>
      <w:pPr>
        <w:widowControl/>
        <w:spacing w:line="360" w:lineRule="auto"/>
        <w:jc w:val="left"/>
        <w:outlineLvl w:val="0"/>
        <w:rPr>
          <w:rFonts w:hint="eastAsia" w:ascii="仿宋" w:hAnsi="仿宋" w:eastAsia="仿宋" w:cs="宋体"/>
          <w:b/>
          <w:kern w:val="0"/>
          <w:sz w:val="21"/>
          <w:szCs w:val="21"/>
        </w:rPr>
      </w:pPr>
      <w:bookmarkStart w:id="154" w:name="_Toc24508"/>
      <w:bookmarkStart w:id="155" w:name="_Toc11232"/>
      <w:bookmarkStart w:id="156" w:name="_Toc562"/>
      <w:bookmarkStart w:id="157" w:name="_Toc21936"/>
    </w:p>
    <w:bookmarkEnd w:id="154"/>
    <w:bookmarkEnd w:id="155"/>
    <w:bookmarkEnd w:id="156"/>
    <w:bookmarkEnd w:id="157"/>
    <w:p>
      <w:pPr>
        <w:pStyle w:val="25"/>
        <w:tabs>
          <w:tab w:val="left" w:pos="1050"/>
          <w:tab w:val="center" w:pos="4535"/>
        </w:tabs>
        <w:jc w:val="center"/>
        <w:outlineLvl w:val="0"/>
        <w:rPr>
          <w:rFonts w:hint="eastAsia"/>
          <w:b/>
          <w:bCs/>
        </w:rPr>
      </w:pPr>
      <w:bookmarkStart w:id="158" w:name="_Toc11212"/>
      <w:bookmarkStart w:id="159" w:name="_Toc24565"/>
      <w:bookmarkStart w:id="160" w:name="_Toc29101"/>
      <w:bookmarkStart w:id="161" w:name="_Toc25102"/>
      <w:bookmarkStart w:id="162" w:name="_Toc26391"/>
      <w:bookmarkStart w:id="163" w:name="_Toc28877"/>
      <w:bookmarkStart w:id="164" w:name="_Toc9683"/>
      <w:bookmarkStart w:id="165" w:name="_Toc20065"/>
      <w:bookmarkStart w:id="166" w:name="_Toc20169"/>
      <w:bookmarkStart w:id="167" w:name="_Toc10605"/>
      <w:bookmarkStart w:id="168" w:name="_Toc31804"/>
      <w:bookmarkStart w:id="169" w:name="_Toc10771"/>
      <w:bookmarkStart w:id="170" w:name="_Toc31025"/>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rFonts w:hint="eastAsia"/>
          <w:b/>
          <w:bCs/>
        </w:rPr>
      </w:pPr>
    </w:p>
    <w:p>
      <w:pPr>
        <w:pStyle w:val="25"/>
        <w:tabs>
          <w:tab w:val="left" w:pos="1050"/>
          <w:tab w:val="center" w:pos="4535"/>
        </w:tabs>
        <w:jc w:val="center"/>
        <w:outlineLvl w:val="0"/>
        <w:rPr>
          <w:b/>
          <w:bCs/>
          <w:szCs w:val="21"/>
        </w:rPr>
      </w:pPr>
      <w:r>
        <w:rPr>
          <w:rFonts w:hint="eastAsia"/>
          <w:b/>
          <w:bCs/>
        </w:rPr>
        <w:t>用户需求偏离表</w:t>
      </w:r>
      <w:bookmarkEnd w:id="158"/>
      <w:bookmarkEnd w:id="159"/>
      <w:bookmarkEnd w:id="160"/>
      <w:bookmarkEnd w:id="161"/>
      <w:bookmarkEnd w:id="162"/>
      <w:bookmarkEnd w:id="163"/>
      <w:bookmarkEnd w:id="164"/>
      <w:bookmarkEnd w:id="165"/>
      <w:bookmarkEnd w:id="166"/>
      <w:bookmarkEnd w:id="167"/>
      <w:bookmarkEnd w:id="168"/>
      <w:bookmarkEnd w:id="169"/>
      <w:bookmarkEnd w:id="170"/>
      <w:bookmarkStart w:id="171" w:name="_Toc6232"/>
      <w:bookmarkStart w:id="172" w:name="_Toc32295"/>
      <w:bookmarkStart w:id="173" w:name="_Toc10398"/>
      <w:bookmarkStart w:id="174" w:name="_Toc24286"/>
      <w:bookmarkStart w:id="175" w:name="_Toc15079"/>
      <w:bookmarkStart w:id="176" w:name="_Toc24550"/>
      <w:bookmarkStart w:id="177" w:name="_Toc7019"/>
    </w:p>
    <w:p>
      <w:pPr>
        <w:spacing w:line="300" w:lineRule="auto"/>
        <w:ind w:firstLine="422" w:firstLineChars="200"/>
        <w:outlineLvl w:val="1"/>
        <w:rPr>
          <w:rFonts w:hint="eastAsia" w:ascii="宋体" w:hAnsi="宋体"/>
          <w:b/>
          <w:bCs/>
          <w:color w:val="FF0000"/>
          <w:szCs w:val="21"/>
          <w:highlight w:val="yellow"/>
        </w:rPr>
      </w:pPr>
      <w:bookmarkStart w:id="178" w:name="_Toc23294"/>
      <w:bookmarkStart w:id="179" w:name="_Toc13424"/>
      <w:bookmarkStart w:id="180" w:name="_Toc14432"/>
      <w:bookmarkStart w:id="181" w:name="_Toc11573"/>
      <w:bookmarkStart w:id="182" w:name="_Toc17416"/>
      <w:bookmarkStart w:id="183" w:name="_Toc21905"/>
      <w:r>
        <w:rPr>
          <w:rFonts w:hint="eastAsia" w:ascii="宋体" w:hAnsi="宋体"/>
          <w:b/>
          <w:bCs/>
          <w:color w:val="FF0000"/>
          <w:szCs w:val="21"/>
          <w:highlight w:val="yellow"/>
        </w:rPr>
        <w:t>标有“★”的条款均为必须完全满足指标，报价人须进行实质性响应，报价人若有一项带“★”的条款未响应或不满足，将按无效投标处理。</w:t>
      </w:r>
    </w:p>
    <w:p>
      <w:pPr>
        <w:spacing w:line="300" w:lineRule="auto"/>
        <w:ind w:firstLine="422" w:firstLineChars="200"/>
        <w:outlineLvl w:val="1"/>
        <w:rPr>
          <w:rFonts w:hint="eastAsia" w:ascii="宋体" w:hAnsi="宋体"/>
          <w:b/>
          <w:bCs/>
          <w:szCs w:val="21"/>
        </w:rPr>
      </w:pPr>
      <w:r>
        <w:rPr>
          <w:rFonts w:hint="eastAsia" w:ascii="宋体" w:hAnsi="宋体"/>
          <w:b/>
          <w:bCs/>
          <w:szCs w:val="21"/>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pPr>
        <w:spacing w:line="300" w:lineRule="auto"/>
        <w:ind w:firstLine="422" w:firstLineChars="200"/>
        <w:outlineLvl w:val="1"/>
        <w:rPr>
          <w:rFonts w:hint="eastAsia" w:ascii="宋体" w:hAnsi="宋体"/>
          <w:b/>
          <w:bCs/>
          <w:szCs w:val="21"/>
        </w:rPr>
      </w:pPr>
      <w:r>
        <w:rPr>
          <w:rFonts w:hint="eastAsia" w:ascii="宋体" w:hAnsi="宋体"/>
          <w:b/>
          <w:bCs/>
          <w:szCs w:val="21"/>
        </w:rPr>
        <w:t>无偏离：所投产品/服务响应采购文件需求；</w:t>
      </w:r>
    </w:p>
    <w:p>
      <w:pPr>
        <w:spacing w:line="300" w:lineRule="auto"/>
        <w:ind w:firstLine="422" w:firstLineChars="200"/>
        <w:outlineLvl w:val="1"/>
        <w:rPr>
          <w:rFonts w:hint="eastAsia" w:ascii="宋体" w:hAnsi="宋体"/>
          <w:b/>
          <w:bCs/>
          <w:szCs w:val="21"/>
        </w:rPr>
      </w:pPr>
      <w:r>
        <w:rPr>
          <w:rFonts w:hint="eastAsia" w:ascii="宋体" w:hAnsi="宋体"/>
          <w:b/>
          <w:bCs/>
          <w:szCs w:val="21"/>
        </w:rPr>
        <w:t>正偏离：所投产品/服务优于/高于采购文件需求；</w:t>
      </w:r>
    </w:p>
    <w:p>
      <w:pPr>
        <w:spacing w:line="300" w:lineRule="auto"/>
        <w:ind w:firstLine="422" w:firstLineChars="200"/>
        <w:outlineLvl w:val="1"/>
        <w:rPr>
          <w:rFonts w:hint="eastAsia" w:ascii="宋体" w:hAnsi="宋体"/>
          <w:b/>
          <w:bCs/>
          <w:szCs w:val="21"/>
        </w:rPr>
      </w:pPr>
      <w:r>
        <w:rPr>
          <w:rFonts w:hint="eastAsia" w:ascii="宋体" w:hAnsi="宋体"/>
          <w:b/>
          <w:bCs/>
          <w:szCs w:val="21"/>
        </w:rPr>
        <w:t>负偏离：所投产品/服务不符合采购文件需求。</w:t>
      </w:r>
    </w:p>
    <w:p>
      <w:pPr>
        <w:spacing w:line="240" w:lineRule="auto"/>
        <w:ind w:firstLine="422" w:firstLineChars="200"/>
        <w:outlineLvl w:val="1"/>
        <w:rPr>
          <w:rFonts w:hint="eastAsia" w:ascii="宋体" w:hAnsi="宋体" w:eastAsia="宋体" w:cs="宋体"/>
          <w:b/>
          <w:bCs/>
          <w:sz w:val="21"/>
          <w:szCs w:val="21"/>
        </w:rPr>
      </w:pPr>
    </w:p>
    <w:p>
      <w:pPr>
        <w:spacing w:line="240" w:lineRule="auto"/>
        <w:ind w:firstLine="422" w:firstLineChars="200"/>
        <w:outlineLvl w:val="1"/>
        <w:rPr>
          <w:rFonts w:hint="eastAsia" w:ascii="宋体" w:hAnsi="宋体" w:eastAsia="宋体" w:cs="宋体"/>
          <w:b/>
          <w:bCs/>
          <w:sz w:val="21"/>
          <w:szCs w:val="21"/>
        </w:rPr>
      </w:pPr>
      <w:r>
        <w:rPr>
          <w:rFonts w:hint="eastAsia" w:ascii="宋体" w:hAnsi="宋体" w:eastAsia="宋体" w:cs="宋体"/>
          <w:b/>
          <w:bCs/>
          <w:sz w:val="21"/>
          <w:szCs w:val="21"/>
        </w:rPr>
        <w:t>一、“★”号条款</w:t>
      </w:r>
      <w:bookmarkEnd w:id="178"/>
      <w:bookmarkEnd w:id="179"/>
      <w:bookmarkEnd w:id="180"/>
      <w:bookmarkEnd w:id="181"/>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p>
    <w:p>
      <w:pPr>
        <w:spacing w:line="240" w:lineRule="auto"/>
        <w:ind w:firstLine="422" w:firstLineChars="200"/>
        <w:outlineLvl w:val="1"/>
        <w:rPr>
          <w:rFonts w:hint="eastAsia" w:ascii="宋体" w:hAnsi="宋体" w:eastAsia="宋体" w:cs="宋体"/>
          <w:b/>
          <w:bCs/>
          <w:sz w:val="21"/>
          <w:szCs w:val="21"/>
        </w:rPr>
      </w:pPr>
      <w:bookmarkStart w:id="184" w:name="_Toc14009"/>
      <w:bookmarkStart w:id="185" w:name="_Toc1548"/>
      <w:bookmarkStart w:id="186" w:name="_Toc31638"/>
      <w:bookmarkStart w:id="187" w:name="_Toc13551"/>
      <w:r>
        <w:rPr>
          <w:rFonts w:hint="eastAsia" w:ascii="宋体" w:hAnsi="宋体" w:eastAsia="宋体" w:cs="宋体"/>
          <w:b/>
          <w:bCs/>
          <w:sz w:val="21"/>
          <w:szCs w:val="21"/>
        </w:rPr>
        <w:t>二、“</w:t>
      </w:r>
      <w:r>
        <w:rPr>
          <w:rFonts w:hint="eastAsia" w:ascii="宋体" w:hAnsi="宋体" w:eastAsia="宋体" w:cs="宋体"/>
          <w:sz w:val="21"/>
          <w:szCs w:val="21"/>
        </w:rPr>
        <w:t>▲</w:t>
      </w:r>
      <w:r>
        <w:rPr>
          <w:rFonts w:hint="eastAsia" w:ascii="宋体" w:hAnsi="宋体" w:eastAsia="宋体" w:cs="宋体"/>
          <w:b/>
          <w:bCs/>
          <w:sz w:val="21"/>
          <w:szCs w:val="21"/>
        </w:rPr>
        <w:t>”号条款</w:t>
      </w:r>
      <w:bookmarkEnd w:id="182"/>
      <w:bookmarkEnd w:id="183"/>
      <w:bookmarkEnd w:id="184"/>
      <w:bookmarkEnd w:id="185"/>
      <w:bookmarkEnd w:id="186"/>
      <w:bookmarkEnd w:id="187"/>
    </w:p>
    <w:bookmarkEnd w:id="171"/>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bookmarkStart w:id="188" w:name="_Toc15903"/>
      <w:bookmarkStart w:id="189" w:name="_Toc16131"/>
      <w:bookmarkStart w:id="190" w:name="_Toc31897"/>
    </w:p>
    <w:p>
      <w:pPr>
        <w:spacing w:line="240" w:lineRule="auto"/>
        <w:ind w:firstLine="422" w:firstLineChars="200"/>
        <w:outlineLvl w:val="1"/>
        <w:rPr>
          <w:rFonts w:hint="eastAsia" w:ascii="宋体" w:hAnsi="宋体" w:eastAsia="宋体" w:cs="宋体"/>
          <w:b/>
          <w:bCs/>
          <w:sz w:val="21"/>
          <w:szCs w:val="21"/>
          <w:lang w:eastAsia="zh-CN"/>
        </w:rPr>
      </w:pPr>
      <w:bookmarkStart w:id="191" w:name="_Toc28342"/>
      <w:bookmarkStart w:id="192" w:name="_Toc19330"/>
      <w:bookmarkStart w:id="193" w:name="_Toc14718"/>
      <w:bookmarkStart w:id="194" w:name="_Toc26114"/>
      <w:r>
        <w:rPr>
          <w:rFonts w:hint="eastAsia" w:ascii="宋体" w:hAnsi="宋体" w:eastAsia="宋体" w:cs="宋体"/>
          <w:b/>
          <w:bCs/>
          <w:sz w:val="21"/>
          <w:szCs w:val="21"/>
        </w:rPr>
        <w:t>三、</w:t>
      </w:r>
      <w:bookmarkEnd w:id="172"/>
      <w:bookmarkEnd w:id="173"/>
      <w:bookmarkEnd w:id="174"/>
      <w:bookmarkEnd w:id="175"/>
      <w:bookmarkEnd w:id="176"/>
      <w:bookmarkEnd w:id="177"/>
      <w:bookmarkEnd w:id="188"/>
      <w:bookmarkEnd w:id="189"/>
      <w:bookmarkEnd w:id="190"/>
      <w:bookmarkEnd w:id="191"/>
      <w:bookmarkEnd w:id="192"/>
      <w:bookmarkEnd w:id="193"/>
      <w:bookmarkEnd w:id="194"/>
      <w:r>
        <w:rPr>
          <w:rFonts w:hint="eastAsia" w:ascii="宋体" w:hAnsi="宋体" w:eastAsia="宋体" w:cs="宋体"/>
          <w:b/>
          <w:bCs/>
          <w:sz w:val="21"/>
          <w:szCs w:val="21"/>
        </w:rPr>
        <w:t>技术服务要求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bookmarkStart w:id="195" w:name="_Toc2277"/>
    </w:p>
    <w:bookmarkEnd w:id="195"/>
    <w:p>
      <w:pPr>
        <w:pStyle w:val="22"/>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 xml:space="preserve">    </w:t>
      </w:r>
      <w:r>
        <w:rPr>
          <w:rFonts w:hint="eastAsia" w:ascii="宋体" w:hAnsi="宋体" w:eastAsia="宋体" w:cs="宋体"/>
          <w:b/>
          <w:bCs/>
          <w:kern w:val="2"/>
          <w:sz w:val="21"/>
          <w:szCs w:val="21"/>
          <w:lang w:val="en-US" w:eastAsia="zh-CN" w:bidi="ar-SA"/>
        </w:rPr>
        <w:t>四、</w:t>
      </w:r>
      <w:r>
        <w:rPr>
          <w:rFonts w:hint="eastAsia" w:ascii="宋体" w:hAnsi="宋体" w:cs="宋体"/>
          <w:b/>
          <w:bCs/>
          <w:kern w:val="2"/>
          <w:sz w:val="21"/>
          <w:szCs w:val="21"/>
          <w:lang w:val="en-US" w:eastAsia="zh-CN" w:bidi="ar-SA"/>
        </w:rPr>
        <w:t>商务要求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22"/>
        <w:numPr>
          <w:ilvl w:val="0"/>
          <w:numId w:val="0"/>
        </w:numPr>
        <w:spacing w:line="240" w:lineRule="auto"/>
        <w:rPr>
          <w:rFonts w:hint="eastAsia" w:ascii="宋体" w:hAnsi="宋体" w:eastAsia="宋体" w:cs="宋体"/>
          <w:sz w:val="21"/>
          <w:szCs w:val="21"/>
          <w:lang w:val="en-US" w:eastAsia="zh-CN"/>
        </w:rPr>
      </w:pPr>
    </w:p>
    <w:p>
      <w:pPr>
        <w:pStyle w:val="6"/>
        <w:numPr>
          <w:ilvl w:val="0"/>
          <w:numId w:val="0"/>
        </w:numPr>
        <w:spacing w:line="240" w:lineRule="auto"/>
        <w:ind w:firstLine="422" w:firstLineChars="200"/>
        <w:rPr>
          <w:rFonts w:hint="eastAsia" w:ascii="宋体" w:hAnsi="宋体" w:eastAsia="宋体" w:cs="宋体"/>
          <w:sz w:val="21"/>
          <w:szCs w:val="21"/>
        </w:rPr>
      </w:pPr>
      <w:r>
        <w:rPr>
          <w:rFonts w:hint="eastAsia" w:ascii="宋体" w:hAnsi="宋体" w:cs="宋体"/>
          <w:b/>
          <w:bCs/>
          <w:sz w:val="21"/>
          <w:szCs w:val="21"/>
          <w:lang w:eastAsia="zh-CN"/>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outlineLvl w:val="1"/>
        <w:rPr>
          <w:rFonts w:hint="eastAsia" w:ascii="宋体" w:hAnsi="宋体" w:cs="宋体"/>
          <w:b/>
          <w:bCs/>
          <w:sz w:val="21"/>
          <w:szCs w:val="21"/>
          <w:lang w:eastAsia="zh-CN"/>
        </w:rPr>
      </w:pPr>
    </w:p>
    <w:p>
      <w:pPr>
        <w:spacing w:line="240" w:lineRule="auto"/>
        <w:ind w:firstLine="422" w:firstLineChars="200"/>
        <w:outlineLvl w:val="1"/>
        <w:rPr>
          <w:rFonts w:hint="eastAsia" w:ascii="宋体" w:hAnsi="宋体" w:eastAsia="宋体" w:cs="宋体"/>
          <w:b/>
          <w:bCs/>
          <w:sz w:val="21"/>
          <w:szCs w:val="21"/>
        </w:rPr>
      </w:pPr>
      <w:r>
        <w:rPr>
          <w:rFonts w:hint="eastAsia" w:ascii="宋体" w:hAnsi="宋体" w:cs="宋体"/>
          <w:b/>
          <w:bCs/>
          <w:sz w:val="21"/>
          <w:szCs w:val="21"/>
          <w:lang w:eastAsia="zh-CN"/>
        </w:rPr>
        <w:t>六</w:t>
      </w:r>
      <w:r>
        <w:rPr>
          <w:rFonts w:hint="eastAsia" w:ascii="宋体" w:hAnsi="宋体" w:eastAsia="宋体" w:cs="宋体"/>
          <w:b/>
          <w:bCs/>
          <w:sz w:val="21"/>
          <w:szCs w:val="21"/>
          <w:lang w:eastAsia="zh-CN"/>
        </w:rPr>
        <w:t>、合同条款</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2"/>
        <w:spacing w:line="240" w:lineRule="auto"/>
        <w:rPr>
          <w:rFonts w:hint="eastAsia" w:ascii="宋体" w:hAnsi="宋体" w:eastAsia="宋体" w:cs="宋体"/>
          <w:sz w:val="21"/>
          <w:szCs w:val="21"/>
        </w:rPr>
        <w:sectPr>
          <w:footerReference r:id="rId9" w:type="default"/>
          <w:pgSz w:w="11906" w:h="16838"/>
          <w:pgMar w:top="1440" w:right="1134" w:bottom="1440" w:left="1134" w:header="851" w:footer="992" w:gutter="0"/>
          <w:pgNumType w:fmt="decimal" w:start="1"/>
          <w:cols w:space="720" w:num="1"/>
          <w:docGrid w:linePitch="312" w:charSpace="0"/>
        </w:sectPr>
      </w:pPr>
    </w:p>
    <w:p>
      <w:pPr>
        <w:widowControl/>
        <w:spacing w:line="360" w:lineRule="auto"/>
        <w:jc w:val="left"/>
        <w:outlineLvl w:val="0"/>
        <w:rPr>
          <w:rFonts w:hint="eastAsia" w:ascii="仿宋" w:hAnsi="仿宋" w:eastAsia="仿宋" w:cs="宋体"/>
          <w:b/>
          <w:kern w:val="0"/>
          <w:sz w:val="24"/>
          <w:szCs w:val="32"/>
        </w:rPr>
      </w:pPr>
      <w:bookmarkStart w:id="196" w:name="_Toc17010"/>
    </w:p>
    <w:tbl>
      <w:tblPr>
        <w:tblStyle w:val="15"/>
        <w:tblpPr w:leftFromText="180" w:rightFromText="180" w:vertAnchor="text" w:horzAnchor="page" w:tblpXSpec="center" w:tblpY="503"/>
        <w:tblOverlap w:val="never"/>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1020"/>
        <w:gridCol w:w="3607"/>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41" w:type="dxa"/>
            <w:tcBorders>
              <w:top w:val="single" w:color="auto" w:sz="4" w:space="0"/>
              <w:left w:val="single" w:color="auto" w:sz="4" w:space="0"/>
              <w:bottom w:val="single" w:color="auto" w:sz="4" w:space="0"/>
              <w:right w:val="single" w:color="auto" w:sz="4" w:space="0"/>
            </w:tcBorders>
            <w:noWrap w:val="0"/>
            <w:vAlign w:val="center"/>
          </w:tcPr>
          <w:p>
            <w:pPr>
              <w:pStyle w:val="12"/>
              <w:pBdr>
                <w:bottom w:val="none" w:color="auto" w:sz="0" w:space="0"/>
              </w:pBdr>
              <w:snapToGrid/>
              <w:spacing w:line="400" w:lineRule="exact"/>
              <w:rPr>
                <w:rFonts w:hint="eastAsia" w:ascii="宋体" w:hAnsi="宋体" w:cs="宋体"/>
                <w:b/>
                <w:bCs/>
                <w:sz w:val="21"/>
                <w:szCs w:val="21"/>
              </w:rPr>
            </w:pPr>
            <w:bookmarkStart w:id="197" w:name="_Toc18948"/>
            <w:bookmarkStart w:id="198" w:name="_Toc12314"/>
            <w:r>
              <w:rPr>
                <w:rFonts w:hint="eastAsia" w:ascii="宋体" w:hAnsi="宋体" w:cs="宋体"/>
                <w:b/>
                <w:bCs/>
                <w:kern w:val="0"/>
                <w:sz w:val="21"/>
                <w:szCs w:val="21"/>
              </w:rPr>
              <w:t>项目</w:t>
            </w:r>
            <w:r>
              <w:rPr>
                <w:rFonts w:ascii="宋体" w:hAnsi="宋体" w:cs="宋体"/>
                <w:b/>
                <w:bCs/>
                <w:kern w:val="0"/>
                <w:sz w:val="21"/>
                <w:szCs w:val="21"/>
              </w:rPr>
              <w:t>名称</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2"/>
              <w:pBdr>
                <w:bottom w:val="none" w:color="auto" w:sz="0" w:space="0"/>
              </w:pBdr>
              <w:snapToGrid/>
              <w:spacing w:line="400" w:lineRule="exact"/>
              <w:rPr>
                <w:rFonts w:hint="eastAsia" w:ascii="宋体" w:hAnsi="宋体" w:cs="宋体"/>
                <w:b/>
                <w:bCs/>
                <w:kern w:val="0"/>
                <w:sz w:val="21"/>
                <w:szCs w:val="21"/>
              </w:rPr>
            </w:pPr>
            <w:r>
              <w:rPr>
                <w:rFonts w:hint="eastAsia" w:ascii="宋体" w:hAnsi="宋体" w:cs="宋体"/>
                <w:b/>
                <w:bCs/>
                <w:kern w:val="0"/>
                <w:sz w:val="21"/>
                <w:szCs w:val="21"/>
              </w:rPr>
              <w:t>单位</w:t>
            </w:r>
          </w:p>
        </w:tc>
        <w:tc>
          <w:tcPr>
            <w:tcW w:w="3607" w:type="dxa"/>
            <w:tcBorders>
              <w:top w:val="single" w:color="auto" w:sz="4" w:space="0"/>
              <w:left w:val="single" w:color="auto" w:sz="4" w:space="0"/>
              <w:bottom w:val="single" w:color="auto" w:sz="4" w:space="0"/>
              <w:right w:val="single" w:color="auto" w:sz="4" w:space="0"/>
            </w:tcBorders>
            <w:noWrap w:val="0"/>
            <w:vAlign w:val="center"/>
          </w:tcPr>
          <w:p>
            <w:pPr>
              <w:pStyle w:val="12"/>
              <w:pBdr>
                <w:bottom w:val="none" w:color="auto" w:sz="0" w:space="0"/>
              </w:pBdr>
              <w:snapToGrid/>
              <w:spacing w:line="400" w:lineRule="exact"/>
              <w:rPr>
                <w:rFonts w:hint="eastAsia" w:ascii="宋体" w:hAnsi="宋体" w:cs="宋体"/>
                <w:b/>
                <w:bCs/>
                <w:kern w:val="0"/>
                <w:sz w:val="21"/>
                <w:szCs w:val="21"/>
                <w:highlight w:val="none"/>
                <w:lang w:val="en-US" w:eastAsia="zh-CN"/>
              </w:rPr>
            </w:pPr>
            <w:r>
              <w:rPr>
                <w:rFonts w:hint="eastAsia" w:ascii="宋体" w:hAnsi="宋体" w:cs="宋体"/>
                <w:b/>
                <w:bCs/>
                <w:kern w:val="0"/>
                <w:sz w:val="21"/>
                <w:szCs w:val="21"/>
              </w:rPr>
              <w:t>管理费</w:t>
            </w:r>
            <w:r>
              <w:rPr>
                <w:rFonts w:hint="eastAsia" w:ascii="宋体" w:hAnsi="宋体" w:cs="宋体"/>
                <w:b/>
                <w:bCs/>
                <w:kern w:val="0"/>
                <w:sz w:val="21"/>
                <w:szCs w:val="21"/>
                <w:highlight w:val="none"/>
                <w:lang w:val="en-US" w:eastAsia="zh-CN"/>
              </w:rPr>
              <w:t>（含税）</w:t>
            </w:r>
          </w:p>
          <w:p>
            <w:pPr>
              <w:pStyle w:val="12"/>
              <w:pBdr>
                <w:bottom w:val="none" w:color="auto" w:sz="0" w:space="0"/>
              </w:pBdr>
              <w:snapToGrid/>
              <w:spacing w:line="400" w:lineRule="exact"/>
              <w:rPr>
                <w:rFonts w:hint="eastAsia" w:ascii="宋体" w:hAnsi="宋体" w:cs="宋体"/>
                <w:b/>
                <w:bCs/>
                <w:kern w:val="0"/>
                <w:sz w:val="21"/>
                <w:szCs w:val="21"/>
              </w:rPr>
            </w:pPr>
            <w:r>
              <w:rPr>
                <w:rFonts w:hint="eastAsia" w:ascii="宋体" w:hAnsi="宋体" w:cs="宋体"/>
                <w:b/>
                <w:bCs/>
                <w:kern w:val="0"/>
                <w:sz w:val="21"/>
                <w:szCs w:val="21"/>
              </w:rPr>
              <w:t>单价（人民币：</w:t>
            </w:r>
            <w:r>
              <w:rPr>
                <w:rFonts w:hint="eastAsia" w:ascii="宋体" w:hAnsi="宋体" w:cs="宋体"/>
                <w:b/>
                <w:bCs/>
                <w:kern w:val="0"/>
                <w:sz w:val="21"/>
                <w:szCs w:val="21"/>
                <w:lang w:val="en-US" w:eastAsia="zh-CN"/>
              </w:rPr>
              <w:t>%</w:t>
            </w:r>
            <w:r>
              <w:rPr>
                <w:rFonts w:hint="eastAsia" w:ascii="宋体" w:hAnsi="宋体" w:cs="宋体"/>
                <w:b/>
                <w:bCs/>
                <w:kern w:val="0"/>
                <w:sz w:val="21"/>
                <w:szCs w:val="21"/>
              </w:rPr>
              <w:t>）</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12"/>
              <w:pBdr>
                <w:bottom w:val="none" w:color="auto" w:sz="0" w:space="0"/>
              </w:pBdr>
              <w:snapToGrid/>
              <w:spacing w:line="400" w:lineRule="exact"/>
              <w:rPr>
                <w:rFonts w:hint="eastAsia"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7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cs="宋体"/>
                <w:szCs w:val="21"/>
              </w:rPr>
            </w:pPr>
            <w:r>
              <w:rPr>
                <w:rFonts w:hint="eastAsia" w:ascii="宋体" w:hAnsi="宋体"/>
                <w:color w:val="000000"/>
                <w:szCs w:val="21"/>
              </w:rPr>
              <w:t>南方医科大学第五</w:t>
            </w:r>
            <w:r>
              <w:rPr>
                <w:rFonts w:hint="eastAsia" w:ascii="宋体" w:hAnsi="宋体" w:cs="Times New Roman"/>
                <w:color w:val="000000"/>
                <w:szCs w:val="21"/>
              </w:rPr>
              <w:t>附属医院远程胎监服务服务项目</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2"/>
              <w:pBdr>
                <w:bottom w:val="none" w:color="auto" w:sz="0" w:space="0"/>
              </w:pBdr>
              <w:snapToGrid/>
              <w:spacing w:line="400" w:lineRule="exact"/>
              <w:rPr>
                <w:rFonts w:hint="eastAsia" w:ascii="宋体" w:hAnsi="宋体" w:eastAsia="宋体" w:cs="宋体"/>
                <w:sz w:val="21"/>
                <w:szCs w:val="21"/>
                <w:lang w:val="en-US" w:eastAsia="zh-CN"/>
              </w:rPr>
            </w:pPr>
            <w:r>
              <w:rPr>
                <w:rFonts w:hint="eastAsia" w:ascii="宋体" w:hAnsi="宋体" w:cs="宋体"/>
                <w:sz w:val="21"/>
                <w:szCs w:val="21"/>
              </w:rPr>
              <w:t>人</w:t>
            </w:r>
            <w:r>
              <w:rPr>
                <w:rFonts w:hint="eastAsia" w:ascii="宋体" w:hAnsi="宋体" w:cs="宋体"/>
                <w:sz w:val="21"/>
                <w:szCs w:val="21"/>
                <w:lang w:val="en-US" w:eastAsia="zh-CN"/>
              </w:rPr>
              <w:t>/月</w:t>
            </w:r>
          </w:p>
        </w:tc>
        <w:tc>
          <w:tcPr>
            <w:tcW w:w="3607" w:type="dxa"/>
            <w:tcBorders>
              <w:top w:val="single" w:color="auto" w:sz="4" w:space="0"/>
              <w:left w:val="single" w:color="auto" w:sz="4" w:space="0"/>
              <w:bottom w:val="single" w:color="auto" w:sz="4" w:space="0"/>
              <w:right w:val="single" w:color="auto" w:sz="4" w:space="0"/>
            </w:tcBorders>
            <w:noWrap w:val="0"/>
            <w:vAlign w:val="center"/>
          </w:tcPr>
          <w:p>
            <w:pPr>
              <w:pStyle w:val="12"/>
              <w:pBdr>
                <w:bottom w:val="none" w:color="auto" w:sz="0" w:space="0"/>
              </w:pBdr>
              <w:snapToGrid/>
              <w:spacing w:line="400" w:lineRule="exact"/>
              <w:jc w:val="both"/>
              <w:rPr>
                <w:rFonts w:ascii="宋体" w:hAnsi="宋体" w:cs="宋体"/>
                <w:sz w:val="21"/>
                <w:szCs w:val="21"/>
              </w:rPr>
            </w:pPr>
            <w:r>
              <w:rPr>
                <w:rFonts w:hint="eastAsia" w:ascii="宋体" w:hAnsi="宋体" w:eastAsia="宋体" w:cs="Times New Roman"/>
                <w:color w:val="000000"/>
                <w:kern w:val="2"/>
                <w:sz w:val="21"/>
                <w:szCs w:val="21"/>
                <w:lang w:val="en-US" w:eastAsia="zh-CN" w:bidi="ar-SA"/>
              </w:rPr>
              <w:t>每月每人按实收服务费的</w:t>
            </w:r>
            <w:r>
              <w:rPr>
                <w:rFonts w:hint="eastAsia" w:ascii="宋体" w:hAnsi="宋体" w:eastAsia="宋体" w:cs="Times New Roman"/>
                <w:color w:val="000000"/>
                <w:kern w:val="2"/>
                <w:sz w:val="21"/>
                <w:szCs w:val="21"/>
                <w:u w:val="single"/>
                <w:lang w:val="en-US" w:eastAsia="zh-CN" w:bidi="ar-SA"/>
              </w:rPr>
              <w:t xml:space="preserve">     </w:t>
            </w:r>
            <w:r>
              <w:rPr>
                <w:rFonts w:hint="eastAsia" w:ascii="宋体" w:hAnsi="宋体" w:eastAsia="宋体" w:cs="Times New Roman"/>
                <w:color w:val="000000"/>
                <w:kern w:val="2"/>
                <w:sz w:val="21"/>
                <w:szCs w:val="21"/>
                <w:lang w:val="en-US" w:eastAsia="zh-CN" w:bidi="ar-SA"/>
              </w:rPr>
              <w:t>%收取</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12"/>
              <w:pBdr>
                <w:bottom w:val="none" w:color="auto" w:sz="0" w:space="0"/>
              </w:pBdr>
              <w:snapToGrid/>
              <w:spacing w:line="400" w:lineRule="exact"/>
              <w:rPr>
                <w:rFonts w:hint="eastAsia" w:ascii="宋体" w:hAnsi="宋体" w:eastAsia="宋体" w:cs="宋体"/>
                <w:sz w:val="21"/>
                <w:szCs w:val="21"/>
                <w:lang w:eastAsia="zh-CN"/>
              </w:rPr>
            </w:pPr>
            <w:r>
              <w:rPr>
                <w:rFonts w:hint="eastAsia" w:ascii="宋体" w:hAnsi="宋体" w:cs="宋体"/>
                <w:sz w:val="21"/>
                <w:szCs w:val="21"/>
                <w:lang w:eastAsia="zh-CN"/>
              </w:rPr>
              <w:t>服务期两年</w:t>
            </w:r>
          </w:p>
        </w:tc>
      </w:tr>
    </w:tbl>
    <w:p>
      <w:pPr>
        <w:pStyle w:val="5"/>
        <w:ind w:firstLine="0"/>
        <w:jc w:val="center"/>
        <w:outlineLvl w:val="0"/>
        <w:rPr>
          <w:rFonts w:hint="eastAsia" w:ascii="宋体" w:hAnsi="宋体" w:eastAsia="仿宋"/>
          <w:b/>
          <w:bCs/>
          <w:sz w:val="28"/>
          <w:szCs w:val="28"/>
        </w:rPr>
      </w:pPr>
      <w:bookmarkStart w:id="199" w:name="_Toc24486"/>
      <w:bookmarkStart w:id="200" w:name="_Toc12731"/>
      <w:r>
        <w:rPr>
          <w:rFonts w:hint="eastAsia" w:ascii="仿宋" w:hAnsi="仿宋" w:eastAsia="仿宋" w:cs="宋体"/>
          <w:b/>
          <w:kern w:val="0"/>
          <w:sz w:val="28"/>
          <w:szCs w:val="28"/>
        </w:rPr>
        <w:t>报价单</w:t>
      </w:r>
      <w:bookmarkEnd w:id="196"/>
      <w:bookmarkEnd w:id="197"/>
      <w:bookmarkEnd w:id="198"/>
      <w:bookmarkEnd w:id="199"/>
      <w:bookmarkEnd w:id="200"/>
    </w:p>
    <w:p>
      <w:pPr>
        <w:pStyle w:val="22"/>
        <w:numPr>
          <w:ilvl w:val="0"/>
          <w:numId w:val="0"/>
        </w:numPr>
        <w:spacing w:line="360" w:lineRule="auto"/>
        <w:ind w:firstLine="482" w:firstLineChars="200"/>
        <w:rPr>
          <w:rFonts w:hint="eastAsia" w:ascii="宋体" w:hAnsi="宋体"/>
          <w:sz w:val="24"/>
        </w:rPr>
      </w:pPr>
      <w:r>
        <w:rPr>
          <w:rFonts w:hint="eastAsia" w:ascii="宋体" w:hAnsi="宋体"/>
          <w:b/>
          <w:bCs/>
          <w:sz w:val="24"/>
          <w:lang w:val="en-US" w:eastAsia="zh-CN"/>
        </w:rPr>
        <w:t>1.</w:t>
      </w:r>
      <w:r>
        <w:rPr>
          <w:rFonts w:hint="eastAsia" w:ascii="宋体" w:hAnsi="宋体"/>
          <w:b/>
          <w:bCs/>
          <w:sz w:val="24"/>
        </w:rPr>
        <w:t>温馨提示（金额大写）：</w:t>
      </w:r>
      <w:r>
        <w:rPr>
          <w:rFonts w:hint="eastAsia" w:ascii="宋体" w:hAnsi="宋体"/>
          <w:sz w:val="24"/>
        </w:rPr>
        <w:t>壹、贰、叁、肆、伍、陆、柒、捌、玖、拾 、佰、仟、万</w:t>
      </w:r>
    </w:p>
    <w:p>
      <w:pPr>
        <w:pStyle w:val="22"/>
        <w:spacing w:line="360" w:lineRule="auto"/>
        <w:ind w:firstLine="482" w:firstLineChars="200"/>
        <w:outlineLvl w:val="0"/>
        <w:rPr>
          <w:rFonts w:hint="eastAsia" w:ascii="宋体" w:hAnsi="宋体"/>
          <w:szCs w:val="21"/>
        </w:rPr>
      </w:pPr>
      <w:bookmarkStart w:id="201" w:name="_Toc13878"/>
      <w:bookmarkStart w:id="202" w:name="_Toc3846"/>
      <w:bookmarkStart w:id="203" w:name="_Toc2327"/>
      <w:bookmarkStart w:id="204" w:name="_Toc22248"/>
      <w:bookmarkStart w:id="205" w:name="_Toc4424"/>
      <w:r>
        <w:rPr>
          <w:rFonts w:hint="eastAsia" w:ascii="宋体" w:hAnsi="宋体"/>
          <w:b/>
          <w:bCs/>
          <w:sz w:val="24"/>
          <w:lang w:val="en-US" w:eastAsia="zh-CN"/>
        </w:rPr>
        <w:t>2.</w:t>
      </w:r>
      <w:r>
        <w:rPr>
          <w:rFonts w:hint="eastAsia" w:ascii="宋体" w:hAnsi="宋体"/>
          <w:b/>
          <w:bCs/>
          <w:sz w:val="24"/>
        </w:rPr>
        <w:t>其他承诺：</w:t>
      </w:r>
      <w:bookmarkEnd w:id="201"/>
      <w:bookmarkEnd w:id="202"/>
      <w:bookmarkEnd w:id="203"/>
      <w:bookmarkEnd w:id="204"/>
      <w:bookmarkEnd w:id="205"/>
    </w:p>
    <w:p>
      <w:pPr>
        <w:widowControl/>
        <w:spacing w:line="360" w:lineRule="auto"/>
        <w:ind w:firstLine="3840" w:firstLineChars="1600"/>
        <w:jc w:val="center"/>
        <w:outlineLvl w:val="9"/>
        <w:rPr>
          <w:rFonts w:hint="eastAsia" w:ascii="宋体" w:hAnsi="宋体"/>
          <w:sz w:val="24"/>
        </w:rPr>
      </w:pPr>
      <w:bookmarkStart w:id="206" w:name="_Toc30009"/>
      <w:bookmarkStart w:id="207" w:name="_Toc16900"/>
      <w:bookmarkStart w:id="208" w:name="_Toc19960"/>
    </w:p>
    <w:p>
      <w:pPr>
        <w:pStyle w:val="5"/>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pStyle w:val="5"/>
        <w:ind w:left="0" w:leftChars="0" w:firstLine="0" w:firstLineChars="0"/>
        <w:rPr>
          <w:rFonts w:hint="eastAsia" w:ascii="宋体" w:hAnsi="宋体"/>
          <w:sz w:val="24"/>
        </w:rPr>
      </w:pPr>
    </w:p>
    <w:p>
      <w:pPr>
        <w:pStyle w:val="5"/>
        <w:rPr>
          <w:rFonts w:hint="eastAsia" w:ascii="宋体" w:hAnsi="宋体"/>
          <w:sz w:val="24"/>
        </w:rPr>
      </w:pPr>
    </w:p>
    <w:p>
      <w:pPr>
        <w:pStyle w:val="5"/>
        <w:rPr>
          <w:rFonts w:hint="eastAsia" w:ascii="宋体" w:hAnsi="宋体"/>
          <w:sz w:val="24"/>
        </w:rPr>
      </w:pPr>
    </w:p>
    <w:p>
      <w:pPr>
        <w:widowControl/>
        <w:spacing w:line="360" w:lineRule="auto"/>
        <w:ind w:firstLine="3840" w:firstLineChars="1600"/>
        <w:jc w:val="center"/>
        <w:outlineLvl w:val="0"/>
        <w:rPr>
          <w:rFonts w:hint="eastAsia" w:ascii="宋体" w:hAnsi="宋体"/>
          <w:sz w:val="24"/>
        </w:rPr>
      </w:pPr>
      <w:bookmarkStart w:id="209" w:name="_Toc1278"/>
      <w:r>
        <w:rPr>
          <w:rFonts w:hint="eastAsia" w:ascii="宋体" w:hAnsi="宋体"/>
          <w:sz w:val="24"/>
          <w:lang w:eastAsia="zh-CN"/>
        </w:rPr>
        <w:t>供应商</w:t>
      </w:r>
      <w:r>
        <w:rPr>
          <w:rFonts w:hint="eastAsia" w:ascii="宋体" w:hAnsi="宋体"/>
          <w:sz w:val="24"/>
        </w:rPr>
        <w:t>名称（加盖公章）：</w:t>
      </w:r>
      <w:bookmarkEnd w:id="206"/>
      <w:bookmarkEnd w:id="207"/>
      <w:bookmarkEnd w:id="208"/>
      <w:bookmarkEnd w:id="209"/>
    </w:p>
    <w:p>
      <w:pPr>
        <w:widowControl/>
        <w:spacing w:line="360" w:lineRule="auto"/>
        <w:ind w:firstLine="2880" w:firstLineChars="1200"/>
        <w:jc w:val="center"/>
        <w:outlineLvl w:val="0"/>
        <w:rPr>
          <w:rFonts w:hint="eastAsia" w:ascii="宋体" w:hAnsi="宋体"/>
          <w:sz w:val="24"/>
        </w:rPr>
      </w:pPr>
      <w:bookmarkStart w:id="210" w:name="_Toc19454"/>
      <w:bookmarkStart w:id="211" w:name="_Toc4161"/>
      <w:bookmarkStart w:id="212" w:name="_Toc7647"/>
      <w:bookmarkStart w:id="213" w:name="_Toc11048"/>
      <w:r>
        <w:rPr>
          <w:rFonts w:hint="eastAsia" w:ascii="宋体" w:hAnsi="宋体"/>
          <w:sz w:val="24"/>
        </w:rPr>
        <w:t>供应商法定代表人或授权代表签名：</w:t>
      </w:r>
      <w:bookmarkEnd w:id="210"/>
      <w:bookmarkEnd w:id="211"/>
      <w:bookmarkEnd w:id="212"/>
      <w:bookmarkEnd w:id="213"/>
      <w:r>
        <w:rPr>
          <w:rFonts w:hint="eastAsia" w:ascii="宋体" w:hAnsi="宋体"/>
          <w:sz w:val="24"/>
        </w:rPr>
        <w:t xml:space="preserve">           </w:t>
      </w:r>
    </w:p>
    <w:p>
      <w:pPr>
        <w:widowControl/>
        <w:spacing w:line="360" w:lineRule="auto"/>
        <w:ind w:firstLine="5760" w:firstLineChars="2400"/>
        <w:jc w:val="center"/>
        <w:outlineLvl w:val="0"/>
        <w:rPr>
          <w:rFonts w:hint="eastAsia" w:ascii="宋体" w:hAnsi="宋体"/>
          <w:szCs w:val="21"/>
        </w:rPr>
      </w:pPr>
      <w:bookmarkStart w:id="214" w:name="_Toc20095"/>
      <w:bookmarkStart w:id="215" w:name="_Toc1344"/>
      <w:r>
        <w:rPr>
          <w:rFonts w:hint="eastAsia" w:ascii="宋体" w:hAnsi="宋体"/>
          <w:sz w:val="24"/>
        </w:rPr>
        <w:t xml:space="preserve">    </w:t>
      </w:r>
      <w:bookmarkStart w:id="216" w:name="_Toc9042"/>
      <w:bookmarkStart w:id="217" w:name="_Toc27118"/>
      <w:r>
        <w:rPr>
          <w:rFonts w:hint="eastAsia" w:ascii="宋体" w:hAnsi="宋体"/>
          <w:sz w:val="24"/>
        </w:rPr>
        <w:t>日  期：    年    月     日</w:t>
      </w:r>
      <w:bookmarkEnd w:id="214"/>
      <w:bookmarkEnd w:id="215"/>
      <w:bookmarkEnd w:id="216"/>
      <w:bookmarkEnd w:id="217"/>
    </w:p>
    <w:p>
      <w:pPr>
        <w:pStyle w:val="22"/>
        <w:spacing w:line="360" w:lineRule="auto"/>
        <w:ind w:firstLine="482" w:firstLineChars="200"/>
        <w:rPr>
          <w:rFonts w:hint="eastAsia" w:ascii="宋体" w:hAnsi="宋体"/>
          <w:b/>
          <w:bCs/>
          <w:color w:val="auto"/>
          <w:sz w:val="24"/>
        </w:rPr>
      </w:pPr>
    </w:p>
    <w:p>
      <w:pPr>
        <w:widowControl/>
        <w:spacing w:line="360" w:lineRule="auto"/>
        <w:ind w:firstLine="2280" w:firstLineChars="950"/>
        <w:jc w:val="left"/>
        <w:rPr>
          <w:rFonts w:ascii="宋体" w:hAnsi="宋体"/>
          <w:color w:val="auto"/>
          <w:sz w:val="24"/>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widowControl/>
        <w:spacing w:line="360" w:lineRule="auto"/>
        <w:ind w:firstLine="1440" w:firstLineChars="600"/>
        <w:jc w:val="left"/>
        <w:rPr>
          <w:rFonts w:ascii="宋体" w:hAnsi="宋体"/>
          <w:color w:val="auto"/>
          <w:sz w:val="24"/>
        </w:rPr>
      </w:pPr>
    </w:p>
    <w:p>
      <w:pPr>
        <w:pStyle w:val="25"/>
        <w:tabs>
          <w:tab w:val="left" w:pos="1050"/>
          <w:tab w:val="center" w:pos="4535"/>
        </w:tabs>
        <w:spacing w:line="360" w:lineRule="auto"/>
        <w:jc w:val="center"/>
        <w:outlineLvl w:val="0"/>
        <w:rPr>
          <w:b/>
          <w:bCs/>
          <w:sz w:val="32"/>
          <w:szCs w:val="32"/>
        </w:rPr>
      </w:pPr>
      <w:bookmarkStart w:id="218" w:name="_Toc21213"/>
      <w:bookmarkStart w:id="219" w:name="_Toc23684"/>
      <w:bookmarkStart w:id="220" w:name="_Toc19528"/>
      <w:bookmarkStart w:id="221" w:name="_Toc31077"/>
      <w:bookmarkStart w:id="222" w:name="_Toc6214"/>
      <w:bookmarkStart w:id="223" w:name="_Toc31787"/>
      <w:bookmarkStart w:id="224" w:name="_Toc28851"/>
      <w:bookmarkStart w:id="225" w:name="_Toc15050"/>
      <w:bookmarkStart w:id="226" w:name="_Toc3241"/>
      <w:bookmarkStart w:id="227" w:name="_Toc3758"/>
      <w:bookmarkStart w:id="228" w:name="_Toc18443"/>
      <w:bookmarkStart w:id="229" w:name="_Toc23685"/>
      <w:bookmarkStart w:id="230" w:name="_Toc22175"/>
      <w:bookmarkStart w:id="231" w:name="_Toc28957"/>
      <w:bookmarkStart w:id="232" w:name="_Toc7276"/>
      <w:bookmarkStart w:id="233" w:name="_Toc14853"/>
      <w:bookmarkStart w:id="234" w:name="_Toc14020"/>
      <w:bookmarkStart w:id="235" w:name="_Toc14591"/>
      <w:bookmarkStart w:id="236" w:name="_Toc31674"/>
      <w:bookmarkStart w:id="237" w:name="_Toc21561"/>
      <w:r>
        <w:rPr>
          <w:rFonts w:hint="eastAsia"/>
          <w:b/>
          <w:bCs/>
          <w:sz w:val="32"/>
          <w:szCs w:val="32"/>
        </w:rPr>
        <w:t>法定代表人资格证明书</w:t>
      </w:r>
      <w:bookmarkEnd w:id="218"/>
      <w:bookmarkEnd w:id="219"/>
      <w:bookmarkEnd w:id="220"/>
      <w:bookmarkEnd w:id="221"/>
      <w:bookmarkEnd w:id="222"/>
      <w:bookmarkEnd w:id="223"/>
      <w:bookmarkEnd w:id="224"/>
    </w:p>
    <w:p>
      <w:pPr>
        <w:pStyle w:val="25"/>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5"/>
        <w:spacing w:line="360" w:lineRule="auto"/>
        <w:ind w:firstLine="560"/>
      </w:pP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5"/>
        <w:spacing w:line="360" w:lineRule="auto"/>
        <w:ind w:firstLine="560"/>
        <w:rPr>
          <w:u w:val="single"/>
        </w:rPr>
      </w:pPr>
      <w:r>
        <w:rPr>
          <w:rFonts w:hint="eastAsia"/>
        </w:rPr>
        <w:t>日  期：</w:t>
      </w:r>
      <w:r>
        <w:rPr>
          <w:rFonts w:hint="eastAsia"/>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bookmarkEnd w:id="225"/>
    <w:bookmarkEnd w:id="226"/>
    <w:bookmarkEnd w:id="227"/>
    <w:bookmarkEnd w:id="228"/>
    <w:bookmarkEnd w:id="229"/>
    <w:bookmarkEnd w:id="230"/>
    <w:bookmarkEnd w:id="231"/>
    <w:bookmarkEnd w:id="232"/>
    <w:bookmarkEnd w:id="233"/>
    <w:bookmarkEnd w:id="234"/>
    <w:bookmarkEnd w:id="235"/>
    <w:p>
      <w:pPr>
        <w:pStyle w:val="25"/>
        <w:spacing w:line="360" w:lineRule="auto"/>
        <w:jc w:val="center"/>
        <w:outlineLvl w:val="0"/>
        <w:rPr>
          <w:b/>
          <w:bCs/>
          <w:sz w:val="32"/>
          <w:szCs w:val="32"/>
        </w:rPr>
      </w:pPr>
      <w:bookmarkStart w:id="238" w:name="_Toc17511"/>
      <w:bookmarkStart w:id="239" w:name="_Toc23308"/>
      <w:bookmarkStart w:id="240" w:name="_Toc9844"/>
      <w:r>
        <w:rPr>
          <w:rFonts w:hint="eastAsia"/>
          <w:b/>
          <w:bCs/>
          <w:sz w:val="32"/>
          <w:szCs w:val="32"/>
        </w:rPr>
        <w:t>法定代表人授权委托书</w:t>
      </w:r>
      <w:bookmarkEnd w:id="238"/>
      <w:bookmarkEnd w:id="239"/>
      <w:bookmarkEnd w:id="240"/>
    </w:p>
    <w:p>
      <w:pPr>
        <w:pStyle w:val="26"/>
        <w:spacing w:line="360" w:lineRule="auto"/>
        <w:jc w:val="left"/>
        <w:rPr>
          <w:b/>
          <w:bCs/>
          <w:sz w:val="24"/>
          <w:szCs w:val="24"/>
        </w:rPr>
      </w:pPr>
      <w:r>
        <w:rPr>
          <w:rFonts w:hint="eastAsia"/>
          <w:b/>
          <w:bCs/>
          <w:sz w:val="24"/>
          <w:szCs w:val="24"/>
        </w:rPr>
        <w:t>本授权书声明：</w:t>
      </w:r>
    </w:p>
    <w:p>
      <w:pPr>
        <w:pStyle w:val="25"/>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5"/>
        <w:spacing w:line="360" w:lineRule="auto"/>
        <w:ind w:firstLine="560"/>
        <w:rPr>
          <w:u w:val="single"/>
        </w:rPr>
      </w:pPr>
      <w:r>
        <w:rPr>
          <w:rFonts w:hint="eastAsia"/>
        </w:rPr>
        <w:t xml:space="preserve">授权日期： </w:t>
      </w:r>
      <w:r>
        <w:rPr>
          <w:rFonts w:hint="eastAsia"/>
          <w:u w:val="single"/>
        </w:rPr>
        <w:t xml:space="preserve">                 至                   </w:t>
      </w:r>
    </w:p>
    <w:p>
      <w:pPr>
        <w:pStyle w:val="25"/>
        <w:spacing w:line="360" w:lineRule="auto"/>
        <w:ind w:firstLine="560"/>
      </w:pPr>
      <w:r>
        <w:rPr>
          <w:rFonts w:hint="eastAsia"/>
        </w:rPr>
        <w:t>本授权书在签字盖章后生效，特此声明。</w:t>
      </w: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被授权人签字（盖章）：</w:t>
      </w:r>
      <w:r>
        <w:rPr>
          <w:rFonts w:hint="eastAsia"/>
          <w:u w:val="single"/>
        </w:rPr>
        <w:t xml:space="preserve">                                        </w:t>
      </w:r>
    </w:p>
    <w:p>
      <w:pPr>
        <w:pStyle w:val="25"/>
        <w:spacing w:line="360" w:lineRule="auto"/>
        <w:ind w:firstLine="560"/>
        <w:rPr>
          <w:u w:val="single"/>
        </w:rPr>
      </w:pPr>
      <w:r>
        <w:rPr>
          <w:rFonts w:hint="eastAsia"/>
        </w:rPr>
        <w:t>公司名称（加盖公章）：</w:t>
      </w:r>
      <w:r>
        <w:rPr>
          <w:rFonts w:hint="eastAsia"/>
          <w:u w:val="single"/>
        </w:rPr>
        <w:t xml:space="preserve">                                        </w:t>
      </w:r>
    </w:p>
    <w:p>
      <w:pPr>
        <w:pStyle w:val="25"/>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5"/>
        <w:spacing w:line="360" w:lineRule="auto"/>
        <w:ind w:firstLine="560"/>
        <w:rPr>
          <w:sz w:val="28"/>
          <w:szCs w:val="28"/>
        </w:rPr>
      </w:pP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2"/>
        <w:ind w:firstLine="3975" w:firstLineChars="1100"/>
        <w:rPr>
          <w:b/>
          <w:bCs/>
          <w:sz w:val="36"/>
          <w:szCs w:val="36"/>
        </w:rPr>
      </w:pPr>
    </w:p>
    <w:p>
      <w:pPr>
        <w:pStyle w:val="25"/>
        <w:tabs>
          <w:tab w:val="left" w:pos="1050"/>
          <w:tab w:val="center" w:pos="4535"/>
        </w:tabs>
        <w:spacing w:line="360" w:lineRule="auto"/>
        <w:jc w:val="center"/>
        <w:rPr>
          <w:b/>
          <w:bCs/>
          <w:sz w:val="32"/>
          <w:szCs w:val="32"/>
        </w:rPr>
      </w:pPr>
    </w:p>
    <w:bookmarkEnd w:id="236"/>
    <w:bookmarkEnd w:id="237"/>
    <w:p>
      <w:pPr>
        <w:pStyle w:val="25"/>
        <w:tabs>
          <w:tab w:val="left" w:pos="1050"/>
          <w:tab w:val="center" w:pos="4535"/>
        </w:tabs>
        <w:spacing w:line="360" w:lineRule="auto"/>
        <w:jc w:val="center"/>
        <w:outlineLvl w:val="0"/>
        <w:rPr>
          <w:b/>
          <w:bCs/>
          <w:sz w:val="32"/>
          <w:szCs w:val="32"/>
        </w:rPr>
      </w:pPr>
      <w:bookmarkStart w:id="241" w:name="_Toc8475"/>
      <w:bookmarkStart w:id="242" w:name="_Toc10212"/>
      <w:bookmarkStart w:id="243" w:name="_Toc4618"/>
      <w:bookmarkStart w:id="244" w:name="_Toc16763"/>
      <w:bookmarkStart w:id="245" w:name="_Toc32281"/>
      <w:r>
        <w:rPr>
          <w:rFonts w:hint="eastAsia"/>
          <w:b/>
          <w:bCs/>
          <w:sz w:val="32"/>
          <w:szCs w:val="32"/>
        </w:rPr>
        <w:t>2021年1月1日以来同类项目经验情况一览表</w:t>
      </w:r>
      <w:bookmarkEnd w:id="241"/>
      <w:bookmarkEnd w:id="242"/>
      <w:bookmarkEnd w:id="243"/>
      <w:bookmarkEnd w:id="244"/>
      <w:bookmarkEnd w:id="245"/>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2"/>
        <w:rPr>
          <w:rFonts w:ascii="宋体" w:hAnsi="宋体"/>
          <w:sz w:val="24"/>
        </w:rPr>
      </w:pPr>
    </w:p>
    <w:p>
      <w:pPr>
        <w:pStyle w:val="22"/>
        <w:spacing w:line="360" w:lineRule="auto"/>
        <w:ind w:firstLine="480" w:firstLineChars="200"/>
        <w:outlineLvl w:val="0"/>
        <w:rPr>
          <w:b/>
          <w:bCs/>
          <w:sz w:val="36"/>
          <w:szCs w:val="36"/>
        </w:rPr>
      </w:pPr>
      <w:bookmarkStart w:id="246" w:name="_Toc16613"/>
      <w:bookmarkStart w:id="247" w:name="_Toc18838"/>
      <w:bookmarkStart w:id="248" w:name="_Toc24098"/>
      <w:bookmarkStart w:id="249" w:name="_Toc6536"/>
      <w:bookmarkStart w:id="250" w:name="_Toc11313"/>
      <w:r>
        <w:rPr>
          <w:rFonts w:hint="eastAsia" w:ascii="宋体" w:hAnsi="宋体"/>
          <w:sz w:val="24"/>
        </w:rPr>
        <w:t>注：2021年1月1日至今同类项目的业绩用户名单及证明材料（证明材料需提供合同复印件或</w:t>
      </w:r>
      <w:r>
        <w:rPr>
          <w:rFonts w:hint="eastAsia" w:ascii="宋体" w:hAnsi="宋体"/>
          <w:sz w:val="24"/>
          <w:lang w:val="zh-CN"/>
        </w:rPr>
        <w:t>中标通知书</w:t>
      </w:r>
      <w:r>
        <w:rPr>
          <w:rFonts w:hint="eastAsia" w:ascii="宋体" w:hAnsi="宋体"/>
          <w:sz w:val="24"/>
        </w:rPr>
        <w:t>，并加盖公章）。</w:t>
      </w:r>
      <w:bookmarkEnd w:id="246"/>
      <w:bookmarkEnd w:id="247"/>
      <w:bookmarkEnd w:id="248"/>
      <w:bookmarkEnd w:id="249"/>
      <w:bookmarkEnd w:id="250"/>
    </w:p>
    <w:p>
      <w:pPr>
        <w:pStyle w:val="22"/>
        <w:ind w:firstLine="3614" w:firstLineChars="1000"/>
        <w:rPr>
          <w:b/>
          <w:bCs/>
          <w:sz w:val="36"/>
          <w:szCs w:val="36"/>
        </w:rPr>
      </w:pPr>
    </w:p>
    <w:p>
      <w:pPr>
        <w:pStyle w:val="22"/>
        <w:ind w:firstLine="3614" w:firstLineChars="1000"/>
        <w:rPr>
          <w:b/>
          <w:bCs/>
          <w:color w:val="auto"/>
          <w:sz w:val="36"/>
          <w:szCs w:val="36"/>
        </w:rPr>
      </w:pPr>
    </w:p>
    <w:p>
      <w:pPr>
        <w:pStyle w:val="22"/>
        <w:ind w:firstLine="3614" w:firstLineChars="1000"/>
        <w:rPr>
          <w:b/>
          <w:bCs/>
          <w:color w:val="auto"/>
          <w:sz w:val="36"/>
          <w:szCs w:val="36"/>
        </w:rPr>
      </w:pPr>
    </w:p>
    <w:p>
      <w:pPr>
        <w:pStyle w:val="22"/>
        <w:ind w:firstLine="3614" w:firstLineChars="1000"/>
        <w:rPr>
          <w:b/>
          <w:bCs/>
          <w:color w:val="auto"/>
          <w:sz w:val="36"/>
          <w:szCs w:val="36"/>
        </w:rPr>
      </w:pPr>
    </w:p>
    <w:p>
      <w:pPr>
        <w:pStyle w:val="22"/>
        <w:ind w:firstLine="3614" w:firstLineChars="1000"/>
        <w:rPr>
          <w:b/>
          <w:bCs/>
          <w:color w:val="auto"/>
          <w:sz w:val="36"/>
          <w:szCs w:val="36"/>
        </w:rPr>
      </w:pPr>
    </w:p>
    <w:p>
      <w:pPr>
        <w:pStyle w:val="22"/>
        <w:ind w:firstLine="3614" w:firstLineChars="1000"/>
        <w:rPr>
          <w:b/>
          <w:bCs/>
          <w:color w:val="auto"/>
          <w:sz w:val="36"/>
          <w:szCs w:val="36"/>
        </w:rPr>
      </w:pPr>
    </w:p>
    <w:p>
      <w:pPr>
        <w:pStyle w:val="22"/>
        <w:ind w:firstLine="3614" w:firstLineChars="1000"/>
        <w:rPr>
          <w:b/>
          <w:bCs/>
          <w:color w:val="auto"/>
          <w:sz w:val="36"/>
          <w:szCs w:val="36"/>
        </w:rPr>
      </w:pPr>
    </w:p>
    <w:p>
      <w:pPr>
        <w:pStyle w:val="22"/>
        <w:ind w:firstLine="3614" w:firstLineChars="1000"/>
        <w:rPr>
          <w:b/>
          <w:bCs/>
          <w:color w:val="auto"/>
          <w:sz w:val="36"/>
          <w:szCs w:val="36"/>
        </w:rPr>
      </w:pPr>
    </w:p>
    <w:p>
      <w:pPr>
        <w:pStyle w:val="2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51" w:name="_Toc40776119"/>
      <w:bookmarkStart w:id="252" w:name="_Toc17929"/>
      <w:bookmarkStart w:id="253" w:name="_Toc20164"/>
      <w:bookmarkStart w:id="254" w:name="_Toc24877"/>
      <w:bookmarkStart w:id="255" w:name="_Toc9749"/>
      <w:bookmarkStart w:id="256" w:name="_Toc27180"/>
      <w:bookmarkStart w:id="257" w:name="_Toc40346385"/>
      <w:bookmarkStart w:id="258" w:name="_Toc21435"/>
      <w:bookmarkStart w:id="259" w:name="_Toc23732"/>
      <w:bookmarkStart w:id="260" w:name="_Toc16505"/>
      <w:bookmarkStart w:id="261" w:name="_Toc40346226"/>
      <w:bookmarkStart w:id="262" w:name="_Toc30558"/>
    </w:p>
    <w:bookmarkEnd w:id="251"/>
    <w:bookmarkEnd w:id="252"/>
    <w:bookmarkEnd w:id="253"/>
    <w:bookmarkEnd w:id="254"/>
    <w:bookmarkEnd w:id="255"/>
    <w:bookmarkEnd w:id="256"/>
    <w:bookmarkEnd w:id="257"/>
    <w:bookmarkEnd w:id="258"/>
    <w:bookmarkEnd w:id="259"/>
    <w:bookmarkEnd w:id="260"/>
    <w:bookmarkEnd w:id="261"/>
    <w:bookmarkEnd w:id="262"/>
    <w:p>
      <w:pPr>
        <w:pStyle w:val="22"/>
        <w:rPr>
          <w:rFonts w:hint="eastAsia" w:ascii="宋体" w:hAnsi="宋体"/>
          <w:b/>
          <w:sz w:val="24"/>
        </w:rPr>
      </w:pPr>
      <w:r>
        <w:rPr>
          <w:rFonts w:hint="eastAsia" w:ascii="仿宋" w:hAnsi="仿宋" w:eastAsia="仿宋" w:cs="宋体"/>
          <w:b/>
          <w:kern w:val="0"/>
          <w:sz w:val="24"/>
          <w:szCs w:val="32"/>
        </w:rPr>
        <w:t>投入人员一览表</w:t>
      </w:r>
    </w:p>
    <w:p>
      <w:pPr>
        <w:pStyle w:val="5"/>
        <w:ind w:firstLine="0"/>
      </w:pPr>
    </w:p>
    <w:p>
      <w:pPr>
        <w:pStyle w:val="5"/>
        <w:ind w:firstLine="0"/>
        <w:jc w:val="center"/>
        <w:rPr>
          <w:rFonts w:hint="eastAsia" w:ascii="宋体" w:hAnsi="宋体" w:cs="宋体"/>
          <w:b/>
          <w:bCs/>
          <w:kern w:val="0"/>
          <w:sz w:val="32"/>
          <w:szCs w:val="32"/>
          <w:lang w:val="en-US" w:eastAsia="zh-CN" w:bidi="ar-SA"/>
        </w:rPr>
      </w:pPr>
      <w:r>
        <w:rPr>
          <w:rFonts w:hint="eastAsia" w:ascii="宋体" w:hAnsi="宋体" w:cs="宋体"/>
          <w:b/>
          <w:bCs/>
          <w:kern w:val="0"/>
          <w:sz w:val="32"/>
          <w:szCs w:val="32"/>
          <w:lang w:val="en-US" w:eastAsia="zh-CN" w:bidi="ar-SA"/>
        </w:rPr>
        <w:t>项目投入人员一览表</w:t>
      </w:r>
    </w:p>
    <w:p>
      <w:pPr>
        <w:pStyle w:val="5"/>
        <w:ind w:firstLine="0"/>
        <w:jc w:val="center"/>
        <w:rPr>
          <w:rFonts w:hint="eastAsia" w:ascii="宋体" w:hAnsi="宋体" w:cs="宋体"/>
          <w:b/>
          <w:bCs/>
          <w:kern w:val="0"/>
          <w:sz w:val="32"/>
          <w:szCs w:val="32"/>
          <w:lang w:val="en-US" w:eastAsia="zh-CN" w:bidi="ar-SA"/>
        </w:rPr>
      </w:pPr>
    </w:p>
    <w:tbl>
      <w:tblPr>
        <w:tblStyle w:val="1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843"/>
        <w:gridCol w:w="1559"/>
        <w:gridCol w:w="1418"/>
        <w:gridCol w:w="1559"/>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dxa"/>
            <w:noWrap w:val="0"/>
            <w:vAlign w:val="center"/>
          </w:tcPr>
          <w:p>
            <w:pPr>
              <w:spacing w:line="360" w:lineRule="auto"/>
              <w:jc w:val="center"/>
              <w:rPr>
                <w:rFonts w:hint="eastAsia" w:ascii="宋体" w:hAnsi="宋体"/>
                <w:sz w:val="24"/>
              </w:rPr>
            </w:pPr>
            <w:r>
              <w:rPr>
                <w:rFonts w:hint="eastAsia" w:ascii="宋体" w:hAnsi="宋体"/>
                <w:sz w:val="24"/>
              </w:rPr>
              <w:t>序号</w:t>
            </w:r>
          </w:p>
        </w:tc>
        <w:tc>
          <w:tcPr>
            <w:tcW w:w="1843" w:type="dxa"/>
            <w:noWrap w:val="0"/>
            <w:vAlign w:val="center"/>
          </w:tcPr>
          <w:p>
            <w:pPr>
              <w:spacing w:line="360" w:lineRule="auto"/>
              <w:jc w:val="center"/>
              <w:rPr>
                <w:rFonts w:hint="eastAsia" w:ascii="宋体" w:hAnsi="宋体"/>
                <w:sz w:val="24"/>
              </w:rPr>
            </w:pPr>
            <w:r>
              <w:rPr>
                <w:rFonts w:hint="eastAsia" w:ascii="宋体" w:hAnsi="宋体"/>
                <w:sz w:val="24"/>
              </w:rPr>
              <w:t>拟派岗位</w:t>
            </w:r>
          </w:p>
        </w:tc>
        <w:tc>
          <w:tcPr>
            <w:tcW w:w="1559" w:type="dxa"/>
            <w:noWrap w:val="0"/>
            <w:vAlign w:val="center"/>
          </w:tcPr>
          <w:p>
            <w:pPr>
              <w:spacing w:line="360" w:lineRule="auto"/>
              <w:jc w:val="center"/>
              <w:rPr>
                <w:rFonts w:hint="eastAsia" w:ascii="宋体" w:hAnsi="宋体"/>
                <w:sz w:val="24"/>
              </w:rPr>
            </w:pPr>
            <w:r>
              <w:rPr>
                <w:rFonts w:hint="eastAsia" w:ascii="宋体" w:hAnsi="宋体"/>
                <w:sz w:val="24"/>
              </w:rPr>
              <w:t>姓名</w:t>
            </w:r>
          </w:p>
        </w:tc>
        <w:tc>
          <w:tcPr>
            <w:tcW w:w="1418" w:type="dxa"/>
            <w:noWrap w:val="0"/>
            <w:vAlign w:val="center"/>
          </w:tcPr>
          <w:p>
            <w:pPr>
              <w:spacing w:line="360" w:lineRule="auto"/>
              <w:jc w:val="center"/>
              <w:rPr>
                <w:rFonts w:hint="eastAsia" w:ascii="宋体" w:hAnsi="宋体"/>
                <w:sz w:val="24"/>
              </w:rPr>
            </w:pPr>
            <w:r>
              <w:rPr>
                <w:rFonts w:hint="eastAsia" w:ascii="宋体" w:hAnsi="宋体"/>
                <w:sz w:val="24"/>
              </w:rPr>
              <w:t>年龄</w:t>
            </w:r>
          </w:p>
        </w:tc>
        <w:tc>
          <w:tcPr>
            <w:tcW w:w="1559" w:type="dxa"/>
            <w:noWrap w:val="0"/>
            <w:vAlign w:val="center"/>
          </w:tcPr>
          <w:p>
            <w:pPr>
              <w:spacing w:line="360" w:lineRule="auto"/>
              <w:jc w:val="center"/>
              <w:rPr>
                <w:rFonts w:hint="eastAsia" w:ascii="宋体" w:hAnsi="宋体"/>
                <w:sz w:val="24"/>
              </w:rPr>
            </w:pPr>
            <w:r>
              <w:rPr>
                <w:rFonts w:hint="eastAsia" w:ascii="宋体" w:hAnsi="宋体"/>
                <w:sz w:val="24"/>
              </w:rPr>
              <w:t>证书名称</w:t>
            </w:r>
          </w:p>
        </w:tc>
        <w:tc>
          <w:tcPr>
            <w:tcW w:w="1805" w:type="dxa"/>
            <w:noWrap w:val="0"/>
            <w:vAlign w:val="center"/>
          </w:tcPr>
          <w:p>
            <w:pPr>
              <w:spacing w:line="360" w:lineRule="auto"/>
              <w:jc w:val="center"/>
              <w:rPr>
                <w:rFonts w:hint="eastAsia" w:ascii="宋体" w:hAnsi="宋体"/>
                <w:sz w:val="24"/>
              </w:rPr>
            </w:pPr>
            <w:r>
              <w:rPr>
                <w:rFonts w:hint="eastAsia" w:ascii="宋体" w:hAnsi="宋体"/>
                <w:sz w:val="24"/>
              </w:rPr>
              <w:t>证书号码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dxa"/>
            <w:noWrap w:val="0"/>
            <w:vAlign w:val="center"/>
          </w:tcPr>
          <w:p>
            <w:pPr>
              <w:spacing w:line="360" w:lineRule="auto"/>
              <w:jc w:val="center"/>
              <w:rPr>
                <w:rFonts w:hint="eastAsia" w:ascii="宋体" w:hAnsi="宋体"/>
                <w:sz w:val="24"/>
              </w:rPr>
            </w:pPr>
            <w:r>
              <w:rPr>
                <w:rFonts w:hint="eastAsia" w:ascii="宋体" w:hAnsi="宋体"/>
                <w:sz w:val="24"/>
              </w:rPr>
              <w:t>1</w:t>
            </w:r>
          </w:p>
        </w:tc>
        <w:tc>
          <w:tcPr>
            <w:tcW w:w="1843"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418"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80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dxa"/>
            <w:noWrap w:val="0"/>
            <w:vAlign w:val="center"/>
          </w:tcPr>
          <w:p>
            <w:pPr>
              <w:spacing w:line="360" w:lineRule="auto"/>
              <w:jc w:val="center"/>
              <w:rPr>
                <w:rFonts w:hint="eastAsia" w:ascii="宋体" w:hAnsi="宋体"/>
                <w:sz w:val="24"/>
              </w:rPr>
            </w:pPr>
            <w:r>
              <w:rPr>
                <w:rFonts w:hint="eastAsia" w:ascii="宋体" w:hAnsi="宋体"/>
                <w:sz w:val="24"/>
              </w:rPr>
              <w:t>2</w:t>
            </w:r>
          </w:p>
        </w:tc>
        <w:tc>
          <w:tcPr>
            <w:tcW w:w="1843"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418"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80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dxa"/>
            <w:noWrap w:val="0"/>
            <w:vAlign w:val="center"/>
          </w:tcPr>
          <w:p>
            <w:pPr>
              <w:spacing w:line="360" w:lineRule="auto"/>
              <w:jc w:val="center"/>
              <w:rPr>
                <w:rFonts w:hint="eastAsia" w:ascii="宋体" w:hAnsi="宋体"/>
                <w:sz w:val="24"/>
              </w:rPr>
            </w:pPr>
            <w:r>
              <w:rPr>
                <w:rFonts w:hint="eastAsia" w:ascii="宋体" w:hAnsi="宋体"/>
                <w:sz w:val="24"/>
              </w:rPr>
              <w:t>3</w:t>
            </w:r>
          </w:p>
        </w:tc>
        <w:tc>
          <w:tcPr>
            <w:tcW w:w="1843"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418"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80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dxa"/>
            <w:noWrap w:val="0"/>
            <w:vAlign w:val="center"/>
          </w:tcPr>
          <w:p>
            <w:pPr>
              <w:spacing w:line="360" w:lineRule="auto"/>
              <w:jc w:val="center"/>
              <w:rPr>
                <w:rFonts w:hint="eastAsia" w:ascii="宋体" w:hAnsi="宋体"/>
                <w:sz w:val="24"/>
              </w:rPr>
            </w:pPr>
            <w:r>
              <w:rPr>
                <w:rFonts w:hint="eastAsia" w:ascii="宋体" w:hAnsi="宋体"/>
                <w:sz w:val="24"/>
              </w:rPr>
              <w:t>4</w:t>
            </w:r>
          </w:p>
        </w:tc>
        <w:tc>
          <w:tcPr>
            <w:tcW w:w="1843"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418"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80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dxa"/>
            <w:noWrap w:val="0"/>
            <w:vAlign w:val="center"/>
          </w:tcPr>
          <w:p>
            <w:pPr>
              <w:spacing w:line="360" w:lineRule="auto"/>
              <w:jc w:val="center"/>
              <w:rPr>
                <w:rFonts w:hint="eastAsia" w:ascii="宋体" w:hAnsi="宋体"/>
                <w:sz w:val="24"/>
              </w:rPr>
            </w:pPr>
            <w:r>
              <w:rPr>
                <w:rFonts w:hint="eastAsia" w:ascii="宋体" w:hAnsi="宋体"/>
                <w:sz w:val="24"/>
              </w:rPr>
              <w:t>5</w:t>
            </w:r>
          </w:p>
        </w:tc>
        <w:tc>
          <w:tcPr>
            <w:tcW w:w="1843"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418"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80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dxa"/>
            <w:noWrap w:val="0"/>
            <w:vAlign w:val="center"/>
          </w:tcPr>
          <w:p>
            <w:pPr>
              <w:spacing w:line="360" w:lineRule="auto"/>
              <w:jc w:val="center"/>
              <w:rPr>
                <w:rFonts w:hint="eastAsia" w:ascii="宋体" w:hAnsi="宋体"/>
                <w:sz w:val="24"/>
              </w:rPr>
            </w:pPr>
            <w:r>
              <w:rPr>
                <w:rFonts w:hint="eastAsia" w:ascii="宋体" w:hAnsi="宋体"/>
                <w:sz w:val="24"/>
              </w:rPr>
              <w:t>6</w:t>
            </w:r>
          </w:p>
        </w:tc>
        <w:tc>
          <w:tcPr>
            <w:tcW w:w="1843"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418" w:type="dxa"/>
            <w:noWrap w:val="0"/>
            <w:vAlign w:val="center"/>
          </w:tcPr>
          <w:p>
            <w:pPr>
              <w:spacing w:line="360" w:lineRule="auto"/>
              <w:jc w:val="center"/>
              <w:rPr>
                <w:rFonts w:hint="eastAsia" w:ascii="宋体" w:hAnsi="宋体"/>
                <w:sz w:val="24"/>
              </w:rPr>
            </w:pPr>
          </w:p>
        </w:tc>
        <w:tc>
          <w:tcPr>
            <w:tcW w:w="1559" w:type="dxa"/>
            <w:noWrap w:val="0"/>
            <w:vAlign w:val="center"/>
          </w:tcPr>
          <w:p>
            <w:pPr>
              <w:spacing w:line="360" w:lineRule="auto"/>
              <w:jc w:val="center"/>
              <w:rPr>
                <w:rFonts w:hint="eastAsia" w:ascii="宋体" w:hAnsi="宋体"/>
                <w:sz w:val="24"/>
              </w:rPr>
            </w:pPr>
          </w:p>
        </w:tc>
        <w:tc>
          <w:tcPr>
            <w:tcW w:w="1805" w:type="dxa"/>
            <w:noWrap w:val="0"/>
            <w:vAlign w:val="center"/>
          </w:tcPr>
          <w:p>
            <w:pPr>
              <w:spacing w:line="360" w:lineRule="auto"/>
              <w:jc w:val="center"/>
              <w:rPr>
                <w:rFonts w:hint="eastAsia" w:ascii="宋体" w:hAnsi="宋体"/>
                <w:sz w:val="24"/>
              </w:rPr>
            </w:pPr>
          </w:p>
        </w:tc>
      </w:tr>
    </w:tbl>
    <w:p>
      <w:pPr>
        <w:pStyle w:val="5"/>
        <w:ind w:firstLine="0"/>
        <w:rPr>
          <w:b/>
          <w:sz w:val="24"/>
        </w:rPr>
      </w:pPr>
    </w:p>
    <w:p>
      <w:pPr>
        <w:pStyle w:val="5"/>
        <w:spacing w:line="360" w:lineRule="auto"/>
        <w:ind w:firstLine="241" w:firstLineChars="100"/>
        <w:rPr>
          <w:rFonts w:hint="eastAsia"/>
          <w:color w:val="auto"/>
          <w:sz w:val="24"/>
          <w:lang w:val="en-US" w:eastAsia="zh-CN"/>
        </w:rPr>
      </w:pPr>
      <w:r>
        <w:rPr>
          <w:rFonts w:hint="eastAsia"/>
          <w:b/>
          <w:bCs/>
          <w:color w:val="auto"/>
          <w:sz w:val="24"/>
        </w:rPr>
        <w:t>备注：</w:t>
      </w:r>
      <w:r>
        <w:rPr>
          <w:rFonts w:hint="eastAsia"/>
          <w:color w:val="auto"/>
          <w:sz w:val="24"/>
          <w:lang w:val="en-US" w:eastAsia="zh-CN"/>
        </w:rPr>
        <w:t>1.以上表格仅供参考，公司可以根据自身情况修改。</w:t>
      </w:r>
    </w:p>
    <w:p>
      <w:pPr>
        <w:pStyle w:val="5"/>
        <w:spacing w:line="360" w:lineRule="auto"/>
        <w:ind w:left="1198" w:leftChars="456" w:hanging="240" w:hangingChars="100"/>
        <w:rPr>
          <w:rFonts w:hint="eastAsia"/>
          <w:color w:val="auto"/>
          <w:sz w:val="24"/>
        </w:rPr>
        <w:sectPr>
          <w:pgSz w:w="11906" w:h="16838"/>
          <w:pgMar w:top="1440" w:right="1134" w:bottom="1440" w:left="1134" w:header="851" w:footer="992" w:gutter="0"/>
          <w:cols w:space="720" w:num="1"/>
          <w:docGrid w:linePitch="312" w:charSpace="0"/>
        </w:sectPr>
      </w:pPr>
      <w:r>
        <w:rPr>
          <w:rFonts w:hint="eastAsia"/>
          <w:color w:val="auto"/>
          <w:sz w:val="24"/>
          <w:lang w:val="en-US" w:eastAsia="zh-CN"/>
        </w:rPr>
        <w:t>2.需提供各投入人员相关证书及公司近半年内任意一个月缴纳社保的有效凭证复印件，并加盖公章。</w:t>
      </w:r>
    </w:p>
    <w:p>
      <w:pPr>
        <w:pStyle w:val="25"/>
        <w:spacing w:line="360" w:lineRule="auto"/>
        <w:jc w:val="center"/>
        <w:outlineLvl w:val="0"/>
        <w:rPr>
          <w:b/>
          <w:bCs/>
          <w:color w:val="auto"/>
          <w:sz w:val="28"/>
          <w:szCs w:val="28"/>
        </w:rPr>
      </w:pPr>
      <w:bookmarkStart w:id="263" w:name="_Toc17932"/>
      <w:bookmarkStart w:id="264" w:name="_Toc24705"/>
      <w:bookmarkStart w:id="265" w:name="_Toc2196"/>
      <w:bookmarkStart w:id="266" w:name="_Toc25012"/>
      <w:bookmarkStart w:id="267" w:name="_Toc1521"/>
      <w:bookmarkStart w:id="268" w:name="_Toc19803"/>
      <w:bookmarkStart w:id="269" w:name="_Toc14321"/>
      <w:bookmarkStart w:id="270" w:name="_Toc16816"/>
      <w:bookmarkStart w:id="271" w:name="_Toc27834"/>
      <w:bookmarkStart w:id="272" w:name="_Toc14093"/>
      <w:bookmarkStart w:id="273" w:name="_Toc5396"/>
      <w:r>
        <w:rPr>
          <w:rFonts w:hint="eastAsia"/>
          <w:b/>
          <w:bCs/>
          <w:color w:val="auto"/>
          <w:sz w:val="28"/>
          <w:szCs w:val="28"/>
        </w:rPr>
        <w:t>公平竞争承诺书</w:t>
      </w:r>
      <w:bookmarkEnd w:id="263"/>
      <w:bookmarkEnd w:id="264"/>
      <w:bookmarkEnd w:id="265"/>
      <w:bookmarkEnd w:id="266"/>
      <w:bookmarkEnd w:id="267"/>
      <w:bookmarkEnd w:id="268"/>
      <w:bookmarkEnd w:id="269"/>
      <w:bookmarkEnd w:id="270"/>
      <w:bookmarkEnd w:id="271"/>
      <w:bookmarkEnd w:id="272"/>
      <w:bookmarkEnd w:id="273"/>
    </w:p>
    <w:p>
      <w:pPr>
        <w:pStyle w:val="21"/>
        <w:rPr>
          <w:rFonts w:hint="eastAsia"/>
          <w:b/>
          <w:bCs/>
          <w:color w:val="auto"/>
          <w:sz w:val="24"/>
          <w:szCs w:val="24"/>
        </w:rPr>
      </w:pPr>
      <w:r>
        <w:rPr>
          <w:rFonts w:hint="eastAsia"/>
          <w:b/>
          <w:bCs/>
          <w:color w:val="auto"/>
          <w:sz w:val="24"/>
          <w:szCs w:val="24"/>
          <w:lang w:eastAsia="zh-CN"/>
        </w:rPr>
        <w:t>南方医科大学第五附属医院</w:t>
      </w:r>
      <w:r>
        <w:rPr>
          <w:rFonts w:hint="eastAsia"/>
          <w:b/>
          <w:bCs/>
          <w:color w:val="auto"/>
          <w:sz w:val="24"/>
          <w:szCs w:val="24"/>
        </w:rPr>
        <w:t>：</w:t>
      </w:r>
    </w:p>
    <w:p>
      <w:pPr>
        <w:pStyle w:val="21"/>
        <w:rPr>
          <w:rFonts w:hint="eastAsia"/>
          <w:b/>
          <w:bCs/>
          <w:color w:val="auto"/>
          <w:sz w:val="24"/>
          <w:szCs w:val="24"/>
        </w:rPr>
      </w:pP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本公司愿接受贵单位邀请，积极参加</w:t>
      </w:r>
      <w:r>
        <w:rPr>
          <w:rFonts w:hint="eastAsia"/>
          <w:color w:val="auto"/>
          <w:sz w:val="24"/>
          <w:szCs w:val="24"/>
          <w:u w:val="single"/>
          <w:lang w:val="en-US" w:eastAsia="zh-CN"/>
        </w:rPr>
        <w:t>*******项目（项目编号：******）</w:t>
      </w:r>
      <w:r>
        <w:rPr>
          <w:rFonts w:hint="eastAsia"/>
          <w:color w:val="auto"/>
          <w:sz w:val="24"/>
          <w:szCs w:val="24"/>
          <w:lang w:val="en-US" w:eastAsia="zh-CN"/>
        </w:rPr>
        <w:t xml:space="preserve"> 的采购活动。为杜绝商业贿赂现象，维护良好管理秩序，共同营造公平、公正的竞争环境，我方郑重承诺：</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 xml:space="preserve">1.遵守贵单位就项目采购所制定的所有相关流程及要求，并保证所提交《响应文件》中相关资料与描述真实有效。  </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 xml:space="preserve">2.坚持投标独立性，保证不以任何手段了解或意图了解其他参与人情况及其信息。  </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3.保证不私下接触贵单位负责采购组织工作的人员及相关领导。 </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 xml:space="preserve">4.保证不对贵单位负责采购组织工作的人员及相关领导进行宴请、招待，或赠送及承诺赠送礼金、礼品、礼券、其他利益。  </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 xml:space="preserve">5.除贵院公开渠道获取相关信息外，保证不以其它方式刺探或意图刺探贵司采购信息及其进展。  </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 xml:space="preserve">6.保证采取内部约束措施，禁止具体经办人或其他相关人员私自实施前述各项禁止性行为，并对其违规后果承担连带责任。  </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7.保证所提交的相关资质文件和证明材料的真实性，有良好的历史诚信记录，并将依法参与项目的公平竞争，不以任何不正当行为谋取不当利益，否则愿意承担相应的法律责任。</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 xml:space="preserve">8.如出现违反上述各项承诺情况，自愿接受贵院取消资格等处罚措施，并对贵院因此所受损失进行全额赔偿。  </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 xml:space="preserve">9.如贵院负责招投标组织工作的人员及相关领导，明示或暗示要求宴请、招待，或索取礼金、礼品、礼券、其他利益，或故意刁难、显失公平的，保证立即向贵院监察部门进行举报。  </w:t>
      </w:r>
    </w:p>
    <w:p>
      <w:pPr>
        <w:pStyle w:val="5"/>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特此承诺。                                     </w:t>
      </w:r>
    </w:p>
    <w:p>
      <w:pPr>
        <w:pStyle w:val="21"/>
        <w:rPr>
          <w:rFonts w:hint="eastAsia"/>
          <w:color w:val="auto"/>
          <w:sz w:val="21"/>
          <w:szCs w:val="21"/>
        </w:rPr>
      </w:pPr>
    </w:p>
    <w:p>
      <w:pPr>
        <w:pStyle w:val="21"/>
        <w:spacing w:line="360" w:lineRule="auto"/>
        <w:jc w:val="center"/>
        <w:rPr>
          <w:rFonts w:hint="default" w:eastAsia="宋体"/>
          <w:color w:val="auto"/>
          <w:sz w:val="24"/>
          <w:szCs w:val="24"/>
          <w:lang w:val="en-US" w:eastAsia="zh-CN"/>
        </w:rPr>
      </w:pPr>
      <w:r>
        <w:rPr>
          <w:rFonts w:hint="eastAsia"/>
          <w:color w:val="auto"/>
          <w:sz w:val="21"/>
          <w:szCs w:val="21"/>
          <w:lang w:val="en-US" w:eastAsia="zh-CN"/>
        </w:rPr>
        <w:t xml:space="preserve">                   </w:t>
      </w:r>
      <w:r>
        <w:rPr>
          <w:rFonts w:hint="eastAsia"/>
          <w:color w:val="auto"/>
          <w:sz w:val="24"/>
          <w:szCs w:val="24"/>
          <w:lang w:val="en-US" w:eastAsia="zh-CN"/>
        </w:rPr>
        <w:t xml:space="preserve">         公司名称</w:t>
      </w:r>
      <w:r>
        <w:rPr>
          <w:rFonts w:hint="eastAsia"/>
          <w:color w:val="auto"/>
          <w:sz w:val="24"/>
          <w:szCs w:val="24"/>
        </w:rPr>
        <w:t xml:space="preserve">（盖章）： </w:t>
      </w:r>
      <w:r>
        <w:rPr>
          <w:rFonts w:hint="eastAsia"/>
          <w:color w:val="auto"/>
          <w:sz w:val="24"/>
          <w:szCs w:val="24"/>
          <w:lang w:val="en-US" w:eastAsia="zh-CN"/>
        </w:rPr>
        <w:t>****公司</w:t>
      </w:r>
    </w:p>
    <w:p>
      <w:pPr>
        <w:pStyle w:val="21"/>
        <w:spacing w:line="360" w:lineRule="auto"/>
        <w:jc w:val="left"/>
        <w:rPr>
          <w:rFonts w:hint="eastAsia"/>
          <w:color w:val="auto"/>
          <w:sz w:val="24"/>
          <w:szCs w:val="24"/>
          <w:lang w:val="en-US" w:eastAsia="zh-CN"/>
        </w:rPr>
      </w:pPr>
      <w:r>
        <w:rPr>
          <w:rFonts w:hint="eastAsia"/>
          <w:color w:val="auto"/>
          <w:sz w:val="24"/>
          <w:szCs w:val="24"/>
          <w:lang w:val="en-US" w:eastAsia="zh-CN"/>
        </w:rPr>
        <w:t xml:space="preserve">         </w:t>
      </w:r>
    </w:p>
    <w:p>
      <w:pPr>
        <w:pStyle w:val="21"/>
        <w:spacing w:line="360" w:lineRule="auto"/>
        <w:ind w:firstLine="480" w:firstLineChars="200"/>
        <w:jc w:val="left"/>
        <w:rPr>
          <w:rFonts w:hint="eastAsia"/>
          <w:color w:val="auto"/>
          <w:sz w:val="24"/>
          <w:szCs w:val="24"/>
        </w:rPr>
      </w:pPr>
      <w:r>
        <w:rPr>
          <w:rFonts w:hint="eastAsia"/>
          <w:color w:val="auto"/>
          <w:sz w:val="24"/>
          <w:szCs w:val="24"/>
          <w:lang w:val="en-US" w:eastAsia="zh-CN"/>
        </w:rPr>
        <w:t>公司法定代表人（或法定代表人授权代表）（签字或盖章）</w:t>
      </w:r>
      <w:r>
        <w:rPr>
          <w:rFonts w:hint="eastAsia"/>
          <w:color w:val="auto"/>
          <w:sz w:val="24"/>
          <w:szCs w:val="24"/>
        </w:rPr>
        <w:t>：</w:t>
      </w:r>
    </w:p>
    <w:p>
      <w:pPr>
        <w:pStyle w:val="21"/>
        <w:spacing w:line="360" w:lineRule="auto"/>
        <w:jc w:val="center"/>
        <w:rPr>
          <w:rFonts w:hint="eastAsia"/>
          <w:color w:val="auto"/>
          <w:sz w:val="24"/>
          <w:szCs w:val="24"/>
          <w:lang w:val="en-US" w:eastAsia="zh-CN"/>
        </w:rPr>
      </w:pPr>
      <w:r>
        <w:rPr>
          <w:rFonts w:hint="eastAsia"/>
          <w:color w:val="auto"/>
          <w:sz w:val="24"/>
          <w:szCs w:val="24"/>
          <w:lang w:val="en-US" w:eastAsia="zh-CN"/>
        </w:rPr>
        <w:t xml:space="preserve">                                                              </w:t>
      </w:r>
    </w:p>
    <w:p>
      <w:pPr>
        <w:pStyle w:val="21"/>
        <w:spacing w:line="360" w:lineRule="auto"/>
        <w:jc w:val="center"/>
        <w:rPr>
          <w:rFonts w:hint="eastAsia"/>
          <w:color w:val="auto"/>
          <w:sz w:val="24"/>
          <w:szCs w:val="24"/>
          <w:lang w:val="en-US" w:eastAsia="zh-CN"/>
        </w:rPr>
      </w:pPr>
      <w:r>
        <w:rPr>
          <w:rFonts w:hint="eastAsia"/>
          <w:color w:val="auto"/>
          <w:sz w:val="24"/>
          <w:szCs w:val="24"/>
          <w:lang w:val="en-US" w:eastAsia="zh-CN"/>
        </w:rPr>
        <w:t xml:space="preserve">                                                               </w:t>
      </w:r>
    </w:p>
    <w:p>
      <w:pPr>
        <w:pStyle w:val="21"/>
        <w:spacing w:line="360" w:lineRule="auto"/>
        <w:jc w:val="center"/>
        <w:rPr>
          <w:color w:val="auto"/>
          <w:sz w:val="24"/>
          <w:szCs w:val="24"/>
        </w:rPr>
      </w:pPr>
      <w:r>
        <w:rPr>
          <w:rFonts w:hint="eastAsia"/>
          <w:color w:val="auto"/>
          <w:sz w:val="24"/>
          <w:szCs w:val="24"/>
          <w:lang w:val="en-US" w:eastAsia="zh-CN"/>
        </w:rPr>
        <w:t xml:space="preserve">                                              日 期：     </w:t>
      </w:r>
      <w:r>
        <w:rPr>
          <w:rFonts w:hint="eastAsia"/>
          <w:color w:val="auto"/>
          <w:sz w:val="24"/>
          <w:szCs w:val="24"/>
        </w:rPr>
        <w:t>年    月    日</w:t>
      </w:r>
    </w:p>
    <w:p>
      <w:pPr>
        <w:pStyle w:val="25"/>
        <w:spacing w:line="360" w:lineRule="auto"/>
        <w:jc w:val="center"/>
        <w:outlineLvl w:val="0"/>
        <w:rPr>
          <w:b/>
          <w:bCs/>
          <w:color w:val="auto"/>
          <w:sz w:val="32"/>
          <w:szCs w:val="32"/>
        </w:rPr>
      </w:pPr>
      <w:bookmarkStart w:id="274" w:name="_Toc9085"/>
      <w:bookmarkStart w:id="275" w:name="_Toc12986"/>
      <w:bookmarkStart w:id="276" w:name="_Toc4538"/>
      <w:bookmarkStart w:id="277" w:name="_Toc6773"/>
      <w:bookmarkStart w:id="278" w:name="_Toc22349"/>
      <w:bookmarkStart w:id="279" w:name="_Toc12567"/>
      <w:bookmarkStart w:id="280" w:name="_Toc20949"/>
      <w:bookmarkStart w:id="281" w:name="_Toc9813"/>
      <w:bookmarkStart w:id="282" w:name="_Toc5237"/>
      <w:bookmarkStart w:id="283" w:name="_Toc9308"/>
      <w:bookmarkStart w:id="284" w:name="_Toc29986"/>
      <w:r>
        <w:rPr>
          <w:rFonts w:hint="eastAsia"/>
          <w:b/>
          <w:bCs/>
          <w:color w:val="auto"/>
          <w:sz w:val="28"/>
          <w:szCs w:val="28"/>
        </w:rPr>
        <w:t>关于资格和响应文件的声明函</w:t>
      </w:r>
      <w:bookmarkEnd w:id="274"/>
      <w:bookmarkEnd w:id="275"/>
      <w:bookmarkEnd w:id="276"/>
      <w:bookmarkEnd w:id="277"/>
      <w:bookmarkEnd w:id="278"/>
      <w:bookmarkEnd w:id="279"/>
      <w:bookmarkEnd w:id="280"/>
      <w:bookmarkEnd w:id="281"/>
      <w:bookmarkEnd w:id="282"/>
      <w:bookmarkEnd w:id="283"/>
      <w:bookmarkEnd w:id="284"/>
    </w:p>
    <w:p>
      <w:pPr>
        <w:pStyle w:val="22"/>
        <w:rPr>
          <w:rFonts w:hint="eastAsia" w:ascii="宋体" w:hAnsi="宋体"/>
          <w:sz w:val="24"/>
        </w:rPr>
      </w:pPr>
      <w:r>
        <w:rPr>
          <w:rFonts w:hint="eastAsia" w:ascii="宋体" w:hAnsi="宋体"/>
          <w:sz w:val="24"/>
        </w:rPr>
        <w:t>致：南方医科大学第五附属医院</w:t>
      </w:r>
    </w:p>
    <w:p>
      <w:pPr>
        <w:pStyle w:val="22"/>
        <w:rPr>
          <w:rFonts w:hint="eastAsia"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pStyle w:val="22"/>
        <w:rPr>
          <w:rFonts w:hint="eastAsia" w:ascii="宋体" w:hAnsi="宋体"/>
          <w:sz w:val="24"/>
        </w:rPr>
      </w:pPr>
      <w:r>
        <w:rPr>
          <w:rFonts w:hint="eastAsia" w:ascii="宋体" w:hAnsi="宋体"/>
          <w:sz w:val="24"/>
        </w:rPr>
        <w:t>1.我方具有独立承担民事责任的能力；</w:t>
      </w:r>
    </w:p>
    <w:p>
      <w:pPr>
        <w:pStyle w:val="22"/>
        <w:rPr>
          <w:rFonts w:hint="eastAsia" w:ascii="宋体" w:hAnsi="宋体"/>
          <w:sz w:val="24"/>
        </w:rPr>
      </w:pPr>
      <w:r>
        <w:rPr>
          <w:rFonts w:hint="eastAsia" w:ascii="宋体" w:hAnsi="宋体"/>
          <w:sz w:val="24"/>
        </w:rPr>
        <w:t>2.我方具有良好的商业信誉和健全的财务会计制度；</w:t>
      </w:r>
    </w:p>
    <w:p>
      <w:pPr>
        <w:pStyle w:val="22"/>
        <w:rPr>
          <w:rFonts w:hint="eastAsia" w:ascii="宋体" w:hAnsi="宋体"/>
          <w:sz w:val="24"/>
        </w:rPr>
      </w:pPr>
      <w:r>
        <w:rPr>
          <w:rFonts w:hint="eastAsia" w:ascii="宋体" w:hAnsi="宋体"/>
          <w:sz w:val="24"/>
        </w:rPr>
        <w:t>3.我方有依法缴纳税收和社会保障资金的良好记录；</w:t>
      </w:r>
    </w:p>
    <w:p>
      <w:pPr>
        <w:pStyle w:val="22"/>
        <w:rPr>
          <w:rFonts w:hint="eastAsia" w:ascii="宋体" w:hAnsi="宋体"/>
          <w:sz w:val="24"/>
        </w:rPr>
      </w:pPr>
      <w:r>
        <w:rPr>
          <w:rFonts w:hint="eastAsia" w:ascii="宋体" w:hAnsi="宋体"/>
          <w:sz w:val="24"/>
        </w:rPr>
        <w:t>4.我方具有履行合同所必需的设备和专业技术能力；</w:t>
      </w:r>
    </w:p>
    <w:p>
      <w:pPr>
        <w:pStyle w:val="22"/>
        <w:rPr>
          <w:rFonts w:hint="eastAsia" w:ascii="宋体" w:hAnsi="宋体"/>
          <w:sz w:val="24"/>
        </w:rPr>
      </w:pPr>
      <w:r>
        <w:rPr>
          <w:rFonts w:hint="eastAsia" w:ascii="宋体" w:hAnsi="宋体"/>
          <w:sz w:val="24"/>
        </w:rPr>
        <w:t>5.我方不存在以下情况：以联合体形式参加本项目院内采购活动；</w:t>
      </w:r>
    </w:p>
    <w:p>
      <w:pPr>
        <w:pStyle w:val="22"/>
        <w:rPr>
          <w:rFonts w:hint="eastAsia" w:ascii="宋体" w:hAnsi="宋体"/>
          <w:sz w:val="24"/>
        </w:rPr>
      </w:pPr>
      <w:r>
        <w:rPr>
          <w:rFonts w:hint="eastAsia" w:ascii="宋体" w:hAnsi="宋体"/>
          <w:sz w:val="24"/>
        </w:rPr>
        <w:t>6.我方不存在以下情况：以分包、转包形式参加本项目院内采购活动；</w:t>
      </w:r>
    </w:p>
    <w:p>
      <w:pPr>
        <w:pStyle w:val="22"/>
        <w:rPr>
          <w:rFonts w:hint="eastAsia" w:ascii="宋体" w:hAnsi="宋体"/>
          <w:sz w:val="24"/>
        </w:rPr>
      </w:pPr>
      <w:r>
        <w:rPr>
          <w:rFonts w:hint="eastAsia" w:ascii="宋体" w:hAnsi="宋体"/>
          <w:sz w:val="24"/>
        </w:rPr>
        <w:t>7.我方在参加政府采购活动前3年内在经营活动中没有重大违法、违规及刑事犯罪记录；</w:t>
      </w:r>
    </w:p>
    <w:p>
      <w:pPr>
        <w:pStyle w:val="22"/>
        <w:rPr>
          <w:rFonts w:hint="eastAsia"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pStyle w:val="22"/>
        <w:rPr>
          <w:rFonts w:hint="eastAsia"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pStyle w:val="22"/>
        <w:rPr>
          <w:rFonts w:hint="eastAsia"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22"/>
        <w:rPr>
          <w:rFonts w:hint="eastAsia" w:ascii="宋体" w:hAnsi="宋体"/>
          <w:sz w:val="24"/>
        </w:rPr>
      </w:pPr>
    </w:p>
    <w:p>
      <w:pPr>
        <w:pStyle w:val="22"/>
        <w:rPr>
          <w:rFonts w:hint="eastAsia" w:ascii="宋体" w:hAnsi="宋体"/>
          <w:sz w:val="24"/>
        </w:rPr>
      </w:pPr>
    </w:p>
    <w:p>
      <w:pPr>
        <w:pStyle w:val="22"/>
        <w:rPr>
          <w:rFonts w:hint="eastAsia" w:ascii="宋体" w:hAnsi="宋体"/>
          <w:sz w:val="24"/>
        </w:rPr>
      </w:pPr>
      <w:r>
        <w:rPr>
          <w:rFonts w:hint="eastAsia" w:ascii="宋体" w:hAnsi="宋体"/>
          <w:sz w:val="24"/>
        </w:rPr>
        <w:t>如有违法、违规、弄虚作假行为，所造成的损失、不良后果及法律责任，一律由我方承担。</w:t>
      </w:r>
    </w:p>
    <w:p>
      <w:pPr>
        <w:pStyle w:val="22"/>
        <w:rPr>
          <w:rFonts w:hint="eastAsia" w:ascii="宋体" w:hAnsi="宋体"/>
          <w:sz w:val="24"/>
        </w:rPr>
      </w:pPr>
      <w:r>
        <w:rPr>
          <w:rFonts w:hint="eastAsia" w:ascii="宋体" w:hAnsi="宋体"/>
          <w:sz w:val="24"/>
        </w:rPr>
        <w:t>特此声明！</w:t>
      </w:r>
    </w:p>
    <w:p>
      <w:pPr>
        <w:pStyle w:val="22"/>
        <w:rPr>
          <w:rFonts w:hint="eastAsia" w:ascii="宋体" w:hAnsi="宋体"/>
          <w:sz w:val="24"/>
        </w:rPr>
      </w:pPr>
    </w:p>
    <w:p>
      <w:pPr>
        <w:pStyle w:val="22"/>
        <w:rPr>
          <w:rFonts w:hint="eastAsia" w:ascii="宋体" w:hAnsi="宋体"/>
          <w:sz w:val="24"/>
        </w:rPr>
      </w:pPr>
    </w:p>
    <w:p>
      <w:pPr>
        <w:pStyle w:val="22"/>
        <w:rPr>
          <w:rFonts w:hint="eastAsia" w:ascii="宋体" w:hAnsi="宋体"/>
          <w:sz w:val="24"/>
        </w:rPr>
      </w:pPr>
      <w:r>
        <w:rPr>
          <w:rFonts w:hint="eastAsia" w:ascii="宋体" w:hAnsi="宋体"/>
          <w:sz w:val="24"/>
        </w:rPr>
        <w:t>公司名称（盖章）：</w:t>
      </w:r>
    </w:p>
    <w:p>
      <w:pPr>
        <w:pStyle w:val="22"/>
        <w:rPr>
          <w:rFonts w:hint="eastAsia" w:ascii="宋体" w:hAnsi="宋体"/>
          <w:sz w:val="24"/>
        </w:rPr>
      </w:pPr>
    </w:p>
    <w:p>
      <w:pPr>
        <w:pStyle w:val="22"/>
        <w:rPr>
          <w:rFonts w:hint="eastAsia" w:ascii="宋体" w:hAnsi="宋体"/>
          <w:sz w:val="24"/>
        </w:rPr>
      </w:pPr>
      <w:r>
        <w:rPr>
          <w:rFonts w:hint="eastAsia" w:ascii="宋体" w:hAnsi="宋体"/>
          <w:sz w:val="24"/>
        </w:rPr>
        <w:t>公司法定代表人（或法定代表人授权代表）（签字或盖章）：</w:t>
      </w:r>
    </w:p>
    <w:p>
      <w:pPr>
        <w:pStyle w:val="22"/>
        <w:rPr>
          <w:rFonts w:hint="eastAsia" w:ascii="宋体" w:hAnsi="宋体"/>
          <w:sz w:val="24"/>
        </w:rPr>
      </w:pPr>
    </w:p>
    <w:p>
      <w:pPr>
        <w:pStyle w:val="22"/>
        <w:rPr>
          <w:rFonts w:ascii="宋体" w:hAnsi="宋体"/>
          <w:sz w:val="24"/>
        </w:rPr>
      </w:pPr>
      <w:r>
        <w:rPr>
          <w:rFonts w:hint="eastAsia" w:ascii="宋体" w:hAnsi="宋体"/>
          <w:sz w:val="24"/>
        </w:rPr>
        <w:t>日期：　　年　  月　  日</w:t>
      </w:r>
    </w:p>
    <w:p>
      <w:pPr>
        <w:pStyle w:val="22"/>
        <w:rPr>
          <w:rFonts w:hint="eastAsia" w:ascii="宋体" w:hAnsi="宋体"/>
          <w:color w:val="auto"/>
          <w:sz w:val="21"/>
          <w:szCs w:val="21"/>
        </w:rPr>
      </w:pPr>
    </w:p>
    <w:p>
      <w:pPr>
        <w:pStyle w:val="22"/>
        <w:rPr>
          <w:rFonts w:hint="eastAsia" w:ascii="宋体" w:hAnsi="宋体"/>
          <w:color w:val="auto"/>
          <w:sz w:val="21"/>
          <w:szCs w:val="21"/>
        </w:rPr>
      </w:pPr>
    </w:p>
    <w:p>
      <w:pPr>
        <w:pStyle w:val="22"/>
        <w:rPr>
          <w:rFonts w:hint="eastAsia" w:ascii="宋体" w:hAnsi="宋体"/>
          <w:color w:val="auto"/>
          <w:sz w:val="21"/>
          <w:szCs w:val="21"/>
        </w:rPr>
      </w:pPr>
    </w:p>
    <w:p>
      <w:pPr>
        <w:pStyle w:val="22"/>
        <w:rPr>
          <w:rFonts w:hint="eastAsia" w:ascii="宋体" w:hAnsi="宋体"/>
          <w:color w:val="auto"/>
          <w:sz w:val="21"/>
          <w:szCs w:val="21"/>
        </w:rPr>
      </w:pPr>
    </w:p>
    <w:p>
      <w:pPr>
        <w:pStyle w:val="22"/>
        <w:rPr>
          <w:rFonts w:hint="eastAsia" w:ascii="宋体" w:hAnsi="宋体"/>
          <w:color w:val="auto"/>
          <w:sz w:val="21"/>
          <w:szCs w:val="21"/>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pStyle w:val="22"/>
        <w:rPr>
          <w:rFonts w:hint="eastAsia" w:ascii="宋体" w:hAnsi="宋体"/>
          <w:color w:val="auto"/>
          <w:sz w:val="24"/>
        </w:rPr>
      </w:pPr>
    </w:p>
    <w:p>
      <w:pPr>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3"/>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85" w:name="_Toc17933"/>
      <w:r>
        <w:rPr>
          <w:rFonts w:hint="eastAsia" w:ascii="宋体" w:hAnsi="宋体" w:eastAsia="宋体"/>
          <w:color w:val="auto"/>
          <w:sz w:val="40"/>
          <w:lang w:eastAsia="zh-CN"/>
        </w:rPr>
        <w:t>合同模板</w:t>
      </w:r>
      <w:bookmarkEnd w:id="285"/>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21</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056C4"/>
    <w:rsid w:val="039B179B"/>
    <w:rsid w:val="04EE7118"/>
    <w:rsid w:val="05907E7A"/>
    <w:rsid w:val="062D7884"/>
    <w:rsid w:val="066F5ED2"/>
    <w:rsid w:val="07ED5D2D"/>
    <w:rsid w:val="0A0F2E11"/>
    <w:rsid w:val="0A9C5E28"/>
    <w:rsid w:val="0AA45825"/>
    <w:rsid w:val="0B7A0133"/>
    <w:rsid w:val="0BCC285A"/>
    <w:rsid w:val="0C705246"/>
    <w:rsid w:val="0CAD27D4"/>
    <w:rsid w:val="0CD760E7"/>
    <w:rsid w:val="0D273B8D"/>
    <w:rsid w:val="0D644304"/>
    <w:rsid w:val="0ED05230"/>
    <w:rsid w:val="113F6919"/>
    <w:rsid w:val="12EB2AD0"/>
    <w:rsid w:val="14331D3D"/>
    <w:rsid w:val="14DE17F9"/>
    <w:rsid w:val="15325191"/>
    <w:rsid w:val="16133E5E"/>
    <w:rsid w:val="164C7363"/>
    <w:rsid w:val="17562ADF"/>
    <w:rsid w:val="182176D0"/>
    <w:rsid w:val="18365267"/>
    <w:rsid w:val="1A187C2B"/>
    <w:rsid w:val="1A812401"/>
    <w:rsid w:val="1AC82C58"/>
    <w:rsid w:val="1AF93CE3"/>
    <w:rsid w:val="1C2F6174"/>
    <w:rsid w:val="1CAC7FE6"/>
    <w:rsid w:val="1DE30DB3"/>
    <w:rsid w:val="1E3361A0"/>
    <w:rsid w:val="1F187406"/>
    <w:rsid w:val="1F2E6625"/>
    <w:rsid w:val="20995391"/>
    <w:rsid w:val="20B81B4B"/>
    <w:rsid w:val="21282075"/>
    <w:rsid w:val="218610E9"/>
    <w:rsid w:val="21D627A8"/>
    <w:rsid w:val="22406E43"/>
    <w:rsid w:val="22A868E3"/>
    <w:rsid w:val="23671E4A"/>
    <w:rsid w:val="251405C5"/>
    <w:rsid w:val="26A97AAB"/>
    <w:rsid w:val="26C20E41"/>
    <w:rsid w:val="26F058DC"/>
    <w:rsid w:val="274618E3"/>
    <w:rsid w:val="28084236"/>
    <w:rsid w:val="28647CCF"/>
    <w:rsid w:val="28716EFA"/>
    <w:rsid w:val="2A241B69"/>
    <w:rsid w:val="2A452F5A"/>
    <w:rsid w:val="2B694EC9"/>
    <w:rsid w:val="2BE11C14"/>
    <w:rsid w:val="2C0F5025"/>
    <w:rsid w:val="2C1134D3"/>
    <w:rsid w:val="2D07550B"/>
    <w:rsid w:val="2DA7679B"/>
    <w:rsid w:val="31120C66"/>
    <w:rsid w:val="311E43E0"/>
    <w:rsid w:val="314B29DE"/>
    <w:rsid w:val="31EA386E"/>
    <w:rsid w:val="3A6434A4"/>
    <w:rsid w:val="3B5F36F8"/>
    <w:rsid w:val="3C8D7A42"/>
    <w:rsid w:val="3DBE51F4"/>
    <w:rsid w:val="3EBA1C45"/>
    <w:rsid w:val="41B60C35"/>
    <w:rsid w:val="42A321BA"/>
    <w:rsid w:val="42AF6223"/>
    <w:rsid w:val="44546201"/>
    <w:rsid w:val="451E6F60"/>
    <w:rsid w:val="45244DEA"/>
    <w:rsid w:val="456E73F1"/>
    <w:rsid w:val="45D07438"/>
    <w:rsid w:val="46D069DB"/>
    <w:rsid w:val="48F44CB0"/>
    <w:rsid w:val="4AF84F10"/>
    <w:rsid w:val="4C981BA5"/>
    <w:rsid w:val="4DDF729F"/>
    <w:rsid w:val="4E2D7701"/>
    <w:rsid w:val="4E4C452A"/>
    <w:rsid w:val="4E5E5E11"/>
    <w:rsid w:val="4E98699E"/>
    <w:rsid w:val="4ED23FAB"/>
    <w:rsid w:val="516E442B"/>
    <w:rsid w:val="51946DDD"/>
    <w:rsid w:val="51A73BDA"/>
    <w:rsid w:val="52726854"/>
    <w:rsid w:val="53A776AF"/>
    <w:rsid w:val="54E3558E"/>
    <w:rsid w:val="5623033B"/>
    <w:rsid w:val="5658445F"/>
    <w:rsid w:val="568F6108"/>
    <w:rsid w:val="56CA7110"/>
    <w:rsid w:val="58D76A1B"/>
    <w:rsid w:val="5A263F43"/>
    <w:rsid w:val="5A4B59E1"/>
    <w:rsid w:val="5A6E3589"/>
    <w:rsid w:val="5A9814EF"/>
    <w:rsid w:val="5B245060"/>
    <w:rsid w:val="5B581D49"/>
    <w:rsid w:val="5C756E09"/>
    <w:rsid w:val="5C8E6CC1"/>
    <w:rsid w:val="5D453D32"/>
    <w:rsid w:val="5D6D6791"/>
    <w:rsid w:val="5D6F1865"/>
    <w:rsid w:val="5F0B7BE8"/>
    <w:rsid w:val="60423FDD"/>
    <w:rsid w:val="614B10EF"/>
    <w:rsid w:val="623E79FB"/>
    <w:rsid w:val="635941B3"/>
    <w:rsid w:val="63B03254"/>
    <w:rsid w:val="63FB7EE0"/>
    <w:rsid w:val="647747E5"/>
    <w:rsid w:val="64C02086"/>
    <w:rsid w:val="658925AF"/>
    <w:rsid w:val="6772399F"/>
    <w:rsid w:val="6780006F"/>
    <w:rsid w:val="67B50CD6"/>
    <w:rsid w:val="689C77C3"/>
    <w:rsid w:val="68B72DD1"/>
    <w:rsid w:val="69A64B2D"/>
    <w:rsid w:val="6AA73FF3"/>
    <w:rsid w:val="6C317151"/>
    <w:rsid w:val="6D971A88"/>
    <w:rsid w:val="6EA07BE8"/>
    <w:rsid w:val="6ED749C9"/>
    <w:rsid w:val="6F32730A"/>
    <w:rsid w:val="705C256B"/>
    <w:rsid w:val="7139323E"/>
    <w:rsid w:val="71C503CC"/>
    <w:rsid w:val="734C606B"/>
    <w:rsid w:val="752E6281"/>
    <w:rsid w:val="783919C4"/>
    <w:rsid w:val="78D00495"/>
    <w:rsid w:val="78FA1F51"/>
    <w:rsid w:val="795067BF"/>
    <w:rsid w:val="79FA6E97"/>
    <w:rsid w:val="7A597865"/>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autoRedefine/>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next w:val="1"/>
    <w:link w:val="37"/>
    <w:autoRedefine/>
    <w:qFormat/>
    <w:uiPriority w:val="0"/>
    <w:pPr>
      <w:spacing w:after="120"/>
    </w:pPr>
  </w:style>
  <w:style w:type="paragraph" w:styleId="7">
    <w:name w:val="Body Text Indent"/>
    <w:basedOn w:val="1"/>
    <w:autoRedefine/>
    <w:qFormat/>
    <w:uiPriority w:val="0"/>
    <w:pPr>
      <w:ind w:firstLine="830" w:firstLineChars="352"/>
    </w:pPr>
    <w:rPr>
      <w:rFonts w:ascii="仿宋_GB2312" w:eastAsia="仿宋_GB2312"/>
      <w:sz w:val="32"/>
    </w:rPr>
  </w:style>
  <w:style w:type="paragraph" w:styleId="8">
    <w:name w:val="List Bullet 2"/>
    <w:basedOn w:val="1"/>
    <w:autoRedefine/>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9"/>
    <w:autoRedefine/>
    <w:qFormat/>
    <w:uiPriority w:val="0"/>
    <w:rPr>
      <w:sz w:val="18"/>
      <w:szCs w:val="18"/>
    </w:rPr>
  </w:style>
  <w:style w:type="paragraph" w:styleId="11">
    <w:name w:val="footer"/>
    <w:basedOn w:val="1"/>
    <w:link w:val="35"/>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kern w:val="2"/>
      <w:sz w:val="24"/>
      <w:szCs w:val="24"/>
      <w:lang w:val="en-US" w:eastAsia="zh-CN" w:bidi="ar-SA"/>
    </w:rPr>
  </w:style>
  <w:style w:type="character" w:styleId="19">
    <w:name w:val="page number"/>
    <w:autoRedefine/>
    <w:qFormat/>
    <w:uiPriority w:val="0"/>
    <w:rPr>
      <w:lang w:val="en-US" w:eastAsia="zh-CN" w:bidi="ar-SA"/>
    </w:rPr>
  </w:style>
  <w:style w:type="character" w:styleId="20">
    <w:name w:val="Hyperlink"/>
    <w:autoRedefine/>
    <w:qFormat/>
    <w:uiPriority w:val="99"/>
    <w:rPr>
      <w:rFonts w:eastAsia="宋体"/>
      <w:color w:val="0000FF"/>
      <w:kern w:val="2"/>
      <w:sz w:val="24"/>
      <w:szCs w:val="24"/>
      <w:u w:val="single"/>
      <w:lang w:val="en-US" w:eastAsia="zh-CN" w:bidi="ar-SA"/>
    </w:rPr>
  </w:style>
  <w:style w:type="paragraph" w:customStyle="1" w:styleId="21">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paragraph" w:styleId="24">
    <w:name w:val="List Paragraph"/>
    <w:basedOn w:val="1"/>
    <w:autoRedefine/>
    <w:qFormat/>
    <w:uiPriority w:val="0"/>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paragraph" w:customStyle="1" w:styleId="2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qFormat/>
    <w:uiPriority w:val="0"/>
  </w:style>
  <w:style w:type="character" w:customStyle="1" w:styleId="29">
    <w:name w:val="批注框文本 Char"/>
    <w:basedOn w:val="17"/>
    <w:link w:val="10"/>
    <w:autoRedefine/>
    <w:qFormat/>
    <w:uiPriority w:val="0"/>
    <w:rPr>
      <w:rFonts w:ascii="Times New Roman" w:hAnsi="Times New Roman" w:eastAsia="宋体" w:cs="Times New Roman"/>
      <w:kern w:val="2"/>
      <w:sz w:val="18"/>
      <w:szCs w:val="18"/>
    </w:rPr>
  </w:style>
  <w:style w:type="character" w:customStyle="1" w:styleId="30">
    <w:name w:val="标题 3 Char"/>
    <w:basedOn w:val="17"/>
    <w:link w:val="4"/>
    <w:autoRedefine/>
    <w:semiHidden/>
    <w:qFormat/>
    <w:uiPriority w:val="0"/>
    <w:rPr>
      <w:rFonts w:ascii="Times New Roman" w:hAnsi="Times New Roman" w:eastAsia="宋体" w:cs="Times New Roman"/>
      <w:b/>
      <w:bCs/>
      <w:kern w:val="2"/>
      <w:sz w:val="32"/>
      <w:szCs w:val="32"/>
    </w:rPr>
  </w:style>
  <w:style w:type="paragraph" w:customStyle="1" w:styleId="31">
    <w:name w:val="--规划正文"/>
    <w:basedOn w:val="1"/>
    <w:autoRedefine/>
    <w:qFormat/>
    <w:uiPriority w:val="0"/>
    <w:pPr>
      <w:spacing w:line="360" w:lineRule="auto"/>
      <w:ind w:firstLine="200" w:firstLineChars="200"/>
    </w:pPr>
    <w:rPr>
      <w:rFonts w:ascii="宋体"/>
      <w:kern w:val="0"/>
      <w:sz w:val="24"/>
      <w:szCs w:val="20"/>
    </w:rPr>
  </w:style>
  <w:style w:type="paragraph" w:customStyle="1" w:styleId="32">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autoRedefine/>
    <w:qFormat/>
    <w:uiPriority w:val="99"/>
    <w:rPr>
      <w:rFonts w:ascii="Times New Roman" w:hAnsi="Times New Roman" w:eastAsia="宋体" w:cs="Times New Roman"/>
      <w:kern w:val="2"/>
      <w:sz w:val="18"/>
      <w:szCs w:val="18"/>
    </w:rPr>
  </w:style>
  <w:style w:type="paragraph" w:customStyle="1" w:styleId="36">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6"/>
    <w:autoRedefine/>
    <w:qFormat/>
    <w:uiPriority w:val="0"/>
    <w:rPr>
      <w:rFonts w:ascii="Times New Roman" w:hAnsi="Times New Roman" w:eastAsia="宋体" w:cs="Times New Roman"/>
      <w:kern w:val="2"/>
      <w:sz w:val="21"/>
      <w:szCs w:val="24"/>
    </w:rPr>
  </w:style>
  <w:style w:type="paragraph" w:customStyle="1" w:styleId="38">
    <w:name w:val="正文文本_0"/>
    <w:basedOn w:val="1"/>
    <w:autoRedefine/>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5756</Words>
  <Characters>6037</Characters>
  <Lines>93</Lines>
  <Paragraphs>26</Paragraphs>
  <TotalTime>19</TotalTime>
  <ScaleCrop>false</ScaleCrop>
  <LinksUpToDate>false</LinksUpToDate>
  <CharactersWithSpaces>6833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2024-03-26T01:24:00Z</cp:lastPrinted>
  <dcterms:modified xsi:type="dcterms:W3CDTF">2024-03-26T01:33:29Z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225794F6B2BF43B8A3CD646AD486101F_13</vt:lpwstr>
  </property>
</Properties>
</file>