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黑体" w:hAnsi="黑体" w:eastAsia="黑体"/>
          <w:b/>
          <w:sz w:val="32"/>
          <w:szCs w:val="32"/>
        </w:rPr>
      </w:pPr>
      <w:r>
        <w:rPr>
          <w:rFonts w:hint="eastAsia" w:ascii="黑体" w:hAnsi="黑体" w:eastAsia="黑体"/>
          <w:b/>
          <w:sz w:val="32"/>
          <w:szCs w:val="32"/>
        </w:rPr>
        <w:t>南方医科大学第五附属医院</w:t>
      </w:r>
    </w:p>
    <w:p>
      <w:pPr>
        <w:jc w:val="center"/>
        <w:rPr>
          <w:rFonts w:ascii="宋体" w:hAnsi="宋体"/>
          <w:b/>
          <w:kern w:val="0"/>
          <w:sz w:val="32"/>
          <w:szCs w:val="32"/>
        </w:rPr>
      </w:pPr>
      <w:r>
        <w:rPr>
          <w:rFonts w:hint="eastAsia" w:ascii="黑体" w:hAnsi="黑体" w:eastAsia="黑体"/>
          <w:b/>
          <w:sz w:val="32"/>
          <w:szCs w:val="32"/>
        </w:rPr>
        <w:t>HIS系统的数据库迁移、医保信用无感支付接口开发项目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p>
    <w:p>
      <w:pPr>
        <w:spacing w:line="480" w:lineRule="auto"/>
        <w:jc w:val="center"/>
        <w:rPr>
          <w:rFonts w:ascii="宋体" w:hAnsi="宋体"/>
          <w:b/>
          <w:bCs/>
          <w:sz w:val="44"/>
          <w:szCs w:val="44"/>
        </w:rPr>
      </w:pPr>
      <w:r>
        <w:rPr>
          <w:rFonts w:hint="eastAsia" w:ascii="宋体" w:hAnsi="宋体"/>
          <w:b/>
          <w:bCs/>
          <w:sz w:val="44"/>
          <w:szCs w:val="44"/>
        </w:rPr>
        <w:t>院内采购文件</w:t>
      </w:r>
    </w:p>
    <w:p>
      <w:pPr>
        <w:spacing w:line="480" w:lineRule="auto"/>
        <w:ind w:firstLine="843" w:firstLineChars="300"/>
        <w:jc w:val="center"/>
        <w:rPr>
          <w:rFonts w:ascii="宋体" w:hAnsi="宋体"/>
          <w:b/>
          <w:bCs/>
          <w:sz w:val="28"/>
          <w:szCs w:val="28"/>
        </w:rPr>
      </w:pPr>
    </w:p>
    <w:p>
      <w:pPr>
        <w:pStyle w:val="22"/>
      </w:pPr>
    </w:p>
    <w:p>
      <w:pPr>
        <w:pStyle w:val="22"/>
        <w:spacing w:line="360" w:lineRule="auto"/>
        <w:rPr>
          <w:rFonts w:ascii="方正小标宋简体" w:hAnsi="宋体" w:eastAsia="方正小标宋简体"/>
          <w:sz w:val="32"/>
        </w:rPr>
      </w:pPr>
    </w:p>
    <w:p>
      <w:pPr>
        <w:adjustRightInd w:val="0"/>
        <w:snapToGrid w:val="0"/>
        <w:spacing w:line="360" w:lineRule="auto"/>
        <w:jc w:val="center"/>
        <w:rPr>
          <w:rFonts w:ascii="宋体" w:hAnsi="宋体"/>
          <w:b/>
          <w:bCs/>
          <w:sz w:val="30"/>
          <w:szCs w:val="30"/>
        </w:rPr>
      </w:pPr>
      <w:r>
        <w:rPr>
          <w:rFonts w:hint="eastAsia" w:ascii="宋体" w:hAnsi="宋体"/>
          <w:b/>
          <w:bCs/>
          <w:sz w:val="30"/>
          <w:szCs w:val="30"/>
        </w:rPr>
        <w:t>项目编号：NYWYF20230014</w:t>
      </w:r>
    </w:p>
    <w:p>
      <w:pPr>
        <w:pStyle w:val="2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期：2023年12月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4"/>
            <w:tabs>
              <w:tab w:val="right" w:leader="dot" w:pos="9638"/>
            </w:tabs>
            <w:spacing w:line="36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r>
            <w:fldChar w:fldCharType="begin"/>
          </w:r>
          <w:r>
            <w:instrText xml:space="preserve"> HYPERLINK \l "_Toc14957" </w:instrText>
          </w:r>
          <w:r>
            <w:fldChar w:fldCharType="separate"/>
          </w:r>
          <w:r>
            <w:rPr>
              <w:rFonts w:hint="eastAsia" w:ascii="宋体" w:hAnsi="宋体" w:cs="宋体"/>
              <w:b/>
              <w:bCs/>
              <w:sz w:val="28"/>
              <w:szCs w:val="28"/>
            </w:rPr>
            <w:t>第一部分 院内单一来源采购公告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_Toc14957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"_Toc1526" </w:instrText>
          </w:r>
          <w:r>
            <w:fldChar w:fldCharType="separate"/>
          </w:r>
          <w:r>
            <w:rPr>
              <w:rFonts w:hint="eastAsia" w:ascii="宋体" w:hAnsi="宋体" w:cs="宋体"/>
              <w:b/>
              <w:bCs/>
              <w:sz w:val="28"/>
              <w:szCs w:val="28"/>
            </w:rPr>
            <w:t>第二部分  用户需求书</w:t>
          </w:r>
          <w:r>
            <w:rPr>
              <w:rFonts w:hint="eastAsia" w:ascii="宋体" w:hAnsi="宋体" w:cs="宋体"/>
              <w:b/>
              <w:bCs/>
              <w:sz w:val="28"/>
              <w:szCs w:val="28"/>
            </w:rPr>
            <w:tab/>
          </w:r>
          <w:r>
            <w:rPr>
              <w:rFonts w:hint="eastAsia" w:ascii="宋体" w:hAnsi="宋体" w:cs="宋体"/>
              <w:b/>
              <w:bCs/>
              <w:sz w:val="28"/>
              <w:szCs w:val="28"/>
            </w:rPr>
            <w:t>3</w:t>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"_Toc2432" </w:instrText>
          </w:r>
          <w:r>
            <w:fldChar w:fldCharType="separate"/>
          </w:r>
          <w:r>
            <w:rPr>
              <w:rFonts w:hint="eastAsia" w:ascii="宋体" w:hAnsi="宋体" w:cs="宋体"/>
              <w:b/>
              <w:bCs/>
              <w:sz w:val="28"/>
              <w:szCs w:val="28"/>
            </w:rPr>
            <w:t>第三部分  资料整理注意事项</w:t>
          </w:r>
          <w:r>
            <w:rPr>
              <w:rFonts w:hint="eastAsia" w:ascii="宋体" w:hAnsi="宋体" w:cs="宋体"/>
              <w:b/>
              <w:bCs/>
              <w:sz w:val="28"/>
              <w:szCs w:val="28"/>
            </w:rPr>
            <w:tab/>
          </w:r>
          <w:r>
            <w:rPr>
              <w:rFonts w:hint="eastAsia" w:ascii="宋体" w:hAnsi="宋体" w:cs="宋体"/>
              <w:b/>
              <w:bCs/>
              <w:sz w:val="28"/>
              <w:szCs w:val="28"/>
            </w:rPr>
            <w:t>6</w:t>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"_Toc1634" </w:instrText>
          </w:r>
          <w:r>
            <w:fldChar w:fldCharType="separate"/>
          </w:r>
          <w:r>
            <w:rPr>
              <w:rFonts w:hint="eastAsia" w:ascii="宋体" w:hAnsi="宋体" w:cs="宋体"/>
              <w:b/>
              <w:bCs/>
              <w:sz w:val="28"/>
              <w:szCs w:val="28"/>
            </w:rPr>
            <w:t>第四部分  相关格式文件</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pPr>
            <w:pStyle w:val="24"/>
            <w:tabs>
              <w:tab w:val="right" w:leader="dot" w:pos="9638"/>
            </w:tabs>
            <w:spacing w:line="360" w:lineRule="auto"/>
            <w:rPr>
              <w:rFonts w:ascii="宋体" w:hAnsi="宋体" w:cs="宋体"/>
              <w:b/>
              <w:bCs/>
              <w:sz w:val="28"/>
              <w:szCs w:val="28"/>
            </w:rPr>
          </w:pPr>
          <w:r>
            <w:fldChar w:fldCharType="begin"/>
          </w:r>
          <w:r>
            <w:instrText xml:space="preserve"> HYPERLINK \l "_Toc26773" </w:instrText>
          </w:r>
          <w:r>
            <w:fldChar w:fldCharType="separate"/>
          </w:r>
          <w:r>
            <w:rPr>
              <w:rFonts w:hint="eastAsia" w:ascii="宋体" w:hAnsi="宋体" w:cs="宋体"/>
              <w:b/>
              <w:bCs/>
              <w:sz w:val="28"/>
              <w:szCs w:val="28"/>
            </w:rPr>
            <w:t>第五部分 合同模板（报名成功后获得）</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7</w:t>
          </w:r>
        </w:p>
        <w:p>
          <w:pPr>
            <w:spacing w:line="360" w:lineRule="auto"/>
            <w:jc w:val="center"/>
            <w:rPr>
              <w:rFonts w:ascii="黑体" w:hAnsi="黑体" w:eastAsia="黑体" w:cs="黑体"/>
              <w:b/>
              <w:bCs/>
              <w:kern w:val="0"/>
              <w:sz w:val="30"/>
              <w:szCs w:val="30"/>
            </w:rPr>
          </w:pPr>
          <w:r>
            <w:rPr>
              <w:rFonts w:hint="eastAsia" w:ascii="宋体" w:hAnsi="宋体" w:cs="宋体"/>
              <w:b/>
              <w:bCs/>
              <w:kern w:val="0"/>
              <w:sz w:val="28"/>
              <w:szCs w:val="28"/>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widowControl/>
        <w:spacing w:line="360" w:lineRule="auto"/>
        <w:jc w:val="left"/>
        <w:rPr>
          <w:rFonts w:ascii="宋体" w:hAnsi="宋体" w:cs="宋体"/>
          <w:kern w:val="0"/>
          <w:sz w:val="21"/>
          <w:szCs w:val="21"/>
        </w:rPr>
      </w:pPr>
      <w:bookmarkStart w:id="2" w:name="_Toc27350"/>
      <w:bookmarkStart w:id="3" w:name="_Toc1526"/>
      <w:bookmarkStart w:id="4" w:name="_Toc25861"/>
      <w:r>
        <w:rPr>
          <w:rFonts w:hint="eastAsia" w:cs="宋体" w:asciiTheme="minorEastAsia" w:hAnsiTheme="minorEastAsia" w:eastAsiaTheme="minorEastAsia"/>
          <w:kern w:val="0"/>
          <w:sz w:val="24"/>
          <w:szCs w:val="27"/>
        </w:rPr>
        <w:t xml:space="preserve">  </w:t>
      </w:r>
      <w:r>
        <w:rPr>
          <w:rFonts w:hint="eastAsia" w:cs="宋体" w:asciiTheme="minorEastAsia" w:hAnsiTheme="minorEastAsia" w:eastAsiaTheme="minorEastAsia"/>
          <w:kern w:val="0"/>
          <w:sz w:val="21"/>
          <w:szCs w:val="21"/>
        </w:rPr>
        <w:t xml:space="preserve">  </w:t>
      </w:r>
      <w:r>
        <w:rPr>
          <w:rFonts w:hint="eastAsia" w:ascii="宋体" w:hAnsi="宋体" w:cs="宋体"/>
          <w:kern w:val="0"/>
          <w:sz w:val="21"/>
          <w:szCs w:val="21"/>
        </w:rPr>
        <w:t>根据我院业务发展需要，需采购HIS系统的数据库迁移、医保信用无感支付接口开发项目，现根据相关规定特此公告，任何供应商、单位或者个人对此项目采用单一来源采购公示有异议的，可以在公示期内将书面意见反馈给我院招标采购办公室。</w:t>
      </w:r>
    </w:p>
    <w:p>
      <w:pPr>
        <w:widowControl/>
        <w:spacing w:line="400" w:lineRule="exact"/>
        <w:ind w:firstLine="422" w:firstLineChars="200"/>
        <w:jc w:val="left"/>
        <w:rPr>
          <w:rFonts w:ascii="宋体" w:hAnsi="宋体" w:cs="宋体"/>
          <w:b/>
          <w:kern w:val="0"/>
          <w:sz w:val="21"/>
          <w:szCs w:val="21"/>
        </w:rPr>
      </w:pPr>
      <w:r>
        <w:rPr>
          <w:rFonts w:hint="eastAsia" w:ascii="宋体" w:hAnsi="宋体" w:cs="宋体"/>
          <w:b/>
          <w:kern w:val="0"/>
          <w:sz w:val="21"/>
          <w:szCs w:val="21"/>
        </w:rPr>
        <w:t>一、采购需求</w:t>
      </w:r>
    </w:p>
    <w:tbl>
      <w:tblPr>
        <w:tblStyle w:val="4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1776"/>
        <w:gridCol w:w="705"/>
        <w:gridCol w:w="1387"/>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645" w:type="dxa"/>
            <w:vAlign w:val="center"/>
          </w:tcPr>
          <w:p>
            <w:pPr>
              <w:jc w:val="center"/>
              <w:rPr>
                <w:rFonts w:ascii="宋体" w:hAnsi="宋体"/>
                <w:b/>
                <w:kern w:val="0"/>
                <w:sz w:val="21"/>
                <w:szCs w:val="21"/>
              </w:rPr>
            </w:pPr>
            <w:r>
              <w:rPr>
                <w:rFonts w:hint="eastAsia" w:ascii="宋体" w:hAnsi="宋体"/>
                <w:b/>
                <w:kern w:val="0"/>
                <w:sz w:val="21"/>
                <w:szCs w:val="21"/>
              </w:rPr>
              <w:t>项目名称</w:t>
            </w:r>
          </w:p>
        </w:tc>
        <w:tc>
          <w:tcPr>
            <w:tcW w:w="1776" w:type="dxa"/>
            <w:vAlign w:val="center"/>
          </w:tcPr>
          <w:p>
            <w:pPr>
              <w:jc w:val="center"/>
              <w:rPr>
                <w:rFonts w:ascii="宋体" w:hAnsi="宋体"/>
                <w:b/>
                <w:kern w:val="0"/>
                <w:sz w:val="21"/>
                <w:szCs w:val="21"/>
              </w:rPr>
            </w:pPr>
            <w:r>
              <w:rPr>
                <w:rFonts w:hint="eastAsia" w:ascii="宋体" w:hAnsi="宋体"/>
                <w:b/>
                <w:kern w:val="0"/>
                <w:sz w:val="21"/>
                <w:szCs w:val="21"/>
              </w:rPr>
              <w:t>项目编号</w:t>
            </w:r>
          </w:p>
        </w:tc>
        <w:tc>
          <w:tcPr>
            <w:tcW w:w="705" w:type="dxa"/>
            <w:vAlign w:val="center"/>
          </w:tcPr>
          <w:p>
            <w:pPr>
              <w:jc w:val="center"/>
              <w:rPr>
                <w:rFonts w:ascii="宋体" w:hAnsi="宋体"/>
                <w:b/>
                <w:kern w:val="0"/>
                <w:sz w:val="21"/>
                <w:szCs w:val="21"/>
              </w:rPr>
            </w:pPr>
            <w:r>
              <w:rPr>
                <w:rFonts w:hint="eastAsia" w:ascii="宋体" w:hAnsi="宋体"/>
                <w:b/>
                <w:kern w:val="0"/>
                <w:sz w:val="21"/>
                <w:szCs w:val="21"/>
              </w:rPr>
              <w:t>数量</w:t>
            </w:r>
          </w:p>
        </w:tc>
        <w:tc>
          <w:tcPr>
            <w:tcW w:w="1387" w:type="dxa"/>
            <w:vAlign w:val="center"/>
          </w:tcPr>
          <w:p>
            <w:pPr>
              <w:jc w:val="center"/>
              <w:rPr>
                <w:rFonts w:ascii="宋体" w:hAnsi="宋体"/>
                <w:b/>
                <w:kern w:val="0"/>
                <w:sz w:val="21"/>
                <w:szCs w:val="21"/>
              </w:rPr>
            </w:pPr>
            <w:r>
              <w:rPr>
                <w:rFonts w:hint="eastAsia" w:ascii="宋体" w:hAnsi="宋体"/>
                <w:b/>
                <w:kern w:val="0"/>
                <w:sz w:val="21"/>
                <w:szCs w:val="21"/>
              </w:rPr>
              <w:t>采购限额</w:t>
            </w:r>
          </w:p>
        </w:tc>
        <w:tc>
          <w:tcPr>
            <w:tcW w:w="1925" w:type="dxa"/>
            <w:vAlign w:val="center"/>
          </w:tcPr>
          <w:p>
            <w:pPr>
              <w:jc w:val="center"/>
              <w:rPr>
                <w:rFonts w:ascii="宋体" w:hAnsi="宋体"/>
                <w:b/>
                <w:kern w:val="0"/>
                <w:sz w:val="21"/>
                <w:szCs w:val="21"/>
              </w:rPr>
            </w:pPr>
            <w:r>
              <w:rPr>
                <w:rFonts w:hint="eastAsia" w:ascii="宋体" w:hAnsi="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645" w:type="dxa"/>
            <w:vAlign w:val="center"/>
          </w:tcPr>
          <w:p>
            <w:pPr>
              <w:jc w:val="center"/>
              <w:rPr>
                <w:rFonts w:ascii="宋体" w:hAnsi="宋体"/>
                <w:b/>
                <w:kern w:val="0"/>
                <w:sz w:val="21"/>
                <w:szCs w:val="21"/>
              </w:rPr>
            </w:pPr>
            <w:r>
              <w:rPr>
                <w:rFonts w:hint="eastAsia" w:ascii="Calibri" w:hAnsi="Calibri"/>
                <w:kern w:val="0"/>
                <w:sz w:val="21"/>
                <w:szCs w:val="21"/>
              </w:rPr>
              <w:t>南方医科大学第五附属医院HIS系统的数据库迁移、医保信用无感支付接口开发项目</w:t>
            </w:r>
          </w:p>
        </w:tc>
        <w:tc>
          <w:tcPr>
            <w:tcW w:w="1776" w:type="dxa"/>
            <w:vAlign w:val="center"/>
          </w:tcPr>
          <w:p>
            <w:pPr>
              <w:spacing w:line="360" w:lineRule="auto"/>
              <w:jc w:val="center"/>
              <w:rPr>
                <w:rFonts w:ascii="宋体" w:hAnsi="宋体" w:cs="宋体"/>
                <w:kern w:val="0"/>
                <w:sz w:val="21"/>
                <w:szCs w:val="21"/>
              </w:rPr>
            </w:pPr>
            <w:r>
              <w:rPr>
                <w:rFonts w:ascii="宋体" w:hAnsi="宋体" w:cs="宋体"/>
                <w:kern w:val="0"/>
                <w:sz w:val="21"/>
                <w:szCs w:val="21"/>
              </w:rPr>
              <w:t>NYWYF202</w:t>
            </w:r>
            <w:r>
              <w:rPr>
                <w:rFonts w:hint="eastAsia" w:ascii="宋体" w:hAnsi="宋体" w:cs="宋体"/>
                <w:kern w:val="0"/>
                <w:sz w:val="21"/>
                <w:szCs w:val="21"/>
              </w:rPr>
              <w:t>3</w:t>
            </w:r>
            <w:r>
              <w:rPr>
                <w:rFonts w:ascii="宋体" w:hAnsi="宋体" w:cs="宋体"/>
                <w:kern w:val="0"/>
                <w:sz w:val="21"/>
                <w:szCs w:val="21"/>
              </w:rPr>
              <w:t>00</w:t>
            </w:r>
            <w:r>
              <w:rPr>
                <w:rFonts w:hint="eastAsia" w:ascii="宋体" w:hAnsi="宋体" w:cs="宋体"/>
                <w:kern w:val="0"/>
                <w:sz w:val="21"/>
                <w:szCs w:val="21"/>
              </w:rPr>
              <w:t>14</w:t>
            </w:r>
          </w:p>
        </w:tc>
        <w:tc>
          <w:tcPr>
            <w:tcW w:w="705" w:type="dxa"/>
            <w:vAlign w:val="center"/>
          </w:tcPr>
          <w:p>
            <w:pPr>
              <w:jc w:val="center"/>
              <w:rPr>
                <w:rFonts w:ascii="宋体" w:hAnsi="宋体"/>
                <w:b/>
                <w:kern w:val="0"/>
                <w:sz w:val="21"/>
                <w:szCs w:val="21"/>
              </w:rPr>
            </w:pPr>
            <w:r>
              <w:rPr>
                <w:rFonts w:hint="eastAsia" w:ascii="宋体" w:hAnsi="宋体"/>
                <w:kern w:val="0"/>
                <w:sz w:val="21"/>
                <w:szCs w:val="21"/>
              </w:rPr>
              <w:t>1项</w:t>
            </w:r>
          </w:p>
        </w:tc>
        <w:tc>
          <w:tcPr>
            <w:tcW w:w="1387" w:type="dxa"/>
            <w:vAlign w:val="center"/>
          </w:tcPr>
          <w:p>
            <w:pPr>
              <w:jc w:val="center"/>
              <w:rPr>
                <w:rFonts w:ascii="宋体" w:hAnsi="宋体"/>
                <w:kern w:val="0"/>
                <w:sz w:val="21"/>
                <w:szCs w:val="21"/>
              </w:rPr>
            </w:pPr>
            <w:r>
              <w:rPr>
                <w:rFonts w:hint="eastAsia" w:ascii="宋体" w:hAnsi="宋体"/>
                <w:kern w:val="0"/>
                <w:sz w:val="21"/>
                <w:szCs w:val="21"/>
              </w:rPr>
              <w:t>42万元</w:t>
            </w:r>
          </w:p>
        </w:tc>
        <w:tc>
          <w:tcPr>
            <w:tcW w:w="1925" w:type="dxa"/>
            <w:vAlign w:val="center"/>
          </w:tcPr>
          <w:p>
            <w:pPr>
              <w:jc w:val="center"/>
              <w:rPr>
                <w:rFonts w:ascii="宋体" w:hAnsi="宋体"/>
                <w:kern w:val="0"/>
                <w:sz w:val="21"/>
                <w:szCs w:val="21"/>
              </w:rPr>
            </w:pPr>
            <w:r>
              <w:rPr>
                <w:rFonts w:hint="eastAsia" w:ascii="宋体" w:hAnsi="宋体"/>
                <w:kern w:val="0"/>
                <w:sz w:val="21"/>
                <w:szCs w:val="21"/>
              </w:rPr>
              <w:t>参数需求等详见附件2采购文件</w:t>
            </w:r>
          </w:p>
        </w:tc>
      </w:tr>
    </w:tbl>
    <w:p>
      <w:pPr>
        <w:widowControl/>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二、单一来源采购方式的原因及相关说明</w:t>
      </w:r>
    </w:p>
    <w:p>
      <w:pPr>
        <w:widowControl/>
        <w:spacing w:line="360" w:lineRule="auto"/>
        <w:ind w:firstLine="210" w:firstLineChars="100"/>
        <w:jc w:val="left"/>
        <w:rPr>
          <w:rFonts w:ascii="宋体" w:hAnsi="宋体" w:cs="宋体"/>
          <w:kern w:val="0"/>
          <w:sz w:val="21"/>
          <w:szCs w:val="21"/>
        </w:rPr>
      </w:pPr>
      <w:r>
        <w:rPr>
          <w:rFonts w:hint="eastAsia" w:ascii="宋体" w:hAnsi="宋体" w:cs="宋体"/>
          <w:kern w:val="0"/>
          <w:sz w:val="21"/>
          <w:szCs w:val="21"/>
        </w:rPr>
        <w:t>本次采购的</w:t>
      </w:r>
      <w:r>
        <w:rPr>
          <w:rFonts w:hint="eastAsia" w:ascii="Calibri" w:hAnsi="Calibri"/>
          <w:kern w:val="0"/>
          <w:sz w:val="21"/>
          <w:szCs w:val="21"/>
        </w:rPr>
        <w:t>HIS系统数据库迁移、医保信用无感支付接口开发项目，</w:t>
      </w:r>
      <w:r>
        <w:rPr>
          <w:rFonts w:hint="eastAsia" w:ascii="宋体" w:hAnsi="宋体" w:cs="宋体"/>
          <w:kern w:val="0"/>
          <w:sz w:val="21"/>
          <w:szCs w:val="21"/>
        </w:rPr>
        <w:t>需由我院</w:t>
      </w:r>
      <w:r>
        <w:rPr>
          <w:rFonts w:hint="eastAsia" w:ascii="Calibri" w:hAnsi="Calibri"/>
          <w:kern w:val="0"/>
          <w:sz w:val="21"/>
          <w:szCs w:val="21"/>
        </w:rPr>
        <w:t>HIS系统原建设部署的供应商开发</w:t>
      </w:r>
      <w:r>
        <w:rPr>
          <w:rFonts w:hint="eastAsia" w:ascii="宋体" w:hAnsi="宋体" w:cs="宋体"/>
          <w:kern w:val="0"/>
          <w:sz w:val="21"/>
          <w:szCs w:val="21"/>
        </w:rPr>
        <w:t>使用，只能从唯一供应商采购。</w:t>
      </w:r>
    </w:p>
    <w:p>
      <w:pPr>
        <w:widowControl/>
        <w:spacing w:line="360" w:lineRule="auto"/>
        <w:ind w:firstLine="422" w:firstLineChars="200"/>
        <w:jc w:val="left"/>
        <w:rPr>
          <w:rFonts w:ascii="宋体" w:hAnsi="宋体" w:cs="宋体"/>
          <w:b/>
          <w:kern w:val="0"/>
          <w:sz w:val="21"/>
          <w:szCs w:val="21"/>
        </w:rPr>
      </w:pPr>
      <w:r>
        <w:rPr>
          <w:rFonts w:hint="eastAsia" w:ascii="宋体" w:hAnsi="宋体" w:cs="宋体"/>
          <w:b/>
          <w:kern w:val="0"/>
          <w:sz w:val="21"/>
          <w:szCs w:val="21"/>
        </w:rPr>
        <w:t>三、拟定的唯一供应商名称、地址</w:t>
      </w:r>
    </w:p>
    <w:p>
      <w:pPr>
        <w:widowControl/>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供应商名称：创业慧康科技股份有限公司</w:t>
      </w:r>
    </w:p>
    <w:p>
      <w:pPr>
        <w:widowControl/>
        <w:spacing w:line="360" w:lineRule="auto"/>
        <w:ind w:firstLine="420" w:firstLineChars="200"/>
        <w:jc w:val="left"/>
        <w:rPr>
          <w:rFonts w:ascii="宋体" w:hAnsi="宋体" w:cs="宋体"/>
          <w:b/>
          <w:kern w:val="0"/>
          <w:sz w:val="21"/>
          <w:szCs w:val="21"/>
        </w:rPr>
      </w:pPr>
      <w:r>
        <w:rPr>
          <w:rFonts w:hint="eastAsia" w:ascii="宋体" w:hAnsi="宋体" w:cs="宋体"/>
          <w:kern w:val="0"/>
          <w:sz w:val="21"/>
          <w:szCs w:val="21"/>
        </w:rPr>
        <w:t>供应商地址：浙江省杭州市滨江区长河街道越达巷92号创业智慧大厦</w:t>
      </w:r>
    </w:p>
    <w:p>
      <w:pPr>
        <w:widowControl/>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四、公示期限：</w:t>
      </w:r>
      <w:r>
        <w:rPr>
          <w:rFonts w:hint="eastAsia" w:ascii="宋体" w:hAnsi="宋体" w:cs="宋体"/>
          <w:kern w:val="0"/>
          <w:sz w:val="21"/>
          <w:szCs w:val="21"/>
        </w:rPr>
        <w:t>2023年12月</w:t>
      </w:r>
      <w:r>
        <w:rPr>
          <w:rFonts w:hint="eastAsia" w:ascii="宋体" w:hAnsi="宋体" w:cs="宋体"/>
          <w:kern w:val="0"/>
          <w:sz w:val="21"/>
          <w:szCs w:val="21"/>
          <w:lang w:val="en-US" w:eastAsia="zh-CN"/>
        </w:rPr>
        <w:t>26</w:t>
      </w:r>
      <w:r>
        <w:rPr>
          <w:rFonts w:hint="eastAsia" w:ascii="宋体" w:hAnsi="宋体" w:cs="宋体"/>
          <w:kern w:val="0"/>
          <w:sz w:val="21"/>
          <w:szCs w:val="21"/>
        </w:rPr>
        <w:t>日～2023年12月</w:t>
      </w:r>
      <w:r>
        <w:rPr>
          <w:rFonts w:hint="eastAsia" w:ascii="宋体" w:hAnsi="宋体" w:cs="宋体"/>
          <w:kern w:val="0"/>
          <w:sz w:val="21"/>
          <w:szCs w:val="21"/>
          <w:lang w:val="en-US" w:eastAsia="zh-CN"/>
        </w:rPr>
        <w:t>28</w:t>
      </w:r>
      <w:r>
        <w:rPr>
          <w:rFonts w:hint="eastAsia" w:ascii="宋体" w:hAnsi="宋体" w:cs="宋体"/>
          <w:kern w:val="0"/>
          <w:sz w:val="21"/>
          <w:szCs w:val="21"/>
        </w:rPr>
        <w:t>日</w:t>
      </w:r>
    </w:p>
    <w:p>
      <w:pPr>
        <w:widowControl/>
        <w:spacing w:line="360" w:lineRule="auto"/>
        <w:ind w:firstLine="422" w:firstLineChars="200"/>
        <w:jc w:val="left"/>
        <w:rPr>
          <w:rFonts w:ascii="宋体" w:hAnsi="宋体" w:cs="宋体"/>
          <w:kern w:val="0"/>
          <w:sz w:val="21"/>
          <w:szCs w:val="21"/>
        </w:rPr>
      </w:pPr>
      <w:r>
        <w:rPr>
          <w:rFonts w:hint="eastAsia" w:ascii="宋体" w:hAnsi="宋体" w:cs="宋体"/>
          <w:b/>
          <w:kern w:val="0"/>
          <w:sz w:val="21"/>
          <w:szCs w:val="21"/>
        </w:rPr>
        <w:t>五、公示及报名截止时间：</w:t>
      </w:r>
      <w:r>
        <w:rPr>
          <w:rFonts w:hint="eastAsia" w:ascii="宋体" w:hAnsi="宋体" w:cs="宋体"/>
          <w:kern w:val="0"/>
          <w:sz w:val="21"/>
          <w:szCs w:val="21"/>
        </w:rPr>
        <w:t>2023年12月</w:t>
      </w:r>
      <w:r>
        <w:rPr>
          <w:rFonts w:hint="eastAsia" w:ascii="宋体" w:hAnsi="宋体" w:cs="宋体"/>
          <w:kern w:val="0"/>
          <w:sz w:val="21"/>
          <w:szCs w:val="21"/>
          <w:lang w:val="en-US" w:eastAsia="zh-CN"/>
        </w:rPr>
        <w:t>28</w:t>
      </w:r>
      <w:bookmarkStart w:id="284" w:name="_GoBack"/>
      <w:bookmarkEnd w:id="284"/>
      <w:r>
        <w:rPr>
          <w:rFonts w:hint="eastAsia" w:ascii="宋体" w:hAnsi="宋体" w:cs="宋体"/>
          <w:kern w:val="0"/>
          <w:sz w:val="21"/>
          <w:szCs w:val="21"/>
        </w:rPr>
        <w:t>日 下午5:30</w:t>
      </w:r>
    </w:p>
    <w:p>
      <w:pPr>
        <w:spacing w:line="400" w:lineRule="exact"/>
        <w:ind w:firstLine="422" w:firstLineChars="200"/>
        <w:contextualSpacing/>
        <w:rPr>
          <w:rFonts w:ascii="宋体" w:hAnsi="宋体" w:cs="宋体"/>
          <w:kern w:val="0"/>
          <w:sz w:val="21"/>
          <w:szCs w:val="21"/>
        </w:rPr>
      </w:pPr>
      <w:r>
        <w:rPr>
          <w:rFonts w:hint="eastAsia" w:ascii="宋体" w:hAnsi="宋体" w:cs="宋体"/>
          <w:b/>
          <w:bCs/>
          <w:kern w:val="0"/>
          <w:sz w:val="21"/>
          <w:szCs w:val="21"/>
        </w:rPr>
        <w:t>六、报名方式：</w:t>
      </w:r>
      <w:r>
        <w:rPr>
          <w:rFonts w:hint="eastAsia" w:ascii="宋体" w:hAnsi="宋体" w:cs="宋体"/>
          <w:kern w:val="0"/>
          <w:sz w:val="21"/>
          <w:szCs w:val="21"/>
        </w:rPr>
        <w:t>电子邮件报名。</w:t>
      </w:r>
    </w:p>
    <w:p>
      <w:pPr>
        <w:adjustRightInd w:val="0"/>
        <w:snapToGrid w:val="0"/>
        <w:spacing w:line="400" w:lineRule="exact"/>
        <w:ind w:firstLine="422" w:firstLineChars="200"/>
        <w:rPr>
          <w:rFonts w:ascii="宋体" w:hAnsi="宋体" w:cs="宋体"/>
          <w:kern w:val="0"/>
          <w:sz w:val="21"/>
          <w:szCs w:val="21"/>
        </w:rPr>
      </w:pPr>
      <w:r>
        <w:rPr>
          <w:rFonts w:hint="eastAsia" w:ascii="宋体" w:hAnsi="宋体" w:cs="宋体"/>
          <w:b/>
          <w:kern w:val="0"/>
          <w:sz w:val="21"/>
          <w:szCs w:val="21"/>
        </w:rPr>
        <w:t>七、报名所需提供资料及要求</w:t>
      </w:r>
      <w:r>
        <w:rPr>
          <w:rFonts w:hint="eastAsia" w:ascii="宋体" w:hAnsi="宋体" w:cs="宋体"/>
          <w:kern w:val="0"/>
          <w:sz w:val="21"/>
          <w:szCs w:val="21"/>
        </w:rPr>
        <w:t>：详见附件3报名资料。</w:t>
      </w:r>
    </w:p>
    <w:p>
      <w:pPr>
        <w:spacing w:line="400" w:lineRule="exact"/>
        <w:ind w:firstLine="420" w:firstLineChars="200"/>
        <w:contextualSpacing/>
        <w:rPr>
          <w:rFonts w:ascii="Calibri" w:hAnsi="Calibri"/>
          <w:sz w:val="21"/>
          <w:szCs w:val="21"/>
        </w:rPr>
      </w:pPr>
      <w:r>
        <w:rPr>
          <w:rFonts w:hint="eastAsia" w:ascii="Calibri" w:hAnsi="Calibri"/>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sz w:val="21"/>
          <w:szCs w:val="21"/>
        </w:rPr>
      </w:pPr>
      <w:r>
        <w:rPr>
          <w:rFonts w:hint="eastAsia" w:ascii="宋体" w:hAnsi="宋体" w:cs="宋体"/>
          <w:b/>
          <w:kern w:val="0"/>
          <w:sz w:val="21"/>
          <w:szCs w:val="21"/>
        </w:rPr>
        <w:t>八、</w:t>
      </w:r>
      <w:r>
        <w:rPr>
          <w:rFonts w:hint="eastAsia" w:ascii="宋体" w:hAnsi="宋体" w:cs="宋体"/>
          <w:b/>
          <w:bCs/>
          <w:sz w:val="21"/>
          <w:szCs w:val="21"/>
        </w:rPr>
        <w:t>评审时间及地点：</w:t>
      </w:r>
      <w:r>
        <w:rPr>
          <w:rFonts w:hint="eastAsia" w:ascii="宋体" w:hAnsi="宋体" w:cs="宋体"/>
          <w:sz w:val="21"/>
          <w:szCs w:val="21"/>
        </w:rPr>
        <w:t>待定（根据医院工作安排通知符合要求报名代表）</w:t>
      </w:r>
    </w:p>
    <w:p>
      <w:pPr>
        <w:adjustRightInd w:val="0"/>
        <w:snapToGrid w:val="0"/>
        <w:spacing w:line="400" w:lineRule="exact"/>
        <w:ind w:firstLine="422" w:firstLineChars="200"/>
        <w:rPr>
          <w:rFonts w:ascii="宋体" w:hAnsi="宋体" w:cs="宋体"/>
          <w:sz w:val="21"/>
          <w:szCs w:val="21"/>
        </w:rPr>
      </w:pPr>
      <w:r>
        <w:rPr>
          <w:rFonts w:hint="eastAsia" w:ascii="宋体" w:hAnsi="宋体" w:cs="宋体"/>
          <w:b/>
          <w:bCs/>
          <w:sz w:val="21"/>
          <w:szCs w:val="21"/>
        </w:rPr>
        <w:t>九、供应商资质要求</w:t>
      </w:r>
    </w:p>
    <w:p>
      <w:pPr>
        <w:spacing w:line="440" w:lineRule="exact"/>
        <w:ind w:firstLine="420" w:firstLineChars="200"/>
        <w:jc w:val="left"/>
        <w:rPr>
          <w:rFonts w:ascii="Calibri" w:hAnsi="Calibri"/>
          <w:sz w:val="21"/>
          <w:szCs w:val="21"/>
        </w:rPr>
      </w:pPr>
      <w:r>
        <w:rPr>
          <w:rFonts w:hint="eastAsia" w:ascii="Calibri" w:hAnsi="Calibri"/>
          <w:sz w:val="21"/>
          <w:szCs w:val="21"/>
        </w:rPr>
        <w:t xml:space="preserve">1. </w:t>
      </w:r>
      <w:r>
        <w:rPr>
          <w:rFonts w:hint="eastAsia" w:ascii="宋体" w:hAnsi="宋体" w:cs="宋体"/>
          <w:sz w:val="21"/>
          <w:szCs w:val="21"/>
        </w:rPr>
        <w:t>具有独立承担民事责任的能力：在中华人民共和国境内注册的法人或其他组织， 响应时提交有效的营业执照（或事业法人登记证或身份证等相关证明） 副本复印件。分支机构投标的，须提供总公司和分公司营业执照副本复印件，总公司出具给分支机构的授权书。</w:t>
      </w:r>
      <w:r>
        <w:rPr>
          <w:rFonts w:hint="eastAsia" w:ascii="Calibri" w:hAnsi="Calibri"/>
          <w:sz w:val="21"/>
          <w:szCs w:val="21"/>
        </w:rPr>
        <w:t xml:space="preserve"> </w:t>
      </w:r>
    </w:p>
    <w:p>
      <w:pPr>
        <w:spacing w:line="440" w:lineRule="exact"/>
        <w:ind w:firstLine="420" w:firstLineChars="200"/>
        <w:jc w:val="left"/>
        <w:rPr>
          <w:rFonts w:ascii="Calibri" w:hAnsi="Calibri"/>
          <w:sz w:val="21"/>
          <w:szCs w:val="21"/>
        </w:rPr>
      </w:pPr>
      <w:r>
        <w:rPr>
          <w:rFonts w:hint="eastAsia" w:ascii="Calibri" w:hAnsi="Calibri"/>
          <w:sz w:val="21"/>
          <w:szCs w:val="21"/>
        </w:rPr>
        <w:t>2.具有良好的商业信誉和健全的财务会计制度（提供承诺函，承诺函必须包含相关文字内容，格式自拟</w:t>
      </w:r>
      <w:r>
        <w:rPr>
          <w:rFonts w:hint="eastAsia" w:ascii="宋体" w:hAnsi="宋体" w:cs="宋体"/>
          <w:sz w:val="21"/>
          <w:szCs w:val="21"/>
          <w:lang w:val="zh-CN"/>
        </w:rPr>
        <w:t>并加盖供应商公章</w:t>
      </w:r>
      <w:r>
        <w:rPr>
          <w:rFonts w:hint="eastAsia" w:ascii="Calibri" w:hAnsi="Calibri"/>
          <w:sz w:val="21"/>
          <w:szCs w:val="21"/>
        </w:rPr>
        <w:t>）</w:t>
      </w:r>
    </w:p>
    <w:p>
      <w:pPr>
        <w:spacing w:line="360" w:lineRule="auto"/>
        <w:ind w:firstLine="420" w:firstLineChars="200"/>
        <w:rPr>
          <w:rFonts w:ascii="Calibri" w:hAnsi="Calibri"/>
          <w:sz w:val="21"/>
          <w:szCs w:val="21"/>
        </w:rPr>
      </w:pPr>
      <w:r>
        <w:rPr>
          <w:rFonts w:hint="eastAsia" w:ascii="Calibri" w:hAnsi="Calibri"/>
          <w:sz w:val="21"/>
          <w:szCs w:val="21"/>
        </w:rPr>
        <w:t>3.具有履行合同所必需的设备和专业技术能力</w:t>
      </w:r>
      <w:r>
        <w:rPr>
          <w:rFonts w:hint="eastAsia" w:ascii="Calibri" w:hAnsi="Calibri"/>
          <w:color w:val="0000FF"/>
          <w:sz w:val="21"/>
          <w:szCs w:val="21"/>
        </w:rPr>
        <w:t>（</w:t>
      </w:r>
      <w:r>
        <w:rPr>
          <w:rFonts w:hint="eastAsia" w:ascii="Calibri" w:hAnsi="Calibri"/>
          <w:sz w:val="21"/>
          <w:szCs w:val="21"/>
        </w:rPr>
        <w:t>提供承诺函，承诺函必须包含相关文字内容，格式自拟</w:t>
      </w:r>
      <w:r>
        <w:rPr>
          <w:rFonts w:hint="eastAsia" w:ascii="Calibri" w:hAnsi="Calibri"/>
          <w:sz w:val="21"/>
          <w:szCs w:val="21"/>
          <w:lang w:val="zh-CN"/>
        </w:rPr>
        <w:t>并加盖供应商公章）</w:t>
      </w:r>
    </w:p>
    <w:p>
      <w:pPr>
        <w:spacing w:line="440" w:lineRule="exact"/>
        <w:ind w:firstLine="420" w:firstLineChars="200"/>
        <w:jc w:val="left"/>
        <w:rPr>
          <w:rFonts w:ascii="Calibri" w:hAnsi="Calibri"/>
          <w:sz w:val="21"/>
          <w:szCs w:val="21"/>
        </w:rPr>
      </w:pPr>
      <w:r>
        <w:rPr>
          <w:rFonts w:hint="eastAsia" w:ascii="Calibri" w:hAnsi="Calibri"/>
          <w:sz w:val="21"/>
          <w:szCs w:val="21"/>
        </w:rPr>
        <w:t>4. 具有依法缴纳税收和社会保障资金的良好记录（提供承诺函，承诺函必须包含相关文字内容，格式自拟，</w:t>
      </w:r>
      <w:r>
        <w:rPr>
          <w:rFonts w:hint="eastAsia" w:ascii="宋体" w:hAnsi="宋体" w:cs="宋体"/>
          <w:sz w:val="21"/>
          <w:szCs w:val="21"/>
          <w:lang w:val="zh-CN"/>
        </w:rPr>
        <w:t>并加盖供应商公章</w:t>
      </w:r>
      <w:r>
        <w:rPr>
          <w:rFonts w:hint="eastAsia" w:ascii="Calibri" w:hAnsi="Calibri"/>
          <w:sz w:val="21"/>
          <w:szCs w:val="21"/>
        </w:rPr>
        <w:t>）</w:t>
      </w:r>
    </w:p>
    <w:p>
      <w:pPr>
        <w:spacing w:line="360" w:lineRule="auto"/>
        <w:ind w:firstLine="420" w:firstLineChars="200"/>
        <w:rPr>
          <w:rFonts w:ascii="宋体" w:hAnsi="宋体" w:cs="宋体"/>
          <w:sz w:val="21"/>
          <w:szCs w:val="21"/>
        </w:rPr>
      </w:pPr>
      <w:r>
        <w:rPr>
          <w:rFonts w:hint="eastAsia" w:ascii="Calibri" w:hAnsi="Calibri"/>
          <w:sz w:val="21"/>
          <w:szCs w:val="21"/>
        </w:rPr>
        <w:t>5. 本项目不接受联合体投标</w:t>
      </w:r>
      <w:r>
        <w:rPr>
          <w:rFonts w:hint="eastAsia" w:ascii="宋体" w:hAnsi="宋体" w:cs="宋体"/>
          <w:sz w:val="21"/>
          <w:szCs w:val="21"/>
        </w:rPr>
        <w:t>（提供承诺函，承诺函必须包含相关文字涵义内容，并加盖供应商公司公章）</w:t>
      </w:r>
    </w:p>
    <w:p>
      <w:pPr>
        <w:spacing w:line="440" w:lineRule="exact"/>
        <w:ind w:firstLine="420" w:firstLineChars="200"/>
        <w:jc w:val="left"/>
        <w:rPr>
          <w:rFonts w:ascii="宋体" w:hAnsi="宋体" w:cs="宋体"/>
          <w:kern w:val="0"/>
          <w:sz w:val="21"/>
          <w:szCs w:val="21"/>
        </w:rPr>
      </w:pPr>
      <w:r>
        <w:rPr>
          <w:rFonts w:hint="eastAsia" w:ascii="Calibri" w:hAnsi="Calibri"/>
          <w:sz w:val="21"/>
          <w:szCs w:val="21"/>
        </w:rPr>
        <w:t>6. 近三年内没有违规违纪记录（需提供承诺函，格式自拟，</w:t>
      </w:r>
      <w:r>
        <w:rPr>
          <w:rFonts w:hint="eastAsia" w:ascii="宋体" w:hAnsi="宋体" w:cs="宋体"/>
          <w:sz w:val="21"/>
          <w:szCs w:val="21"/>
          <w:lang w:val="zh-CN"/>
        </w:rPr>
        <w:t>并加盖供应商公章</w:t>
      </w:r>
      <w:r>
        <w:rPr>
          <w:rFonts w:hint="eastAsia" w:ascii="Calibri" w:hAnsi="Calibri"/>
          <w:sz w:val="21"/>
          <w:szCs w:val="21"/>
        </w:rPr>
        <w:t>）。</w:t>
      </w:r>
    </w:p>
    <w:p>
      <w:pPr>
        <w:adjustRightInd w:val="0"/>
        <w:snapToGrid w:val="0"/>
        <w:spacing w:line="400" w:lineRule="exact"/>
        <w:ind w:firstLine="422" w:firstLineChars="200"/>
        <w:rPr>
          <w:rFonts w:ascii="宋体" w:hAnsi="宋体" w:cs="宋体"/>
          <w:kern w:val="0"/>
          <w:sz w:val="21"/>
          <w:szCs w:val="21"/>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adjustRightInd w:val="0"/>
        <w:snapToGrid w:val="0"/>
        <w:spacing w:line="400" w:lineRule="exact"/>
        <w:ind w:firstLine="422" w:firstLineChars="200"/>
        <w:rPr>
          <w:rFonts w:ascii="宋体" w:hAnsi="宋体" w:cs="宋体"/>
          <w:b/>
          <w:bCs/>
          <w:color w:val="FF0000"/>
          <w:sz w:val="21"/>
          <w:szCs w:val="21"/>
          <w:shd w:val="clear" w:color="auto" w:fill="FFFFFF"/>
        </w:rPr>
      </w:pPr>
      <w:r>
        <w:rPr>
          <w:rFonts w:hint="eastAsia" w:ascii="宋体" w:hAnsi="宋体" w:cs="宋体"/>
          <w:b/>
          <w:kern w:val="0"/>
          <w:sz w:val="21"/>
          <w:szCs w:val="21"/>
        </w:rPr>
        <w:t>十、联系方式</w:t>
      </w:r>
    </w:p>
    <w:p>
      <w:pPr>
        <w:widowControl/>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冯老师：020-62236261（采购业务咨询）  邮箱：</w:t>
      </w:r>
      <w:r>
        <w:rPr>
          <w:rFonts w:ascii="宋体" w:hAnsi="宋体" w:cs="宋体"/>
          <w:kern w:val="0"/>
          <w:sz w:val="21"/>
          <w:szCs w:val="21"/>
        </w:rPr>
        <w:t>nywycgb@126.com</w:t>
      </w:r>
    </w:p>
    <w:p>
      <w:pPr>
        <w:widowControl/>
        <w:spacing w:line="360" w:lineRule="auto"/>
        <w:ind w:firstLine="420" w:firstLineChars="200"/>
        <w:jc w:val="left"/>
        <w:rPr>
          <w:rFonts w:ascii="宋体" w:hAnsi="宋体" w:cs="宋体"/>
          <w:kern w:val="0"/>
          <w:sz w:val="21"/>
          <w:szCs w:val="21"/>
        </w:rPr>
      </w:pPr>
      <w:r>
        <w:rPr>
          <w:rFonts w:hint="eastAsia" w:ascii="宋体" w:hAnsi="宋体" w:cs="宋体"/>
          <w:sz w:val="21"/>
          <w:szCs w:val="21"/>
        </w:rPr>
        <w:t>陆老师：020-62236250（项目需求咨询）</w:t>
      </w:r>
    </w:p>
    <w:p>
      <w:pPr>
        <w:widowControl/>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黄老师：020-62236105（投诉举报电话）</w:t>
      </w:r>
    </w:p>
    <w:p>
      <w:pPr>
        <w:widowControl/>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联系时间（工作日）：上午 8:30-12:00，下午14:30-17:30</w:t>
      </w:r>
    </w:p>
    <w:p>
      <w:pPr>
        <w:widowControl/>
        <w:spacing w:line="360" w:lineRule="auto"/>
        <w:ind w:firstLine="525" w:firstLineChars="250"/>
        <w:jc w:val="left"/>
        <w:rPr>
          <w:rFonts w:ascii="宋体" w:hAnsi="宋体" w:cs="宋体"/>
          <w:kern w:val="0"/>
          <w:sz w:val="21"/>
          <w:szCs w:val="21"/>
        </w:rPr>
      </w:pPr>
    </w:p>
    <w:p>
      <w:pPr>
        <w:widowControl/>
        <w:spacing w:line="360" w:lineRule="auto"/>
        <w:ind w:firstLine="4410" w:firstLineChars="2100"/>
        <w:jc w:val="right"/>
        <w:rPr>
          <w:rFonts w:ascii="宋体" w:hAnsi="宋体" w:cs="宋体"/>
          <w:kern w:val="0"/>
          <w:sz w:val="21"/>
          <w:szCs w:val="21"/>
        </w:rPr>
      </w:pPr>
      <w:r>
        <w:rPr>
          <w:rFonts w:hint="eastAsia" w:ascii="宋体" w:hAnsi="宋体" w:cs="宋体"/>
          <w:kern w:val="0"/>
          <w:sz w:val="21"/>
          <w:szCs w:val="21"/>
        </w:rPr>
        <w:t>南方医科大学第五附属医院</w:t>
      </w:r>
    </w:p>
    <w:p>
      <w:pPr>
        <w:widowControl/>
        <w:spacing w:line="360" w:lineRule="auto"/>
        <w:ind w:firstLine="210" w:firstLineChars="100"/>
        <w:jc w:val="right"/>
        <w:rPr>
          <w:rFonts w:ascii="宋体" w:hAnsi="宋体" w:cs="宋体"/>
          <w:kern w:val="0"/>
          <w:sz w:val="21"/>
          <w:szCs w:val="21"/>
        </w:rPr>
      </w:pPr>
      <w:r>
        <w:rPr>
          <w:rFonts w:hint="eastAsia" w:ascii="宋体" w:hAnsi="宋体" w:cs="宋体"/>
          <w:kern w:val="0"/>
          <w:sz w:val="21"/>
          <w:szCs w:val="21"/>
        </w:rPr>
        <w:t>                                2023年12月</w:t>
      </w:r>
      <w:r>
        <w:rPr>
          <w:rFonts w:hint="eastAsia" w:ascii="宋体" w:hAnsi="宋体" w:cs="宋体"/>
          <w:kern w:val="0"/>
          <w:sz w:val="21"/>
          <w:szCs w:val="21"/>
          <w:lang w:val="en-US" w:eastAsia="zh-CN"/>
        </w:rPr>
        <w:t>25</w:t>
      </w:r>
      <w:r>
        <w:rPr>
          <w:rFonts w:hint="eastAsia" w:ascii="宋体" w:hAnsi="宋体" w:cs="宋体"/>
          <w:kern w:val="0"/>
          <w:sz w:val="21"/>
          <w:szCs w:val="21"/>
        </w:rPr>
        <w:t>日</w:t>
      </w:r>
    </w:p>
    <w:p>
      <w:pPr>
        <w:widowControl/>
        <w:spacing w:line="400" w:lineRule="exact"/>
        <w:jc w:val="left"/>
        <w:rPr>
          <w:rFonts w:cs="宋体" w:asciiTheme="minorEastAsia" w:hAnsiTheme="minorEastAsia" w:eastAsiaTheme="minorEastAsia"/>
          <w:kern w:val="0"/>
          <w:sz w:val="24"/>
          <w:szCs w:val="28"/>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ascii="宋体" w:hAnsi="宋体"/>
          <w:b/>
          <w:bCs/>
          <w:sz w:val="30"/>
          <w:szCs w:val="30"/>
        </w:rPr>
      </w:pPr>
    </w:p>
    <w:p>
      <w:pPr>
        <w:spacing w:line="360" w:lineRule="auto"/>
        <w:jc w:val="center"/>
        <w:outlineLvl w:val="0"/>
        <w:rPr>
          <w:rFonts w:hint="eastAsia" w:ascii="宋体" w:hAnsi="宋体"/>
          <w:b/>
          <w:bCs/>
          <w:sz w:val="30"/>
          <w:szCs w:val="30"/>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pPr>
    </w:p>
    <w:p>
      <w:pPr>
        <w:numPr>
          <w:ilvl w:val="0"/>
          <w:numId w:val="2"/>
        </w:numPr>
        <w:spacing w:line="360" w:lineRule="auto"/>
        <w:jc w:val="center"/>
        <w:outlineLvl w:val="0"/>
        <w:rPr>
          <w:rFonts w:ascii="宋体" w:hAnsi="宋体"/>
          <w:b/>
          <w:bCs/>
          <w:sz w:val="30"/>
          <w:szCs w:val="30"/>
        </w:rPr>
      </w:pPr>
      <w:r>
        <w:rPr>
          <w:rFonts w:hint="eastAsia" w:ascii="宋体" w:hAnsi="宋体"/>
          <w:b/>
          <w:bCs/>
          <w:sz w:val="30"/>
          <w:szCs w:val="30"/>
        </w:rPr>
        <w:t xml:space="preserve"> 用户需求书</w:t>
      </w:r>
      <w:bookmarkEnd w:id="2"/>
      <w:bookmarkEnd w:id="3"/>
      <w:bookmarkEnd w:id="4"/>
    </w:p>
    <w:p>
      <w:pPr>
        <w:widowControl/>
        <w:spacing w:line="400" w:lineRule="exact"/>
        <w:ind w:firstLine="316" w:firstLineChars="150"/>
        <w:jc w:val="left"/>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一、项目概况</w:t>
      </w:r>
    </w:p>
    <w:p>
      <w:pPr>
        <w:widowControl/>
        <w:spacing w:line="400" w:lineRule="exact"/>
        <w:ind w:firstLine="422"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rPr>
        <w:t>1.项目名称：</w:t>
      </w:r>
      <w:r>
        <w:rPr>
          <w:rFonts w:hint="eastAsia"/>
          <w:kern w:val="0"/>
          <w:sz w:val="21"/>
          <w:szCs w:val="21"/>
        </w:rPr>
        <w:t>南方医科大学第五附属医院</w:t>
      </w:r>
      <w:r>
        <w:rPr>
          <w:rFonts w:hint="eastAsia" w:ascii="宋体" w:hAnsi="宋体" w:cs="仿宋_GB2312"/>
          <w:sz w:val="21"/>
          <w:szCs w:val="21"/>
        </w:rPr>
        <w:t>HIS系统的数据库迁移、医保信用无感支付接口开发</w:t>
      </w:r>
      <w:r>
        <w:rPr>
          <w:rFonts w:hint="eastAsia"/>
          <w:kern w:val="0"/>
          <w:sz w:val="21"/>
          <w:szCs w:val="21"/>
        </w:rPr>
        <w:t>项目</w:t>
      </w:r>
    </w:p>
    <w:p>
      <w:pPr>
        <w:widowControl/>
        <w:spacing w:line="400" w:lineRule="exact"/>
        <w:ind w:firstLine="422"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rPr>
        <w:t>2.项目编号：</w:t>
      </w:r>
      <w:r>
        <w:rPr>
          <w:rFonts w:hint="eastAsia" w:cs="宋体" w:asciiTheme="minorEastAsia" w:hAnsiTheme="minorEastAsia" w:eastAsiaTheme="minorEastAsia"/>
          <w:kern w:val="0"/>
          <w:sz w:val="21"/>
          <w:szCs w:val="21"/>
        </w:rPr>
        <w:t>NYWYF20230014</w:t>
      </w:r>
    </w:p>
    <w:p>
      <w:pPr>
        <w:widowControl/>
        <w:spacing w:line="400" w:lineRule="exact"/>
        <w:ind w:firstLine="422"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rPr>
        <w:t>3.项目限价：</w:t>
      </w:r>
      <w:r>
        <w:rPr>
          <w:rFonts w:hint="eastAsia" w:cs="宋体" w:asciiTheme="minorEastAsia" w:hAnsiTheme="minorEastAsia" w:eastAsiaTheme="minorEastAsia"/>
          <w:kern w:val="0"/>
          <w:sz w:val="21"/>
          <w:szCs w:val="21"/>
        </w:rPr>
        <w:t>42万元。服务费用采取含税总价包干的形式。包括但不限于各种税费、与第三方系统或信息平台对接所需要的各种接口或改造费用、服务器软件购置费、中间件等第三方软件购置费、服务器及数据库的安装部署等劳务费用等直至验收合格交付完毕等全部所有可预见和不可预见的一切费用。</w:t>
      </w:r>
    </w:p>
    <w:p>
      <w:pPr>
        <w:spacing w:line="400" w:lineRule="exact"/>
        <w:ind w:firstLine="422" w:firstLineChars="200"/>
        <w:rPr>
          <w:rFonts w:asciiTheme="minorEastAsia" w:hAnsiTheme="minorEastAsia"/>
          <w:b/>
          <w:bCs/>
          <w:sz w:val="21"/>
          <w:szCs w:val="21"/>
        </w:rPr>
      </w:pPr>
      <w:r>
        <w:rPr>
          <w:rFonts w:hint="eastAsia" w:asciiTheme="minorEastAsia" w:hAnsiTheme="minorEastAsia"/>
          <w:b/>
          <w:bCs/>
          <w:sz w:val="21"/>
          <w:szCs w:val="21"/>
        </w:rPr>
        <w:t>二、项目内容</w:t>
      </w:r>
    </w:p>
    <w:p>
      <w:pPr>
        <w:spacing w:line="400" w:lineRule="atLeast"/>
        <w:ind w:firstLine="422" w:firstLineChars="200"/>
        <w:rPr>
          <w:rFonts w:ascii="宋体" w:hAnsi="宋体" w:cs="仿宋_GB2312"/>
          <w:b/>
          <w:bCs/>
          <w:sz w:val="21"/>
          <w:szCs w:val="21"/>
        </w:rPr>
      </w:pPr>
      <w:bookmarkStart w:id="5" w:name="_Toc27614"/>
      <w:bookmarkStart w:id="6" w:name="_Toc6416"/>
      <w:bookmarkStart w:id="7" w:name="_Toc28850"/>
      <w:bookmarkStart w:id="8" w:name="_Toc26796"/>
      <w:bookmarkStart w:id="9" w:name="_Toc8122"/>
      <w:bookmarkStart w:id="10" w:name="_Toc20762"/>
      <w:bookmarkStart w:id="11" w:name="_Toc20606"/>
      <w:r>
        <w:rPr>
          <w:rFonts w:hint="eastAsia" w:asciiTheme="minorEastAsia" w:hAnsiTheme="minorEastAsia"/>
          <w:b/>
          <w:bCs/>
          <w:sz w:val="21"/>
          <w:szCs w:val="21"/>
        </w:rPr>
        <w:t>（一）</w:t>
      </w:r>
      <w:r>
        <w:rPr>
          <w:rFonts w:hint="eastAsia" w:ascii="宋体" w:hAnsi="宋体" w:cs="仿宋_GB2312"/>
          <w:b/>
          <w:bCs/>
          <w:sz w:val="21"/>
          <w:szCs w:val="21"/>
        </w:rPr>
        <w:t>建设背景</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 HIS系统自2016年上线以来，随着系统使用，数据量增大，系统响应速度变慢，需对HIS数据库进行迁移、优化数据库，保障HIS系统稳定运行。</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2.应上级医保部门的相关要求，需实现医保信用无感支付与HIS系统的互联互通，实现医保信用无感支付结算。</w:t>
      </w:r>
    </w:p>
    <w:p>
      <w:pPr>
        <w:widowControl/>
        <w:spacing w:line="400" w:lineRule="atLeast"/>
        <w:ind w:firstLine="422" w:firstLineChars="200"/>
        <w:rPr>
          <w:rFonts w:ascii="宋体" w:hAnsi="宋体" w:cs="仿宋_GB2312"/>
          <w:b/>
          <w:bCs/>
          <w:sz w:val="21"/>
          <w:szCs w:val="21"/>
        </w:rPr>
      </w:pPr>
      <w:r>
        <w:rPr>
          <w:rFonts w:hint="eastAsia" w:ascii="宋体" w:hAnsi="宋体" w:cs="仿宋_GB2312"/>
          <w:b/>
          <w:bCs/>
          <w:sz w:val="21"/>
          <w:szCs w:val="21"/>
        </w:rPr>
        <w:t>（二）建设目标</w:t>
      </w:r>
    </w:p>
    <w:p>
      <w:pPr>
        <w:widowControl/>
        <w:spacing w:line="400" w:lineRule="atLeast"/>
        <w:ind w:firstLine="420" w:firstLineChars="200"/>
        <w:rPr>
          <w:rFonts w:ascii="宋体" w:hAnsi="宋体" w:cs="仿宋_GB2312"/>
          <w:sz w:val="21"/>
          <w:szCs w:val="21"/>
        </w:rPr>
      </w:pPr>
      <w:r>
        <w:rPr>
          <w:rFonts w:hint="eastAsia" w:ascii="宋体" w:hAnsi="宋体" w:cs="仿宋_GB2312"/>
          <w:sz w:val="21"/>
          <w:szCs w:val="21"/>
        </w:rPr>
        <w:t>1.对HIS数据库进行迁移、优化数据库后，HIS系统稳定运行、系统响应速度加快，提升临床使用效率。</w:t>
      </w:r>
    </w:p>
    <w:p>
      <w:pPr>
        <w:widowControl/>
        <w:spacing w:line="400" w:lineRule="atLeast"/>
        <w:ind w:firstLine="420" w:firstLineChars="200"/>
        <w:rPr>
          <w:rFonts w:ascii="宋体" w:hAnsi="宋体" w:cs="仿宋_GB2312"/>
          <w:sz w:val="21"/>
          <w:szCs w:val="21"/>
          <w:lang w:val="zh-CN"/>
        </w:rPr>
      </w:pPr>
      <w:r>
        <w:rPr>
          <w:rFonts w:hint="eastAsia" w:ascii="宋体" w:hAnsi="宋体" w:cs="仿宋_GB2312"/>
          <w:sz w:val="21"/>
          <w:szCs w:val="21"/>
        </w:rPr>
        <w:t>2.HIS系统与医保信用无感支付对接后，由HIS系统提供医保接口、信用无感支付接口等接口开发，实现我院医保信用无感支付结算</w:t>
      </w:r>
      <w:r>
        <w:rPr>
          <w:rFonts w:hint="eastAsia" w:ascii="宋体" w:hAnsi="宋体" w:cs="仿宋_GB2312"/>
          <w:sz w:val="21"/>
          <w:szCs w:val="21"/>
          <w:lang w:val="zh-CN"/>
        </w:rPr>
        <w:t>。</w:t>
      </w:r>
    </w:p>
    <w:p>
      <w:pPr>
        <w:widowControl/>
        <w:spacing w:line="400" w:lineRule="atLeast"/>
        <w:ind w:firstLine="422" w:firstLineChars="200"/>
        <w:rPr>
          <w:rFonts w:asciiTheme="minorEastAsia" w:hAnsiTheme="minorEastAsia"/>
          <w:b/>
          <w:bCs/>
          <w:sz w:val="21"/>
          <w:szCs w:val="21"/>
        </w:rPr>
      </w:pPr>
      <w:r>
        <w:rPr>
          <w:rFonts w:hint="eastAsia" w:asciiTheme="minorEastAsia" w:hAnsiTheme="minorEastAsia"/>
          <w:b/>
          <w:bCs/>
          <w:sz w:val="21"/>
          <w:szCs w:val="21"/>
        </w:rPr>
        <w:t>三、项目要求</w:t>
      </w:r>
    </w:p>
    <w:p>
      <w:pPr>
        <w:widowControl/>
        <w:spacing w:line="400" w:lineRule="atLeast"/>
        <w:ind w:firstLine="420" w:firstLineChars="200"/>
        <w:rPr>
          <w:rFonts w:ascii="宋体" w:hAnsi="宋体" w:cs="仿宋_GB2312"/>
          <w:sz w:val="21"/>
          <w:szCs w:val="21"/>
        </w:rPr>
      </w:pPr>
      <w:r>
        <w:rPr>
          <w:rFonts w:hint="eastAsia" w:ascii="宋体" w:hAnsi="宋体" w:cs="仿宋_GB2312"/>
          <w:sz w:val="21"/>
          <w:szCs w:val="21"/>
        </w:rPr>
        <w:t>（一）总体要求</w:t>
      </w:r>
    </w:p>
    <w:p>
      <w:pPr>
        <w:widowControl/>
        <w:spacing w:line="400" w:lineRule="atLeast"/>
        <w:ind w:firstLine="420" w:firstLineChars="200"/>
        <w:rPr>
          <w:rFonts w:ascii="宋体" w:hAnsi="宋体" w:cs="仿宋_GB2312"/>
          <w:sz w:val="21"/>
          <w:szCs w:val="21"/>
        </w:rPr>
      </w:pPr>
      <w:r>
        <w:rPr>
          <w:rFonts w:hint="eastAsia" w:ascii="宋体" w:hAnsi="宋体" w:cs="仿宋_GB2312"/>
          <w:sz w:val="21"/>
          <w:szCs w:val="21"/>
        </w:rPr>
        <w:t>1.完成数据库迁移，系统正常稳定运行。</w:t>
      </w:r>
    </w:p>
    <w:p>
      <w:pPr>
        <w:widowControl/>
        <w:spacing w:line="400" w:lineRule="atLeast"/>
        <w:ind w:firstLine="420" w:firstLineChars="200"/>
        <w:rPr>
          <w:rFonts w:hint="eastAsia" w:ascii="宋体" w:hAnsi="宋体" w:cs="仿宋_GB2312"/>
          <w:sz w:val="21"/>
          <w:szCs w:val="21"/>
        </w:rPr>
      </w:pPr>
      <w:r>
        <w:rPr>
          <w:rFonts w:hint="eastAsia" w:ascii="宋体" w:hAnsi="宋体" w:cs="仿宋_GB2312"/>
          <w:sz w:val="21"/>
          <w:szCs w:val="21"/>
        </w:rPr>
        <w:t>2.HIS需按照医保信用无感支付提供的接口文档进行开发及系统改造，并且保证接口的稳定性、完整性。</w:t>
      </w:r>
    </w:p>
    <w:p>
      <w:pPr>
        <w:widowControl/>
        <w:spacing w:line="400" w:lineRule="atLeast"/>
        <w:ind w:firstLine="420" w:firstLineChars="200"/>
        <w:rPr>
          <w:rFonts w:hint="eastAsia" w:ascii="宋体" w:hAnsi="宋体" w:cs="仿宋_GB2312"/>
          <w:sz w:val="21"/>
          <w:szCs w:val="21"/>
        </w:rPr>
      </w:pPr>
      <w:r>
        <w:rPr>
          <w:rFonts w:hint="eastAsia" w:ascii="宋体" w:hAnsi="宋体" w:cs="仿宋_GB2312"/>
          <w:sz w:val="21"/>
          <w:szCs w:val="21"/>
        </w:rPr>
        <w:t>（二）技术</w:t>
      </w:r>
      <w:bookmarkStart w:id="12" w:name="_Toc29762254"/>
      <w:r>
        <w:rPr>
          <w:rFonts w:hint="eastAsia" w:ascii="宋体" w:hAnsi="宋体" w:cs="仿宋_GB2312"/>
          <w:sz w:val="21"/>
          <w:szCs w:val="21"/>
        </w:rPr>
        <w:t>要求</w:t>
      </w:r>
    </w:p>
    <w:p>
      <w:pPr>
        <w:widowControl/>
        <w:spacing w:line="400" w:lineRule="atLeast"/>
        <w:ind w:firstLine="420" w:firstLineChars="200"/>
        <w:rPr>
          <w:rFonts w:hint="eastAsia" w:ascii="宋体" w:hAnsi="宋体" w:cs="仿宋_GB2312"/>
          <w:sz w:val="21"/>
          <w:szCs w:val="21"/>
        </w:rPr>
      </w:pPr>
      <w:r>
        <w:rPr>
          <w:rFonts w:hint="eastAsia" w:ascii="宋体" w:hAnsi="宋体" w:cs="仿宋_GB2312"/>
          <w:sz w:val="21"/>
          <w:szCs w:val="21"/>
        </w:rPr>
        <w:t>1.数据库迁移要求</w:t>
      </w:r>
    </w:p>
    <w:tbl>
      <w:tblPr>
        <w:tblStyle w:val="44"/>
        <w:tblW w:w="5000"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336"/>
        <w:gridCol w:w="8518"/>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78" w:type="pct"/>
            <w:shd w:val="pct20" w:color="auto" w:fill="auto"/>
            <w:vAlign w:val="center"/>
          </w:tcPr>
          <w:p>
            <w:pPr>
              <w:widowControl/>
              <w:numPr>
                <w:ilvl w:val="0"/>
                <w:numId w:val="0"/>
              </w:numPr>
              <w:ind w:leftChars="0"/>
              <w:jc w:val="center"/>
              <w:rPr>
                <w:rFonts w:hint="eastAsia" w:ascii="宋体" w:hAnsi="宋体" w:eastAsia="宋体" w:cs="宋体"/>
                <w:b/>
                <w:kern w:val="0"/>
                <w:sz w:val="21"/>
                <w:szCs w:val="21"/>
              </w:rPr>
            </w:pPr>
            <w:r>
              <w:rPr>
                <w:rFonts w:hint="eastAsia" w:ascii="宋体" w:hAnsi="宋体" w:eastAsia="宋体" w:cs="宋体"/>
                <w:b/>
                <w:kern w:val="0"/>
                <w:sz w:val="21"/>
                <w:szCs w:val="21"/>
              </w:rPr>
              <w:t>序  号</w:t>
            </w:r>
          </w:p>
        </w:tc>
        <w:tc>
          <w:tcPr>
            <w:tcW w:w="4322" w:type="pct"/>
            <w:shd w:val="pct20" w:color="auto" w:fill="auto"/>
            <w:vAlign w:val="center"/>
          </w:tcPr>
          <w:p>
            <w:pPr>
              <w:widowControl/>
              <w:numPr>
                <w:ilvl w:val="0"/>
                <w:numId w:val="0"/>
              </w:numPr>
              <w:ind w:leftChars="0"/>
              <w:jc w:val="center"/>
              <w:rPr>
                <w:rFonts w:hint="eastAsia" w:ascii="宋体" w:hAnsi="宋体" w:eastAsia="宋体" w:cs="宋体"/>
                <w:b/>
                <w:kern w:val="0"/>
                <w:sz w:val="21"/>
                <w:szCs w:val="21"/>
              </w:rPr>
            </w:pPr>
            <w:r>
              <w:rPr>
                <w:rFonts w:hint="eastAsia" w:ascii="宋体" w:hAnsi="宋体" w:eastAsia="宋体" w:cs="宋体"/>
                <w:b/>
                <w:kern w:val="0"/>
                <w:sz w:val="21"/>
                <w:szCs w:val="21"/>
              </w:rPr>
              <w:t>项目模块</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78" w:type="pct"/>
            <w:vAlign w:val="center"/>
          </w:tcPr>
          <w:p>
            <w:pPr>
              <w:widowControl/>
              <w:numPr>
                <w:ilvl w:val="0"/>
                <w:numId w:val="0"/>
              </w:numPr>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322" w:type="pct"/>
            <w:vAlign w:val="center"/>
          </w:tcPr>
          <w:p>
            <w:pPr>
              <w:widowControl/>
              <w:numPr>
                <w:ilvl w:val="0"/>
                <w:numId w:val="0"/>
              </w:numPr>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HIS/EMR/PORTAL库数据迁移服务</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78" w:type="pct"/>
            <w:vAlign w:val="center"/>
          </w:tcPr>
          <w:p>
            <w:pPr>
              <w:widowControl/>
              <w:numPr>
                <w:ilvl w:val="0"/>
                <w:numId w:val="0"/>
              </w:numPr>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322" w:type="pct"/>
            <w:vAlign w:val="center"/>
          </w:tcPr>
          <w:p>
            <w:pPr>
              <w:widowControl/>
              <w:numPr>
                <w:ilvl w:val="0"/>
                <w:numId w:val="0"/>
              </w:numPr>
              <w:ind w:left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rPr>
              <w:t>HIS/EMR/PORTAL数据库容灾搭建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678" w:type="pct"/>
            <w:vAlign w:val="center"/>
          </w:tcPr>
          <w:p>
            <w:pPr>
              <w:widowControl/>
              <w:numPr>
                <w:ilvl w:val="0"/>
                <w:numId w:val="0"/>
              </w:numPr>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4322" w:type="pct"/>
            <w:vAlign w:val="center"/>
          </w:tcPr>
          <w:p>
            <w:pPr>
              <w:widowControl/>
              <w:numPr>
                <w:ilvl w:val="0"/>
                <w:numId w:val="0"/>
              </w:numPr>
              <w:ind w:left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rPr>
              <w:t>数据库帐户密码修改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678" w:type="pct"/>
            <w:vAlign w:val="center"/>
          </w:tcPr>
          <w:p>
            <w:pPr>
              <w:widowControl/>
              <w:numPr>
                <w:ilvl w:val="0"/>
                <w:numId w:val="0"/>
              </w:numPr>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4322" w:type="pct"/>
            <w:vAlign w:val="center"/>
          </w:tcPr>
          <w:p>
            <w:pPr>
              <w:widowControl/>
              <w:numPr>
                <w:ilvl w:val="0"/>
                <w:numId w:val="0"/>
              </w:numPr>
              <w:ind w:leftChars="0"/>
              <w:jc w:val="center"/>
              <w:rPr>
                <w:rFonts w:hint="eastAsia" w:ascii="宋体" w:hAnsi="宋体" w:eastAsia="宋体" w:cs="宋体"/>
                <w:kern w:val="0"/>
                <w:sz w:val="21"/>
                <w:szCs w:val="21"/>
                <w:lang w:bidi="ar"/>
              </w:rPr>
            </w:pPr>
            <w:r>
              <w:rPr>
                <w:rFonts w:hint="eastAsia" w:ascii="宋体" w:hAnsi="宋体" w:eastAsia="宋体" w:cs="宋体"/>
                <w:kern w:val="0"/>
                <w:sz w:val="21"/>
                <w:szCs w:val="21"/>
              </w:rPr>
              <w:t>数据库性能监控及配合软件开发人员优化低效SQL</w:t>
            </w:r>
          </w:p>
        </w:tc>
      </w:tr>
    </w:tbl>
    <w:p>
      <w:pPr>
        <w:widowControl/>
        <w:ind w:left="210"/>
        <w:jc w:val="center"/>
        <w:rPr>
          <w:rFonts w:ascii="仿宋" w:hAnsi="仿宋" w:eastAsia="仿宋"/>
          <w:sz w:val="24"/>
        </w:rPr>
      </w:pPr>
    </w:p>
    <w:p>
      <w:pPr>
        <w:widowControl/>
        <w:spacing w:line="360" w:lineRule="auto"/>
        <w:ind w:left="210"/>
        <w:rPr>
          <w:rFonts w:hint="eastAsia" w:ascii="宋体" w:hAnsi="宋体" w:eastAsia="宋体" w:cs="宋体"/>
          <w:b/>
          <w:bCs/>
          <w:sz w:val="21"/>
          <w:szCs w:val="21"/>
        </w:rPr>
      </w:pPr>
    </w:p>
    <w:p>
      <w:pPr>
        <w:widowControl/>
        <w:spacing w:line="360" w:lineRule="auto"/>
        <w:ind w:left="210"/>
        <w:rPr>
          <w:rFonts w:hint="eastAsia" w:ascii="宋体" w:hAnsi="宋体" w:eastAsia="宋体" w:cs="宋体"/>
          <w:b/>
          <w:bCs/>
          <w:sz w:val="21"/>
          <w:szCs w:val="21"/>
        </w:rPr>
      </w:pPr>
    </w:p>
    <w:p>
      <w:pPr>
        <w:widowControl/>
        <w:spacing w:line="360" w:lineRule="auto"/>
        <w:ind w:left="210"/>
        <w:rPr>
          <w:rFonts w:hint="eastAsia" w:ascii="宋体" w:hAnsi="宋体" w:eastAsia="宋体" w:cs="宋体"/>
          <w:b/>
          <w:bCs/>
          <w:sz w:val="21"/>
          <w:szCs w:val="21"/>
        </w:rPr>
      </w:pPr>
    </w:p>
    <w:p>
      <w:pPr>
        <w:widowControl/>
        <w:spacing w:line="360" w:lineRule="auto"/>
        <w:ind w:left="210"/>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sz w:val="21"/>
          <w:szCs w:val="21"/>
        </w:rPr>
        <w:t xml:space="preserve"> </w:t>
      </w:r>
      <w:r>
        <w:rPr>
          <w:rFonts w:hint="eastAsia" w:ascii="宋体" w:hAnsi="宋体" w:eastAsia="宋体" w:cs="宋体"/>
          <w:b/>
          <w:bCs/>
          <w:sz w:val="21"/>
          <w:szCs w:val="21"/>
        </w:rPr>
        <w:t>医保信用无感支付接口开发要求</w:t>
      </w:r>
    </w:p>
    <w:p>
      <w:pPr>
        <w:widowControl/>
        <w:spacing w:line="360" w:lineRule="auto"/>
        <w:ind w:left="210"/>
        <w:rPr>
          <w:rFonts w:hint="eastAsia" w:ascii="宋体" w:hAnsi="宋体" w:eastAsia="宋体" w:cs="宋体"/>
          <w:sz w:val="21"/>
          <w:szCs w:val="21"/>
        </w:rPr>
      </w:pPr>
      <w:r>
        <w:rPr>
          <w:rFonts w:hint="eastAsia" w:ascii="宋体" w:hAnsi="宋体" w:eastAsia="宋体" w:cs="宋体"/>
          <w:b/>
          <w:bCs/>
          <w:sz w:val="21"/>
          <w:szCs w:val="21"/>
        </w:rPr>
        <w:t>2.1门特门慢流程需完成接口</w:t>
      </w:r>
    </w:p>
    <w:tbl>
      <w:tblPr>
        <w:tblStyle w:val="44"/>
        <w:tblW w:w="4955"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700"/>
        <w:gridCol w:w="3663"/>
        <w:gridCol w:w="2150"/>
        <w:gridCol w:w="2252"/>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shd w:val="pct20" w:color="auto" w:fill="auto"/>
            <w:vAlign w:val="center"/>
          </w:tcPr>
          <w:p>
            <w:pPr>
              <w:widowControl/>
              <w:numPr>
                <w:ilvl w:val="0"/>
                <w:numId w:val="0"/>
              </w:numPr>
              <w:spacing w:line="360" w:lineRule="auto"/>
              <w:ind w:leftChars="0"/>
              <w:jc w:val="center"/>
              <w:rPr>
                <w:rFonts w:hint="eastAsia" w:ascii="宋体" w:hAnsi="宋体" w:eastAsia="宋体" w:cs="宋体"/>
                <w:b/>
                <w:kern w:val="0"/>
                <w:sz w:val="21"/>
                <w:szCs w:val="21"/>
              </w:rPr>
            </w:pPr>
            <w:r>
              <w:rPr>
                <w:rFonts w:hint="eastAsia" w:ascii="宋体" w:hAnsi="宋体" w:eastAsia="宋体" w:cs="宋体"/>
                <w:b/>
                <w:kern w:val="0"/>
                <w:sz w:val="21"/>
                <w:szCs w:val="21"/>
              </w:rPr>
              <w:t>序  号</w:t>
            </w:r>
          </w:p>
        </w:tc>
        <w:tc>
          <w:tcPr>
            <w:tcW w:w="1874"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接口名称</w:t>
            </w:r>
          </w:p>
        </w:tc>
        <w:tc>
          <w:tcPr>
            <w:tcW w:w="1101"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接口编码</w:t>
            </w:r>
          </w:p>
        </w:tc>
        <w:tc>
          <w:tcPr>
            <w:tcW w:w="1153"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人员慢特病备案查询</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5301</w:t>
            </w:r>
          </w:p>
        </w:tc>
        <w:tc>
          <w:tcPr>
            <w:tcW w:w="1153" w:type="pct"/>
            <w:vMerge w:val="restar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需重新做页面给医生选择病种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Chars="0"/>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人员定点信息查询</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5302</w:t>
            </w:r>
          </w:p>
        </w:tc>
        <w:tc>
          <w:tcPr>
            <w:tcW w:w="1153" w:type="pct"/>
            <w:vMerge w:val="continue"/>
            <w:vAlign w:val="center"/>
          </w:tcPr>
          <w:p>
            <w:pPr>
              <w:widowControl/>
              <w:numPr>
                <w:ilvl w:val="0"/>
                <w:numId w:val="1"/>
              </w:numPr>
              <w:tabs>
                <w:tab w:val="clear" w:pos="780"/>
              </w:tabs>
              <w:spacing w:line="360" w:lineRule="auto"/>
              <w:ind w:left="0" w:firstLine="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获取人员基本信息</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1101</w:t>
            </w:r>
          </w:p>
        </w:tc>
        <w:tc>
          <w:tcPr>
            <w:tcW w:w="1153" w:type="pct"/>
            <w:vMerge w:val="continue"/>
            <w:vAlign w:val="center"/>
          </w:tcPr>
          <w:p>
            <w:pPr>
              <w:widowControl/>
              <w:numPr>
                <w:ilvl w:val="0"/>
                <w:numId w:val="1"/>
              </w:numPr>
              <w:tabs>
                <w:tab w:val="clear" w:pos="780"/>
              </w:tabs>
              <w:spacing w:line="360" w:lineRule="auto"/>
              <w:ind w:left="0" w:firstLine="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获取人员详细信息</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1160</w:t>
            </w:r>
          </w:p>
        </w:tc>
        <w:tc>
          <w:tcPr>
            <w:tcW w:w="1153" w:type="pct"/>
            <w:vMerge w:val="continue"/>
            <w:vAlign w:val="center"/>
          </w:tcPr>
          <w:p>
            <w:pPr>
              <w:widowControl/>
              <w:numPr>
                <w:ilvl w:val="0"/>
                <w:numId w:val="1"/>
              </w:numPr>
              <w:tabs>
                <w:tab w:val="clear" w:pos="780"/>
              </w:tabs>
              <w:spacing w:line="360" w:lineRule="auto"/>
              <w:ind w:left="0" w:firstLine="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人员待遇享受检查</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2001</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门诊挂号</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2201</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门诊就诊信息上传</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2203</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门诊费用明细信息上传</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2204</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门诊预结算</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2206</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门诊结算</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2207</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2.11</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门诊结算撤销</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2208</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门诊费用明细信息撤销</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2205</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7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2.13</w:t>
            </w:r>
          </w:p>
        </w:tc>
        <w:tc>
          <w:tcPr>
            <w:tcW w:w="1874"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门诊挂号撤销</w:t>
            </w:r>
          </w:p>
        </w:tc>
        <w:tc>
          <w:tcPr>
            <w:tcW w:w="110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2202</w:t>
            </w:r>
          </w:p>
        </w:tc>
        <w:tc>
          <w:tcPr>
            <w:tcW w:w="11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p>
        </w:tc>
      </w:tr>
    </w:tbl>
    <w:p>
      <w:pPr>
        <w:widowControl/>
        <w:spacing w:line="360" w:lineRule="auto"/>
        <w:ind w:left="210"/>
        <w:jc w:val="center"/>
        <w:rPr>
          <w:rFonts w:hint="eastAsia" w:ascii="宋体" w:hAnsi="宋体" w:eastAsia="宋体" w:cs="宋体"/>
          <w:sz w:val="21"/>
          <w:szCs w:val="21"/>
        </w:rPr>
      </w:pPr>
    </w:p>
    <w:p>
      <w:pPr>
        <w:widowControl/>
        <w:spacing w:line="360" w:lineRule="auto"/>
        <w:ind w:left="210"/>
        <w:rPr>
          <w:rFonts w:hint="eastAsia" w:ascii="宋体" w:hAnsi="宋体" w:eastAsia="宋体" w:cs="宋体"/>
          <w:b/>
          <w:bCs/>
          <w:sz w:val="21"/>
          <w:szCs w:val="21"/>
        </w:rPr>
      </w:pPr>
      <w:r>
        <w:rPr>
          <w:rFonts w:hint="eastAsia" w:ascii="宋体" w:hAnsi="宋体" w:eastAsia="宋体" w:cs="宋体"/>
          <w:b/>
          <w:bCs/>
          <w:sz w:val="21"/>
          <w:szCs w:val="21"/>
        </w:rPr>
        <w:t>2.2市直医保门诊需完成接口：</w:t>
      </w:r>
    </w:p>
    <w:tbl>
      <w:tblPr>
        <w:tblStyle w:val="44"/>
        <w:tblW w:w="4946"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677"/>
        <w:gridCol w:w="4244"/>
        <w:gridCol w:w="3827"/>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60"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序  号</w:t>
            </w:r>
          </w:p>
        </w:tc>
        <w:tc>
          <w:tcPr>
            <w:tcW w:w="2177"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接口名称</w:t>
            </w:r>
          </w:p>
        </w:tc>
        <w:tc>
          <w:tcPr>
            <w:tcW w:w="1963"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接口编码</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86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177"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获取人员信息</w:t>
            </w:r>
          </w:p>
        </w:tc>
        <w:tc>
          <w:tcPr>
            <w:tcW w:w="196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bizh110001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6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177"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门诊挂号登记</w:t>
            </w:r>
          </w:p>
        </w:tc>
        <w:tc>
          <w:tcPr>
            <w:tcW w:w="196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bizh110104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6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2177"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门诊费用上传并结算</w:t>
            </w:r>
          </w:p>
        </w:tc>
        <w:tc>
          <w:tcPr>
            <w:tcW w:w="196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bizh110105</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6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2177"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提取门诊业务信息</w:t>
            </w:r>
          </w:p>
        </w:tc>
        <w:tc>
          <w:tcPr>
            <w:tcW w:w="196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bizh110102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6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2177"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取消门诊挂号登记</w:t>
            </w:r>
          </w:p>
        </w:tc>
        <w:tc>
          <w:tcPr>
            <w:tcW w:w="196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bizh110106</w:t>
            </w:r>
          </w:p>
        </w:tc>
      </w:tr>
    </w:tbl>
    <w:p>
      <w:pPr>
        <w:widowControl/>
        <w:spacing w:line="360" w:lineRule="auto"/>
        <w:rPr>
          <w:rFonts w:hint="eastAsia" w:ascii="宋体" w:hAnsi="宋体" w:eastAsia="宋体" w:cs="宋体"/>
          <w:sz w:val="21"/>
          <w:szCs w:val="21"/>
        </w:rPr>
      </w:pPr>
    </w:p>
    <w:p>
      <w:pPr>
        <w:widowControl/>
        <w:spacing w:line="360" w:lineRule="auto"/>
        <w:ind w:left="210"/>
        <w:rPr>
          <w:rFonts w:hint="eastAsia" w:ascii="宋体" w:hAnsi="宋体" w:eastAsia="宋体" w:cs="宋体"/>
          <w:b/>
          <w:bCs/>
          <w:sz w:val="21"/>
          <w:szCs w:val="21"/>
        </w:rPr>
      </w:pPr>
      <w:r>
        <w:rPr>
          <w:rFonts w:hint="eastAsia" w:ascii="宋体" w:hAnsi="宋体" w:eastAsia="宋体" w:cs="宋体"/>
          <w:b/>
          <w:bCs/>
          <w:sz w:val="21"/>
          <w:szCs w:val="21"/>
        </w:rPr>
        <w:t>2.3市直一类门特接口：</w:t>
      </w:r>
    </w:p>
    <w:tbl>
      <w:tblPr>
        <w:tblStyle w:val="44"/>
        <w:tblW w:w="5030"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3945"/>
        <w:gridCol w:w="2544"/>
        <w:gridCol w:w="1733"/>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53"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序  号</w:t>
            </w:r>
          </w:p>
        </w:tc>
        <w:tc>
          <w:tcPr>
            <w:tcW w:w="1990"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接口名称</w:t>
            </w:r>
          </w:p>
        </w:tc>
        <w:tc>
          <w:tcPr>
            <w:tcW w:w="1283"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接口编码</w:t>
            </w:r>
          </w:p>
        </w:tc>
        <w:tc>
          <w:tcPr>
            <w:tcW w:w="874"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199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获取人员信息</w:t>
            </w:r>
          </w:p>
        </w:tc>
        <w:tc>
          <w:tcPr>
            <w:tcW w:w="128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bizh110001 </w:t>
            </w:r>
          </w:p>
        </w:tc>
        <w:tc>
          <w:tcPr>
            <w:tcW w:w="874" w:type="pct"/>
            <w:vMerge w:val="restar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需重新做页面给医生选择</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199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一类门特挂号登记</w:t>
            </w:r>
          </w:p>
        </w:tc>
        <w:tc>
          <w:tcPr>
            <w:tcW w:w="128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bizh110404</w:t>
            </w:r>
          </w:p>
        </w:tc>
        <w:tc>
          <w:tcPr>
            <w:tcW w:w="874" w:type="pct"/>
            <w:vMerge w:val="continue"/>
            <w:vAlign w:val="center"/>
          </w:tcPr>
          <w:p>
            <w:pPr>
              <w:widowControl/>
              <w:numPr>
                <w:ilvl w:val="0"/>
                <w:numId w:val="1"/>
              </w:numPr>
              <w:tabs>
                <w:tab w:val="clear" w:pos="780"/>
              </w:tabs>
              <w:spacing w:line="360" w:lineRule="auto"/>
              <w:ind w:left="0" w:firstLine="0"/>
              <w:jc w:val="left"/>
              <w:rPr>
                <w:rFonts w:hint="eastAsia" w:ascii="宋体" w:hAnsi="宋体" w:eastAsia="宋体" w:cs="宋体"/>
                <w:bCs/>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199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一类门特费用上传并结算</w:t>
            </w:r>
          </w:p>
        </w:tc>
        <w:tc>
          <w:tcPr>
            <w:tcW w:w="128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bizh110405</w:t>
            </w:r>
          </w:p>
        </w:tc>
        <w:tc>
          <w:tcPr>
            <w:tcW w:w="874" w:type="pct"/>
            <w:vMerge w:val="continue"/>
            <w:vAlign w:val="center"/>
          </w:tcPr>
          <w:p>
            <w:pPr>
              <w:widowControl/>
              <w:numPr>
                <w:ilvl w:val="0"/>
                <w:numId w:val="1"/>
              </w:numPr>
              <w:tabs>
                <w:tab w:val="clear" w:pos="780"/>
              </w:tabs>
              <w:spacing w:line="360" w:lineRule="auto"/>
              <w:ind w:left="0" w:firstLine="0"/>
              <w:jc w:val="left"/>
              <w:rPr>
                <w:rFonts w:hint="eastAsia" w:ascii="宋体" w:hAnsi="宋体" w:eastAsia="宋体" w:cs="宋体"/>
                <w:bCs/>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99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lang w:eastAsia="zh-Hans"/>
              </w:rPr>
            </w:pPr>
            <w:r>
              <w:rPr>
                <w:rFonts w:hint="eastAsia" w:ascii="宋体" w:hAnsi="宋体" w:eastAsia="宋体" w:cs="宋体"/>
                <w:kern w:val="0"/>
                <w:sz w:val="21"/>
                <w:szCs w:val="21"/>
              </w:rPr>
              <w:t>提取一类门特业务信息</w:t>
            </w:r>
          </w:p>
        </w:tc>
        <w:tc>
          <w:tcPr>
            <w:tcW w:w="128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bizh110402</w:t>
            </w:r>
          </w:p>
        </w:tc>
        <w:tc>
          <w:tcPr>
            <w:tcW w:w="874" w:type="pct"/>
            <w:vMerge w:val="continue"/>
            <w:vAlign w:val="center"/>
          </w:tcPr>
          <w:p>
            <w:pPr>
              <w:widowControl/>
              <w:numPr>
                <w:ilvl w:val="0"/>
                <w:numId w:val="1"/>
              </w:numPr>
              <w:tabs>
                <w:tab w:val="clear" w:pos="780"/>
              </w:tabs>
              <w:spacing w:line="360" w:lineRule="auto"/>
              <w:ind w:left="0" w:firstLine="0"/>
              <w:jc w:val="left"/>
              <w:rPr>
                <w:rFonts w:hint="eastAsia" w:ascii="宋体" w:hAnsi="宋体" w:eastAsia="宋体" w:cs="宋体"/>
                <w:bCs/>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5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199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取消一类门特挂号登记</w:t>
            </w:r>
          </w:p>
        </w:tc>
        <w:tc>
          <w:tcPr>
            <w:tcW w:w="1283"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bizh110406</w:t>
            </w:r>
          </w:p>
        </w:tc>
        <w:tc>
          <w:tcPr>
            <w:tcW w:w="874" w:type="pct"/>
            <w:vMerge w:val="continue"/>
            <w:vAlign w:val="center"/>
          </w:tcPr>
          <w:p>
            <w:pPr>
              <w:widowControl/>
              <w:numPr>
                <w:ilvl w:val="0"/>
                <w:numId w:val="1"/>
              </w:numPr>
              <w:tabs>
                <w:tab w:val="clear" w:pos="780"/>
              </w:tabs>
              <w:spacing w:line="360" w:lineRule="auto"/>
              <w:ind w:left="0" w:firstLine="0"/>
              <w:jc w:val="left"/>
              <w:rPr>
                <w:rFonts w:hint="eastAsia" w:ascii="宋体" w:hAnsi="宋体" w:eastAsia="宋体" w:cs="宋体"/>
                <w:bCs/>
                <w:kern w:val="0"/>
                <w:sz w:val="21"/>
                <w:szCs w:val="21"/>
              </w:rPr>
            </w:pPr>
          </w:p>
        </w:tc>
      </w:tr>
    </w:tbl>
    <w:p>
      <w:pPr>
        <w:widowControl/>
        <w:spacing w:line="360" w:lineRule="auto"/>
        <w:rPr>
          <w:rFonts w:hint="eastAsia" w:ascii="宋体" w:hAnsi="宋体" w:eastAsia="宋体" w:cs="宋体"/>
          <w:sz w:val="21"/>
          <w:szCs w:val="21"/>
        </w:rPr>
      </w:pPr>
    </w:p>
    <w:p>
      <w:pPr>
        <w:widowControl/>
        <w:spacing w:line="360" w:lineRule="auto"/>
        <w:rPr>
          <w:rFonts w:hint="eastAsia" w:ascii="宋体" w:hAnsi="宋体" w:eastAsia="宋体" w:cs="宋体"/>
          <w:sz w:val="21"/>
          <w:szCs w:val="21"/>
        </w:rPr>
      </w:pPr>
      <w:r>
        <w:rPr>
          <w:rFonts w:hint="eastAsia" w:ascii="宋体" w:hAnsi="宋体" w:eastAsia="宋体" w:cs="宋体"/>
          <w:sz w:val="21"/>
          <w:szCs w:val="21"/>
        </w:rPr>
        <w:t>2.4</w:t>
      </w:r>
      <w:r>
        <w:rPr>
          <w:rFonts w:hint="eastAsia" w:ascii="宋体" w:hAnsi="宋体" w:eastAsia="宋体" w:cs="宋体"/>
          <w:b/>
          <w:bCs/>
          <w:sz w:val="21"/>
          <w:szCs w:val="21"/>
        </w:rPr>
        <w:t>住院业务接口：</w:t>
      </w:r>
    </w:p>
    <w:tbl>
      <w:tblPr>
        <w:tblStyle w:val="44"/>
        <w:tblW w:w="5000"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1636"/>
        <w:gridCol w:w="3983"/>
        <w:gridCol w:w="4235"/>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021"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接口名称</w:t>
            </w:r>
          </w:p>
        </w:tc>
        <w:tc>
          <w:tcPr>
            <w:tcW w:w="2149" w:type="pct"/>
            <w:shd w:val="pct20" w:color="auto" w:fill="auto"/>
            <w:vAlign w:val="center"/>
          </w:tcPr>
          <w:p>
            <w:pPr>
              <w:widowControl/>
              <w:numPr>
                <w:ilvl w:val="0"/>
                <w:numId w:val="0"/>
              </w:numPr>
              <w:spacing w:line="360" w:lineRule="auto"/>
              <w:ind w:left="0" w:leftChars="0"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接口编码</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签约查询</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HOS00001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无感支付</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退费</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HOS00004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出院结算</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HOS00014</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出院结算结果查询</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HOS00015</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出院结算撤销</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HOS00016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30"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2021"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交易状态查询</w:t>
            </w:r>
          </w:p>
        </w:tc>
        <w:tc>
          <w:tcPr>
            <w:tcW w:w="2149" w:type="pct"/>
            <w:vAlign w:val="center"/>
          </w:tcPr>
          <w:p>
            <w:pPr>
              <w:widowControl/>
              <w:numPr>
                <w:ilvl w:val="0"/>
                <w:numId w:val="0"/>
              </w:numPr>
              <w:spacing w:line="360" w:lineRule="auto"/>
              <w:ind w:left="0" w:lef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HOS00012</w:t>
            </w:r>
          </w:p>
        </w:tc>
      </w:tr>
      <w:bookmarkEnd w:id="12"/>
    </w:tbl>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（三）商务要求</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工期：</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1.1 数据迁移：接到采购人通知30日内完成数据迁移。</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1.2接口开发及调试时间：合同签订生效日起45个工作日内完成接口开发及系统改造工作。</w:t>
      </w:r>
      <w:bookmarkStart w:id="13" w:name="_Toc108018885"/>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服务接口部署地点</w:t>
      </w:r>
      <w:bookmarkEnd w:id="13"/>
      <w:r>
        <w:rPr>
          <w:rFonts w:hint="eastAsia" w:cs="宋体" w:asciiTheme="minorEastAsia" w:hAnsiTheme="minorEastAsia" w:eastAsiaTheme="minorEastAsia"/>
          <w:kern w:val="0"/>
          <w:sz w:val="21"/>
          <w:szCs w:val="21"/>
        </w:rPr>
        <w:t>：南方医科大学第五附属医院</w:t>
      </w:r>
      <w:bookmarkStart w:id="14" w:name="_Toc108018886"/>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售后服务要求</w:t>
      </w:r>
      <w:bookmarkEnd w:id="14"/>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3.1报价人应对本项目所提供的接口提供一年的免费维修服务。</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3.2发生故障要求2小时内远程响应，远程无法解决的，应6小时工程师到达现场，12小时内修复。</w:t>
      </w:r>
      <w:bookmarkStart w:id="15" w:name="_Toc108018887"/>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付款方式</w:t>
      </w:r>
      <w:bookmarkEnd w:id="15"/>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4.1本合同项下所有合同款项由采购人向成交供应商支付，双方发生的一切费用以人民币转账结算。</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4.2合同价款的支付分四期：</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第一阶段为首付款项，合同签订后采购人收到供应商开具的有效发票后30日内支付合同价款的30%；</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第二阶段为医保信用无感支付接口开发项目验收款项，医保信用无感支付接口开发项目项目验收后采购人收到供应商开具的有效发票后30日内支付合同价款的25%；</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第三阶段为HIS系统的数据库迁移项目验收款项，HIS系统的数据库迁移项目验收后采购人收到供应商开具的有效发票后30日内支付合同价款的40%；</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第四阶段，免费维修服务满后采购人收到供应商开具的有效发票后30日内支付合同价款的5%。</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lang w:val="en-US" w:eastAsia="zh-CN"/>
        </w:rPr>
        <w:t>.</w:t>
      </w:r>
      <w:r>
        <w:rPr>
          <w:rFonts w:hint="eastAsia" w:cs="宋体" w:asciiTheme="minorEastAsia" w:hAnsiTheme="minorEastAsia" w:eastAsiaTheme="minorEastAsia"/>
          <w:kern w:val="0"/>
          <w:sz w:val="21"/>
          <w:szCs w:val="21"/>
        </w:rPr>
        <w:t>验收标准</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5.1接口验收要求</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5.1.1完成数据库迁移，系统正常稳定运行；</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5.1.2符合对应医保信用无感支付接口文档相关要求；</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5.1.3符合采购文件和成交供应商报价文件的响应内容；</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5.1.4接口开发及系统改造后，须进行测试，检查相关数据准确性，确保接口正常运行；</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5.2项目阶段性验收要求</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5.2.1项目完成后，设备运行稳定，由供应商提出验收申请，15天内由院方组织人员共同对项目进行验收。</w:t>
      </w:r>
    </w:p>
    <w:p>
      <w:pPr>
        <w:widowControl/>
        <w:spacing w:line="400" w:lineRule="exact"/>
        <w:ind w:firstLine="420" w:firstLineChars="200"/>
        <w:jc w:val="left"/>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5.2.2考核评价见附件《考核评价打分表（验收）》</w:t>
      </w:r>
    </w:p>
    <w:p>
      <w:pPr>
        <w:widowControl/>
        <w:jc w:val="left"/>
        <w:rPr>
          <w:rFonts w:ascii="宋体" w:hAnsi="宋体" w:cs="仿宋_GB2312"/>
          <w:sz w:val="24"/>
        </w:rPr>
      </w:pPr>
      <w:r>
        <w:rPr>
          <w:rFonts w:ascii="宋体" w:hAnsi="宋体" w:cs="仿宋_GB2312"/>
          <w:sz w:val="24"/>
        </w:rPr>
        <w:br w:type="page"/>
      </w:r>
    </w:p>
    <w:p>
      <w:pPr>
        <w:widowControl/>
        <w:spacing w:line="360" w:lineRule="auto"/>
        <w:rPr>
          <w:rFonts w:ascii="宋体" w:hAnsi="宋体" w:eastAsia="仿宋"/>
          <w:b/>
          <w:bCs/>
          <w:sz w:val="24"/>
        </w:rPr>
      </w:pPr>
      <w:bookmarkStart w:id="16" w:name="_Toc108018905"/>
      <w:r>
        <w:rPr>
          <w:rFonts w:hint="eastAsia" w:ascii="宋体" w:hAnsi="宋体" w:eastAsia="仿宋"/>
          <w:b/>
          <w:bCs/>
          <w:sz w:val="24"/>
        </w:rPr>
        <w:t xml:space="preserve">附件 </w:t>
      </w:r>
    </w:p>
    <w:p>
      <w:pPr>
        <w:widowControl/>
        <w:spacing w:line="360" w:lineRule="auto"/>
        <w:jc w:val="center"/>
        <w:rPr>
          <w:rFonts w:ascii="宋体" w:hAnsi="宋体" w:eastAsia="仿宋"/>
          <w:b/>
          <w:bCs/>
          <w:sz w:val="28"/>
          <w:szCs w:val="28"/>
        </w:rPr>
      </w:pPr>
      <w:r>
        <w:rPr>
          <w:rFonts w:hint="eastAsia" w:ascii="宋体" w:hAnsi="宋体" w:eastAsia="仿宋"/>
          <w:b/>
          <w:bCs/>
          <w:sz w:val="28"/>
          <w:szCs w:val="28"/>
        </w:rPr>
        <w:t>考核评价打分表（验收）</w:t>
      </w:r>
      <w:bookmarkEnd w:id="16"/>
    </w:p>
    <w:tbl>
      <w:tblPr>
        <w:tblStyle w:val="16"/>
        <w:tblW w:w="10464" w:type="dxa"/>
        <w:tblInd w:w="-8" w:type="dxa"/>
        <w:tblLayout w:type="fixed"/>
        <w:tblCellMar>
          <w:top w:w="0" w:type="dxa"/>
          <w:left w:w="108" w:type="dxa"/>
          <w:bottom w:w="0" w:type="dxa"/>
          <w:right w:w="108" w:type="dxa"/>
        </w:tblCellMar>
      </w:tblPr>
      <w:tblGrid>
        <w:gridCol w:w="2882"/>
        <w:gridCol w:w="1062"/>
        <w:gridCol w:w="559"/>
        <w:gridCol w:w="3977"/>
        <w:gridCol w:w="1984"/>
      </w:tblGrid>
      <w:tr>
        <w:tblPrEx>
          <w:tblCellMar>
            <w:top w:w="0" w:type="dxa"/>
            <w:left w:w="108" w:type="dxa"/>
            <w:bottom w:w="0" w:type="dxa"/>
            <w:right w:w="108" w:type="dxa"/>
          </w:tblCellMar>
        </w:tblPrEx>
        <w:trPr>
          <w:cantSplit/>
          <w:trHeight w:val="159"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合同名称：</w:t>
            </w:r>
            <w:r>
              <w:rPr>
                <w:rFonts w:ascii="宋体" w:hAnsi="宋体" w:eastAsia="仿宋" w:cs="宋体"/>
                <w:sz w:val="24"/>
              </w:rPr>
              <w:t xml:space="preserve"> </w:t>
            </w:r>
          </w:p>
        </w:tc>
        <w:tc>
          <w:tcPr>
            <w:tcW w:w="5961"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合同编号：</w:t>
            </w:r>
          </w:p>
        </w:tc>
      </w:tr>
      <w:tr>
        <w:tblPrEx>
          <w:tblCellMar>
            <w:top w:w="0" w:type="dxa"/>
            <w:left w:w="108" w:type="dxa"/>
            <w:bottom w:w="0" w:type="dxa"/>
            <w:right w:w="108" w:type="dxa"/>
          </w:tblCellMar>
        </w:tblPrEx>
        <w:trPr>
          <w:cantSplit/>
          <w:trHeight w:val="107" w:hRule="atLeast"/>
        </w:trPr>
        <w:tc>
          <w:tcPr>
            <w:tcW w:w="4503" w:type="dxa"/>
            <w:gridSpan w:val="3"/>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供应商：</w:t>
            </w:r>
            <w:r>
              <w:rPr>
                <w:rFonts w:ascii="宋体" w:hAnsi="宋体" w:eastAsia="仿宋" w:cs="宋体"/>
                <w:sz w:val="24"/>
              </w:rPr>
              <w:t xml:space="preserve"> </w:t>
            </w:r>
          </w:p>
        </w:tc>
        <w:tc>
          <w:tcPr>
            <w:tcW w:w="5961" w:type="dxa"/>
            <w:gridSpan w:val="2"/>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eastAsia="仿宋" w:cs="宋体"/>
                <w:sz w:val="24"/>
              </w:rPr>
            </w:pPr>
            <w:r>
              <w:rPr>
                <w:rFonts w:hint="eastAsia" w:ascii="宋体" w:hAnsi="宋体" w:eastAsia="仿宋" w:cs="宋体"/>
                <w:kern w:val="0"/>
                <w:sz w:val="24"/>
              </w:rPr>
              <w:t>服务联系电话：</w:t>
            </w:r>
          </w:p>
        </w:tc>
      </w:tr>
      <w:tr>
        <w:tblPrEx>
          <w:tblCellMar>
            <w:top w:w="0" w:type="dxa"/>
            <w:left w:w="108" w:type="dxa"/>
            <w:bottom w:w="0" w:type="dxa"/>
            <w:right w:w="108" w:type="dxa"/>
          </w:tblCellMar>
        </w:tblPrEx>
        <w:trPr>
          <w:cantSplit/>
          <w:trHeight w:val="68" w:hRule="atLeast"/>
        </w:trPr>
        <w:tc>
          <w:tcPr>
            <w:tcW w:w="4503" w:type="dxa"/>
            <w:gridSpan w:val="3"/>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考核评价部门：</w:t>
            </w:r>
            <w:r>
              <w:rPr>
                <w:rFonts w:ascii="宋体" w:hAnsi="宋体" w:eastAsia="仿宋" w:cs="宋体"/>
                <w:sz w:val="24"/>
              </w:rPr>
              <w:t xml:space="preserve"> </w:t>
            </w:r>
          </w:p>
        </w:tc>
        <w:tc>
          <w:tcPr>
            <w:tcW w:w="5961" w:type="dxa"/>
            <w:gridSpan w:val="2"/>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考核评价阶段或周期：</w:t>
            </w:r>
            <w:r>
              <w:rPr>
                <w:rFonts w:ascii="宋体" w:hAnsi="宋体" w:eastAsia="仿宋" w:cs="宋体"/>
                <w:sz w:val="24"/>
              </w:rPr>
              <w:t xml:space="preserve"> </w:t>
            </w:r>
          </w:p>
        </w:tc>
      </w:tr>
      <w:tr>
        <w:tblPrEx>
          <w:tblCellMar>
            <w:top w:w="0" w:type="dxa"/>
            <w:left w:w="108" w:type="dxa"/>
            <w:bottom w:w="0" w:type="dxa"/>
            <w:right w:w="108" w:type="dxa"/>
          </w:tblCellMar>
        </w:tblPrEx>
        <w:trPr>
          <w:trHeight w:val="454" w:hRule="atLeast"/>
        </w:trPr>
        <w:tc>
          <w:tcPr>
            <w:tcW w:w="2882" w:type="dxa"/>
            <w:tcBorders>
              <w:top w:val="single" w:color="auto" w:sz="6" w:space="0"/>
              <w:left w:val="single" w:color="auto" w:sz="6" w:space="0"/>
              <w:bottom w:val="single" w:color="auto" w:sz="6" w:space="0"/>
              <w:right w:val="single" w:color="auto" w:sz="6" w:space="0"/>
            </w:tcBorders>
            <w:vAlign w:val="center"/>
          </w:tcPr>
          <w:p>
            <w:pPr>
              <w:widowControl/>
              <w:ind w:firstLine="480"/>
              <w:jc w:val="left"/>
              <w:rPr>
                <w:rFonts w:ascii="宋体" w:hAnsi="宋体" w:eastAsia="仿宋" w:cs="宋体"/>
                <w:sz w:val="24"/>
              </w:rPr>
            </w:pPr>
            <w:r>
              <w:rPr>
                <w:rFonts w:hint="eastAsia" w:ascii="宋体" w:hAnsi="宋体" w:eastAsia="仿宋" w:cs="宋体"/>
                <w:sz w:val="24"/>
              </w:rPr>
              <w:t>考核评价指标</w:t>
            </w:r>
          </w:p>
        </w:tc>
        <w:tc>
          <w:tcPr>
            <w:tcW w:w="106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分值/权重</w:t>
            </w:r>
          </w:p>
        </w:tc>
        <w:tc>
          <w:tcPr>
            <w:tcW w:w="4536"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评分标准</w:t>
            </w:r>
          </w:p>
        </w:tc>
        <w:tc>
          <w:tcPr>
            <w:tcW w:w="198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得分</w:t>
            </w:r>
          </w:p>
        </w:tc>
      </w:tr>
      <w:tr>
        <w:tblPrEx>
          <w:tblCellMar>
            <w:top w:w="0" w:type="dxa"/>
            <w:left w:w="108" w:type="dxa"/>
            <w:bottom w:w="0" w:type="dxa"/>
            <w:right w:w="108" w:type="dxa"/>
          </w:tblCellMar>
        </w:tblPrEx>
        <w:trPr>
          <w:trHeight w:val="528" w:hRule="atLeast"/>
        </w:trPr>
        <w:tc>
          <w:tcPr>
            <w:tcW w:w="2882"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技术方案考核</w:t>
            </w:r>
          </w:p>
        </w:tc>
        <w:tc>
          <w:tcPr>
            <w:tcW w:w="1062"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技术方案的前瞻性、成熟性、稳定性、扩展性、灵活性和安全性，服务过程中提出的建议及采取的技术创新、先进技术思想</w:t>
            </w:r>
          </w:p>
        </w:tc>
        <w:tc>
          <w:tcPr>
            <w:tcW w:w="1984" w:type="dxa"/>
            <w:tcBorders>
              <w:top w:val="single" w:color="auto" w:sz="4" w:space="0"/>
              <w:left w:val="single" w:color="auto" w:sz="6" w:space="0"/>
              <w:bottom w:val="single" w:color="auto" w:sz="6"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180" w:hRule="atLeast"/>
        </w:trPr>
        <w:tc>
          <w:tcPr>
            <w:tcW w:w="2882" w:type="dxa"/>
            <w:tcBorders>
              <w:top w:val="single" w:color="auto" w:sz="4" w:space="0"/>
              <w:left w:val="single" w:color="auto" w:sz="6" w:space="0"/>
              <w:bottom w:val="single" w:color="auto" w:sz="4"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产品质量</w:t>
            </w:r>
          </w:p>
        </w:tc>
        <w:tc>
          <w:tcPr>
            <w:tcW w:w="1062" w:type="dxa"/>
            <w:tcBorders>
              <w:top w:val="single" w:color="auto" w:sz="4" w:space="0"/>
              <w:left w:val="single" w:color="auto" w:sz="6" w:space="0"/>
              <w:bottom w:val="single" w:color="auto" w:sz="4"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4" w:space="0"/>
              <w:left w:val="single" w:color="auto" w:sz="6" w:space="0"/>
              <w:bottom w:val="single" w:color="auto" w:sz="4"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评价产品质量、产品适用性、产品故障率</w:t>
            </w:r>
          </w:p>
        </w:tc>
        <w:tc>
          <w:tcPr>
            <w:tcW w:w="1984" w:type="dxa"/>
            <w:tcBorders>
              <w:top w:val="single" w:color="auto" w:sz="4" w:space="0"/>
              <w:left w:val="single" w:color="auto" w:sz="6" w:space="0"/>
              <w:bottom w:val="single" w:color="auto" w:sz="4"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225" w:hRule="atLeast"/>
        </w:trPr>
        <w:tc>
          <w:tcPr>
            <w:tcW w:w="2882" w:type="dxa"/>
            <w:tcBorders>
              <w:top w:val="single" w:color="auto" w:sz="4" w:space="0"/>
              <w:left w:val="single" w:color="auto" w:sz="6" w:space="0"/>
              <w:bottom w:val="single" w:color="auto" w:sz="4"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需求实现性和阶段性目标</w:t>
            </w:r>
          </w:p>
        </w:tc>
        <w:tc>
          <w:tcPr>
            <w:tcW w:w="1062" w:type="dxa"/>
            <w:tcBorders>
              <w:top w:val="single" w:color="auto" w:sz="4" w:space="0"/>
              <w:left w:val="single" w:color="auto" w:sz="6" w:space="0"/>
              <w:bottom w:val="single" w:color="auto" w:sz="4"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4" w:space="0"/>
              <w:left w:val="single" w:color="auto" w:sz="6" w:space="0"/>
              <w:bottom w:val="single" w:color="auto" w:sz="4"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是否按计划实现各项需求</w:t>
            </w:r>
          </w:p>
        </w:tc>
        <w:tc>
          <w:tcPr>
            <w:tcW w:w="1984" w:type="dxa"/>
            <w:tcBorders>
              <w:top w:val="single" w:color="auto" w:sz="4" w:space="0"/>
              <w:left w:val="single" w:color="auto" w:sz="6" w:space="0"/>
              <w:bottom w:val="single" w:color="auto" w:sz="4"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325" w:hRule="atLeast"/>
        </w:trPr>
        <w:tc>
          <w:tcPr>
            <w:tcW w:w="2882"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服务成果交付考核</w:t>
            </w:r>
          </w:p>
        </w:tc>
        <w:tc>
          <w:tcPr>
            <w:tcW w:w="1062" w:type="dxa"/>
            <w:tcBorders>
              <w:top w:val="single" w:color="auto" w:sz="4"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评审验收项目研发各阶段的交付件的完备性和质量，技术资料、文档完整性、正确性、可操作性；</w:t>
            </w:r>
          </w:p>
        </w:tc>
        <w:tc>
          <w:tcPr>
            <w:tcW w:w="1984" w:type="dxa"/>
            <w:tcBorders>
              <w:top w:val="single" w:color="auto" w:sz="4" w:space="0"/>
              <w:left w:val="single" w:color="auto" w:sz="6" w:space="0"/>
              <w:bottom w:val="single" w:color="auto" w:sz="6"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352" w:hRule="atLeast"/>
        </w:trPr>
        <w:tc>
          <w:tcPr>
            <w:tcW w:w="2882" w:type="dxa"/>
            <w:tcBorders>
              <w:top w:val="single" w:color="auto" w:sz="6" w:space="0"/>
              <w:left w:val="single" w:color="auto" w:sz="6" w:space="0"/>
              <w:bottom w:val="single" w:color="auto" w:sz="6" w:space="0"/>
              <w:right w:val="single" w:color="auto" w:sz="6" w:space="0"/>
            </w:tcBorders>
          </w:tcPr>
          <w:p>
            <w:pPr>
              <w:widowControl/>
              <w:rPr>
                <w:rFonts w:ascii="宋体" w:hAnsi="宋体" w:eastAsia="仿宋" w:cs="宋体"/>
                <w:sz w:val="24"/>
              </w:rPr>
            </w:pPr>
            <w:r>
              <w:rPr>
                <w:rFonts w:hint="eastAsia" w:ascii="宋体" w:hAnsi="宋体" w:eastAsia="仿宋" w:cs="宋体"/>
                <w:sz w:val="24"/>
              </w:rPr>
              <w:t>服务人员业务技术能力</w:t>
            </w:r>
          </w:p>
        </w:tc>
        <w:tc>
          <w:tcPr>
            <w:tcW w:w="1062" w:type="dxa"/>
            <w:tcBorders>
              <w:top w:val="single" w:color="auto" w:sz="6" w:space="0"/>
              <w:left w:val="single" w:color="auto" w:sz="6" w:space="0"/>
              <w:bottom w:val="single" w:color="auto" w:sz="6" w:space="0"/>
              <w:right w:val="single" w:color="auto" w:sz="6" w:space="0"/>
            </w:tcBorders>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6" w:space="0"/>
              <w:left w:val="single" w:color="auto" w:sz="6" w:space="0"/>
              <w:bottom w:val="single" w:color="auto" w:sz="6" w:space="0"/>
              <w:right w:val="single" w:color="auto" w:sz="6" w:space="0"/>
            </w:tcBorders>
          </w:tcPr>
          <w:p>
            <w:pPr>
              <w:widowControl/>
              <w:jc w:val="left"/>
              <w:rPr>
                <w:rFonts w:ascii="宋体" w:hAnsi="宋体" w:eastAsia="仿宋" w:cs="宋体"/>
                <w:sz w:val="24"/>
              </w:rPr>
            </w:pPr>
            <w:r>
              <w:rPr>
                <w:rFonts w:hint="eastAsia" w:ascii="宋体" w:hAnsi="宋体" w:eastAsia="仿宋" w:cs="宋体"/>
                <w:sz w:val="24"/>
              </w:rPr>
              <w:t>技术服务人员对甲方应用系统的了解熟悉程度，快速进入角色的能力，与甲方团队协同工作效果</w:t>
            </w:r>
          </w:p>
        </w:tc>
        <w:tc>
          <w:tcPr>
            <w:tcW w:w="1984"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705" w:hRule="atLeast"/>
        </w:trPr>
        <w:tc>
          <w:tcPr>
            <w:tcW w:w="288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服务团队管理</w:t>
            </w:r>
          </w:p>
        </w:tc>
        <w:tc>
          <w:tcPr>
            <w:tcW w:w="106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10分</w:t>
            </w:r>
          </w:p>
        </w:tc>
        <w:tc>
          <w:tcPr>
            <w:tcW w:w="4536"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质量管理和配置管理活动的配合程度</w:t>
            </w:r>
          </w:p>
        </w:tc>
        <w:tc>
          <w:tcPr>
            <w:tcW w:w="1984"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123" w:hRule="atLeast"/>
        </w:trPr>
        <w:tc>
          <w:tcPr>
            <w:tcW w:w="288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服务质量</w:t>
            </w:r>
          </w:p>
        </w:tc>
        <w:tc>
          <w:tcPr>
            <w:tcW w:w="106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15分</w:t>
            </w:r>
          </w:p>
        </w:tc>
        <w:tc>
          <w:tcPr>
            <w:tcW w:w="4536" w:type="dxa"/>
            <w:gridSpan w:val="2"/>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故障响应和排障效率</w:t>
            </w:r>
          </w:p>
        </w:tc>
        <w:tc>
          <w:tcPr>
            <w:tcW w:w="1984"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eastAsia="仿宋" w:cs="宋体"/>
                <w:color w:val="000000"/>
                <w:sz w:val="24"/>
              </w:rPr>
            </w:pPr>
          </w:p>
        </w:tc>
      </w:tr>
      <w:tr>
        <w:tblPrEx>
          <w:tblCellMar>
            <w:top w:w="0" w:type="dxa"/>
            <w:left w:w="108" w:type="dxa"/>
            <w:bottom w:w="0" w:type="dxa"/>
            <w:right w:w="108" w:type="dxa"/>
          </w:tblCellMar>
        </w:tblPrEx>
        <w:trPr>
          <w:trHeight w:val="230" w:hRule="atLeast"/>
        </w:trPr>
        <w:tc>
          <w:tcPr>
            <w:tcW w:w="2882" w:type="dxa"/>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仿宋" w:cs="宋体"/>
                <w:sz w:val="24"/>
              </w:rPr>
            </w:pPr>
            <w:r>
              <w:rPr>
                <w:rFonts w:hint="eastAsia" w:ascii="宋体" w:hAnsi="宋体" w:eastAsia="仿宋" w:cs="宋体"/>
                <w:sz w:val="24"/>
              </w:rPr>
              <w:t>评价得分</w:t>
            </w:r>
          </w:p>
        </w:tc>
        <w:tc>
          <w:tcPr>
            <w:tcW w:w="106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仿宋" w:cs="宋体"/>
                <w:sz w:val="24"/>
              </w:rPr>
            </w:pPr>
            <w:r>
              <w:rPr>
                <w:rFonts w:hint="eastAsia" w:ascii="宋体" w:hAnsi="宋体" w:eastAsia="仿宋" w:cs="宋体"/>
                <w:sz w:val="24"/>
              </w:rPr>
              <w:t>100分</w:t>
            </w:r>
          </w:p>
        </w:tc>
        <w:tc>
          <w:tcPr>
            <w:tcW w:w="4536" w:type="dxa"/>
            <w:gridSpan w:val="2"/>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ind w:firstLine="420"/>
              <w:jc w:val="left"/>
              <w:rPr>
                <w:rFonts w:ascii="宋体" w:hAnsi="宋体" w:eastAsia="仿宋" w:cs="宋体"/>
                <w:sz w:val="24"/>
              </w:rPr>
            </w:pPr>
          </w:p>
        </w:tc>
        <w:tc>
          <w:tcPr>
            <w:tcW w:w="1984" w:type="dxa"/>
            <w:tcBorders>
              <w:top w:val="single" w:color="auto" w:sz="6" w:space="0"/>
              <w:left w:val="single" w:color="auto" w:sz="6" w:space="0"/>
              <w:bottom w:val="single" w:color="auto" w:sz="6" w:space="0"/>
              <w:right w:val="single" w:color="auto" w:sz="6" w:space="0"/>
            </w:tcBorders>
          </w:tcPr>
          <w:p>
            <w:pPr>
              <w:widowControl/>
              <w:autoSpaceDE w:val="0"/>
              <w:autoSpaceDN w:val="0"/>
              <w:adjustRightInd w:val="0"/>
              <w:ind w:firstLine="420"/>
              <w:jc w:val="left"/>
              <w:rPr>
                <w:rFonts w:ascii="宋体" w:hAnsi="宋体" w:eastAsia="仿宋" w:cs="宋体"/>
                <w:sz w:val="24"/>
              </w:rPr>
            </w:pPr>
          </w:p>
        </w:tc>
      </w:tr>
      <w:tr>
        <w:tblPrEx>
          <w:tblCellMar>
            <w:top w:w="0" w:type="dxa"/>
            <w:left w:w="108" w:type="dxa"/>
            <w:bottom w:w="0" w:type="dxa"/>
            <w:right w:w="108" w:type="dxa"/>
          </w:tblCellMar>
        </w:tblPrEx>
        <w:trPr>
          <w:trHeight w:val="384" w:hRule="atLeast"/>
        </w:trPr>
        <w:tc>
          <w:tcPr>
            <w:tcW w:w="288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pacing w:line="360" w:lineRule="atLeast"/>
              <w:ind w:right="108"/>
              <w:rPr>
                <w:rFonts w:ascii="宋体" w:hAnsi="宋体" w:eastAsia="仿宋" w:cs="宋体"/>
                <w:kern w:val="0"/>
                <w:sz w:val="24"/>
              </w:rPr>
            </w:pPr>
            <w:r>
              <w:rPr>
                <w:rFonts w:hint="eastAsia" w:ascii="宋体" w:hAnsi="宋体" w:eastAsia="仿宋" w:cs="宋体"/>
                <w:kern w:val="0"/>
                <w:sz w:val="24"/>
              </w:rPr>
              <w:t>评价等级：</w:t>
            </w:r>
          </w:p>
        </w:tc>
        <w:tc>
          <w:tcPr>
            <w:tcW w:w="7582" w:type="dxa"/>
            <w:gridSpan w:val="4"/>
            <w:tcBorders>
              <w:top w:val="single" w:color="auto" w:sz="4" w:space="0"/>
              <w:left w:val="single" w:color="auto" w:sz="4" w:space="0"/>
              <w:bottom w:val="single" w:color="auto" w:sz="4" w:space="0"/>
              <w:right w:val="single" w:color="auto" w:sz="4" w:space="0"/>
            </w:tcBorders>
          </w:tcPr>
          <w:p>
            <w:pPr>
              <w:widowControl/>
              <w:autoSpaceDE w:val="0"/>
              <w:autoSpaceDN w:val="0"/>
              <w:adjustRightInd w:val="0"/>
              <w:spacing w:line="360" w:lineRule="atLeast"/>
              <w:ind w:right="108"/>
              <w:jc w:val="center"/>
              <w:rPr>
                <w:rFonts w:ascii="宋体" w:hAnsi="宋体" w:eastAsia="仿宋" w:cs="宋体"/>
                <w:kern w:val="0"/>
                <w:sz w:val="24"/>
              </w:rPr>
            </w:pPr>
            <w:r>
              <w:rPr>
                <w:rFonts w:hint="eastAsia" w:ascii="宋体" w:hAnsi="宋体" w:eastAsia="仿宋" w:cs="宋体"/>
                <w:sz w:val="24"/>
              </w:rPr>
              <w:t>□ A 级      □ B级       □ C级</w:t>
            </w:r>
          </w:p>
        </w:tc>
      </w:tr>
      <w:tr>
        <w:tblPrEx>
          <w:tblCellMar>
            <w:top w:w="0" w:type="dxa"/>
            <w:left w:w="108" w:type="dxa"/>
            <w:bottom w:w="0" w:type="dxa"/>
            <w:right w:w="108" w:type="dxa"/>
          </w:tblCellMar>
        </w:tblPrEx>
        <w:trPr>
          <w:trHeight w:val="900" w:hRule="atLeast"/>
        </w:trPr>
        <w:tc>
          <w:tcPr>
            <w:tcW w:w="10464" w:type="dxa"/>
            <w:gridSpan w:val="5"/>
            <w:tcBorders>
              <w:top w:val="single" w:color="auto" w:sz="4" w:space="0"/>
              <w:left w:val="single" w:color="auto" w:sz="4" w:space="0"/>
              <w:bottom w:val="single" w:color="auto" w:sz="4" w:space="0"/>
              <w:right w:val="single" w:color="auto" w:sz="4" w:space="0"/>
            </w:tcBorders>
          </w:tcPr>
          <w:p>
            <w:pPr>
              <w:widowControl/>
              <w:rPr>
                <w:rFonts w:ascii="仿宋" w:hAnsi="仿宋" w:eastAsia="仿宋"/>
                <w:sz w:val="24"/>
              </w:rPr>
            </w:pPr>
            <w:r>
              <w:rPr>
                <w:rFonts w:hint="eastAsia" w:ascii="宋体" w:hAnsi="宋体" w:eastAsia="仿宋" w:cs="宋体"/>
                <w:kern w:val="0"/>
                <w:sz w:val="24"/>
              </w:rPr>
              <w:t>评价意见：</w:t>
            </w:r>
          </w:p>
        </w:tc>
      </w:tr>
      <w:tr>
        <w:tblPrEx>
          <w:tblCellMar>
            <w:top w:w="0" w:type="dxa"/>
            <w:left w:w="108" w:type="dxa"/>
            <w:bottom w:w="0" w:type="dxa"/>
            <w:right w:w="108" w:type="dxa"/>
          </w:tblCellMar>
        </w:tblPrEx>
        <w:trPr>
          <w:trHeight w:val="1096" w:hRule="atLeast"/>
        </w:trPr>
        <w:tc>
          <w:tcPr>
            <w:tcW w:w="10464" w:type="dxa"/>
            <w:gridSpan w:val="5"/>
            <w:tcBorders>
              <w:top w:val="single" w:color="auto" w:sz="4" w:space="0"/>
              <w:left w:val="single" w:color="auto" w:sz="4" w:space="0"/>
              <w:bottom w:val="single" w:color="auto" w:sz="4" w:space="0"/>
              <w:right w:val="single" w:color="auto" w:sz="4" w:space="0"/>
            </w:tcBorders>
          </w:tcPr>
          <w:p>
            <w:pPr>
              <w:widowControl/>
              <w:spacing w:line="360" w:lineRule="auto"/>
              <w:ind w:right="560"/>
              <w:rPr>
                <w:rFonts w:ascii="宋体" w:hAnsi="宋体" w:eastAsia="仿宋"/>
                <w:sz w:val="24"/>
                <w:u w:val="single"/>
              </w:rPr>
            </w:pPr>
            <w:r>
              <w:rPr>
                <w:rFonts w:hint="eastAsia" w:ascii="宋体" w:hAnsi="宋体" w:eastAsia="仿宋"/>
                <w:sz w:val="24"/>
              </w:rPr>
              <w:t>使用单位项目负责人（签字）：</w:t>
            </w:r>
          </w:p>
          <w:p>
            <w:pPr>
              <w:widowControl/>
              <w:spacing w:line="360" w:lineRule="auto"/>
              <w:ind w:right="560"/>
              <w:rPr>
                <w:rFonts w:ascii="宋体" w:hAnsi="宋体" w:eastAsia="仿宋" w:cs="宋体"/>
                <w:kern w:val="0"/>
                <w:sz w:val="24"/>
              </w:rPr>
            </w:pPr>
            <w:r>
              <w:rPr>
                <w:rFonts w:hint="eastAsia" w:ascii="宋体" w:hAnsi="宋体" w:eastAsia="仿宋"/>
                <w:sz w:val="24"/>
              </w:rPr>
              <w:t>使用单位（公章）：</w:t>
            </w:r>
          </w:p>
        </w:tc>
      </w:tr>
      <w:tr>
        <w:tblPrEx>
          <w:tblCellMar>
            <w:top w:w="0" w:type="dxa"/>
            <w:left w:w="108" w:type="dxa"/>
            <w:bottom w:w="0" w:type="dxa"/>
            <w:right w:w="108" w:type="dxa"/>
          </w:tblCellMar>
        </w:tblPrEx>
        <w:trPr>
          <w:trHeight w:val="1276" w:hRule="atLeast"/>
        </w:trPr>
        <w:tc>
          <w:tcPr>
            <w:tcW w:w="10464" w:type="dxa"/>
            <w:gridSpan w:val="5"/>
            <w:tcBorders>
              <w:top w:val="single" w:color="auto" w:sz="4" w:space="0"/>
              <w:left w:val="single" w:color="auto" w:sz="4" w:space="0"/>
              <w:bottom w:val="single" w:color="auto" w:sz="4" w:space="0"/>
              <w:right w:val="single" w:color="auto" w:sz="4" w:space="0"/>
            </w:tcBorders>
          </w:tcPr>
          <w:p>
            <w:pPr>
              <w:widowControl/>
              <w:autoSpaceDE w:val="0"/>
              <w:autoSpaceDN w:val="0"/>
              <w:adjustRightInd w:val="0"/>
              <w:spacing w:line="360" w:lineRule="atLeast"/>
              <w:ind w:right="108"/>
              <w:rPr>
                <w:rFonts w:ascii="宋体" w:hAnsi="宋体" w:eastAsia="仿宋" w:cs="宋体"/>
                <w:kern w:val="0"/>
                <w:sz w:val="24"/>
              </w:rPr>
            </w:pPr>
            <w:r>
              <w:rPr>
                <w:rFonts w:hint="eastAsia" w:ascii="宋体" w:hAnsi="宋体" w:eastAsia="仿宋" w:cs="宋体"/>
                <w:kern w:val="0"/>
                <w:sz w:val="24"/>
              </w:rPr>
              <w:t xml:space="preserve">考核评价小组成员签字：                   </w:t>
            </w:r>
          </w:p>
          <w:p>
            <w:pPr>
              <w:widowControl/>
              <w:autoSpaceDE w:val="0"/>
              <w:autoSpaceDN w:val="0"/>
              <w:adjustRightInd w:val="0"/>
              <w:spacing w:line="360" w:lineRule="atLeast"/>
              <w:ind w:right="108"/>
              <w:rPr>
                <w:rFonts w:ascii="宋体" w:hAnsi="宋体" w:eastAsia="仿宋" w:cs="宋体"/>
                <w:kern w:val="0"/>
                <w:sz w:val="24"/>
              </w:rPr>
            </w:pPr>
            <w:r>
              <w:rPr>
                <w:rFonts w:hint="eastAsia" w:ascii="宋体" w:hAnsi="宋体" w:eastAsia="仿宋" w:cs="宋体"/>
                <w:kern w:val="0"/>
                <w:sz w:val="24"/>
              </w:rPr>
              <w:t>考核评价小组组长签字：</w:t>
            </w:r>
          </w:p>
          <w:p>
            <w:pPr>
              <w:widowControl/>
              <w:autoSpaceDE w:val="0"/>
              <w:autoSpaceDN w:val="0"/>
              <w:adjustRightInd w:val="0"/>
              <w:spacing w:line="360" w:lineRule="atLeast"/>
              <w:ind w:right="108"/>
              <w:rPr>
                <w:rFonts w:ascii="宋体" w:hAnsi="宋体" w:eastAsia="仿宋" w:cs="宋体"/>
                <w:kern w:val="0"/>
                <w:sz w:val="24"/>
              </w:rPr>
            </w:pPr>
            <w:r>
              <w:rPr>
                <w:rFonts w:hint="eastAsia" w:ascii="宋体" w:hAnsi="宋体" w:eastAsia="仿宋" w:cs="宋体"/>
                <w:kern w:val="0"/>
                <w:sz w:val="24"/>
              </w:rPr>
              <w:t xml:space="preserve">甲方考核评价部门负责人签字：                </w:t>
            </w:r>
          </w:p>
        </w:tc>
      </w:tr>
      <w:tr>
        <w:tblPrEx>
          <w:tblCellMar>
            <w:top w:w="0" w:type="dxa"/>
            <w:left w:w="108" w:type="dxa"/>
            <w:bottom w:w="0" w:type="dxa"/>
            <w:right w:w="108" w:type="dxa"/>
          </w:tblCellMar>
        </w:tblPrEx>
        <w:trPr>
          <w:trHeight w:val="285" w:hRule="atLeast"/>
        </w:trPr>
        <w:tc>
          <w:tcPr>
            <w:tcW w:w="10464" w:type="dxa"/>
            <w:gridSpan w:val="5"/>
            <w:tcBorders>
              <w:top w:val="single" w:color="auto" w:sz="4" w:space="0"/>
              <w:left w:val="nil"/>
              <w:bottom w:val="nil"/>
              <w:right w:val="nil"/>
            </w:tcBorders>
            <w:vAlign w:val="center"/>
          </w:tcPr>
          <w:p>
            <w:pPr>
              <w:widowControl/>
              <w:ind w:firstLine="420" w:firstLineChars="200"/>
              <w:rPr>
                <w:rFonts w:hint="eastAsia"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注：</w:t>
            </w:r>
          </w:p>
          <w:p>
            <w:pPr>
              <w:widowControl/>
              <w:ind w:firstLine="420" w:firstLineChars="200"/>
              <w:rPr>
                <w:rFonts w:ascii="宋体" w:hAnsi="宋体" w:cs="宋体"/>
                <w:sz w:val="21"/>
                <w:szCs w:val="21"/>
              </w:rPr>
            </w:pPr>
            <w:r>
              <w:rPr>
                <w:rFonts w:hint="eastAsia" w:ascii="宋体" w:hAnsi="宋体" w:cs="宋体"/>
                <w:sz w:val="21"/>
                <w:szCs w:val="21"/>
              </w:rPr>
              <w:t>1.本报告一式两份，一份由甲方考核评价部门留存；一份由甲方考核评价部门申请付款时报财务部门留存。</w:t>
            </w:r>
          </w:p>
          <w:p>
            <w:pPr>
              <w:widowControl/>
              <w:ind w:firstLine="420" w:firstLineChars="200"/>
              <w:rPr>
                <w:rFonts w:ascii="宋体" w:hAnsi="宋体" w:eastAsia="仿宋" w:cs="宋体"/>
                <w:sz w:val="32"/>
                <w:szCs w:val="32"/>
              </w:rPr>
            </w:pPr>
            <w:r>
              <w:rPr>
                <w:rFonts w:hint="eastAsia" w:ascii="宋体" w:hAnsi="宋体" w:cs="宋体"/>
                <w:sz w:val="21"/>
                <w:szCs w:val="21"/>
              </w:rPr>
              <w:t>2.A级指考核得分在90分（含）以上;B级指考核得分在60分（含）至89分;C级指考核得分在60分以下。</w:t>
            </w:r>
          </w:p>
        </w:tc>
      </w:tr>
    </w:tbl>
    <w:p>
      <w:pPr>
        <w:pStyle w:val="22"/>
        <w:spacing w:line="400" w:lineRule="exact"/>
        <w:rPr>
          <w:rFonts w:hint="eastAsia" w:ascii="宋体" w:hAnsi="宋体"/>
          <w:b/>
          <w:sz w:val="24"/>
        </w:rPr>
      </w:pPr>
    </w:p>
    <w:p>
      <w:pPr>
        <w:pStyle w:val="22"/>
        <w:spacing w:line="400" w:lineRule="exact"/>
        <w:rPr>
          <w:rFonts w:hint="eastAsia" w:ascii="宋体" w:hAnsi="宋体"/>
          <w:b/>
          <w:sz w:val="24"/>
        </w:rPr>
      </w:pPr>
    </w:p>
    <w:p>
      <w:pPr>
        <w:pStyle w:val="22"/>
        <w:spacing w:line="400" w:lineRule="exact"/>
        <w:rPr>
          <w:rFonts w:hint="eastAsia" w:ascii="宋体" w:hAnsi="宋体"/>
          <w:b/>
          <w:sz w:val="24"/>
        </w:rPr>
      </w:pPr>
    </w:p>
    <w:p>
      <w:pPr>
        <w:pStyle w:val="22"/>
        <w:spacing w:line="400" w:lineRule="exact"/>
        <w:rPr>
          <w:rFonts w:hint="eastAsia" w:ascii="宋体" w:hAnsi="宋体"/>
          <w:b/>
          <w:sz w:val="24"/>
        </w:rPr>
      </w:pPr>
    </w:p>
    <w:p>
      <w:pPr>
        <w:pStyle w:val="22"/>
        <w:spacing w:line="400" w:lineRule="exact"/>
        <w:rPr>
          <w:rFonts w:ascii="宋体" w:hAnsi="宋体"/>
          <w:b/>
          <w:sz w:val="24"/>
        </w:rPr>
      </w:pPr>
      <w:r>
        <w:rPr>
          <w:rFonts w:hint="eastAsia" w:ascii="宋体" w:hAnsi="宋体"/>
          <w:b/>
          <w:sz w:val="24"/>
        </w:rPr>
        <w:t>备注：</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2"/>
        <w:spacing w:line="360" w:lineRule="auto"/>
        <w:ind w:firstLine="420" w:firstLineChars="200"/>
        <w:rPr>
          <w:rFonts w:hint="eastAsia" w:ascii="宋体" w:hAnsi="宋体" w:cs="宋体"/>
          <w:sz w:val="21"/>
          <w:szCs w:val="21"/>
        </w:rPr>
      </w:pPr>
      <w:r>
        <w:rPr>
          <w:rFonts w:hint="eastAsia" w:ascii="宋体" w:hAnsi="宋体" w:cs="宋体"/>
          <w:sz w:val="21"/>
          <w:szCs w:val="21"/>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7" w:name="_Toc3222"/>
      <w:bookmarkStart w:id="18" w:name="_Toc4075"/>
      <w:bookmarkStart w:id="19" w:name="_Toc11917"/>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3.供应商有下列情形之一的，将列入我院黑名单管理，在此后的三年内不得参与我院任何采买活动：</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7"/>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360" w:lineRule="auto"/>
        <w:jc w:val="center"/>
        <w:rPr>
          <w:b/>
          <w:bCs/>
          <w:kern w:val="0"/>
          <w:sz w:val="21"/>
          <w:szCs w:val="21"/>
        </w:rPr>
      </w:pPr>
    </w:p>
    <w:p>
      <w:pPr>
        <w:pStyle w:val="5"/>
        <w:spacing w:line="380" w:lineRule="exact"/>
        <w:rPr>
          <w:rFonts w:ascii="宋体" w:hAnsi="宋体" w:cs="宋体"/>
          <w:sz w:val="24"/>
        </w:rPr>
      </w:pPr>
    </w:p>
    <w:p>
      <w:pPr>
        <w:jc w:val="center"/>
        <w:outlineLvl w:val="0"/>
        <w:rPr>
          <w:b/>
          <w:bCs/>
          <w:kern w:val="0"/>
          <w:sz w:val="32"/>
          <w:szCs w:val="36"/>
        </w:rPr>
      </w:pPr>
      <w:bookmarkStart w:id="20"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21" w:name="_Toc270"/>
      <w:r>
        <w:rPr>
          <w:rFonts w:hint="eastAsia"/>
          <w:b/>
          <w:bCs/>
          <w:kern w:val="0"/>
          <w:sz w:val="32"/>
          <w:szCs w:val="36"/>
        </w:rPr>
        <w:t>资料整理注意事项</w:t>
      </w:r>
      <w:bookmarkEnd w:id="17"/>
      <w:bookmarkEnd w:id="18"/>
      <w:bookmarkEnd w:id="19"/>
      <w:bookmarkEnd w:id="20"/>
      <w:bookmarkEnd w:id="21"/>
    </w:p>
    <w:p>
      <w:pPr>
        <w:spacing w:line="380" w:lineRule="exact"/>
        <w:ind w:firstLine="360" w:firstLineChars="150"/>
        <w:rPr>
          <w:rFonts w:ascii="宋体" w:hAnsi="宋体"/>
          <w:sz w:val="24"/>
        </w:rPr>
      </w:pPr>
    </w:p>
    <w:p>
      <w:pPr>
        <w:spacing w:line="360" w:lineRule="auto"/>
        <w:ind w:firstLine="315" w:firstLineChars="150"/>
        <w:rPr>
          <w:rFonts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315" w:firstLineChars="150"/>
        <w:rPr>
          <w:rFonts w:ascii="宋体" w:hAnsi="宋体"/>
          <w:sz w:val="21"/>
          <w:szCs w:val="21"/>
        </w:rPr>
      </w:pPr>
      <w:r>
        <w:rPr>
          <w:rFonts w:hint="eastAsia" w:ascii="宋体" w:hAnsi="宋体"/>
          <w:sz w:val="21"/>
          <w:szCs w:val="21"/>
        </w:rPr>
        <w:t>2.响应文件除封面外，其他材料须双面打印，打印出来后一定要清晰，看不清或者模糊当不提供该项资料处理。</w:t>
      </w:r>
    </w:p>
    <w:p>
      <w:pPr>
        <w:spacing w:line="360" w:lineRule="auto"/>
        <w:ind w:firstLine="315" w:firstLineChars="150"/>
        <w:rPr>
          <w:rFonts w:ascii="宋体" w:hAnsi="宋体"/>
          <w:sz w:val="21"/>
          <w:szCs w:val="21"/>
        </w:rPr>
      </w:pPr>
      <w:r>
        <w:rPr>
          <w:rFonts w:hint="eastAsia" w:ascii="宋体" w:hAnsi="宋体"/>
          <w:sz w:val="21"/>
          <w:szCs w:val="21"/>
        </w:rPr>
        <w:t>3.响应文件需要一正五副共6份，封面应注明“正本”、“副本”字样并加盖公章、装订成册，副本可用正本复印并在封面上加盖公章。</w:t>
      </w:r>
    </w:p>
    <w:p>
      <w:pPr>
        <w:spacing w:line="360" w:lineRule="auto"/>
        <w:ind w:firstLine="315" w:firstLineChars="150"/>
        <w:rPr>
          <w:rFonts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4.所有响应文件须密封在一个不透明的外层封装中；并在封口位置处加盖公章，如因响应文件未密封导致不能进入商谈环节者，一切后果由供应商自负。</w:t>
      </w:r>
    </w:p>
    <w:p>
      <w:pPr>
        <w:spacing w:line="360" w:lineRule="auto"/>
        <w:ind w:firstLine="315" w:firstLineChars="150"/>
        <w:rPr>
          <w:rFonts w:ascii="宋体" w:hAnsi="宋体"/>
          <w:sz w:val="21"/>
          <w:szCs w:val="21"/>
        </w:rPr>
      </w:pPr>
      <w:r>
        <w:rPr>
          <w:rFonts w:hint="eastAsia" w:ascii="宋体" w:hAnsi="宋体"/>
          <w:sz w:val="21"/>
          <w:szCs w:val="21"/>
        </w:rPr>
        <w:t>5.供应商携带密封的响应文件参加院内采购评审会议。</w:t>
      </w:r>
    </w:p>
    <w:p>
      <w:pPr>
        <w:spacing w:line="360" w:lineRule="auto"/>
        <w:ind w:firstLine="315" w:firstLineChars="150"/>
        <w:rPr>
          <w:rFonts w:ascii="宋体" w:hAnsi="宋体"/>
          <w:sz w:val="21"/>
          <w:szCs w:val="21"/>
        </w:rPr>
      </w:pPr>
      <w:r>
        <w:rPr>
          <w:rFonts w:hint="eastAsia" w:ascii="宋体" w:hAnsi="宋体"/>
          <w:sz w:val="21"/>
          <w:szCs w:val="21"/>
        </w:rPr>
        <w:t>6.报名时提供的资料与响应文件不一致时以响应文件为准。</w:t>
      </w:r>
    </w:p>
    <w:p>
      <w:pPr>
        <w:spacing w:line="360" w:lineRule="auto"/>
        <w:ind w:firstLine="315" w:firstLineChars="150"/>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pPr>
        <w:spacing w:line="360" w:lineRule="auto"/>
        <w:ind w:firstLine="315" w:firstLineChars="150"/>
        <w:rPr>
          <w:rFonts w:ascii="宋体" w:hAnsi="宋体"/>
          <w:sz w:val="21"/>
          <w:szCs w:val="21"/>
        </w:rPr>
      </w:pPr>
      <w:r>
        <w:rPr>
          <w:rFonts w:hint="eastAsia" w:ascii="宋体" w:hAnsi="宋体"/>
          <w:sz w:val="21"/>
          <w:szCs w:val="21"/>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3"/>
        <w:jc w:val="center"/>
        <w:rPr>
          <w:rFonts w:ascii="宋体" w:hAnsi="宋体" w:eastAsia="宋体"/>
          <w:sz w:val="40"/>
        </w:rPr>
      </w:pPr>
      <w:bookmarkStart w:id="22" w:name="_Toc5829"/>
      <w:bookmarkStart w:id="23" w:name="_Toc2647"/>
      <w:bookmarkStart w:id="24" w:name="_Toc2347"/>
      <w:bookmarkStart w:id="25" w:name="_Toc32164"/>
      <w:bookmarkStart w:id="26" w:name="_Toc40346213"/>
      <w:bookmarkStart w:id="27" w:name="_Toc32228"/>
      <w:bookmarkStart w:id="28" w:name="_Toc19354"/>
      <w:bookmarkStart w:id="29" w:name="_Toc30326"/>
      <w:bookmarkStart w:id="30" w:name="_Toc7581"/>
      <w:bookmarkStart w:id="31" w:name="_Toc40776108"/>
      <w:bookmarkStart w:id="32" w:name="_Toc13814"/>
      <w:bookmarkStart w:id="33" w:name="_Toc9461"/>
      <w:bookmarkStart w:id="34" w:name="_Toc30230"/>
    </w:p>
    <w:p>
      <w:pPr>
        <w:pStyle w:val="3"/>
        <w:jc w:val="center"/>
        <w:rPr>
          <w:rFonts w:ascii="宋体" w:hAnsi="宋体" w:eastAsia="宋体"/>
          <w:sz w:val="40"/>
        </w:rPr>
      </w:pPr>
    </w:p>
    <w:p>
      <w:pPr>
        <w:pStyle w:val="3"/>
        <w:jc w:val="center"/>
        <w:rPr>
          <w:rFonts w:ascii="宋体" w:hAnsi="宋体" w:eastAsia="宋体" w:cs="Courier New"/>
          <w:sz w:val="40"/>
        </w:rPr>
      </w:pPr>
      <w:bookmarkStart w:id="35" w:name="_Toc1634"/>
      <w:r>
        <w:rPr>
          <w:rFonts w:hint="eastAsia" w:ascii="宋体" w:hAnsi="宋体" w:eastAsia="宋体"/>
          <w:sz w:val="40"/>
        </w:rPr>
        <w:t>第四部分  相关格式文件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9"/>
        <w:adjustRightInd w:val="0"/>
        <w:snapToGrid w:val="0"/>
        <w:ind w:left="1" w:firstLine="359"/>
        <w:rPr>
          <w:rFonts w:hAnsi="宋体" w:cs="Times New Roman"/>
          <w:b/>
        </w:rPr>
      </w:pPr>
    </w:p>
    <w:p>
      <w:pPr>
        <w:pStyle w:val="23"/>
      </w:pPr>
      <w:bookmarkStart w:id="36" w:name="_Toc13972"/>
      <w:bookmarkStart w:id="37" w:name="_Toc11236"/>
      <w:bookmarkStart w:id="38" w:name="_Toc10941"/>
      <w:bookmarkStart w:id="39" w:name="_Toc40346373"/>
      <w:bookmarkStart w:id="40" w:name="_Toc30201"/>
      <w:bookmarkStart w:id="41" w:name="_Toc40346214"/>
      <w:bookmarkStart w:id="42" w:name="_Toc26336"/>
      <w:bookmarkStart w:id="43" w:name="_Toc17987"/>
      <w:bookmarkStart w:id="44" w:name="_Toc23126"/>
      <w:bookmarkStart w:id="45" w:name="_Toc40776109"/>
      <w:bookmarkStart w:id="46" w:name="_Toc10842"/>
    </w:p>
    <w:p>
      <w:pPr>
        <w:pStyle w:val="23"/>
      </w:pPr>
    </w:p>
    <w:p>
      <w:pPr>
        <w:pStyle w:val="23"/>
      </w:pPr>
    </w:p>
    <w:p>
      <w:pPr>
        <w:pStyle w:val="23"/>
      </w:pPr>
    </w:p>
    <w:p>
      <w:pPr>
        <w:pStyle w:val="23"/>
      </w:pPr>
    </w:p>
    <w:p>
      <w:pPr>
        <w:pStyle w:val="23"/>
      </w:pPr>
    </w:p>
    <w:p>
      <w:pPr>
        <w:pStyle w:val="23"/>
      </w:pPr>
    </w:p>
    <w:p>
      <w:pPr>
        <w:pStyle w:val="23"/>
      </w:pPr>
    </w:p>
    <w:p>
      <w:pPr>
        <w:widowControl/>
        <w:spacing w:line="360" w:lineRule="auto"/>
        <w:jc w:val="left"/>
        <w:rPr>
          <w:rFonts w:ascii="仿宋" w:hAnsi="仿宋" w:eastAsia="仿宋" w:cs="宋体"/>
          <w:b/>
          <w:kern w:val="0"/>
          <w:sz w:val="24"/>
          <w:szCs w:val="32"/>
        </w:rPr>
      </w:pPr>
      <w:bookmarkStart w:id="47" w:name="_Toc13293"/>
      <w:bookmarkStart w:id="48" w:name="_Toc3033"/>
      <w:bookmarkStart w:id="49"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0"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jc w:val="center"/>
        <w:rPr>
          <w:rFonts w:ascii="宋体" w:hAnsi="宋体" w:cs="宋体"/>
          <w:b/>
          <w:kern w:val="0"/>
          <w:sz w:val="52"/>
          <w:szCs w:val="52"/>
        </w:rPr>
      </w:pPr>
      <w:bookmarkStart w:id="51" w:name="_Toc40346222"/>
      <w:bookmarkStart w:id="52" w:name="_Toc28217"/>
      <w:bookmarkStart w:id="53" w:name="_Toc40346381"/>
      <w:bookmarkStart w:id="54" w:name="_Toc9134"/>
      <w:bookmarkStart w:id="55" w:name="_Toc10213"/>
      <w:bookmarkStart w:id="56" w:name="_Toc22864"/>
      <w:bookmarkStart w:id="57" w:name="_Toc4407"/>
      <w:bookmarkStart w:id="58" w:name="_Toc12431"/>
      <w:bookmarkStart w:id="59" w:name="_Toc3784"/>
      <w:bookmarkStart w:id="60" w:name="_Toc22145"/>
      <w:bookmarkStart w:id="61" w:name="_Toc18837"/>
      <w:bookmarkStart w:id="62" w:name="_Toc25470"/>
      <w:bookmarkStart w:id="63" w:name="_Toc23156"/>
      <w:bookmarkStart w:id="64" w:name="_Toc4077611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5" w:name="_Toc28703"/>
      <w:bookmarkStart w:id="66" w:name="_Toc12520"/>
      <w:bookmarkStart w:id="67" w:name="_Toc6547"/>
      <w:bookmarkStart w:id="68" w:name="_Toc40776111"/>
      <w:bookmarkStart w:id="69" w:name="_Toc15870"/>
      <w:bookmarkStart w:id="70" w:name="_Toc8364"/>
      <w:bookmarkStart w:id="71" w:name="_Toc21249"/>
      <w:bookmarkStart w:id="72" w:name="_Toc40346375"/>
      <w:bookmarkStart w:id="73" w:name="_Toc435"/>
      <w:bookmarkStart w:id="74" w:name="_Toc7291"/>
      <w:bookmarkStart w:id="75" w:name="_Toc1994"/>
      <w:bookmarkStart w:id="76" w:name="_Toc29113"/>
      <w:bookmarkStart w:id="77" w:name="_Toc11305"/>
      <w:bookmarkStart w:id="78" w:name="_Toc26267"/>
      <w:bookmarkStart w:id="79" w:name="_Toc3471"/>
      <w:bookmarkStart w:id="80" w:name="_Toc11075"/>
      <w:bookmarkStart w:id="81" w:name="_Toc40346216"/>
    </w:p>
    <w:p>
      <w:pPr>
        <w:widowControl/>
        <w:spacing w:line="360" w:lineRule="auto"/>
        <w:ind w:firstLine="600"/>
        <w:outlineLvl w:val="0"/>
      </w:pPr>
      <w:bookmarkStart w:id="82" w:name="_Toc4769"/>
      <w:r>
        <w:rPr>
          <w:rFonts w:ascii="宋体" w:hAnsi="宋体" w:cs="宋体"/>
          <w:kern w:val="0"/>
          <w:sz w:val="30"/>
          <w:szCs w:val="30"/>
        </w:rPr>
        <w:t>项目编号：</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Start w:id="83" w:name="_Toc20884"/>
      <w:bookmarkStart w:id="84" w:name="_Toc17709"/>
      <w:bookmarkStart w:id="85" w:name="_Toc40346217"/>
      <w:bookmarkStart w:id="86" w:name="_Toc40346376"/>
      <w:bookmarkStart w:id="87" w:name="_Toc40776112"/>
      <w:bookmarkStart w:id="88" w:name="_Toc27997"/>
      <w:bookmarkStart w:id="89" w:name="_Toc2916"/>
      <w:bookmarkStart w:id="90" w:name="_Toc1743"/>
    </w:p>
    <w:p>
      <w:pPr>
        <w:widowControl/>
        <w:spacing w:line="360" w:lineRule="auto"/>
        <w:ind w:firstLine="600"/>
        <w:outlineLvl w:val="0"/>
        <w:rPr>
          <w:rFonts w:cs="宋体"/>
          <w:kern w:val="0"/>
          <w:sz w:val="30"/>
          <w:szCs w:val="30"/>
        </w:rPr>
      </w:pPr>
      <w:bookmarkStart w:id="91" w:name="_Toc19699"/>
      <w:bookmarkStart w:id="92" w:name="_Toc2029"/>
      <w:bookmarkStart w:id="93" w:name="_Toc30979"/>
      <w:bookmarkStart w:id="94" w:name="_Toc31538"/>
      <w:bookmarkStart w:id="95" w:name="_Toc23992"/>
      <w:bookmarkStart w:id="96" w:name="_Toc29102"/>
      <w:bookmarkStart w:id="97" w:name="_Toc2012"/>
      <w:bookmarkStart w:id="98" w:name="_Toc11485"/>
      <w:bookmarkStart w:id="99" w:name="_Toc23097"/>
      <w:bookmarkStart w:id="100" w:name="_Toc5238"/>
      <w:r>
        <w:rPr>
          <w:rFonts w:ascii="宋体" w:hAnsi="宋体" w:cs="宋体"/>
          <w:kern w:val="0"/>
          <w:sz w:val="30"/>
          <w:szCs w:val="30"/>
        </w:rPr>
        <w:t>公司名称：</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widowControl/>
        <w:spacing w:line="360" w:lineRule="auto"/>
        <w:ind w:firstLine="600"/>
        <w:outlineLvl w:val="0"/>
        <w:rPr>
          <w:rFonts w:cs="宋体"/>
          <w:kern w:val="0"/>
          <w:sz w:val="30"/>
          <w:szCs w:val="30"/>
        </w:rPr>
      </w:pPr>
      <w:bookmarkStart w:id="101" w:name="_Toc7052"/>
      <w:bookmarkStart w:id="102" w:name="_Toc21483"/>
      <w:bookmarkStart w:id="103" w:name="_Toc12645"/>
      <w:bookmarkStart w:id="104" w:name="_Toc11141"/>
      <w:bookmarkStart w:id="105" w:name="_Toc27867"/>
      <w:bookmarkStart w:id="106" w:name="_Toc12113"/>
      <w:bookmarkStart w:id="107" w:name="_Toc31993"/>
      <w:bookmarkStart w:id="108" w:name="_Toc40346218"/>
      <w:bookmarkStart w:id="109" w:name="_Toc14824"/>
      <w:bookmarkStart w:id="110" w:name="_Toc16794"/>
      <w:bookmarkStart w:id="111" w:name="_Toc4013"/>
      <w:bookmarkStart w:id="112" w:name="_Toc29767"/>
      <w:bookmarkStart w:id="113" w:name="_Toc11558"/>
      <w:bookmarkStart w:id="114" w:name="_Toc24763"/>
      <w:bookmarkStart w:id="115" w:name="_Toc17930"/>
      <w:bookmarkStart w:id="116" w:name="_Toc40776113"/>
      <w:bookmarkStart w:id="117" w:name="_Toc28064"/>
      <w:bookmarkStart w:id="118" w:name="_Toc40346377"/>
      <w:r>
        <w:rPr>
          <w:rFonts w:ascii="宋体" w:hAnsi="宋体" w:cs="宋体"/>
          <w:kern w:val="0"/>
          <w:sz w:val="30"/>
          <w:szCs w:val="30"/>
        </w:rPr>
        <w:t>业务代表：</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spacing w:line="360" w:lineRule="auto"/>
        <w:ind w:firstLine="600"/>
        <w:outlineLvl w:val="0"/>
        <w:rPr>
          <w:rFonts w:cs="宋体"/>
          <w:kern w:val="0"/>
          <w:sz w:val="30"/>
          <w:szCs w:val="30"/>
        </w:rPr>
      </w:pPr>
      <w:bookmarkStart w:id="119" w:name="_Toc27771"/>
      <w:bookmarkStart w:id="120" w:name="_Toc25370"/>
      <w:bookmarkStart w:id="121" w:name="_Toc31197"/>
      <w:bookmarkStart w:id="122" w:name="_Toc9883"/>
      <w:bookmarkStart w:id="123" w:name="_Toc40346378"/>
      <w:bookmarkStart w:id="124" w:name="_Toc40776114"/>
      <w:bookmarkStart w:id="125" w:name="_Toc40346219"/>
      <w:bookmarkStart w:id="126" w:name="_Toc14287"/>
      <w:bookmarkStart w:id="127" w:name="_Toc17537"/>
      <w:bookmarkStart w:id="128" w:name="_Toc19831"/>
      <w:bookmarkStart w:id="129" w:name="_Toc26029"/>
      <w:bookmarkStart w:id="130" w:name="_Toc1324"/>
      <w:bookmarkStart w:id="131" w:name="_Toc11334"/>
      <w:bookmarkStart w:id="132" w:name="_Toc4563"/>
      <w:bookmarkStart w:id="133" w:name="_Toc32709"/>
      <w:bookmarkStart w:id="134" w:name="_Toc16813"/>
      <w:bookmarkStart w:id="135" w:name="_Toc24651"/>
      <w:bookmarkStart w:id="136" w:name="_Toc6438"/>
      <w:r>
        <w:rPr>
          <w:rFonts w:ascii="宋体" w:hAnsi="宋体" w:cs="宋体"/>
          <w:kern w:val="0"/>
          <w:sz w:val="30"/>
          <w:szCs w:val="30"/>
        </w:rPr>
        <w:t>联系电话：</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spacing w:line="360" w:lineRule="auto"/>
        <w:ind w:firstLine="600"/>
        <w:outlineLvl w:val="0"/>
        <w:rPr>
          <w:rFonts w:cs="宋体"/>
          <w:kern w:val="0"/>
          <w:sz w:val="30"/>
          <w:szCs w:val="30"/>
        </w:rPr>
      </w:pPr>
      <w:bookmarkStart w:id="137" w:name="_Toc40346379"/>
      <w:bookmarkStart w:id="138" w:name="_Toc17483"/>
      <w:bookmarkStart w:id="139" w:name="_Toc27206"/>
      <w:bookmarkStart w:id="140" w:name="_Toc14586"/>
      <w:bookmarkStart w:id="141" w:name="_Toc27868"/>
      <w:bookmarkStart w:id="142" w:name="_Toc20994"/>
      <w:bookmarkStart w:id="143" w:name="_Toc3895"/>
      <w:bookmarkStart w:id="144" w:name="_Toc12650"/>
      <w:bookmarkStart w:id="145" w:name="_Toc19057"/>
      <w:bookmarkStart w:id="146" w:name="_Toc21940"/>
      <w:bookmarkStart w:id="147" w:name="_Toc5634"/>
      <w:bookmarkStart w:id="148" w:name="_Toc5189"/>
      <w:bookmarkStart w:id="149" w:name="_Toc18353"/>
      <w:bookmarkStart w:id="150" w:name="_Toc40346220"/>
      <w:bookmarkStart w:id="151" w:name="_Toc21686"/>
      <w:bookmarkStart w:id="152" w:name="_Toc13222"/>
      <w:bookmarkStart w:id="153" w:name="_Toc30336"/>
      <w:bookmarkStart w:id="154" w:name="_Toc40776115"/>
      <w:r>
        <w:rPr>
          <w:rFonts w:ascii="宋体" w:hAnsi="宋体" w:cs="宋体"/>
          <w:kern w:val="0"/>
          <w:sz w:val="30"/>
          <w:szCs w:val="30"/>
        </w:rPr>
        <w:t>联系邮箱：</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spacing w:line="360" w:lineRule="auto"/>
        <w:ind w:firstLine="600"/>
        <w:outlineLvl w:val="0"/>
        <w:rPr>
          <w:rFonts w:cs="宋体"/>
          <w:kern w:val="0"/>
          <w:sz w:val="30"/>
          <w:szCs w:val="30"/>
        </w:rPr>
      </w:pPr>
      <w:bookmarkStart w:id="155" w:name="_Toc32371"/>
      <w:bookmarkStart w:id="156" w:name="_Toc27646"/>
      <w:bookmarkStart w:id="157" w:name="_Toc14462"/>
      <w:bookmarkStart w:id="158" w:name="_Toc10454"/>
      <w:bookmarkStart w:id="159" w:name="_Toc40346380"/>
      <w:bookmarkStart w:id="160" w:name="_Toc22276"/>
      <w:bookmarkStart w:id="161" w:name="_Toc30856"/>
      <w:bookmarkStart w:id="162" w:name="_Toc8526"/>
      <w:bookmarkStart w:id="163" w:name="_Toc30904"/>
      <w:bookmarkStart w:id="164" w:name="_Toc21449"/>
      <w:bookmarkStart w:id="165" w:name="_Toc11547"/>
      <w:bookmarkStart w:id="166" w:name="_Toc9282"/>
      <w:bookmarkStart w:id="167" w:name="_Toc5220"/>
      <w:bookmarkStart w:id="168" w:name="_Toc12127"/>
      <w:bookmarkStart w:id="169" w:name="_Toc27009"/>
      <w:bookmarkStart w:id="170" w:name="_Toc40346221"/>
      <w:bookmarkStart w:id="171" w:name="_Toc40776116"/>
      <w:bookmarkStart w:id="172" w:name="_Toc3498"/>
      <w:r>
        <w:rPr>
          <w:rFonts w:ascii="宋体" w:hAnsi="宋体" w:cs="宋体"/>
          <w:kern w:val="0"/>
          <w:sz w:val="30"/>
          <w:szCs w:val="30"/>
        </w:rPr>
        <w:t>日    期：</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73" w:name="_Toc18806"/>
      <w:r>
        <w:rPr>
          <w:rFonts w:hint="eastAsia" w:ascii="仿宋" w:hAnsi="仿宋" w:eastAsia="仿宋" w:cs="宋体"/>
          <w:b/>
          <w:kern w:val="0"/>
          <w:sz w:val="24"/>
          <w:szCs w:val="32"/>
        </w:rPr>
        <w:t>目录模板</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173"/>
    </w:p>
    <w:p>
      <w:pPr>
        <w:pStyle w:val="22"/>
        <w:jc w:val="center"/>
        <w:rPr>
          <w:b/>
          <w:bCs/>
          <w:sz w:val="36"/>
          <w:szCs w:val="36"/>
        </w:rPr>
      </w:pPr>
      <w:bookmarkStart w:id="174" w:name="_Toc6985"/>
      <w:bookmarkStart w:id="175" w:name="_Toc24584"/>
      <w:bookmarkStart w:id="176" w:name="_Toc27920"/>
      <w:bookmarkStart w:id="177" w:name="_Toc31006"/>
      <w:r>
        <w:rPr>
          <w:rFonts w:hint="eastAsia"/>
          <w:b/>
          <w:bCs/>
          <w:sz w:val="36"/>
          <w:szCs w:val="36"/>
        </w:rPr>
        <w:t>目  录</w:t>
      </w:r>
      <w:bookmarkEnd w:id="174"/>
      <w:bookmarkEnd w:id="175"/>
      <w:bookmarkEnd w:id="176"/>
      <w:bookmarkEnd w:id="177"/>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sz w:val="24"/>
                <w:szCs w:val="24"/>
              </w:rPr>
              <w:t>具有独立承担民事责任的能力（提供承诺函，承诺函必须包含相关文字内容，格式自拟，并加盖供应商公章）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exact"/>
              <w:ind w:firstLine="0" w:firstLineChars="0"/>
              <w:rPr>
                <w:rFonts w:ascii="宋体" w:hAnsi="宋体"/>
                <w:sz w:val="24"/>
              </w:rPr>
            </w:pPr>
            <w:r>
              <w:rPr>
                <w:rFonts w:hint="eastAsia"/>
                <w:sz w:val="24"/>
                <w:szCs w:val="24"/>
              </w:rPr>
              <w:t>具有良好的商业信誉和健全的财务会计制度（提供承诺函，承诺函必须包含相关文字内容，格式自拟，并加盖供应商公章）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9</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exact"/>
              <w:ind w:firstLine="0" w:firstLineChars="0"/>
              <w:jc w:val="left"/>
              <w:rPr>
                <w:rFonts w:ascii="宋体" w:hAnsi="宋体"/>
                <w:sz w:val="24"/>
              </w:rPr>
            </w:pPr>
            <w:r>
              <w:rPr>
                <w:rFonts w:hint="eastAsia"/>
                <w:sz w:val="24"/>
                <w:szCs w:val="24"/>
              </w:rPr>
              <w:t>具有履行合同所必需的设备和专业技术能力(提供承诺函，承诺函必须包含相关文字内容，格式自拟，并加盖供应商公章)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10</w:t>
            </w:r>
          </w:p>
        </w:tc>
        <w:tc>
          <w:tcPr>
            <w:tcW w:w="8272" w:type="dxa"/>
            <w:tcBorders>
              <w:top w:val="single" w:color="000000" w:sz="4" w:space="0"/>
              <w:left w:val="nil"/>
              <w:bottom w:val="single" w:color="000000" w:sz="4" w:space="0"/>
              <w:right w:val="single" w:color="000000" w:sz="4" w:space="0"/>
            </w:tcBorders>
            <w:vAlign w:val="center"/>
          </w:tcPr>
          <w:p>
            <w:pPr>
              <w:pStyle w:val="25"/>
              <w:spacing w:line="240" w:lineRule="exact"/>
              <w:ind w:firstLine="0" w:firstLineChars="0"/>
              <w:jc w:val="left"/>
              <w:rPr>
                <w:rFonts w:ascii="宋体" w:hAnsi="宋体"/>
                <w:sz w:val="24"/>
              </w:rPr>
            </w:pPr>
            <w:r>
              <w:rPr>
                <w:rFonts w:hint="eastAsia"/>
                <w:sz w:val="24"/>
                <w:szCs w:val="24"/>
              </w:rPr>
              <w:t>具有依法缴纳税收和社会保障资金的良好记录（提供承诺函，承诺函必须包含相关文字内容，格式自拟，并加盖供应商公章）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sz w:val="24"/>
                <w:szCs w:val="24"/>
              </w:rPr>
              <w:t>本项目不接受联合体投标（提供承诺函，承诺函必须包含相关文字涵义内容，格式自拟，并加盖供应商公章）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jc w:val="left"/>
              <w:rPr>
                <w:sz w:val="24"/>
                <w:szCs w:val="24"/>
                <w:lang w:val="zh-CN"/>
              </w:rPr>
            </w:pPr>
            <w:r>
              <w:rPr>
                <w:rFonts w:hint="eastAsia"/>
                <w:sz w:val="24"/>
                <w:szCs w:val="24"/>
              </w:rPr>
              <w:t>近三年内没有违规违纪记录（需提供承诺函，格式自拟，并加盖供应商公章）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jc w:val="left"/>
              <w:rPr>
                <w:strike/>
                <w:color w:val="0000FF"/>
                <w:sz w:val="24"/>
                <w:szCs w:val="24"/>
              </w:rPr>
            </w:pPr>
            <w:r>
              <w:rPr>
                <w:rFonts w:hint="eastAsia" w:ascii="宋体" w:hAnsi="宋体"/>
                <w:sz w:val="24"/>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lang w:val="zh-CN"/>
              </w:rPr>
            </w:pPr>
            <w:r>
              <w:rPr>
                <w:rFonts w:hint="eastAsia" w:ascii="宋体" w:hAnsi="宋体"/>
                <w:sz w:val="24"/>
              </w:rPr>
              <w:t>针对数据迁移实施方案（格式自拟）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针对医保信用无感支付接口开发的实施方案（格式自拟）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17</w:t>
            </w:r>
          </w:p>
        </w:tc>
        <w:tc>
          <w:tcPr>
            <w:tcW w:w="8272" w:type="dxa"/>
            <w:tcBorders>
              <w:top w:val="single" w:color="000000" w:sz="4" w:space="0"/>
              <w:left w:val="nil"/>
              <w:bottom w:val="single" w:color="auto" w:sz="4" w:space="0"/>
              <w:right w:val="single" w:color="000000" w:sz="4" w:space="0"/>
            </w:tcBorders>
            <w:vAlign w:val="center"/>
          </w:tcPr>
          <w:p>
            <w:pPr>
              <w:pStyle w:val="25"/>
              <w:ind w:firstLine="0" w:firstLineChars="0"/>
              <w:rPr>
                <w:rFonts w:ascii="宋体" w:hAnsi="宋体"/>
                <w:sz w:val="24"/>
              </w:rPr>
            </w:pPr>
            <w:r>
              <w:rPr>
                <w:rFonts w:hint="eastAsia" w:ascii="宋体" w:hAnsi="宋体"/>
                <w:sz w:val="24"/>
              </w:rPr>
              <w:t>2021年至今同类项目的业绩用户名单（需提供合同关键页复印件或中标通知书复印件，并加盖供应商公章）</w:t>
            </w:r>
          </w:p>
        </w:tc>
        <w:tc>
          <w:tcPr>
            <w:tcW w:w="1824" w:type="dxa"/>
            <w:tcBorders>
              <w:top w:val="single" w:color="000000" w:sz="4" w:space="0"/>
              <w:left w:val="nil"/>
              <w:bottom w:val="single" w:color="auto"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宋体" w:hAnsi="宋体"/>
                <w:bCs/>
                <w:sz w:val="24"/>
                <w:szCs w:val="24"/>
              </w:rPr>
            </w:pPr>
            <w:bookmarkStart w:id="178" w:name="_Toc562"/>
            <w:bookmarkStart w:id="179" w:name="_Toc24508"/>
            <w:bookmarkStart w:id="180" w:name="_Toc11232"/>
            <w:bookmarkStart w:id="181" w:name="_Toc21936"/>
            <w:r>
              <w:rPr>
                <w:rFonts w:hint="eastAsia" w:ascii="宋体" w:hAnsi="宋体"/>
                <w:bCs/>
                <w:sz w:val="24"/>
                <w:szCs w:val="24"/>
              </w:rPr>
              <w:t>18</w:t>
            </w:r>
          </w:p>
        </w:tc>
        <w:tc>
          <w:tcPr>
            <w:tcW w:w="8272"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auto" w:sz="4" w:space="0"/>
              <w:left w:val="single" w:color="auto" w:sz="4" w:space="0"/>
              <w:bottom w:val="single" w:color="auto" w:sz="4" w:space="0"/>
              <w:right w:val="single" w:color="auto"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19</w:t>
            </w:r>
          </w:p>
        </w:tc>
        <w:tc>
          <w:tcPr>
            <w:tcW w:w="8272"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auto" w:sz="4" w:space="0"/>
              <w:left w:val="single" w:color="auto" w:sz="4" w:space="0"/>
              <w:bottom w:val="single" w:color="auto" w:sz="4" w:space="0"/>
              <w:right w:val="single" w:color="auto"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宋体" w:hAnsi="宋体"/>
                <w:bCs/>
                <w:sz w:val="24"/>
                <w:szCs w:val="24"/>
              </w:rPr>
            </w:pPr>
            <w:r>
              <w:rPr>
                <w:rFonts w:hint="eastAsia" w:ascii="宋体" w:hAnsi="宋体"/>
                <w:bCs/>
                <w:sz w:val="24"/>
                <w:szCs w:val="24"/>
              </w:rPr>
              <w:t>20</w:t>
            </w:r>
          </w:p>
        </w:tc>
        <w:tc>
          <w:tcPr>
            <w:tcW w:w="8272"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rPr>
          <w:rFonts w:ascii="仿宋" w:hAnsi="仿宋" w:eastAsia="仿宋" w:cs="宋体"/>
          <w:b/>
          <w:kern w:val="0"/>
          <w:sz w:val="24"/>
          <w:szCs w:val="32"/>
        </w:rPr>
      </w:pPr>
    </w:p>
    <w:p>
      <w:pPr>
        <w:pStyle w:val="5"/>
        <w:rPr>
          <w:rFonts w:ascii="仿宋" w:hAnsi="仿宋" w:eastAsia="仿宋" w:cs="宋体"/>
          <w:b/>
          <w:kern w:val="0"/>
          <w:sz w:val="24"/>
          <w:szCs w:val="32"/>
        </w:rPr>
      </w:pPr>
    </w:p>
    <w:p>
      <w:pPr>
        <w:pStyle w:val="5"/>
        <w:rPr>
          <w:rFonts w:ascii="仿宋" w:hAnsi="仿宋" w:eastAsia="仿宋" w:cs="宋体"/>
          <w:b/>
          <w:kern w:val="0"/>
          <w:sz w:val="24"/>
          <w:szCs w:val="32"/>
        </w:rPr>
      </w:pPr>
    </w:p>
    <w:p>
      <w:pPr>
        <w:pStyle w:val="5"/>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2" w:name="_Toc18896"/>
      <w:r>
        <w:rPr>
          <w:rFonts w:hint="eastAsia" w:ascii="仿宋" w:hAnsi="仿宋" w:eastAsia="仿宋" w:cs="宋体"/>
          <w:b/>
          <w:kern w:val="0"/>
          <w:sz w:val="24"/>
          <w:szCs w:val="32"/>
        </w:rPr>
        <w:t>用户需求偏离表模板</w:t>
      </w:r>
      <w:bookmarkEnd w:id="178"/>
      <w:bookmarkEnd w:id="179"/>
      <w:bookmarkEnd w:id="180"/>
      <w:bookmarkEnd w:id="181"/>
      <w:bookmarkEnd w:id="182"/>
    </w:p>
    <w:p>
      <w:pPr>
        <w:pStyle w:val="26"/>
        <w:tabs>
          <w:tab w:val="left" w:pos="1050"/>
          <w:tab w:val="center" w:pos="4535"/>
        </w:tabs>
        <w:jc w:val="center"/>
        <w:outlineLvl w:val="0"/>
        <w:rPr>
          <w:b/>
          <w:bCs/>
          <w:szCs w:val="21"/>
        </w:rPr>
      </w:pPr>
      <w:bookmarkStart w:id="183" w:name="_Toc31804"/>
      <w:bookmarkStart w:id="184" w:name="_Toc9683"/>
      <w:bookmarkStart w:id="185" w:name="_Toc25102"/>
      <w:bookmarkStart w:id="186" w:name="_Toc31025"/>
      <w:bookmarkStart w:id="187" w:name="_Toc26391"/>
      <w:bookmarkStart w:id="188" w:name="_Toc10771"/>
      <w:bookmarkStart w:id="189" w:name="_Toc20169"/>
      <w:bookmarkStart w:id="190" w:name="_Toc11212"/>
      <w:bookmarkStart w:id="191" w:name="_Toc24565"/>
      <w:bookmarkStart w:id="192" w:name="_Toc20065"/>
      <w:bookmarkStart w:id="193" w:name="_Toc28877"/>
      <w:bookmarkStart w:id="194" w:name="_Toc10605"/>
      <w:bookmarkStart w:id="195" w:name="_Toc8481"/>
      <w:bookmarkStart w:id="196" w:name="_Toc29101"/>
      <w:r>
        <w:rPr>
          <w:rFonts w:hint="eastAsia"/>
          <w:b/>
          <w:bCs/>
        </w:rPr>
        <w:t>用户需求偏离表</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7" w:name="_Toc6232"/>
      <w:bookmarkStart w:id="198" w:name="_Toc24550"/>
      <w:bookmarkStart w:id="199" w:name="_Toc7019"/>
      <w:bookmarkStart w:id="200" w:name="_Toc15079"/>
      <w:bookmarkStart w:id="201" w:name="_Toc32295"/>
      <w:bookmarkStart w:id="202" w:name="_Toc10398"/>
      <w:bookmarkStart w:id="203" w:name="_Toc24286"/>
    </w:p>
    <w:p>
      <w:pPr>
        <w:spacing w:line="360" w:lineRule="auto"/>
        <w:ind w:left="420" w:firstLine="241" w:firstLineChars="100"/>
        <w:rPr>
          <w:rFonts w:ascii="宋体" w:hAnsi="宋体" w:cs="宋体"/>
          <w:b/>
          <w:bCs/>
          <w:sz w:val="24"/>
        </w:rPr>
      </w:pPr>
      <w:bookmarkStart w:id="204" w:name="_Toc17416"/>
      <w:bookmarkStart w:id="205" w:name="_Toc14009"/>
      <w:bookmarkStart w:id="206" w:name="_Toc1548"/>
      <w:bookmarkStart w:id="207" w:name="_Toc21905"/>
      <w:bookmarkStart w:id="208" w:name="_Toc13551"/>
      <w:bookmarkStart w:id="209" w:name="_Toc31638"/>
      <w:r>
        <w:rPr>
          <w:rFonts w:hint="eastAsia" w:ascii="宋体" w:hAnsi="宋体" w:cs="宋体"/>
          <w:b/>
          <w:bCs/>
          <w:sz w:val="24"/>
        </w:rPr>
        <w:t>一、</w:t>
      </w:r>
      <w:bookmarkEnd w:id="204"/>
      <w:bookmarkEnd w:id="205"/>
      <w:bookmarkEnd w:id="206"/>
      <w:bookmarkEnd w:id="207"/>
      <w:bookmarkEnd w:id="208"/>
      <w:bookmarkEnd w:id="209"/>
      <w:r>
        <w:rPr>
          <w:rFonts w:hint="eastAsia"/>
          <w:b/>
          <w:bCs/>
          <w:sz w:val="24"/>
        </w:rPr>
        <w:t>项目概况</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spacing w:line="400" w:lineRule="exact"/>
        <w:ind w:firstLine="420"/>
        <w:rPr>
          <w:rFonts w:ascii="宋体" w:hAnsi="宋体" w:cs="宋体"/>
          <w:b/>
          <w:bCs/>
          <w:sz w:val="24"/>
        </w:rPr>
      </w:pPr>
      <w:r>
        <w:rPr>
          <w:rFonts w:hint="eastAsia"/>
          <w:b/>
          <w:bCs/>
          <w:sz w:val="24"/>
        </w:rPr>
        <w:t>二、项目内容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ascii="宋体" w:hAnsi="宋体" w:cs="宋体"/>
          <w:b/>
          <w:bCs/>
          <w:color w:val="0000FF"/>
          <w:sz w:val="24"/>
        </w:rPr>
      </w:pPr>
    </w:p>
    <w:p>
      <w:pPr>
        <w:spacing w:line="360" w:lineRule="auto"/>
        <w:ind w:left="420" w:firstLine="241" w:firstLineChars="100"/>
        <w:rPr>
          <w:rFonts w:asciiTheme="majorEastAsia" w:hAnsiTheme="majorEastAsia"/>
          <w:b/>
          <w:sz w:val="22"/>
        </w:rPr>
      </w:pPr>
      <w:r>
        <w:rPr>
          <w:rFonts w:hint="eastAsia" w:ascii="宋体" w:hAnsi="宋体" w:cs="宋体"/>
          <w:b/>
          <w:bCs/>
          <w:sz w:val="24"/>
        </w:rPr>
        <w:t>三、项目要求</w:t>
      </w:r>
    </w:p>
    <w:bookmarkEnd w:id="197"/>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10" w:name="_Toc14718"/>
      <w:bookmarkStart w:id="211" w:name="_Toc15903"/>
      <w:bookmarkStart w:id="212" w:name="_Toc28342"/>
      <w:bookmarkStart w:id="213" w:name="_Toc26114"/>
      <w:bookmarkStart w:id="214" w:name="_Toc16131"/>
      <w:bookmarkStart w:id="215" w:name="_Toc19330"/>
      <w:bookmarkStart w:id="216" w:name="_Toc31897"/>
    </w:p>
    <w:p>
      <w:pPr>
        <w:adjustRightInd w:val="0"/>
        <w:snapToGrid w:val="0"/>
        <w:spacing w:line="400" w:lineRule="exact"/>
        <w:ind w:firstLine="723" w:firstLineChars="300"/>
        <w:rPr>
          <w:rFonts w:ascii="宋体" w:hAnsi="宋体" w:cs="宋体"/>
          <w:b/>
          <w:bCs/>
          <w:sz w:val="24"/>
        </w:rPr>
      </w:pPr>
      <w:r>
        <w:rPr>
          <w:rFonts w:hint="eastAsia" w:ascii="宋体" w:hAnsi="宋体" w:cs="宋体"/>
          <w:b/>
          <w:bCs/>
          <w:sz w:val="24"/>
        </w:rPr>
        <w:t>四、</w:t>
      </w:r>
      <w:bookmarkEnd w:id="198"/>
      <w:bookmarkEnd w:id="199"/>
      <w:bookmarkEnd w:id="200"/>
      <w:bookmarkEnd w:id="201"/>
      <w:bookmarkEnd w:id="202"/>
      <w:bookmarkEnd w:id="203"/>
      <w:bookmarkEnd w:id="210"/>
      <w:bookmarkEnd w:id="211"/>
      <w:bookmarkEnd w:id="212"/>
      <w:bookmarkEnd w:id="213"/>
      <w:bookmarkEnd w:id="214"/>
      <w:bookmarkEnd w:id="215"/>
      <w:bookmarkEnd w:id="216"/>
      <w:r>
        <w:rPr>
          <w:rFonts w:hint="eastAsia" w:ascii="宋体" w:hAnsi="宋体" w:cs="宋体"/>
          <w:b/>
          <w:bCs/>
          <w:color w:val="000000"/>
          <w:sz w:val="24"/>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pStyle w:val="2"/>
        <w:sectPr>
          <w:pgSz w:w="11906" w:h="16838"/>
          <w:pgMar w:top="850" w:right="454" w:bottom="850" w:left="454" w:header="851" w:footer="992" w:gutter="0"/>
          <w:cols w:space="720" w:num="1"/>
          <w:docGrid w:linePitch="312" w:charSpace="0"/>
        </w:sectPr>
      </w:pPr>
    </w:p>
    <w:p>
      <w:pPr>
        <w:pStyle w:val="22"/>
        <w:spacing w:line="360" w:lineRule="auto"/>
        <w:ind w:firstLine="602" w:firstLineChars="200"/>
        <w:jc w:val="center"/>
        <w:outlineLvl w:val="0"/>
        <w:rPr>
          <w:rFonts w:ascii="仿宋" w:hAnsi="仿宋" w:eastAsia="仿宋" w:cs="宋体"/>
          <w:b/>
          <w:kern w:val="0"/>
          <w:sz w:val="30"/>
          <w:szCs w:val="30"/>
        </w:rPr>
      </w:pPr>
      <w:bookmarkStart w:id="217" w:name="_Toc28851"/>
      <w:bookmarkStart w:id="218" w:name="_Toc21213"/>
      <w:bookmarkStart w:id="219" w:name="_Toc6214"/>
      <w:bookmarkStart w:id="220" w:name="_Toc31077"/>
      <w:bookmarkStart w:id="221" w:name="_Toc21561"/>
      <w:bookmarkStart w:id="222" w:name="_Toc31674"/>
      <w:r>
        <w:rPr>
          <w:rFonts w:hint="eastAsia" w:ascii="仿宋" w:hAnsi="仿宋" w:eastAsia="仿宋" w:cs="宋体"/>
          <w:b/>
          <w:kern w:val="0"/>
          <w:sz w:val="30"/>
          <w:szCs w:val="30"/>
        </w:rPr>
        <w:t>初始报价单</w:t>
      </w:r>
    </w:p>
    <w:tbl>
      <w:tblPr>
        <w:tblStyle w:val="16"/>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5471"/>
        <w:gridCol w:w="203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45"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735"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1019"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245"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kern w:val="0"/>
                <w:sz w:val="24"/>
                <w:szCs w:val="20"/>
              </w:rPr>
              <w:t>南方医科大学第五附属医院HIS系统的数据库迁移、医保信用无感支付接口开发项目</w:t>
            </w:r>
          </w:p>
        </w:tc>
        <w:tc>
          <w:tcPr>
            <w:tcW w:w="2735" w:type="pct"/>
            <w:tcBorders>
              <w:top w:val="single" w:color="000000" w:sz="4" w:space="0"/>
              <w:left w:val="single" w:color="000000" w:sz="4" w:space="0"/>
            </w:tcBorders>
            <w:vAlign w:val="center"/>
          </w:tcPr>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合计报价人民币大写：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019" w:type="pct"/>
            <w:tcBorders>
              <w:top w:val="single" w:color="000000" w:sz="4" w:space="0"/>
              <w:left w:val="single" w:color="000000" w:sz="4" w:space="0"/>
            </w:tcBorders>
            <w:vAlign w:val="center"/>
          </w:tcPr>
          <w:p>
            <w:pPr>
              <w:spacing w:line="365" w:lineRule="auto"/>
              <w:ind w:right="221"/>
              <w:jc w:val="center"/>
              <w:rPr>
                <w:rFonts w:ascii="宋体" w:hAnsi="宋体" w:cs="宋体"/>
                <w:b/>
                <w:bCs/>
                <w:kern w:val="0"/>
                <w:sz w:val="24"/>
              </w:rPr>
            </w:pPr>
          </w:p>
        </w:tc>
      </w:tr>
    </w:tbl>
    <w:p>
      <w:pPr>
        <w:pStyle w:val="22"/>
        <w:spacing w:line="360" w:lineRule="auto"/>
        <w:ind w:firstLine="602" w:firstLineChars="200"/>
        <w:jc w:val="center"/>
        <w:outlineLvl w:val="0"/>
        <w:rPr>
          <w:rFonts w:ascii="仿宋" w:hAnsi="仿宋" w:eastAsia="仿宋" w:cs="宋体"/>
          <w:b/>
          <w:kern w:val="0"/>
          <w:sz w:val="30"/>
          <w:szCs w:val="30"/>
        </w:rPr>
      </w:pPr>
    </w:p>
    <w:p>
      <w:pPr>
        <w:pStyle w:val="22"/>
        <w:spacing w:line="360" w:lineRule="exact"/>
        <w:rPr>
          <w:rFonts w:ascii="宋体" w:hAnsi="宋体"/>
          <w:b/>
          <w:bCs/>
          <w:sz w:val="24"/>
        </w:rPr>
      </w:pPr>
      <w:r>
        <w:rPr>
          <w:rFonts w:hint="eastAsia" w:ascii="宋体" w:hAnsi="宋体"/>
          <w:b/>
          <w:bCs/>
          <w:sz w:val="24"/>
          <w:lang w:val="zh-CN"/>
        </w:rPr>
        <w:t>备注：</w:t>
      </w:r>
    </w:p>
    <w:p>
      <w:pPr>
        <w:pStyle w:val="22"/>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widowControl/>
        <w:spacing w:line="400" w:lineRule="exact"/>
        <w:jc w:val="left"/>
        <w:rPr>
          <w:rFonts w:hint="eastAsia" w:cs="宋体" w:asciiTheme="minorEastAsia" w:hAnsiTheme="minorEastAsia" w:eastAsiaTheme="minorEastAsia"/>
          <w:kern w:val="0"/>
          <w:sz w:val="24"/>
        </w:rPr>
      </w:pPr>
      <w:r>
        <w:rPr>
          <w:rFonts w:hint="eastAsia" w:ascii="宋体" w:hAnsi="宋体"/>
          <w:sz w:val="24"/>
        </w:rPr>
        <w:t>2.</w:t>
      </w:r>
      <w:bookmarkStart w:id="223" w:name="_Toc22248"/>
      <w:r>
        <w:rPr>
          <w:rFonts w:hint="eastAsia"/>
        </w:rPr>
        <w:t xml:space="preserve"> </w:t>
      </w:r>
      <w:r>
        <w:rPr>
          <w:rFonts w:hint="eastAsia" w:cs="宋体" w:asciiTheme="minorEastAsia" w:hAnsiTheme="minorEastAsia" w:eastAsiaTheme="minorEastAsia"/>
          <w:kern w:val="0"/>
          <w:sz w:val="24"/>
        </w:rPr>
        <w:t>服务费用采取含税总价包干的形式。包括但不限于各种税费、与第三方系统或信息平台对接所需要的各种接口或改造费用、服务器软件购置费、中间件等第三方软件购置费、服务器及数据库的安装部署等劳务费用等直至验收合格交付完毕等全部所有可预见和不可预见的一切费用。</w:t>
      </w:r>
    </w:p>
    <w:p>
      <w:pPr>
        <w:widowControl/>
        <w:spacing w:line="400" w:lineRule="exact"/>
        <w:jc w:val="left"/>
        <w:rPr>
          <w:rFonts w:ascii="宋体" w:hAnsi="宋体"/>
          <w:b/>
          <w:bCs/>
          <w:sz w:val="24"/>
        </w:rPr>
      </w:pPr>
      <w:r>
        <w:rPr>
          <w:rFonts w:hint="eastAsia" w:ascii="宋体" w:hAnsi="宋体"/>
          <w:b/>
          <w:bCs/>
          <w:sz w:val="24"/>
        </w:rPr>
        <w:t>3其他承诺：</w:t>
      </w:r>
      <w:bookmarkEnd w:id="223"/>
    </w:p>
    <w:p>
      <w:pPr>
        <w:widowControl/>
        <w:spacing w:line="360" w:lineRule="auto"/>
        <w:ind w:firstLine="6720" w:firstLineChars="2800"/>
        <w:jc w:val="left"/>
        <w:rPr>
          <w:rFonts w:ascii="宋体" w:hAnsi="宋体"/>
          <w:sz w:val="24"/>
        </w:rPr>
      </w:pPr>
    </w:p>
    <w:p>
      <w:pPr>
        <w:pStyle w:val="5"/>
        <w:rPr>
          <w:rFonts w:ascii="宋体" w:hAnsi="宋体"/>
          <w:sz w:val="24"/>
        </w:rPr>
      </w:pPr>
    </w:p>
    <w:p>
      <w:pPr>
        <w:pStyle w:val="22"/>
        <w:rPr>
          <w:rFonts w:ascii="宋体" w:hAnsi="宋体"/>
          <w:sz w:val="24"/>
        </w:rPr>
      </w:pPr>
    </w:p>
    <w:p>
      <w:pPr>
        <w:pStyle w:val="22"/>
        <w:rPr>
          <w:rFonts w:ascii="宋体" w:hAnsi="宋体"/>
          <w:sz w:val="24"/>
        </w:rPr>
      </w:pPr>
    </w:p>
    <w:p>
      <w:pPr>
        <w:widowControl/>
        <w:spacing w:line="360" w:lineRule="auto"/>
        <w:ind w:firstLine="3840" w:firstLineChars="1600"/>
        <w:jc w:val="left"/>
        <w:outlineLvl w:val="0"/>
        <w:rPr>
          <w:rFonts w:ascii="宋体" w:hAnsi="宋体"/>
          <w:sz w:val="24"/>
        </w:rPr>
      </w:pPr>
      <w:bookmarkStart w:id="224" w:name="_Toc16161"/>
      <w:r>
        <w:rPr>
          <w:rFonts w:hint="eastAsia" w:ascii="宋体" w:hAnsi="宋体"/>
          <w:sz w:val="24"/>
        </w:rPr>
        <w:t>公司名称（加盖公章）：</w:t>
      </w:r>
      <w:bookmarkEnd w:id="224"/>
    </w:p>
    <w:p>
      <w:pPr>
        <w:widowControl/>
        <w:spacing w:line="360" w:lineRule="auto"/>
        <w:ind w:firstLine="6000" w:firstLineChars="2500"/>
        <w:jc w:val="left"/>
        <w:outlineLvl w:val="0"/>
        <w:rPr>
          <w:rFonts w:ascii="宋体" w:hAnsi="宋体"/>
          <w:sz w:val="24"/>
        </w:rPr>
      </w:pPr>
      <w:bookmarkStart w:id="225" w:name="_Toc16792"/>
    </w:p>
    <w:p>
      <w:pPr>
        <w:widowControl/>
        <w:spacing w:line="360" w:lineRule="auto"/>
        <w:ind w:firstLine="2640" w:firstLineChars="1100"/>
        <w:jc w:val="left"/>
        <w:outlineLvl w:val="0"/>
        <w:rPr>
          <w:rFonts w:ascii="宋体" w:hAnsi="宋体"/>
          <w:sz w:val="24"/>
        </w:rPr>
      </w:pPr>
      <w:r>
        <w:rPr>
          <w:rFonts w:hint="eastAsia" w:ascii="宋体" w:hAnsi="宋体"/>
          <w:sz w:val="24"/>
        </w:rPr>
        <w:t>公司法定代表人或授权代表签名：</w:t>
      </w:r>
      <w:bookmarkEnd w:id="225"/>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6"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6"/>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Ansi="宋体" w:cs="宋体"/>
          <w:b/>
          <w:sz w:val="28"/>
          <w:szCs w:val="22"/>
          <w:lang w:val="zh-CN" w:bidi="zh-CN"/>
        </w:rPr>
      </w:pPr>
    </w:p>
    <w:p>
      <w:pPr>
        <w:pStyle w:val="5"/>
        <w:jc w:val="center"/>
        <w:rPr>
          <w:rFonts w:hint="eastAsia" w:hAnsi="宋体" w:cs="宋体"/>
          <w:b/>
          <w:sz w:val="28"/>
          <w:szCs w:val="22"/>
          <w:lang w:val="zh-CN" w:bidi="zh-CN"/>
        </w:rPr>
      </w:pPr>
    </w:p>
    <w:p>
      <w:pPr>
        <w:pStyle w:val="5"/>
        <w:jc w:val="center"/>
        <w:rPr>
          <w:rFonts w:hint="eastAsia" w:hAnsi="宋体" w:cs="宋体"/>
          <w:b/>
          <w:sz w:val="28"/>
          <w:szCs w:val="22"/>
          <w:lang w:val="zh-CN" w:bidi="zh-CN"/>
        </w:rPr>
      </w:pPr>
    </w:p>
    <w:p>
      <w:pPr>
        <w:pStyle w:val="5"/>
        <w:jc w:val="center"/>
        <w:rPr>
          <w:rFonts w:hAnsi="宋体" w:cs="宋体"/>
          <w:b/>
          <w:sz w:val="28"/>
          <w:szCs w:val="22"/>
          <w:lang w:val="zh-CN" w:bidi="zh-CN"/>
        </w:rPr>
      </w:pPr>
    </w:p>
    <w:p>
      <w:pPr>
        <w:pStyle w:val="26"/>
        <w:tabs>
          <w:tab w:val="left" w:pos="1050"/>
          <w:tab w:val="center" w:pos="4535"/>
        </w:tabs>
        <w:spacing w:line="360" w:lineRule="auto"/>
        <w:jc w:val="center"/>
        <w:outlineLvl w:val="0"/>
        <w:rPr>
          <w:b/>
          <w:bCs/>
          <w:sz w:val="32"/>
          <w:szCs w:val="32"/>
        </w:rPr>
      </w:pPr>
      <w:bookmarkStart w:id="227" w:name="_Toc11748"/>
      <w:r>
        <w:rPr>
          <w:rFonts w:hint="eastAsia"/>
          <w:b/>
          <w:bCs/>
          <w:sz w:val="32"/>
          <w:szCs w:val="32"/>
        </w:rPr>
        <w:t>法定代表人资格证明书</w:t>
      </w:r>
      <w:bookmarkEnd w:id="217"/>
      <w:bookmarkEnd w:id="218"/>
      <w:bookmarkEnd w:id="219"/>
      <w:bookmarkEnd w:id="220"/>
      <w:bookmarkEnd w:id="227"/>
    </w:p>
    <w:p>
      <w:pPr>
        <w:pStyle w:val="26"/>
        <w:spacing w:line="360" w:lineRule="auto"/>
        <w:jc w:val="center"/>
        <w:rPr>
          <w:b/>
          <w:bCs/>
          <w:sz w:val="30"/>
          <w:szCs w:val="30"/>
        </w:rPr>
      </w:pPr>
    </w:p>
    <w:p>
      <w:pPr>
        <w:pStyle w:val="26"/>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6"/>
        <w:spacing w:line="360" w:lineRule="auto"/>
        <w:ind w:firstLine="560"/>
        <w:rPr>
          <w:sz w:val="28"/>
          <w:szCs w:val="28"/>
        </w:rPr>
      </w:pPr>
    </w:p>
    <w:p>
      <w:pPr>
        <w:pStyle w:val="26"/>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6"/>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6"/>
        <w:spacing w:line="360" w:lineRule="auto"/>
        <w:rPr>
          <w:b/>
          <w:bCs/>
          <w:sz w:val="28"/>
          <w:szCs w:val="28"/>
        </w:rPr>
      </w:pPr>
    </w:p>
    <w:p>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6"/>
        <w:spacing w:line="360" w:lineRule="auto"/>
        <w:jc w:val="center"/>
        <w:rPr>
          <w:b/>
          <w:bCs/>
          <w:sz w:val="32"/>
          <w:szCs w:val="32"/>
        </w:rPr>
      </w:pPr>
      <w:bookmarkStart w:id="228" w:name="_Toc18443"/>
      <w:bookmarkStart w:id="229" w:name="_Toc22175"/>
      <w:bookmarkStart w:id="230" w:name="_Toc15050"/>
      <w:bookmarkStart w:id="231" w:name="_Toc3758"/>
      <w:bookmarkStart w:id="232" w:name="_Toc14020"/>
      <w:bookmarkStart w:id="233" w:name="_Toc23685"/>
      <w:bookmarkStart w:id="234" w:name="_Toc14853"/>
      <w:bookmarkStart w:id="235" w:name="_Toc28957"/>
      <w:bookmarkStart w:id="236" w:name="_Toc14591"/>
      <w:bookmarkStart w:id="237" w:name="_Toc3241"/>
      <w:bookmarkStart w:id="238" w:name="_Toc7276"/>
    </w:p>
    <w:p>
      <w:pPr>
        <w:pStyle w:val="26"/>
        <w:spacing w:line="360" w:lineRule="auto"/>
        <w:jc w:val="center"/>
        <w:outlineLvl w:val="0"/>
        <w:rPr>
          <w:b/>
          <w:bCs/>
          <w:sz w:val="32"/>
          <w:szCs w:val="32"/>
        </w:rPr>
      </w:pPr>
      <w:bookmarkStart w:id="239" w:name="_Toc11289"/>
      <w:r>
        <w:rPr>
          <w:rFonts w:hint="eastAsia"/>
          <w:b/>
          <w:bCs/>
          <w:sz w:val="32"/>
          <w:szCs w:val="32"/>
        </w:rPr>
        <w:t>法定代表人授权委托书</w:t>
      </w:r>
      <w:bookmarkEnd w:id="228"/>
      <w:bookmarkEnd w:id="229"/>
      <w:bookmarkEnd w:id="230"/>
      <w:bookmarkEnd w:id="231"/>
      <w:bookmarkEnd w:id="232"/>
      <w:bookmarkEnd w:id="233"/>
      <w:bookmarkEnd w:id="234"/>
      <w:bookmarkEnd w:id="235"/>
      <w:bookmarkEnd w:id="236"/>
      <w:bookmarkEnd w:id="237"/>
      <w:bookmarkEnd w:id="238"/>
      <w:bookmarkEnd w:id="239"/>
    </w:p>
    <w:p>
      <w:pPr>
        <w:pStyle w:val="27"/>
        <w:spacing w:line="360" w:lineRule="auto"/>
        <w:jc w:val="left"/>
        <w:rPr>
          <w:b/>
          <w:bCs/>
          <w:sz w:val="28"/>
          <w:szCs w:val="28"/>
        </w:rPr>
      </w:pPr>
      <w:r>
        <w:rPr>
          <w:rFonts w:hint="eastAsia"/>
          <w:b/>
          <w:bCs/>
          <w:sz w:val="28"/>
          <w:szCs w:val="28"/>
        </w:rPr>
        <w:t>本授权书声明：</w:t>
      </w:r>
    </w:p>
    <w:p>
      <w:pPr>
        <w:pStyle w:val="26"/>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pPr>
        <w:pStyle w:val="26"/>
        <w:spacing w:line="360" w:lineRule="auto"/>
        <w:ind w:firstLine="560"/>
        <w:rPr>
          <w:sz w:val="28"/>
          <w:szCs w:val="28"/>
        </w:rPr>
      </w:pPr>
      <w:r>
        <w:rPr>
          <w:rFonts w:hint="eastAsia"/>
          <w:sz w:val="28"/>
          <w:szCs w:val="28"/>
        </w:rPr>
        <w:t>本授权书在签字盖章后生效，特此声明。</w:t>
      </w:r>
    </w:p>
    <w:p>
      <w:pPr>
        <w:pStyle w:val="26"/>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6"/>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6"/>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sz w:val="36"/>
          <w:szCs w:val="36"/>
        </w:rPr>
      </w:pPr>
    </w:p>
    <w:p>
      <w:pPr>
        <w:pStyle w:val="26"/>
        <w:tabs>
          <w:tab w:val="left" w:pos="1050"/>
          <w:tab w:val="center" w:pos="4535"/>
        </w:tabs>
        <w:spacing w:line="360" w:lineRule="auto"/>
        <w:rPr>
          <w:b/>
          <w:bCs/>
          <w:sz w:val="32"/>
          <w:szCs w:val="32"/>
        </w:rPr>
      </w:pPr>
    </w:p>
    <w:p>
      <w:pPr>
        <w:pStyle w:val="26"/>
        <w:tabs>
          <w:tab w:val="left" w:pos="1050"/>
          <w:tab w:val="center" w:pos="4535"/>
        </w:tabs>
        <w:spacing w:line="360" w:lineRule="auto"/>
        <w:jc w:val="center"/>
        <w:outlineLvl w:val="0"/>
        <w:rPr>
          <w:b/>
          <w:bCs/>
          <w:sz w:val="32"/>
          <w:szCs w:val="32"/>
        </w:rPr>
      </w:pPr>
      <w:bookmarkStart w:id="240" w:name="_Toc31757"/>
      <w:bookmarkStart w:id="241" w:name="_Toc10212"/>
      <w:bookmarkStart w:id="242" w:name="_Toc32281"/>
      <w:r>
        <w:rPr>
          <w:rFonts w:hint="eastAsia"/>
          <w:b/>
          <w:bCs/>
          <w:sz w:val="32"/>
          <w:szCs w:val="32"/>
        </w:rPr>
        <w:t>2021年1月1日以来同类项目经验情况一览表</w:t>
      </w:r>
      <w:bookmarkEnd w:id="221"/>
      <w:bookmarkEnd w:id="222"/>
      <w:bookmarkEnd w:id="240"/>
      <w:bookmarkEnd w:id="241"/>
      <w:bookmarkEnd w:id="24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2"/>
        <w:rPr>
          <w:rFonts w:ascii="宋体" w:hAnsi="宋体"/>
          <w:sz w:val="24"/>
        </w:rPr>
      </w:pPr>
    </w:p>
    <w:p>
      <w:pPr>
        <w:pStyle w:val="22"/>
        <w:spacing w:line="360" w:lineRule="auto"/>
        <w:ind w:firstLine="480" w:firstLineChars="200"/>
        <w:outlineLvl w:val="0"/>
        <w:rPr>
          <w:b/>
          <w:bCs/>
          <w:sz w:val="36"/>
          <w:szCs w:val="36"/>
        </w:rPr>
      </w:pPr>
      <w:bookmarkStart w:id="243" w:name="_Toc16613"/>
      <w:bookmarkStart w:id="244" w:name="_Toc3109"/>
      <w:bookmarkStart w:id="245" w:name="_Toc6536"/>
      <w:r>
        <w:rPr>
          <w:rFonts w:hint="eastAsia" w:ascii="宋体" w:hAnsi="宋体"/>
          <w:sz w:val="24"/>
        </w:rPr>
        <w:t>注：2021年至今同类项目的业绩用户名单及证明材料（同关键页复印件或中标通知书复印件，并加盖供应商公章。）</w:t>
      </w:r>
      <w:bookmarkEnd w:id="243"/>
      <w:bookmarkEnd w:id="244"/>
      <w:bookmarkEnd w:id="245"/>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pStyle w:val="2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6" w:name="_Toc40346385"/>
      <w:bookmarkStart w:id="247" w:name="_Toc20164"/>
      <w:bookmarkStart w:id="248" w:name="_Toc17929"/>
      <w:bookmarkStart w:id="249" w:name="_Toc27180"/>
      <w:bookmarkStart w:id="250" w:name="_Toc30558"/>
      <w:bookmarkStart w:id="251" w:name="_Toc24877"/>
      <w:bookmarkStart w:id="252" w:name="_Toc40776119"/>
      <w:bookmarkStart w:id="253" w:name="_Toc16505"/>
      <w:bookmarkStart w:id="254" w:name="_Toc40346226"/>
      <w:bookmarkStart w:id="255" w:name="_Toc21435"/>
      <w:bookmarkStart w:id="256" w:name="_Toc23732"/>
      <w:bookmarkStart w:id="257" w:name="_Toc9749"/>
    </w:p>
    <w:bookmarkEnd w:id="246"/>
    <w:bookmarkEnd w:id="247"/>
    <w:bookmarkEnd w:id="248"/>
    <w:bookmarkEnd w:id="249"/>
    <w:bookmarkEnd w:id="250"/>
    <w:bookmarkEnd w:id="251"/>
    <w:bookmarkEnd w:id="252"/>
    <w:bookmarkEnd w:id="253"/>
    <w:bookmarkEnd w:id="254"/>
    <w:bookmarkEnd w:id="255"/>
    <w:bookmarkEnd w:id="256"/>
    <w:bookmarkEnd w:id="257"/>
    <w:p>
      <w:pPr>
        <w:jc w:val="center"/>
        <w:rPr>
          <w:b/>
          <w:sz w:val="32"/>
          <w:szCs w:val="32"/>
        </w:rPr>
      </w:pPr>
    </w:p>
    <w:p>
      <w:pPr>
        <w:pStyle w:val="26"/>
        <w:spacing w:line="360" w:lineRule="auto"/>
        <w:jc w:val="center"/>
        <w:outlineLvl w:val="0"/>
        <w:rPr>
          <w:b/>
          <w:bCs/>
          <w:sz w:val="32"/>
          <w:szCs w:val="32"/>
        </w:rPr>
      </w:pPr>
      <w:bookmarkStart w:id="258" w:name="_Toc17932"/>
      <w:bookmarkStart w:id="259" w:name="_Toc14321"/>
      <w:bookmarkStart w:id="260" w:name="_Toc27834"/>
      <w:bookmarkStart w:id="261" w:name="_Toc14093"/>
      <w:bookmarkStart w:id="262" w:name="_Toc24705"/>
      <w:bookmarkStart w:id="263" w:name="_Toc16816"/>
      <w:bookmarkStart w:id="264" w:name="_Toc19803"/>
      <w:bookmarkStart w:id="265" w:name="_Toc25012"/>
      <w:bookmarkStart w:id="266" w:name="_Toc2196"/>
      <w:bookmarkStart w:id="267" w:name="_Toc1521"/>
      <w:bookmarkStart w:id="268" w:name="_Toc31988"/>
      <w:bookmarkStart w:id="269" w:name="_Toc5396"/>
      <w:r>
        <w:rPr>
          <w:rFonts w:hint="eastAsia"/>
          <w:b/>
          <w:bCs/>
          <w:sz w:val="32"/>
          <w:szCs w:val="32"/>
        </w:rPr>
        <w:t>公平竞争承诺书</w:t>
      </w:r>
      <w:bookmarkEnd w:id="258"/>
      <w:bookmarkEnd w:id="259"/>
      <w:bookmarkEnd w:id="260"/>
      <w:bookmarkEnd w:id="261"/>
      <w:bookmarkEnd w:id="262"/>
      <w:bookmarkEnd w:id="263"/>
      <w:bookmarkEnd w:id="264"/>
      <w:bookmarkEnd w:id="265"/>
      <w:bookmarkEnd w:id="266"/>
      <w:bookmarkEnd w:id="267"/>
      <w:bookmarkEnd w:id="268"/>
      <w:bookmarkEnd w:id="269"/>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6"/>
        <w:spacing w:line="360" w:lineRule="auto"/>
        <w:jc w:val="center"/>
        <w:outlineLvl w:val="0"/>
        <w:rPr>
          <w:b/>
          <w:bCs/>
          <w:color w:val="auto"/>
          <w:sz w:val="32"/>
          <w:szCs w:val="32"/>
          <w:highlight w:val="none"/>
        </w:rPr>
      </w:pPr>
      <w:bookmarkStart w:id="270" w:name="_Toc20949"/>
      <w:bookmarkStart w:id="271" w:name="_Toc5237"/>
      <w:bookmarkStart w:id="272" w:name="_Toc6773"/>
      <w:bookmarkStart w:id="273" w:name="_Toc12567"/>
      <w:bookmarkStart w:id="274" w:name="_Toc9085"/>
      <w:bookmarkStart w:id="275" w:name="_Toc29986"/>
      <w:bookmarkStart w:id="276" w:name="_Toc22349"/>
      <w:bookmarkStart w:id="277" w:name="_Toc12986"/>
      <w:bookmarkStart w:id="278" w:name="_Toc31298"/>
      <w:bookmarkStart w:id="279" w:name="_Toc9813"/>
      <w:bookmarkStart w:id="280" w:name="_Toc9308"/>
      <w:bookmarkStart w:id="281" w:name="_Toc4538"/>
      <w:r>
        <w:rPr>
          <w:rFonts w:hint="eastAsia"/>
          <w:b/>
          <w:bCs/>
          <w:color w:val="auto"/>
          <w:sz w:val="32"/>
          <w:szCs w:val="32"/>
          <w:highlight w:val="none"/>
        </w:rPr>
        <w:t>关于资格和响应文件的声明函</w:t>
      </w:r>
      <w:bookmarkEnd w:id="270"/>
      <w:bookmarkEnd w:id="271"/>
      <w:bookmarkEnd w:id="272"/>
      <w:bookmarkEnd w:id="273"/>
      <w:bookmarkEnd w:id="274"/>
      <w:bookmarkEnd w:id="275"/>
      <w:bookmarkEnd w:id="276"/>
      <w:bookmarkEnd w:id="277"/>
      <w:bookmarkEnd w:id="278"/>
      <w:bookmarkEnd w:id="279"/>
      <w:bookmarkEnd w:id="280"/>
      <w:bookmarkEnd w:id="281"/>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6"/>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6"/>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名称（盖章）：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法定代表人（或法定代表人授权代表）（签字或盖章）：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rPr>
          <w:rFonts w:ascii="宋体" w:hAnsi="宋体"/>
          <w:sz w:val="24"/>
        </w:rPr>
      </w:pPr>
    </w:p>
    <w:p>
      <w:pPr>
        <w:pStyle w:val="22"/>
      </w:pPr>
    </w:p>
    <w:p>
      <w:pPr>
        <w:pStyle w:val="3"/>
        <w:numPr>
          <w:ilvl w:val="0"/>
          <w:numId w:val="3"/>
        </w:numPr>
        <w:jc w:val="center"/>
        <w:rPr>
          <w:rFonts w:ascii="宋体" w:hAnsi="宋体" w:eastAsia="宋体"/>
          <w:sz w:val="40"/>
        </w:rPr>
      </w:pPr>
      <w:r>
        <w:rPr>
          <w:rFonts w:hint="eastAsia" w:ascii="宋体" w:hAnsi="宋体" w:eastAsia="宋体"/>
          <w:sz w:val="40"/>
        </w:rPr>
        <w:t xml:space="preserve"> </w:t>
      </w:r>
      <w:bookmarkStart w:id="282" w:name="_Toc17933"/>
      <w:bookmarkStart w:id="283" w:name="_Toc26773"/>
      <w:r>
        <w:rPr>
          <w:rFonts w:hint="eastAsia" w:ascii="宋体" w:hAnsi="宋体" w:eastAsia="宋体"/>
          <w:sz w:val="40"/>
        </w:rPr>
        <w:t>合同模板</w:t>
      </w:r>
      <w:bookmarkEnd w:id="282"/>
      <w:r>
        <w:rPr>
          <w:rFonts w:hint="eastAsia" w:ascii="宋体" w:hAnsi="宋体" w:eastAsia="宋体"/>
          <w:sz w:val="40"/>
        </w:rPr>
        <w:t>（报名成功后获得）</w:t>
      </w:r>
      <w:bookmarkEnd w:id="283"/>
    </w:p>
    <w:p/>
    <w:p>
      <w:pPr>
        <w:pStyle w:val="22"/>
      </w:pPr>
    </w:p>
    <w:p>
      <w:pPr>
        <w:pStyle w:val="22"/>
      </w:pPr>
    </w:p>
    <w:p>
      <w:pPr>
        <w:pStyle w:val="22"/>
      </w:pPr>
    </w:p>
    <w:p>
      <w:pPr>
        <w:pStyle w:val="22"/>
      </w:pPr>
    </w:p>
    <w:p>
      <w:pPr>
        <w:pStyle w:val="22"/>
      </w:pPr>
    </w:p>
    <w:p>
      <w:pPr>
        <w:pStyle w:val="23"/>
        <w:spacing w:line="288" w:lineRule="auto"/>
        <w:rPr>
          <w:rFonts w:ascii="宋体" w:hAnsi="宋体" w:cs="宋体"/>
          <w:szCs w:val="21"/>
        </w:rPr>
      </w:pPr>
    </w:p>
    <w:p>
      <w:pPr>
        <w:rPr>
          <w:rFonts w:hAnsi="宋体" w:cs="宋体"/>
        </w:rPr>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val="en-US" w:eastAsia="zh-CN"/>
                      </w:rPr>
                      <w:t>20</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4D561F03"/>
    <w:multiLevelType w:val="singleLevel"/>
    <w:tmpl w:val="4D561F0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04DE"/>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41572E"/>
    <w:rsid w:val="01AE423C"/>
    <w:rsid w:val="02607008"/>
    <w:rsid w:val="031C04E2"/>
    <w:rsid w:val="034404CF"/>
    <w:rsid w:val="035A45AA"/>
    <w:rsid w:val="039B179B"/>
    <w:rsid w:val="04151569"/>
    <w:rsid w:val="04E57AC0"/>
    <w:rsid w:val="04EE7118"/>
    <w:rsid w:val="053803CD"/>
    <w:rsid w:val="054E169D"/>
    <w:rsid w:val="05907E7A"/>
    <w:rsid w:val="05C673E7"/>
    <w:rsid w:val="062C2FAB"/>
    <w:rsid w:val="066F5ED2"/>
    <w:rsid w:val="07862043"/>
    <w:rsid w:val="079C2FAC"/>
    <w:rsid w:val="07ED2710"/>
    <w:rsid w:val="07ED5D2D"/>
    <w:rsid w:val="08A76D63"/>
    <w:rsid w:val="0A9C5E28"/>
    <w:rsid w:val="0AA45825"/>
    <w:rsid w:val="0B3E4FB5"/>
    <w:rsid w:val="0B876DA6"/>
    <w:rsid w:val="0B991F07"/>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0C0799"/>
    <w:rsid w:val="136354E7"/>
    <w:rsid w:val="14331D3D"/>
    <w:rsid w:val="14DF7EC1"/>
    <w:rsid w:val="15325191"/>
    <w:rsid w:val="158C2B6D"/>
    <w:rsid w:val="15D22F3B"/>
    <w:rsid w:val="16133E5E"/>
    <w:rsid w:val="164C7363"/>
    <w:rsid w:val="17087F4C"/>
    <w:rsid w:val="17562ADF"/>
    <w:rsid w:val="18714DB4"/>
    <w:rsid w:val="18DE6649"/>
    <w:rsid w:val="19A1106F"/>
    <w:rsid w:val="1A812401"/>
    <w:rsid w:val="1A9405BB"/>
    <w:rsid w:val="1AF93CE3"/>
    <w:rsid w:val="1B977D90"/>
    <w:rsid w:val="1BAF27D5"/>
    <w:rsid w:val="1C346633"/>
    <w:rsid w:val="1CAC7FE6"/>
    <w:rsid w:val="1CD21130"/>
    <w:rsid w:val="1DC971D1"/>
    <w:rsid w:val="1DE30DB3"/>
    <w:rsid w:val="1E4F22B0"/>
    <w:rsid w:val="1F187406"/>
    <w:rsid w:val="1F835E87"/>
    <w:rsid w:val="20995391"/>
    <w:rsid w:val="20B81B4B"/>
    <w:rsid w:val="21282075"/>
    <w:rsid w:val="21B11E81"/>
    <w:rsid w:val="21CF3215"/>
    <w:rsid w:val="21D627A8"/>
    <w:rsid w:val="22765FFC"/>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46DFD"/>
    <w:rsid w:val="28084236"/>
    <w:rsid w:val="282633A8"/>
    <w:rsid w:val="28664D21"/>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60056B"/>
    <w:rsid w:val="2FB56247"/>
    <w:rsid w:val="2FD823C2"/>
    <w:rsid w:val="2FD82C2E"/>
    <w:rsid w:val="30395C43"/>
    <w:rsid w:val="311010E0"/>
    <w:rsid w:val="31120C66"/>
    <w:rsid w:val="31EA386E"/>
    <w:rsid w:val="33AB7453"/>
    <w:rsid w:val="340F44BF"/>
    <w:rsid w:val="36A677E9"/>
    <w:rsid w:val="370B587C"/>
    <w:rsid w:val="377A2F71"/>
    <w:rsid w:val="37A66C3A"/>
    <w:rsid w:val="380B2F5F"/>
    <w:rsid w:val="39761AE9"/>
    <w:rsid w:val="39D13924"/>
    <w:rsid w:val="3BDF5305"/>
    <w:rsid w:val="3C683C2C"/>
    <w:rsid w:val="3C943841"/>
    <w:rsid w:val="3CC720E3"/>
    <w:rsid w:val="3CF94A44"/>
    <w:rsid w:val="3D6A0B18"/>
    <w:rsid w:val="3DBE51F4"/>
    <w:rsid w:val="3EBA1C45"/>
    <w:rsid w:val="3F8955E2"/>
    <w:rsid w:val="3FF52FF7"/>
    <w:rsid w:val="40065B1F"/>
    <w:rsid w:val="40264B87"/>
    <w:rsid w:val="4136207C"/>
    <w:rsid w:val="416135FA"/>
    <w:rsid w:val="41B60C35"/>
    <w:rsid w:val="41CD076A"/>
    <w:rsid w:val="423061C3"/>
    <w:rsid w:val="42A321BA"/>
    <w:rsid w:val="42AF6223"/>
    <w:rsid w:val="435B5C8B"/>
    <w:rsid w:val="44062D00"/>
    <w:rsid w:val="44546201"/>
    <w:rsid w:val="44581F51"/>
    <w:rsid w:val="449832F3"/>
    <w:rsid w:val="451E6F60"/>
    <w:rsid w:val="45244DEA"/>
    <w:rsid w:val="46D069DB"/>
    <w:rsid w:val="47425BCF"/>
    <w:rsid w:val="484E4553"/>
    <w:rsid w:val="485129D4"/>
    <w:rsid w:val="48F44CB0"/>
    <w:rsid w:val="49040430"/>
    <w:rsid w:val="49054F84"/>
    <w:rsid w:val="49386EF2"/>
    <w:rsid w:val="4A3B6FBA"/>
    <w:rsid w:val="4A950DCF"/>
    <w:rsid w:val="4C6043FF"/>
    <w:rsid w:val="4C981BA5"/>
    <w:rsid w:val="4CAF6F6C"/>
    <w:rsid w:val="4CC4300C"/>
    <w:rsid w:val="4CED0E45"/>
    <w:rsid w:val="4D72553A"/>
    <w:rsid w:val="4DDF729F"/>
    <w:rsid w:val="4E011820"/>
    <w:rsid w:val="4E2D698F"/>
    <w:rsid w:val="4E4C452A"/>
    <w:rsid w:val="4E5E5E11"/>
    <w:rsid w:val="4E98699E"/>
    <w:rsid w:val="4ED23FAB"/>
    <w:rsid w:val="4F6F2610"/>
    <w:rsid w:val="50C82D96"/>
    <w:rsid w:val="50FC2A30"/>
    <w:rsid w:val="51403B6E"/>
    <w:rsid w:val="514C42EA"/>
    <w:rsid w:val="51A73BDA"/>
    <w:rsid w:val="525330A4"/>
    <w:rsid w:val="52726854"/>
    <w:rsid w:val="538E410D"/>
    <w:rsid w:val="53A776AF"/>
    <w:rsid w:val="53C0399E"/>
    <w:rsid w:val="54543638"/>
    <w:rsid w:val="554140D3"/>
    <w:rsid w:val="55D55D03"/>
    <w:rsid w:val="56187F25"/>
    <w:rsid w:val="5623033B"/>
    <w:rsid w:val="56553C8D"/>
    <w:rsid w:val="5658445F"/>
    <w:rsid w:val="568F6108"/>
    <w:rsid w:val="579161E1"/>
    <w:rsid w:val="580660B1"/>
    <w:rsid w:val="584A1AA0"/>
    <w:rsid w:val="5851284C"/>
    <w:rsid w:val="58D76A1B"/>
    <w:rsid w:val="58F3500B"/>
    <w:rsid w:val="5A4B59E1"/>
    <w:rsid w:val="5A6E3589"/>
    <w:rsid w:val="5A9814EF"/>
    <w:rsid w:val="5B245060"/>
    <w:rsid w:val="5BD64AC1"/>
    <w:rsid w:val="5C8E6CC1"/>
    <w:rsid w:val="5CD4150B"/>
    <w:rsid w:val="5D453D32"/>
    <w:rsid w:val="5D6F1865"/>
    <w:rsid w:val="5D8E3A90"/>
    <w:rsid w:val="5E1A4807"/>
    <w:rsid w:val="5ED21E8E"/>
    <w:rsid w:val="5ED7519A"/>
    <w:rsid w:val="5F0B7BE8"/>
    <w:rsid w:val="5F7243E2"/>
    <w:rsid w:val="60423FDD"/>
    <w:rsid w:val="60636240"/>
    <w:rsid w:val="61306A6A"/>
    <w:rsid w:val="614B10EF"/>
    <w:rsid w:val="61A14189"/>
    <w:rsid w:val="629F0EFE"/>
    <w:rsid w:val="62FC7815"/>
    <w:rsid w:val="63234C06"/>
    <w:rsid w:val="635941B3"/>
    <w:rsid w:val="63D27641"/>
    <w:rsid w:val="64C02086"/>
    <w:rsid w:val="65877B96"/>
    <w:rsid w:val="658925AF"/>
    <w:rsid w:val="66845C96"/>
    <w:rsid w:val="673451CA"/>
    <w:rsid w:val="6772399F"/>
    <w:rsid w:val="6780006F"/>
    <w:rsid w:val="6783093A"/>
    <w:rsid w:val="684D2239"/>
    <w:rsid w:val="689C77C3"/>
    <w:rsid w:val="68B72DD1"/>
    <w:rsid w:val="695A5C90"/>
    <w:rsid w:val="6A274C05"/>
    <w:rsid w:val="6B1B462D"/>
    <w:rsid w:val="6D971A88"/>
    <w:rsid w:val="6DA25BA6"/>
    <w:rsid w:val="6EE41F08"/>
    <w:rsid w:val="6EEF65B2"/>
    <w:rsid w:val="6F32730A"/>
    <w:rsid w:val="705C256B"/>
    <w:rsid w:val="7139323E"/>
    <w:rsid w:val="72944127"/>
    <w:rsid w:val="73093017"/>
    <w:rsid w:val="737B68A8"/>
    <w:rsid w:val="741D0B3E"/>
    <w:rsid w:val="743D52CE"/>
    <w:rsid w:val="74E04D56"/>
    <w:rsid w:val="752A0A70"/>
    <w:rsid w:val="752E6281"/>
    <w:rsid w:val="754135B9"/>
    <w:rsid w:val="75656114"/>
    <w:rsid w:val="756B3B40"/>
    <w:rsid w:val="75B80778"/>
    <w:rsid w:val="771B2AA9"/>
    <w:rsid w:val="776963DA"/>
    <w:rsid w:val="783919C4"/>
    <w:rsid w:val="78703A36"/>
    <w:rsid w:val="78D00495"/>
    <w:rsid w:val="78EA426B"/>
    <w:rsid w:val="78FA1F51"/>
    <w:rsid w:val="795067BF"/>
    <w:rsid w:val="79A57AB6"/>
    <w:rsid w:val="79CB3169"/>
    <w:rsid w:val="79FA6E97"/>
    <w:rsid w:val="7A597865"/>
    <w:rsid w:val="7A6F193F"/>
    <w:rsid w:val="7B1665E7"/>
    <w:rsid w:val="7BCD3C95"/>
    <w:rsid w:val="7C4A0BE1"/>
    <w:rsid w:val="7C66738C"/>
    <w:rsid w:val="7C6737CC"/>
    <w:rsid w:val="7CC01DE0"/>
    <w:rsid w:val="7D056BA5"/>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autoRedefine/>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8"/>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autoRedefine/>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30"/>
    <w:autoRedefine/>
    <w:qFormat/>
    <w:uiPriority w:val="0"/>
    <w:rPr>
      <w:sz w:val="18"/>
      <w:szCs w:val="18"/>
    </w:r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5">
    <w:name w:val="Body Text First Indent 2"/>
    <w:basedOn w:val="7"/>
    <w:autoRedefine/>
    <w:semiHidden/>
    <w:unhideWhenUsed/>
    <w:qFormat/>
    <w:uiPriority w:val="99"/>
    <w:pPr>
      <w:ind w:firstLine="420" w:firstLineChars="200"/>
    </w:pPr>
  </w:style>
  <w:style w:type="table" w:styleId="17">
    <w:name w:val="Table Grid"/>
    <w:basedOn w:val="1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autoRedefine/>
    <w:qFormat/>
    <w:uiPriority w:val="99"/>
    <w:rPr>
      <w:rFonts w:eastAsia="宋体"/>
      <w:color w:val="0000FF"/>
      <w:kern w:val="2"/>
      <w:sz w:val="24"/>
      <w:szCs w:val="24"/>
      <w:u w:val="single"/>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qFormat/>
    <w:uiPriority w:val="0"/>
  </w:style>
  <w:style w:type="character" w:customStyle="1" w:styleId="30">
    <w:name w:val="批注框文本 Char"/>
    <w:basedOn w:val="18"/>
    <w:link w:val="10"/>
    <w:autoRedefine/>
    <w:qFormat/>
    <w:uiPriority w:val="0"/>
    <w:rPr>
      <w:rFonts w:ascii="Times New Roman" w:hAnsi="Times New Roman" w:eastAsia="宋体" w:cs="Times New Roman"/>
      <w:kern w:val="2"/>
      <w:sz w:val="18"/>
      <w:szCs w:val="18"/>
    </w:rPr>
  </w:style>
  <w:style w:type="character" w:customStyle="1" w:styleId="31">
    <w:name w:val="标题 3 Char"/>
    <w:basedOn w:val="18"/>
    <w:link w:val="4"/>
    <w:autoRedefine/>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1"/>
    <w:autoRedefine/>
    <w:qFormat/>
    <w:uiPriority w:val="99"/>
    <w:rPr>
      <w:rFonts w:ascii="Times New Roman" w:hAnsi="Times New Roman" w:eastAsia="宋体" w:cs="Times New Roman"/>
      <w:kern w:val="2"/>
      <w:sz w:val="18"/>
      <w:szCs w:val="18"/>
    </w:rPr>
  </w:style>
  <w:style w:type="paragraph" w:customStyle="1" w:styleId="37">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6"/>
    <w:autoRedefine/>
    <w:qFormat/>
    <w:uiPriority w:val="0"/>
    <w:rPr>
      <w:rFonts w:ascii="Times New Roman" w:hAnsi="Times New Roman" w:eastAsia="宋体" w:cs="Times New Roman"/>
      <w:kern w:val="2"/>
      <w:sz w:val="21"/>
      <w:szCs w:val="24"/>
    </w:rPr>
  </w:style>
  <w:style w:type="paragraph" w:customStyle="1" w:styleId="39">
    <w:name w:val="正文文本_0"/>
    <w:basedOn w:val="1"/>
    <w:autoRedefine/>
    <w:qFormat/>
    <w:uiPriority w:val="0"/>
    <w:pPr>
      <w:spacing w:after="120" w:line="276" w:lineRule="auto"/>
    </w:pPr>
    <w:rPr>
      <w:rFonts w:ascii="Tahoma" w:hAnsi="Tahoma"/>
      <w:kern w:val="0"/>
      <w:sz w:val="20"/>
      <w:szCs w:val="20"/>
    </w:rPr>
  </w:style>
  <w:style w:type="paragraph" w:customStyle="1" w:styleId="40">
    <w:name w:val="普通(网站)1"/>
    <w:basedOn w:val="1"/>
    <w:autoRedefine/>
    <w:qFormat/>
    <w:uiPriority w:val="0"/>
    <w:pPr>
      <w:widowControl/>
    </w:pPr>
    <w:rPr>
      <w:rFonts w:hAnsi="宋体"/>
      <w:sz w:val="15"/>
      <w:szCs w:val="15"/>
    </w:rPr>
  </w:style>
  <w:style w:type="paragraph" w:customStyle="1" w:styleId="4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定格"/>
    <w:basedOn w:val="1"/>
    <w:autoRedefine/>
    <w:qFormat/>
    <w:uiPriority w:val="0"/>
    <w:pPr>
      <w:spacing w:line="360" w:lineRule="auto"/>
      <w:ind w:left="200" w:hanging="200" w:hangingChars="200"/>
    </w:pPr>
    <w:rPr>
      <w:kern w:val="0"/>
      <w:sz w:val="24"/>
      <w:szCs w:val="20"/>
    </w:rPr>
  </w:style>
  <w:style w:type="table" w:customStyle="1" w:styleId="43">
    <w:name w:val="网格型1"/>
    <w:basedOn w:val="1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
    <w:name w:val="网格型2"/>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1344</Words>
  <Characters>7662</Characters>
  <Lines>63</Lines>
  <Paragraphs>17</Paragraphs>
  <TotalTime>23</TotalTime>
  <ScaleCrop>false</ScaleCrop>
  <LinksUpToDate>false</LinksUpToDate>
  <CharactersWithSpaces>8989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2023-12-25T01:52:00Z</cp:lastPrinted>
  <dcterms:modified xsi:type="dcterms:W3CDTF">2023-12-25T09:45:42Z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47429C040DC449BB8D491E4A4BA5268A</vt:lpwstr>
  </property>
</Properties>
</file>