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rFonts w:ascii="宋体" w:hAnsi="宋体"/>
          <w:b/>
          <w:color w:val="auto"/>
          <w:kern w:val="0"/>
          <w:sz w:val="48"/>
          <w:szCs w:val="48"/>
          <w:highlight w:val="none"/>
        </w:rPr>
      </w:pPr>
    </w:p>
    <w:p>
      <w:pPr>
        <w:jc w:val="center"/>
        <w:outlineLvl w:val="0"/>
        <w:rPr>
          <w:rFonts w:ascii="宋体" w:hAnsi="宋体"/>
          <w:b/>
          <w:color w:val="auto"/>
          <w:kern w:val="0"/>
          <w:sz w:val="44"/>
          <w:szCs w:val="44"/>
          <w:highlight w:val="none"/>
        </w:rPr>
      </w:pPr>
      <w:bookmarkStart w:id="0" w:name="_Toc5871"/>
      <w:bookmarkStart w:id="1" w:name="_Toc19606"/>
      <w:bookmarkStart w:id="2" w:name="_Toc8279"/>
      <w:r>
        <w:rPr>
          <w:rFonts w:hint="eastAsia" w:ascii="宋体" w:hAnsi="宋体"/>
          <w:b/>
          <w:color w:val="auto"/>
          <w:kern w:val="0"/>
          <w:sz w:val="44"/>
          <w:szCs w:val="44"/>
          <w:highlight w:val="none"/>
        </w:rPr>
        <w:t>南方医科大学第五附属医院</w:t>
      </w:r>
      <w:bookmarkEnd w:id="0"/>
      <w:bookmarkEnd w:id="1"/>
      <w:bookmarkEnd w:id="2"/>
    </w:p>
    <w:p>
      <w:pPr>
        <w:jc w:val="center"/>
        <w:rPr>
          <w:rFonts w:ascii="宋体" w:hAnsi="宋体"/>
          <w:b/>
          <w:color w:val="auto"/>
          <w:kern w:val="0"/>
          <w:sz w:val="44"/>
          <w:szCs w:val="44"/>
          <w:highlight w:val="none"/>
        </w:rPr>
      </w:pPr>
    </w:p>
    <w:p>
      <w:pPr>
        <w:spacing w:line="480" w:lineRule="auto"/>
        <w:jc w:val="center"/>
        <w:outlineLvl w:val="0"/>
        <w:rPr>
          <w:rFonts w:hint="eastAsia" w:ascii="宋体" w:hAnsi="宋体"/>
          <w:b/>
          <w:color w:val="auto"/>
          <w:kern w:val="0"/>
          <w:sz w:val="44"/>
          <w:szCs w:val="44"/>
          <w:highlight w:val="none"/>
        </w:rPr>
      </w:pPr>
      <w:bookmarkStart w:id="3" w:name="_Toc13036"/>
      <w:bookmarkStart w:id="4" w:name="_Toc14216"/>
      <w:bookmarkStart w:id="5" w:name="_Toc24538"/>
      <w:r>
        <w:rPr>
          <w:rFonts w:hint="eastAsia" w:ascii="宋体" w:hAnsi="宋体"/>
          <w:b/>
          <w:color w:val="auto"/>
          <w:kern w:val="0"/>
          <w:sz w:val="44"/>
          <w:szCs w:val="44"/>
          <w:highlight w:val="none"/>
          <w:lang w:eastAsia="zh-CN"/>
        </w:rPr>
        <w:t>手术灯</w:t>
      </w:r>
      <w:r>
        <w:rPr>
          <w:rFonts w:hint="eastAsia" w:ascii="宋体" w:hAnsi="宋体"/>
          <w:b/>
          <w:color w:val="auto"/>
          <w:kern w:val="0"/>
          <w:sz w:val="44"/>
          <w:szCs w:val="44"/>
          <w:highlight w:val="none"/>
        </w:rPr>
        <w:t>项目</w:t>
      </w:r>
      <w:bookmarkEnd w:id="3"/>
      <w:bookmarkEnd w:id="4"/>
      <w:bookmarkEnd w:id="5"/>
    </w:p>
    <w:p>
      <w:pPr>
        <w:pStyle w:val="23"/>
        <w:rPr>
          <w:rFonts w:hint="eastAsia" w:ascii="宋体" w:hAnsi="宋体"/>
          <w:b/>
          <w:color w:val="auto"/>
          <w:kern w:val="0"/>
          <w:sz w:val="44"/>
          <w:szCs w:val="44"/>
          <w:highlight w:val="none"/>
        </w:rPr>
      </w:pPr>
    </w:p>
    <w:p>
      <w:pPr>
        <w:pStyle w:val="23"/>
        <w:rPr>
          <w:rFonts w:hint="eastAsia" w:ascii="宋体" w:hAnsi="宋体"/>
          <w:b/>
          <w:color w:val="auto"/>
          <w:kern w:val="0"/>
          <w:sz w:val="44"/>
          <w:szCs w:val="44"/>
          <w:highlight w:val="none"/>
        </w:rPr>
      </w:pPr>
    </w:p>
    <w:p>
      <w:pPr>
        <w:pStyle w:val="23"/>
        <w:rPr>
          <w:rFonts w:hint="eastAsia" w:ascii="宋体" w:hAnsi="宋体"/>
          <w:b/>
          <w:color w:val="auto"/>
          <w:kern w:val="0"/>
          <w:sz w:val="44"/>
          <w:szCs w:val="44"/>
          <w:highlight w:val="none"/>
        </w:rPr>
      </w:pPr>
    </w:p>
    <w:p>
      <w:pPr>
        <w:spacing w:line="480" w:lineRule="auto"/>
        <w:jc w:val="center"/>
        <w:outlineLvl w:val="0"/>
        <w:rPr>
          <w:rFonts w:ascii="宋体" w:hAnsi="宋体"/>
          <w:b/>
          <w:bCs/>
          <w:color w:val="auto"/>
          <w:sz w:val="72"/>
          <w:szCs w:val="72"/>
          <w:highlight w:val="none"/>
        </w:rPr>
      </w:pPr>
      <w:bookmarkStart w:id="6" w:name="_Toc19298"/>
      <w:bookmarkStart w:id="7" w:name="_Toc14438"/>
      <w:bookmarkStart w:id="8" w:name="_Toc18596"/>
      <w:r>
        <w:rPr>
          <w:rFonts w:hint="eastAsia" w:ascii="宋体" w:hAnsi="宋体"/>
          <w:b/>
          <w:bCs/>
          <w:color w:val="auto"/>
          <w:sz w:val="72"/>
          <w:szCs w:val="72"/>
          <w:highlight w:val="none"/>
        </w:rPr>
        <w:t>院内采购文件</w:t>
      </w:r>
      <w:bookmarkEnd w:id="6"/>
      <w:bookmarkEnd w:id="7"/>
      <w:bookmarkEnd w:id="8"/>
    </w:p>
    <w:p>
      <w:pPr>
        <w:spacing w:line="480" w:lineRule="auto"/>
        <w:ind w:firstLine="843" w:firstLineChars="300"/>
        <w:jc w:val="center"/>
        <w:rPr>
          <w:rFonts w:ascii="宋体" w:hAnsi="宋体"/>
          <w:b/>
          <w:bCs/>
          <w:color w:val="auto"/>
          <w:sz w:val="28"/>
          <w:szCs w:val="28"/>
          <w:highlight w:val="none"/>
        </w:rPr>
      </w:pPr>
    </w:p>
    <w:p>
      <w:pPr>
        <w:pStyle w:val="23"/>
        <w:rPr>
          <w:color w:val="auto"/>
          <w:highlight w:val="none"/>
        </w:rPr>
      </w:pPr>
    </w:p>
    <w:p>
      <w:pPr>
        <w:pStyle w:val="23"/>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bookmarkStart w:id="10" w:name="_Toc21004"/>
      <w:bookmarkStart w:id="11" w:name="_Toc15085"/>
      <w:r>
        <w:rPr>
          <w:rFonts w:hint="eastAsia" w:ascii="宋体" w:hAnsi="宋体"/>
          <w:b/>
          <w:bCs/>
          <w:color w:val="auto"/>
          <w:sz w:val="36"/>
          <w:szCs w:val="36"/>
          <w:highlight w:val="none"/>
        </w:rPr>
        <w:t>项目编号：</w:t>
      </w:r>
      <w:r>
        <w:rPr>
          <w:rFonts w:hint="eastAsia" w:ascii="宋体" w:hAnsi="宋体"/>
          <w:b/>
          <w:bCs/>
          <w:color w:val="auto"/>
          <w:sz w:val="36"/>
          <w:szCs w:val="36"/>
          <w:highlight w:val="none"/>
          <w:lang w:val="en-US" w:eastAsia="zh-CN"/>
        </w:rPr>
        <w:t>NYWYH2023001</w:t>
      </w:r>
      <w:bookmarkEnd w:id="9"/>
      <w:r>
        <w:rPr>
          <w:rFonts w:hint="eastAsia" w:ascii="宋体" w:hAnsi="宋体"/>
          <w:b/>
          <w:bCs/>
          <w:color w:val="auto"/>
          <w:sz w:val="36"/>
          <w:szCs w:val="36"/>
          <w:highlight w:val="none"/>
          <w:lang w:val="en-US" w:eastAsia="zh-CN"/>
        </w:rPr>
        <w:t>4</w:t>
      </w:r>
      <w:bookmarkEnd w:id="10"/>
      <w:bookmarkEnd w:id="11"/>
    </w:p>
    <w:p>
      <w:pPr>
        <w:pStyle w:val="23"/>
        <w:spacing w:line="360" w:lineRule="auto"/>
        <w:ind w:firstLine="2530" w:firstLineChars="700"/>
        <w:rPr>
          <w:rFonts w:ascii="宋体" w:hAnsi="宋体"/>
          <w:b/>
          <w:bCs/>
          <w:color w:val="auto"/>
          <w:sz w:val="36"/>
          <w:szCs w:val="36"/>
          <w:highlight w:val="none"/>
        </w:rPr>
      </w:pPr>
    </w:p>
    <w:p>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2023年12月</w:t>
      </w:r>
    </w:p>
    <w:p>
      <w:pPr>
        <w:spacing w:line="360" w:lineRule="auto"/>
        <w:jc w:val="center"/>
        <w:rPr>
          <w:rFonts w:ascii="宋体" w:hAnsi="宋体"/>
          <w:b/>
          <w:bCs/>
          <w:color w:val="auto"/>
          <w:sz w:val="28"/>
          <w:szCs w:val="28"/>
          <w:highlight w:val="none"/>
        </w:rPr>
      </w:pPr>
    </w:p>
    <w:p>
      <w:pPr>
        <w:pStyle w:val="13"/>
      </w:pPr>
    </w:p>
    <w:p>
      <w:pPr>
        <w:pStyle w:val="13"/>
      </w:pPr>
    </w:p>
    <w:p>
      <w:pPr>
        <w:pStyle w:val="13"/>
      </w:pPr>
    </w:p>
    <w:p>
      <w:pPr>
        <w:pStyle w:val="13"/>
      </w:pPr>
    </w:p>
    <w:p>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eastAsia="宋体" w:cs="Times New Roman"/>
          <w:kern w:val="2"/>
          <w:sz w:val="21"/>
          <w:szCs w:val="24"/>
          <w:lang w:val="en-US" w:eastAsia="zh-CN" w:bidi="ar-SA"/>
        </w:rPr>
        <w:id w:val="147451907"/>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5"/>
            <w:tabs>
              <w:tab w:val="right" w:leader="dot" w:pos="9070"/>
            </w:tabs>
          </w:pPr>
          <w:r>
            <w:fldChar w:fldCharType="begin"/>
          </w:r>
          <w:r>
            <w:instrText xml:space="preserve">TOC \o "1-1" \h \u </w:instrText>
          </w:r>
          <w:r>
            <w:fldChar w:fldCharType="separate"/>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_Toc23560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_Toc23560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_Toc5520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第二部分 用户需求书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_Toc5520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_Toc5887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highlight w:val="none"/>
              <w:lang w:val="en-US" w:eastAsia="zh-CN" w:bidi="ar-SA"/>
            </w:rPr>
            <w:t>第三部分 评分标准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_Toc5887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_Toc5185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highlight w:val="none"/>
            </w:rPr>
            <w:t>第</w:t>
          </w:r>
          <w:r>
            <w:rPr>
              <w:rFonts w:hint="eastAsia" w:ascii="宋体" w:hAnsi="宋体" w:eastAsia="宋体" w:cs="宋体"/>
              <w:b/>
              <w:bCs/>
              <w:kern w:val="0"/>
              <w:sz w:val="28"/>
              <w:szCs w:val="28"/>
              <w:highlight w:val="none"/>
              <w:lang w:eastAsia="zh-CN"/>
            </w:rPr>
            <w:t>四</w:t>
          </w:r>
          <w:r>
            <w:rPr>
              <w:rFonts w:hint="eastAsia" w:ascii="宋体" w:hAnsi="宋体" w:eastAsia="宋体" w:cs="宋体"/>
              <w:b/>
              <w:bCs/>
              <w:kern w:val="0"/>
              <w:sz w:val="28"/>
              <w:szCs w:val="28"/>
              <w:highlight w:val="none"/>
            </w:rPr>
            <w:t>部分 资料整理注意事项</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_Toc5185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_Toc17983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highlight w:val="none"/>
              <w:lang w:eastAsia="zh-CN"/>
            </w:rPr>
            <w:t>第五部分</w:t>
          </w:r>
          <w:r>
            <w:rPr>
              <w:rFonts w:hint="eastAsia" w:ascii="宋体" w:hAnsi="宋体" w:eastAsia="宋体" w:cs="宋体"/>
              <w:b/>
              <w:bCs/>
              <w:kern w:val="0"/>
              <w:sz w:val="28"/>
              <w:szCs w:val="28"/>
              <w:highlight w:val="none"/>
              <w:lang w:val="en-US" w:eastAsia="zh-CN"/>
            </w:rPr>
            <w:t xml:space="preserve"> </w:t>
          </w:r>
          <w:r>
            <w:rPr>
              <w:rFonts w:hint="eastAsia" w:ascii="宋体" w:hAnsi="宋体" w:eastAsia="宋体" w:cs="宋体"/>
              <w:b/>
              <w:bCs/>
              <w:kern w:val="0"/>
              <w:sz w:val="28"/>
              <w:szCs w:val="28"/>
              <w:highlight w:val="none"/>
            </w:rPr>
            <w:t>相关格式模板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_Toc17983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_Toc1772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eastAsia="zh-CN"/>
            </w:rPr>
            <w:t>第六部分</w:t>
          </w:r>
          <w:r>
            <w:rPr>
              <w:rFonts w:hint="eastAsia" w:ascii="宋体" w:hAnsi="宋体" w:eastAsia="宋体" w:cs="宋体"/>
              <w:b/>
              <w:bCs/>
              <w:kern w:val="0"/>
              <w:sz w:val="28"/>
              <w:szCs w:val="28"/>
            </w:rPr>
            <w:t xml:space="preserve"> 合同模板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_Toc1772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r>
            <w:fldChar w:fldCharType="end"/>
          </w:r>
        </w:p>
      </w:sdtContent>
    </w:sdt>
    <w:p/>
    <w:p/>
    <w:p/>
    <w:p/>
    <w:p/>
    <w:p/>
    <w:p/>
    <w:p/>
    <w:p/>
    <w:p/>
    <w:p/>
    <w:p/>
    <w:p/>
    <w:p/>
    <w:p/>
    <w:p/>
    <w:p/>
    <w:p/>
    <w:p/>
    <w:p/>
    <w:p/>
    <w:p/>
    <w:p/>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numPr>
          <w:ilvl w:val="0"/>
          <w:numId w:val="1"/>
        </w:numPr>
        <w:jc w:val="center"/>
        <w:outlineLvl w:val="0"/>
        <w:rPr>
          <w:b/>
          <w:bCs/>
          <w:kern w:val="0"/>
          <w:sz w:val="32"/>
          <w:szCs w:val="36"/>
        </w:rPr>
        <w:sectPr>
          <w:headerReference r:id="rId3" w:type="default"/>
          <w:footerReference r:id="rId4" w:type="default"/>
          <w:pgSz w:w="11906" w:h="16838"/>
          <w:pgMar w:top="1134" w:right="1418" w:bottom="1134" w:left="1418" w:header="720" w:footer="720" w:gutter="0"/>
          <w:pgNumType w:fmt="decimal"/>
          <w:cols w:space="720" w:num="1"/>
        </w:sectPr>
      </w:pPr>
      <w:bookmarkStart w:id="12" w:name="_Toc18867"/>
      <w:bookmarkStart w:id="13" w:name="_Toc91515612"/>
    </w:p>
    <w:p>
      <w:pPr>
        <w:numPr>
          <w:ilvl w:val="0"/>
          <w:numId w:val="1"/>
        </w:numPr>
        <w:jc w:val="center"/>
        <w:outlineLvl w:val="0"/>
        <w:rPr>
          <w:b/>
          <w:bCs/>
          <w:kern w:val="0"/>
          <w:sz w:val="32"/>
          <w:szCs w:val="36"/>
        </w:rPr>
      </w:pPr>
      <w:bookmarkStart w:id="14" w:name="_Toc23560"/>
      <w:r>
        <w:rPr>
          <w:rFonts w:hint="eastAsia"/>
          <w:b/>
          <w:bCs/>
          <w:kern w:val="0"/>
          <w:sz w:val="32"/>
          <w:szCs w:val="36"/>
        </w:rPr>
        <w:t>报名邀请函</w:t>
      </w:r>
      <w:bookmarkEnd w:id="12"/>
      <w:bookmarkEnd w:id="13"/>
      <w:bookmarkEnd w:id="14"/>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根据我院业务发展需要，近期拟采购</w:t>
      </w:r>
      <w:r>
        <w:rPr>
          <w:rFonts w:hint="eastAsia" w:ascii="宋体" w:hAnsi="宋体" w:cs="宋体"/>
          <w:kern w:val="0"/>
          <w:sz w:val="21"/>
          <w:szCs w:val="21"/>
          <w:lang w:eastAsia="zh-CN"/>
        </w:rPr>
        <w:t>手术灯</w:t>
      </w:r>
      <w:r>
        <w:rPr>
          <w:rFonts w:hint="eastAsia" w:ascii="宋体" w:hAnsi="宋体" w:cs="宋体"/>
          <w:kern w:val="0"/>
          <w:sz w:val="21"/>
          <w:szCs w:val="21"/>
        </w:rPr>
        <w:t>1批。现根据相关规定特此公告，欢迎符合条件的供应商参与报名响应。</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b/>
          <w:bCs/>
          <w:kern w:val="0"/>
          <w:sz w:val="21"/>
          <w:szCs w:val="21"/>
        </w:rPr>
      </w:pPr>
      <w:r>
        <w:rPr>
          <w:rFonts w:hint="eastAsia" w:ascii="宋体" w:hAnsi="宋体" w:cs="宋体"/>
          <w:b/>
          <w:bCs/>
          <w:kern w:val="0"/>
          <w:sz w:val="21"/>
          <w:szCs w:val="21"/>
        </w:rPr>
        <w:t>一、采购需求</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rPr>
        <w:t>1. 项目编号：NYWYH2023001</w:t>
      </w:r>
      <w:r>
        <w:rPr>
          <w:rFonts w:hint="eastAsia" w:ascii="宋体" w:hAnsi="宋体" w:cs="宋体"/>
          <w:kern w:val="0"/>
          <w:sz w:val="21"/>
          <w:szCs w:val="21"/>
          <w:lang w:val="en-US" w:eastAsia="zh-CN"/>
        </w:rPr>
        <w:t>4</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 项目名称：南方医科大学第五附属医院</w:t>
      </w:r>
      <w:r>
        <w:rPr>
          <w:rFonts w:hint="eastAsia" w:ascii="宋体" w:hAnsi="宋体" w:cs="宋体"/>
          <w:kern w:val="0"/>
          <w:sz w:val="21"/>
          <w:szCs w:val="21"/>
          <w:lang w:eastAsia="zh-CN"/>
        </w:rPr>
        <w:t>手术灯</w:t>
      </w:r>
      <w:r>
        <w:rPr>
          <w:rFonts w:hint="eastAsia" w:ascii="宋体" w:hAnsi="宋体" w:cs="宋体"/>
          <w:kern w:val="0"/>
          <w:sz w:val="21"/>
          <w:szCs w:val="21"/>
        </w:rPr>
        <w:t>项目</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 项目限价:</w:t>
      </w:r>
      <w:r>
        <w:rPr>
          <w:rFonts w:hint="eastAsia" w:ascii="宋体" w:hAnsi="宋体" w:cs="宋体"/>
          <w:kern w:val="0"/>
          <w:sz w:val="21"/>
          <w:szCs w:val="21"/>
          <w:lang w:val="en-US" w:eastAsia="zh-CN"/>
        </w:rPr>
        <w:t>25.5</w:t>
      </w:r>
      <w:r>
        <w:rPr>
          <w:rFonts w:hint="eastAsia" w:ascii="宋体" w:hAnsi="宋体" w:cs="宋体"/>
          <w:kern w:val="0"/>
          <w:sz w:val="21"/>
          <w:szCs w:val="21"/>
        </w:rPr>
        <w:t>万元</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eastAsia="zh-CN"/>
        </w:rPr>
      </w:pPr>
      <w:r>
        <w:rPr>
          <w:rFonts w:hint="eastAsia" w:ascii="宋体" w:hAnsi="宋体" w:cs="宋体"/>
          <w:kern w:val="0"/>
          <w:sz w:val="21"/>
          <w:szCs w:val="21"/>
        </w:rPr>
        <w:t>4. 数量：3</w:t>
      </w:r>
      <w:r>
        <w:rPr>
          <w:rFonts w:hint="eastAsia" w:ascii="宋体" w:hAnsi="宋体" w:cs="宋体"/>
          <w:kern w:val="0"/>
          <w:sz w:val="21"/>
          <w:szCs w:val="21"/>
          <w:lang w:eastAsia="zh-CN"/>
        </w:rPr>
        <w:t>台</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5. 采购内容及要求：详见第二部分用户需求书</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b/>
          <w:bCs/>
          <w:kern w:val="0"/>
          <w:sz w:val="21"/>
          <w:szCs w:val="21"/>
        </w:rPr>
      </w:pPr>
      <w:r>
        <w:rPr>
          <w:rFonts w:hint="eastAsia" w:ascii="宋体" w:hAnsi="宋体" w:cs="宋体"/>
          <w:b/>
          <w:bCs/>
          <w:kern w:val="0"/>
          <w:sz w:val="21"/>
          <w:szCs w:val="21"/>
        </w:rPr>
        <w:t>二、提供资料相关事项</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 报名截止时间：2023年12月</w:t>
      </w:r>
      <w:r>
        <w:rPr>
          <w:rFonts w:hint="eastAsia" w:ascii="宋体" w:hAnsi="宋体" w:cs="宋体"/>
          <w:kern w:val="0"/>
          <w:sz w:val="21"/>
          <w:szCs w:val="21"/>
          <w:lang w:val="en-US" w:eastAsia="zh-CN"/>
        </w:rPr>
        <w:t>22</w:t>
      </w:r>
      <w:r>
        <w:rPr>
          <w:rFonts w:hint="eastAsia" w:ascii="宋体" w:hAnsi="宋体" w:cs="宋体"/>
          <w:kern w:val="0"/>
          <w:sz w:val="21"/>
          <w:szCs w:val="21"/>
        </w:rPr>
        <w:t>日下午17点30分</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 报名方式：电子邮件报名</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 报名所需提供资料及要求：详见</w:t>
      </w:r>
      <w:r>
        <w:rPr>
          <w:rFonts w:hint="eastAsia" w:ascii="宋体" w:hAnsi="宋体" w:cs="宋体"/>
          <w:kern w:val="0"/>
          <w:sz w:val="21"/>
          <w:szCs w:val="21"/>
          <w:lang w:val="en-US" w:eastAsia="zh-CN"/>
        </w:rPr>
        <w:t xml:space="preserve"> 项目公告</w:t>
      </w:r>
      <w:r>
        <w:rPr>
          <w:rFonts w:hint="eastAsia" w:ascii="宋体" w:hAnsi="宋体" w:cs="宋体"/>
          <w:kern w:val="0"/>
          <w:sz w:val="21"/>
          <w:szCs w:val="21"/>
        </w:rPr>
        <w:t>附件3报名资料</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4.评审时间及地点：待定（根据医院工作安排通知符合要求报名公司）</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5.报名注意事项：</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（1）请各报名供应商在报名截止时间前，按照采购文件要求做好整套报名资料，发送至指定邮箱，报名时间截止后，由相关人员统一审核。</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（2）各报名供应商应确保所提供报名资料真实、完整、清晰可辨，报名资料模糊不清、难以辨认，视为未提供处理，由此造成报名不成功、不能进入评审环节等严重后果由供应商自行负责。</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（3）报名时间截止后不再受理报名或资料变更和补充，报名时间截止后所接收的任何邮件视为无效邮件。</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kern w:val="0"/>
          <w:sz w:val="21"/>
          <w:szCs w:val="21"/>
        </w:rPr>
      </w:pPr>
      <w:r>
        <w:rPr>
          <w:rFonts w:hint="eastAsia" w:ascii="宋体" w:hAnsi="宋体" w:cs="宋体"/>
          <w:b/>
          <w:bCs/>
          <w:kern w:val="0"/>
          <w:sz w:val="21"/>
          <w:szCs w:val="21"/>
        </w:rPr>
        <w:t>三、供应商资格要求</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 具有良好的商业信誉和健全的财务会计制度：提供承诺函，格式自拟；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 具有履行合同所必需的设备和专业技术能力：填报设备及专业技术能力情况或者提供承诺函，格式自拟；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4. 具有依法缴纳税收和社会保障资金的良好记录：提供承诺函，格式自拟；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5. 2020年10月1日以来企业及其法定代表人未被人民法院列入“失信被执行人名单”；要求提供“信用中国”网站或全国法院被执行人信息查询的网页截图；</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6. 2020年10月1日以来参加政府采购经营活动中没有重大违法记录；提供承诺函，格式自拟；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 xml:space="preserve">7. </w:t>
      </w:r>
      <w:r>
        <w:rPr>
          <w:rFonts w:hint="eastAsia" w:ascii="宋体" w:hAnsi="宋体" w:eastAsia="宋体" w:cs="宋体"/>
          <w:kern w:val="0"/>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eastAsia="宋体" w:cs="宋体"/>
          <w:kern w:val="0"/>
          <w:sz w:val="21"/>
          <w:szCs w:val="21"/>
          <w:lang w:eastAsia="zh-CN"/>
        </w:rPr>
        <w:t>需提供相关证明文件材料并加盖供应商公章。</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如参与者为代理经销商且代理产品为进口产品，须提供从制造厂商到代理经销商对所投产品的合法有效授权证明文件</w:t>
      </w:r>
      <w:r>
        <w:rPr>
          <w:rFonts w:hint="eastAsia" w:ascii="宋体" w:hAnsi="宋体" w:eastAsia="宋体" w:cs="宋体"/>
          <w:kern w:val="0"/>
          <w:sz w:val="21"/>
          <w:szCs w:val="21"/>
          <w:lang w:eastAsia="zh-CN"/>
        </w:rPr>
        <w:t>并加盖供应商公章。</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eastAsia="宋体" w:cs="宋体"/>
          <w:kern w:val="0"/>
          <w:sz w:val="21"/>
          <w:szCs w:val="21"/>
        </w:rPr>
        <w:t>9. 法定代表人或单位负责人为同一人或者存在直接控股、管理关系</w:t>
      </w:r>
      <w:r>
        <w:rPr>
          <w:rFonts w:hint="eastAsia" w:ascii="宋体" w:hAnsi="宋体" w:cs="宋体"/>
          <w:kern w:val="0"/>
          <w:sz w:val="21"/>
          <w:szCs w:val="21"/>
        </w:rPr>
        <w:t>的不同响应单位，不得参加同一合同项下的政府采购活动（提供承诺函，格式自拟）；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10. 本项目不接受联合体。（提供声明函，格式自拟）。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注：供应商若不能同时满足以上条件则视为投标参与无效。（如发现提供虚假材料者，取消其参加评审资格和成交资格）</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b/>
          <w:bCs/>
          <w:kern w:val="0"/>
          <w:sz w:val="21"/>
          <w:szCs w:val="21"/>
        </w:rPr>
      </w:pPr>
      <w:r>
        <w:rPr>
          <w:rFonts w:hint="eastAsia" w:ascii="宋体" w:hAnsi="宋体" w:cs="宋体"/>
          <w:b/>
          <w:bCs/>
          <w:kern w:val="0"/>
          <w:sz w:val="21"/>
          <w:szCs w:val="21"/>
        </w:rPr>
        <w:t>四、联系方式</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冯老师：020-62236261（采购业务咨询）  邮箱：nywycgb@126.com</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侯老师：020-62236239（项目需求咨询）</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lang w:eastAsia="zh-CN"/>
        </w:rPr>
        <w:t>黄</w:t>
      </w:r>
      <w:r>
        <w:rPr>
          <w:rFonts w:hint="eastAsia" w:ascii="宋体" w:hAnsi="宋体" w:cs="宋体"/>
          <w:kern w:val="0"/>
          <w:sz w:val="21"/>
          <w:szCs w:val="21"/>
        </w:rPr>
        <w:t>老师：020-62236105（投诉举报电话）</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联系时间（工作日）：上午 8:30-12:00，下午14:30-17:30</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right"/>
        <w:textAlignment w:val="auto"/>
        <w:rPr>
          <w:rFonts w:hint="eastAsia" w:ascii="宋体" w:hAnsi="宋体" w:cs="宋体"/>
          <w:kern w:val="0"/>
          <w:sz w:val="21"/>
          <w:szCs w:val="21"/>
        </w:rPr>
      </w:pPr>
      <w:r>
        <w:rPr>
          <w:rFonts w:hint="eastAsia" w:ascii="宋体" w:hAnsi="宋体" w:cs="宋体"/>
          <w:kern w:val="0"/>
          <w:sz w:val="21"/>
          <w:szCs w:val="21"/>
        </w:rPr>
        <w:t>南方医科大学第五附属医院</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right"/>
        <w:textAlignment w:val="auto"/>
        <w:rPr>
          <w:rFonts w:hint="eastAsia" w:ascii="宋体" w:hAnsi="宋体" w:cs="宋体"/>
          <w:kern w:val="0"/>
          <w:sz w:val="21"/>
          <w:szCs w:val="21"/>
        </w:rPr>
      </w:pPr>
      <w:r>
        <w:rPr>
          <w:rFonts w:hint="eastAsia" w:ascii="宋体" w:hAnsi="宋体" w:cs="宋体"/>
          <w:kern w:val="0"/>
          <w:sz w:val="21"/>
          <w:szCs w:val="21"/>
        </w:rPr>
        <w:t>2023年</w:t>
      </w:r>
      <w:r>
        <w:rPr>
          <w:rFonts w:hint="eastAsia" w:ascii="宋体" w:hAnsi="宋体" w:cs="宋体"/>
          <w:kern w:val="0"/>
          <w:sz w:val="21"/>
          <w:szCs w:val="21"/>
          <w:lang w:val="en-US" w:eastAsia="zh-CN"/>
        </w:rPr>
        <w:t>12</w:t>
      </w:r>
      <w:r>
        <w:rPr>
          <w:rFonts w:hint="eastAsia" w:ascii="宋体" w:hAnsi="宋体" w:cs="宋体"/>
          <w:kern w:val="0"/>
          <w:sz w:val="21"/>
          <w:szCs w:val="21"/>
        </w:rPr>
        <w:t>月</w:t>
      </w:r>
      <w:r>
        <w:rPr>
          <w:rFonts w:hint="eastAsia" w:ascii="宋体" w:hAnsi="宋体" w:cs="宋体"/>
          <w:kern w:val="0"/>
          <w:sz w:val="21"/>
          <w:szCs w:val="21"/>
          <w:lang w:val="en-US" w:eastAsia="zh-CN"/>
        </w:rPr>
        <w:t>19</w:t>
      </w:r>
      <w:bookmarkStart w:id="130" w:name="_GoBack"/>
      <w:bookmarkEnd w:id="130"/>
      <w:r>
        <w:rPr>
          <w:rFonts w:hint="eastAsia" w:ascii="宋体" w:hAnsi="宋体" w:cs="宋体"/>
          <w:kern w:val="0"/>
          <w:sz w:val="21"/>
          <w:szCs w:val="21"/>
        </w:rPr>
        <w:t>日</w:t>
      </w:r>
    </w:p>
    <w:p>
      <w:pPr>
        <w:widowControl/>
        <w:spacing w:line="360" w:lineRule="auto"/>
        <w:ind w:firstLine="360" w:firstLineChars="150"/>
        <w:jc w:val="left"/>
        <w:rPr>
          <w:rFonts w:hint="eastAsia" w:ascii="宋体" w:hAnsi="宋体" w:cs="宋体"/>
          <w:kern w:val="0"/>
          <w:sz w:val="24"/>
          <w:szCs w:val="27"/>
        </w:rPr>
      </w:pPr>
    </w:p>
    <w:p>
      <w:pPr>
        <w:widowControl/>
        <w:spacing w:line="360" w:lineRule="auto"/>
        <w:jc w:val="left"/>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numPr>
          <w:ilvl w:val="0"/>
          <w:numId w:val="1"/>
        </w:numPr>
        <w:jc w:val="center"/>
        <w:outlineLvl w:val="0"/>
        <w:rPr>
          <w:b/>
          <w:bCs/>
          <w:kern w:val="0"/>
          <w:sz w:val="32"/>
          <w:szCs w:val="36"/>
        </w:rPr>
      </w:pPr>
      <w:bookmarkStart w:id="15" w:name="_Toc25217"/>
      <w:bookmarkStart w:id="16" w:name="_Toc5899"/>
      <w:bookmarkStart w:id="17" w:name="_Toc91515613"/>
      <w:bookmarkStart w:id="18" w:name="_Toc3128"/>
      <w:bookmarkStart w:id="19" w:name="_Toc28493"/>
      <w:bookmarkStart w:id="20" w:name="_Toc5520"/>
      <w:r>
        <w:rPr>
          <w:rFonts w:hint="eastAsia"/>
          <w:b/>
          <w:bCs/>
          <w:kern w:val="0"/>
          <w:sz w:val="32"/>
          <w:szCs w:val="36"/>
        </w:rPr>
        <w:t>用户需求书</w:t>
      </w:r>
      <w:bookmarkEnd w:id="15"/>
      <w:bookmarkEnd w:id="16"/>
      <w:bookmarkEnd w:id="17"/>
      <w:bookmarkEnd w:id="18"/>
      <w:bookmarkEnd w:id="19"/>
      <w:bookmarkEnd w:id="20"/>
      <w:bookmarkStart w:id="21" w:name="_Toc40776106"/>
      <w:bookmarkStart w:id="22" w:name="_Toc40346211"/>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eastAsia="zh-CN"/>
          <w14:textFill>
            <w14:solidFill>
              <w14:schemeClr w14:val="tx1"/>
            </w14:solidFill>
          </w14:textFill>
        </w:rPr>
        <w:t>采购内容</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（一）</w:t>
      </w:r>
      <w:r>
        <w:rPr>
          <w:rFonts w:hint="eastAsia" w:ascii="宋体" w:hAnsi="宋体" w:eastAsia="宋体" w:cs="宋体"/>
          <w:color w:val="000000" w:themeColor="text1"/>
          <w:sz w:val="21"/>
          <w:szCs w:val="21"/>
          <w:lang w:val="zh-CN"/>
          <w14:textFill>
            <w14:solidFill>
              <w14:schemeClr w14:val="tx1"/>
            </w14:solidFill>
          </w14:textFill>
        </w:rPr>
        <w:t>项目名称：</w:t>
      </w:r>
      <w:r>
        <w:rPr>
          <w:rFonts w:hint="eastAsia" w:ascii="宋体" w:hAnsi="宋体" w:eastAsia="宋体" w:cs="宋体"/>
          <w:color w:val="000000" w:themeColor="text1"/>
          <w:sz w:val="21"/>
          <w:szCs w:val="21"/>
          <w14:textFill>
            <w14:solidFill>
              <w14:schemeClr w14:val="tx1"/>
            </w14:solidFill>
          </w14:textFill>
        </w:rPr>
        <w:t>南方医科大学第五附属医院</w:t>
      </w:r>
      <w:r>
        <w:rPr>
          <w:rFonts w:hint="eastAsia" w:ascii="宋体" w:hAnsi="宋体" w:cs="宋体"/>
          <w:color w:val="000000" w:themeColor="text1"/>
          <w:sz w:val="21"/>
          <w:szCs w:val="21"/>
          <w:lang w:eastAsia="zh-CN"/>
          <w14:textFill>
            <w14:solidFill>
              <w14:schemeClr w14:val="tx1"/>
            </w14:solidFill>
          </w14:textFill>
        </w:rPr>
        <w:t>手术灯</w:t>
      </w:r>
      <w:r>
        <w:rPr>
          <w:rFonts w:hint="eastAsia" w:ascii="宋体" w:hAnsi="宋体" w:eastAsia="宋体" w:cs="宋体"/>
          <w:color w:val="000000" w:themeColor="text1"/>
          <w:sz w:val="21"/>
          <w:szCs w:val="21"/>
          <w14:textFill>
            <w14:solidFill>
              <w14:schemeClr w14:val="tx1"/>
            </w14:solidFill>
          </w14:textFill>
        </w:rPr>
        <w:t>项目</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项目预算：</w:t>
      </w:r>
      <w:r>
        <w:rPr>
          <w:rFonts w:hint="eastAsia" w:ascii="宋体" w:hAnsi="宋体" w:cs="宋体"/>
          <w:bCs/>
          <w:color w:val="000000" w:themeColor="text1"/>
          <w:sz w:val="21"/>
          <w:szCs w:val="21"/>
          <w:lang w:val="en-US" w:eastAsia="zh-CN"/>
          <w14:textFill>
            <w14:solidFill>
              <w14:schemeClr w14:val="tx1"/>
            </w14:solidFill>
          </w14:textFill>
        </w:rPr>
        <w:t>25.5</w:t>
      </w:r>
      <w:r>
        <w:rPr>
          <w:rFonts w:hint="eastAsia" w:ascii="宋体" w:hAnsi="宋体" w:eastAsia="宋体" w:cs="宋体"/>
          <w:color w:val="000000" w:themeColor="text1"/>
          <w:sz w:val="21"/>
          <w:szCs w:val="21"/>
          <w14:textFill>
            <w14:solidFill>
              <w14:schemeClr w14:val="tx1"/>
            </w14:solidFill>
          </w14:textFill>
        </w:rPr>
        <w:t>万元</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lang w:val="en-US" w:eastAsia="zh-CN"/>
          <w14:textFill>
            <w14:solidFill>
              <w14:schemeClr w14:val="tx1"/>
            </w14:solidFill>
          </w14:textFill>
        </w:rPr>
        <w:t>数量：3</w:t>
      </w:r>
      <w:r>
        <w:rPr>
          <w:rFonts w:hint="eastAsia" w:ascii="宋体" w:hAnsi="宋体" w:cs="宋体"/>
          <w:color w:val="000000" w:themeColor="text1"/>
          <w:sz w:val="21"/>
          <w:szCs w:val="21"/>
          <w:lang w:val="en-US" w:eastAsia="zh-CN"/>
          <w14:textFill>
            <w14:solidFill>
              <w14:schemeClr w14:val="tx1"/>
            </w14:solidFill>
          </w14:textFill>
        </w:rPr>
        <w:t>台</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技术要求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（一）</w:t>
      </w:r>
      <w:r>
        <w:rPr>
          <w:rFonts w:hint="eastAsia" w:ascii="宋体" w:hAnsi="宋体" w:eastAsia="宋体" w:cs="宋体"/>
          <w:color w:val="000000" w:themeColor="text1"/>
          <w:sz w:val="21"/>
          <w:szCs w:val="21"/>
          <w:lang w:val="zh-CN"/>
          <w14:textFill>
            <w14:solidFill>
              <w14:schemeClr w14:val="tx1"/>
            </w14:solidFill>
          </w14:textFill>
        </w:rPr>
        <w:t>概括</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1.用于麻醉科手术患者的诊疗活动,以满足开展各种外科,妇产科,五官科等科室手术照明要求。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（二）</w:t>
      </w:r>
      <w:r>
        <w:rPr>
          <w:rFonts w:hint="eastAsia" w:ascii="宋体" w:hAnsi="宋体" w:eastAsia="宋体" w:cs="宋体"/>
          <w:color w:val="000000" w:themeColor="text1"/>
          <w:sz w:val="21"/>
          <w:szCs w:val="21"/>
          <w:lang w:val="zh-CN"/>
          <w14:textFill>
            <w14:solidFill>
              <w14:schemeClr w14:val="tx1"/>
            </w14:solidFill>
          </w14:textFill>
        </w:rPr>
        <w:t>设备系统性能概括</w:t>
      </w:r>
    </w:p>
    <w:p>
      <w:pPr>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▲1.采用LED光源，双母灯设计，无眩光，术中不会产生视觉疲劳，高度调节≥50cm。</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2.采用高强度材质外壳，易擦洗，耐酸碱腐蚀。</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3.灯盘外周配有非消毒握把设计，具有防撞及移动操作灯头功能。</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4.≥8颗高功率LED，符合环保节能。</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5. 中置手柄: 可控制无影光斑大小,可徒手拆卸，可耐受高温高压蒸汽灭菌。</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6.每个灯头最大照度≥160000 Lux,可满足手术室所有手术照明临床需求。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7.灯泡使用寿命: ≥60000小时，每个灯泡独立自主，防止整体损坏。</w:t>
      </w:r>
    </w:p>
    <w:p>
      <w:pPr>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▲8.色彩还原指数Ra: ≥90，拥有良好的辨色能力。</w:t>
      </w:r>
    </w:p>
    <w:p>
      <w:pPr>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▲9.照明深度: ≥1200mm，满足深腔手术的照明需求。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10.每个灯头光斑直径调节范围≥200mm。</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11.每个灯头辐射照度比≤2.6(mW/m²lx)。</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12.可变色温设计，符合不同主刀医师及临床需求。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13.标配微创照明模式，并提供调光功能。</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14.具备灯头互控功能: 提供灯头间相互控制，解决临床使用时因手术站位无法调整灯头照度问题。</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15.具备一键环境光模式及智能记忆功能。</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Theme="minorEastAsia" w:hAnsiTheme="minorEastAsia"/>
          <w:bCs/>
          <w:sz w:val="24"/>
          <w:szCs w:val="24"/>
        </w:rPr>
      </w:pPr>
      <w:r>
        <w:rPr>
          <w:rFonts w:hint="eastAsia" w:ascii="宋体" w:hAnsi="宋体" w:eastAsia="宋体" w:cs="宋体"/>
          <w:color w:val="000000" w:themeColor="text1"/>
          <w:sz w:val="21"/>
          <w:szCs w:val="21"/>
          <w:lang w:val="zh-CN" w:eastAsia="zh-CN"/>
          <w14:textFill>
            <w14:solidFill>
              <w14:schemeClr w14:val="tx1"/>
            </w14:solidFill>
          </w14:textFill>
        </w:rPr>
        <w:t>（三）</w:t>
      </w:r>
      <w:r>
        <w:rPr>
          <w:rFonts w:hint="eastAsia" w:ascii="宋体" w:hAnsi="宋体" w:eastAsia="宋体" w:cs="宋体"/>
          <w:color w:val="000000" w:themeColor="text1"/>
          <w:sz w:val="21"/>
          <w:szCs w:val="21"/>
          <w:lang w:val="zh-CN"/>
          <w14:textFill>
            <w14:solidFill>
              <w14:schemeClr w14:val="tx1"/>
            </w14:solidFill>
          </w14:textFill>
        </w:rPr>
        <w:t>主要硬件配置清单（3台手术灯）(每个序号项为一个技术参数)</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061"/>
        <w:gridCol w:w="905"/>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autoSpaceDE/>
              <w:autoSpaceDN/>
              <w:spacing w:line="360" w:lineRule="auto"/>
              <w:jc w:val="center"/>
              <w:rPr>
                <w:rFonts w:asciiTheme="minorEastAsia" w:hAnsiTheme="minorEastAsia"/>
                <w:b/>
                <w:bCs/>
                <w:kern w:val="2"/>
                <w:sz w:val="21"/>
                <w:szCs w:val="21"/>
                <w:lang w:eastAsia="zh-CN"/>
              </w:rPr>
            </w:pPr>
            <w:r>
              <w:rPr>
                <w:rFonts w:asciiTheme="minorEastAsia" w:hAnsiTheme="minorEastAsia"/>
                <w:b/>
                <w:bCs/>
                <w:kern w:val="2"/>
                <w:sz w:val="21"/>
                <w:szCs w:val="21"/>
                <w:lang w:eastAsia="zh-CN"/>
              </w:rPr>
              <w:t>序号</w:t>
            </w:r>
          </w:p>
        </w:tc>
        <w:tc>
          <w:tcPr>
            <w:tcW w:w="5061" w:type="dxa"/>
            <w:vAlign w:val="center"/>
          </w:tcPr>
          <w:p>
            <w:pPr>
              <w:autoSpaceDE/>
              <w:autoSpaceDN/>
              <w:spacing w:line="360" w:lineRule="auto"/>
              <w:jc w:val="center"/>
              <w:rPr>
                <w:rFonts w:asciiTheme="minorEastAsia" w:hAnsiTheme="minorEastAsia"/>
                <w:b/>
                <w:bCs/>
                <w:kern w:val="2"/>
                <w:sz w:val="21"/>
                <w:szCs w:val="21"/>
                <w:lang w:eastAsia="zh-CN"/>
              </w:rPr>
            </w:pPr>
            <w:r>
              <w:rPr>
                <w:rFonts w:asciiTheme="minorEastAsia" w:hAnsiTheme="minorEastAsia"/>
                <w:b/>
                <w:bCs/>
                <w:kern w:val="2"/>
                <w:sz w:val="21"/>
                <w:szCs w:val="21"/>
                <w:lang w:eastAsia="zh-CN"/>
              </w:rPr>
              <w:t>名称</w:t>
            </w:r>
          </w:p>
        </w:tc>
        <w:tc>
          <w:tcPr>
            <w:tcW w:w="905" w:type="dxa"/>
            <w:vAlign w:val="center"/>
          </w:tcPr>
          <w:p>
            <w:pPr>
              <w:autoSpaceDE/>
              <w:autoSpaceDN/>
              <w:spacing w:line="360" w:lineRule="auto"/>
              <w:jc w:val="center"/>
              <w:rPr>
                <w:rFonts w:asciiTheme="minorEastAsia" w:hAnsiTheme="minorEastAsia"/>
                <w:b/>
                <w:bCs/>
                <w:kern w:val="2"/>
                <w:sz w:val="21"/>
                <w:szCs w:val="21"/>
                <w:lang w:eastAsia="zh-CN"/>
              </w:rPr>
            </w:pPr>
            <w:r>
              <w:rPr>
                <w:rFonts w:asciiTheme="minorEastAsia" w:hAnsiTheme="minorEastAsia"/>
                <w:b/>
                <w:bCs/>
                <w:kern w:val="2"/>
                <w:sz w:val="21"/>
                <w:szCs w:val="21"/>
                <w:lang w:eastAsia="zh-CN"/>
              </w:rPr>
              <w:t>数量</w:t>
            </w:r>
          </w:p>
        </w:tc>
        <w:tc>
          <w:tcPr>
            <w:tcW w:w="905" w:type="dxa"/>
            <w:vAlign w:val="center"/>
          </w:tcPr>
          <w:p>
            <w:pPr>
              <w:autoSpaceDE/>
              <w:autoSpaceDN/>
              <w:spacing w:line="360" w:lineRule="auto"/>
              <w:jc w:val="center"/>
              <w:rPr>
                <w:rFonts w:asciiTheme="minorEastAsia" w:hAnsiTheme="minorEastAsia"/>
                <w:b/>
                <w:bCs/>
                <w:kern w:val="2"/>
                <w:sz w:val="21"/>
                <w:szCs w:val="21"/>
                <w:lang w:eastAsia="zh-CN"/>
              </w:rPr>
            </w:pPr>
            <w:r>
              <w:rPr>
                <w:rFonts w:asciiTheme="minorEastAsia" w:hAnsiTheme="minorEastAsia"/>
                <w:b/>
                <w:bCs/>
                <w:kern w:val="2"/>
                <w:sz w:val="21"/>
                <w:szCs w:val="21"/>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autoSpaceDE/>
              <w:autoSpaceDN/>
              <w:spacing w:line="360" w:lineRule="auto"/>
              <w:jc w:val="center"/>
              <w:rPr>
                <w:rFonts w:asciiTheme="minorEastAsia" w:hAnsiTheme="minorEastAsia"/>
                <w:kern w:val="2"/>
                <w:sz w:val="21"/>
                <w:szCs w:val="21"/>
                <w:lang w:eastAsia="zh-CN"/>
              </w:rPr>
            </w:pPr>
            <w:r>
              <w:rPr>
                <w:rFonts w:asciiTheme="minorEastAsia" w:hAnsiTheme="minorEastAsia"/>
                <w:kern w:val="2"/>
                <w:sz w:val="21"/>
                <w:szCs w:val="21"/>
                <w:lang w:eastAsia="zh-CN"/>
              </w:rPr>
              <w:t>1</w:t>
            </w:r>
          </w:p>
        </w:tc>
        <w:tc>
          <w:tcPr>
            <w:tcW w:w="5061" w:type="dxa"/>
            <w:vAlign w:val="center"/>
          </w:tcPr>
          <w:p>
            <w:pPr>
              <w:autoSpaceDE/>
              <w:autoSpaceDN/>
              <w:spacing w:line="360" w:lineRule="auto"/>
              <w:jc w:val="center"/>
              <w:rPr>
                <w:rFonts w:asciiTheme="minorEastAsia" w:hAnsiTheme="minorEastAsia"/>
                <w:kern w:val="2"/>
                <w:sz w:val="21"/>
                <w:szCs w:val="21"/>
                <w:lang w:eastAsia="zh-CN"/>
              </w:rPr>
            </w:pPr>
            <w:r>
              <w:rPr>
                <w:rFonts w:hint="eastAsia" w:asciiTheme="minorEastAsia" w:hAnsiTheme="minorEastAsia"/>
                <w:kern w:val="2"/>
                <w:sz w:val="21"/>
                <w:szCs w:val="21"/>
                <w:lang w:eastAsia="zh-CN"/>
              </w:rPr>
              <w:t>双悬臂</w:t>
            </w:r>
            <w:r>
              <w:rPr>
                <w:rFonts w:hint="eastAsia" w:asciiTheme="minorEastAsia" w:hAnsiTheme="minorEastAsia"/>
                <w:bCs/>
                <w:kern w:val="2"/>
                <w:sz w:val="21"/>
                <w:szCs w:val="21"/>
                <w:lang w:eastAsia="zh-CN"/>
              </w:rPr>
              <w:t>悬吊系统</w:t>
            </w:r>
          </w:p>
        </w:tc>
        <w:tc>
          <w:tcPr>
            <w:tcW w:w="905" w:type="dxa"/>
            <w:vAlign w:val="center"/>
          </w:tcPr>
          <w:p>
            <w:pPr>
              <w:autoSpaceDE/>
              <w:autoSpaceDN/>
              <w:spacing w:line="360" w:lineRule="auto"/>
              <w:jc w:val="center"/>
              <w:rPr>
                <w:rFonts w:asciiTheme="minorEastAsia" w:hAnsiTheme="minorEastAsia"/>
                <w:kern w:val="2"/>
                <w:sz w:val="21"/>
                <w:szCs w:val="21"/>
                <w:lang w:eastAsia="zh-CN"/>
              </w:rPr>
            </w:pPr>
            <w:r>
              <w:rPr>
                <w:rFonts w:hint="eastAsia" w:asciiTheme="minorEastAsia" w:hAnsiTheme="minorEastAsia"/>
                <w:kern w:val="2"/>
                <w:sz w:val="21"/>
                <w:szCs w:val="21"/>
                <w:lang w:eastAsia="zh-CN"/>
              </w:rPr>
              <w:t>3</w:t>
            </w:r>
          </w:p>
        </w:tc>
        <w:tc>
          <w:tcPr>
            <w:tcW w:w="905" w:type="dxa"/>
            <w:vAlign w:val="center"/>
          </w:tcPr>
          <w:p>
            <w:pPr>
              <w:autoSpaceDE/>
              <w:autoSpaceDN/>
              <w:spacing w:line="360" w:lineRule="auto"/>
              <w:jc w:val="center"/>
              <w:rPr>
                <w:rFonts w:asciiTheme="minorEastAsia" w:hAnsiTheme="minorEastAsia"/>
                <w:kern w:val="2"/>
                <w:sz w:val="21"/>
                <w:szCs w:val="21"/>
                <w:lang w:eastAsia="zh-CN"/>
              </w:rPr>
            </w:pPr>
            <w:r>
              <w:rPr>
                <w:rFonts w:hint="eastAsia" w:asciiTheme="minorEastAsia" w:hAnsiTheme="minorEastAsia"/>
                <w:kern w:val="2"/>
                <w:sz w:val="21"/>
                <w:szCs w:val="21"/>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autoSpaceDE/>
              <w:autoSpaceDN/>
              <w:spacing w:line="360" w:lineRule="auto"/>
              <w:jc w:val="center"/>
              <w:rPr>
                <w:rFonts w:asciiTheme="minorEastAsia" w:hAnsiTheme="minorEastAsia"/>
                <w:kern w:val="2"/>
                <w:sz w:val="21"/>
                <w:szCs w:val="21"/>
                <w:lang w:eastAsia="zh-CN"/>
              </w:rPr>
            </w:pPr>
            <w:r>
              <w:rPr>
                <w:rFonts w:asciiTheme="minorEastAsia" w:hAnsiTheme="minorEastAsia"/>
                <w:kern w:val="2"/>
                <w:sz w:val="21"/>
                <w:szCs w:val="21"/>
                <w:lang w:eastAsia="zh-CN"/>
              </w:rPr>
              <w:t>2</w:t>
            </w:r>
          </w:p>
        </w:tc>
        <w:tc>
          <w:tcPr>
            <w:tcW w:w="5061" w:type="dxa"/>
            <w:vAlign w:val="center"/>
          </w:tcPr>
          <w:p>
            <w:pPr>
              <w:autoSpaceDE/>
              <w:autoSpaceDN/>
              <w:spacing w:line="360" w:lineRule="auto"/>
              <w:jc w:val="center"/>
              <w:rPr>
                <w:rFonts w:asciiTheme="minorEastAsia" w:hAnsiTheme="minorEastAsia"/>
                <w:kern w:val="2"/>
                <w:sz w:val="21"/>
                <w:szCs w:val="21"/>
                <w:lang w:eastAsia="zh-CN"/>
              </w:rPr>
            </w:pPr>
            <w:r>
              <w:rPr>
                <w:rFonts w:hint="eastAsia" w:asciiTheme="minorEastAsia" w:hAnsiTheme="minorEastAsia"/>
                <w:kern w:val="2"/>
                <w:sz w:val="21"/>
                <w:szCs w:val="21"/>
                <w:lang w:eastAsia="zh-CN"/>
              </w:rPr>
              <w:t>灯头组</w:t>
            </w:r>
          </w:p>
        </w:tc>
        <w:tc>
          <w:tcPr>
            <w:tcW w:w="905" w:type="dxa"/>
            <w:vAlign w:val="center"/>
          </w:tcPr>
          <w:p>
            <w:pPr>
              <w:autoSpaceDE/>
              <w:autoSpaceDN/>
              <w:spacing w:line="360" w:lineRule="auto"/>
              <w:jc w:val="center"/>
              <w:rPr>
                <w:rFonts w:asciiTheme="minorEastAsia" w:hAnsiTheme="minorEastAsia"/>
                <w:kern w:val="2"/>
                <w:sz w:val="21"/>
                <w:szCs w:val="21"/>
                <w:lang w:eastAsia="zh-CN"/>
              </w:rPr>
            </w:pPr>
            <w:r>
              <w:rPr>
                <w:rFonts w:hint="eastAsia" w:asciiTheme="minorEastAsia" w:hAnsiTheme="minorEastAsia"/>
                <w:kern w:val="2"/>
                <w:sz w:val="21"/>
                <w:szCs w:val="21"/>
                <w:lang w:eastAsia="zh-CN"/>
              </w:rPr>
              <w:t>6</w:t>
            </w:r>
          </w:p>
        </w:tc>
        <w:tc>
          <w:tcPr>
            <w:tcW w:w="905" w:type="dxa"/>
            <w:vAlign w:val="center"/>
          </w:tcPr>
          <w:p>
            <w:pPr>
              <w:autoSpaceDE/>
              <w:autoSpaceDN/>
              <w:spacing w:line="360" w:lineRule="auto"/>
              <w:jc w:val="center"/>
              <w:rPr>
                <w:rFonts w:asciiTheme="minorEastAsia" w:hAnsiTheme="minorEastAsia"/>
                <w:kern w:val="2"/>
                <w:sz w:val="21"/>
                <w:szCs w:val="21"/>
                <w:lang w:eastAsia="zh-CN"/>
              </w:rPr>
            </w:pPr>
            <w:r>
              <w:rPr>
                <w:rFonts w:hint="eastAsia" w:asciiTheme="minorEastAsia" w:hAnsiTheme="minorEastAsia"/>
                <w:kern w:val="2"/>
                <w:sz w:val="21"/>
                <w:szCs w:val="21"/>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783" w:type="dxa"/>
            <w:tcBorders>
              <w:bottom w:val="single" w:color="auto" w:sz="4" w:space="0"/>
            </w:tcBorders>
            <w:vAlign w:val="center"/>
          </w:tcPr>
          <w:p>
            <w:pPr>
              <w:autoSpaceDE/>
              <w:autoSpaceDN/>
              <w:spacing w:line="360" w:lineRule="auto"/>
              <w:jc w:val="center"/>
              <w:rPr>
                <w:rFonts w:asciiTheme="minorEastAsia" w:hAnsiTheme="minorEastAsia"/>
                <w:kern w:val="2"/>
                <w:sz w:val="21"/>
                <w:szCs w:val="21"/>
                <w:lang w:eastAsia="zh-CN"/>
              </w:rPr>
            </w:pPr>
            <w:r>
              <w:rPr>
                <w:rFonts w:asciiTheme="minorEastAsia" w:hAnsiTheme="minorEastAsia"/>
                <w:kern w:val="2"/>
                <w:sz w:val="21"/>
                <w:szCs w:val="21"/>
                <w:lang w:eastAsia="zh-CN"/>
              </w:rPr>
              <w:t>3</w:t>
            </w:r>
          </w:p>
        </w:tc>
        <w:tc>
          <w:tcPr>
            <w:tcW w:w="5061" w:type="dxa"/>
            <w:tcBorders>
              <w:bottom w:val="single" w:color="auto" w:sz="4" w:space="0"/>
            </w:tcBorders>
            <w:vAlign w:val="center"/>
          </w:tcPr>
          <w:p>
            <w:pPr>
              <w:autoSpaceDE/>
              <w:autoSpaceDN/>
              <w:spacing w:line="360" w:lineRule="auto"/>
              <w:jc w:val="center"/>
              <w:rPr>
                <w:rFonts w:asciiTheme="minorEastAsia" w:hAnsiTheme="minorEastAsia"/>
                <w:kern w:val="2"/>
                <w:sz w:val="21"/>
                <w:szCs w:val="21"/>
                <w:lang w:eastAsia="zh-CN"/>
              </w:rPr>
            </w:pPr>
            <w:r>
              <w:rPr>
                <w:rFonts w:hint="eastAsia" w:asciiTheme="minorEastAsia" w:hAnsiTheme="minorEastAsia"/>
                <w:kern w:val="2"/>
                <w:sz w:val="21"/>
                <w:szCs w:val="21"/>
                <w:lang w:eastAsia="zh-CN"/>
              </w:rPr>
              <w:t>电源供应器组</w:t>
            </w:r>
            <w:r>
              <w:rPr>
                <w:rFonts w:asciiTheme="minorEastAsia" w:hAnsiTheme="minorEastAsia"/>
                <w:kern w:val="2"/>
                <w:sz w:val="21"/>
                <w:szCs w:val="21"/>
                <w:lang w:eastAsia="zh-CN"/>
              </w:rPr>
              <w:t>(</w:t>
            </w:r>
            <w:r>
              <w:rPr>
                <w:rFonts w:hint="eastAsia" w:asciiTheme="minorEastAsia" w:hAnsiTheme="minorEastAsia"/>
                <w:kern w:val="2"/>
                <w:sz w:val="21"/>
                <w:szCs w:val="21"/>
                <w:lang w:eastAsia="zh-CN"/>
              </w:rPr>
              <w:t>双灯</w:t>
            </w:r>
            <w:r>
              <w:rPr>
                <w:rFonts w:asciiTheme="minorEastAsia" w:hAnsiTheme="minorEastAsia"/>
                <w:kern w:val="2"/>
                <w:sz w:val="21"/>
                <w:szCs w:val="21"/>
                <w:lang w:eastAsia="zh-CN"/>
              </w:rPr>
              <w:t>)</w:t>
            </w:r>
          </w:p>
        </w:tc>
        <w:tc>
          <w:tcPr>
            <w:tcW w:w="905" w:type="dxa"/>
            <w:tcBorders>
              <w:bottom w:val="single" w:color="auto" w:sz="4" w:space="0"/>
            </w:tcBorders>
            <w:vAlign w:val="center"/>
          </w:tcPr>
          <w:p>
            <w:pPr>
              <w:autoSpaceDE/>
              <w:autoSpaceDN/>
              <w:spacing w:line="360" w:lineRule="auto"/>
              <w:jc w:val="center"/>
              <w:rPr>
                <w:rFonts w:asciiTheme="minorEastAsia" w:hAnsiTheme="minorEastAsia"/>
                <w:kern w:val="2"/>
                <w:sz w:val="21"/>
                <w:szCs w:val="21"/>
                <w:lang w:eastAsia="zh-CN"/>
              </w:rPr>
            </w:pPr>
            <w:r>
              <w:rPr>
                <w:rFonts w:hint="eastAsia" w:asciiTheme="minorEastAsia" w:hAnsiTheme="minorEastAsia"/>
                <w:kern w:val="2"/>
                <w:sz w:val="21"/>
                <w:szCs w:val="21"/>
                <w:lang w:eastAsia="zh-CN"/>
              </w:rPr>
              <w:t>3</w:t>
            </w:r>
          </w:p>
        </w:tc>
        <w:tc>
          <w:tcPr>
            <w:tcW w:w="905" w:type="dxa"/>
            <w:tcBorders>
              <w:bottom w:val="single" w:color="auto" w:sz="4" w:space="0"/>
            </w:tcBorders>
            <w:vAlign w:val="center"/>
          </w:tcPr>
          <w:p>
            <w:pPr>
              <w:autoSpaceDE/>
              <w:autoSpaceDN/>
              <w:spacing w:line="360" w:lineRule="auto"/>
              <w:jc w:val="center"/>
              <w:rPr>
                <w:rFonts w:asciiTheme="minorEastAsia" w:hAnsiTheme="minorEastAsia"/>
                <w:kern w:val="2"/>
                <w:sz w:val="21"/>
                <w:szCs w:val="21"/>
                <w:lang w:eastAsia="zh-CN"/>
              </w:rPr>
            </w:pPr>
            <w:r>
              <w:rPr>
                <w:rFonts w:hint="eastAsia" w:asciiTheme="minorEastAsia" w:hAnsiTheme="minorEastAsia"/>
                <w:kern w:val="2"/>
                <w:sz w:val="21"/>
                <w:szCs w:val="21"/>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jc w:val="center"/>
        </w:trPr>
        <w:tc>
          <w:tcPr>
            <w:tcW w:w="783" w:type="dxa"/>
            <w:tcBorders>
              <w:top w:val="single" w:color="auto" w:sz="4" w:space="0"/>
            </w:tcBorders>
            <w:vAlign w:val="center"/>
          </w:tcPr>
          <w:p>
            <w:pPr>
              <w:autoSpaceDE w:val="0"/>
              <w:autoSpaceDN w:val="0"/>
              <w:spacing w:line="360" w:lineRule="auto"/>
              <w:jc w:val="center"/>
              <w:rPr>
                <w:rFonts w:asciiTheme="minorEastAsia" w:hAnsiTheme="minorEastAsia"/>
                <w:kern w:val="0"/>
                <w:sz w:val="21"/>
                <w:szCs w:val="21"/>
                <w:lang w:eastAsia="zh-CN"/>
              </w:rPr>
            </w:pPr>
            <w:r>
              <w:rPr>
                <w:rFonts w:hint="eastAsia" w:asciiTheme="minorEastAsia" w:hAnsiTheme="minorEastAsia"/>
                <w:kern w:val="0"/>
                <w:sz w:val="21"/>
                <w:szCs w:val="21"/>
                <w:lang w:eastAsia="zh-CN"/>
              </w:rPr>
              <w:t>4</w:t>
            </w:r>
          </w:p>
        </w:tc>
        <w:tc>
          <w:tcPr>
            <w:tcW w:w="5061" w:type="dxa"/>
            <w:tcBorders>
              <w:top w:val="single" w:color="auto" w:sz="4" w:space="0"/>
            </w:tcBorders>
            <w:vAlign w:val="center"/>
          </w:tcPr>
          <w:p>
            <w:pPr>
              <w:autoSpaceDE w:val="0"/>
              <w:autoSpaceDN w:val="0"/>
              <w:spacing w:line="360" w:lineRule="auto"/>
              <w:jc w:val="center"/>
              <w:rPr>
                <w:rFonts w:asciiTheme="minorEastAsia" w:hAnsiTheme="minorEastAsia"/>
                <w:kern w:val="0"/>
                <w:sz w:val="21"/>
                <w:szCs w:val="21"/>
                <w:lang w:eastAsia="en-US"/>
              </w:rPr>
            </w:pPr>
            <w:r>
              <w:rPr>
                <w:rFonts w:hint="eastAsia" w:asciiTheme="minorEastAsia" w:hAnsiTheme="minorEastAsia"/>
                <w:bCs/>
                <w:kern w:val="0"/>
                <w:sz w:val="21"/>
                <w:szCs w:val="21"/>
                <w:lang w:eastAsia="en-US"/>
              </w:rPr>
              <w:t>消毒手柄</w:t>
            </w:r>
          </w:p>
        </w:tc>
        <w:tc>
          <w:tcPr>
            <w:tcW w:w="905" w:type="dxa"/>
            <w:tcBorders>
              <w:top w:val="single" w:color="auto" w:sz="4" w:space="0"/>
            </w:tcBorders>
            <w:vAlign w:val="center"/>
          </w:tcPr>
          <w:p>
            <w:pPr>
              <w:autoSpaceDE w:val="0"/>
              <w:autoSpaceDN w:val="0"/>
              <w:spacing w:line="360" w:lineRule="auto"/>
              <w:jc w:val="center"/>
              <w:rPr>
                <w:rFonts w:asciiTheme="minorEastAsia" w:hAnsiTheme="minorEastAsia"/>
                <w:kern w:val="0"/>
                <w:sz w:val="21"/>
                <w:szCs w:val="21"/>
                <w:lang w:eastAsia="zh-CN"/>
              </w:rPr>
            </w:pPr>
            <w:r>
              <w:rPr>
                <w:rFonts w:hint="eastAsia" w:asciiTheme="minorEastAsia" w:hAnsiTheme="minorEastAsia"/>
                <w:kern w:val="0"/>
                <w:sz w:val="21"/>
                <w:szCs w:val="21"/>
                <w:lang w:eastAsia="zh-CN"/>
              </w:rPr>
              <w:t>6</w:t>
            </w:r>
          </w:p>
        </w:tc>
        <w:tc>
          <w:tcPr>
            <w:tcW w:w="905" w:type="dxa"/>
            <w:tcBorders>
              <w:top w:val="single" w:color="auto" w:sz="4" w:space="0"/>
            </w:tcBorders>
            <w:vAlign w:val="center"/>
          </w:tcPr>
          <w:p>
            <w:pPr>
              <w:autoSpaceDE w:val="0"/>
              <w:autoSpaceDN w:val="0"/>
              <w:spacing w:line="360" w:lineRule="auto"/>
              <w:jc w:val="center"/>
              <w:rPr>
                <w:rFonts w:asciiTheme="minorEastAsia" w:hAnsiTheme="minorEastAsia"/>
                <w:kern w:val="0"/>
                <w:sz w:val="21"/>
                <w:szCs w:val="21"/>
                <w:lang w:eastAsia="zh-CN"/>
              </w:rPr>
            </w:pPr>
            <w:r>
              <w:rPr>
                <w:rFonts w:hint="eastAsia" w:asciiTheme="minorEastAsia" w:hAnsiTheme="minorEastAsia"/>
                <w:kern w:val="0"/>
                <w:sz w:val="21"/>
                <w:szCs w:val="21"/>
                <w:lang w:eastAsia="zh-CN"/>
              </w:rPr>
              <w:t>个</w:t>
            </w:r>
          </w:p>
        </w:tc>
      </w:tr>
    </w:tbl>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商务要求</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1.保修期：验收合格后整机保修≥5年，保修期内每半年一次常规维护保养。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sz w:val="21"/>
          <w:szCs w:val="21"/>
          <w:lang w:eastAsia="zh-CN"/>
        </w:rPr>
      </w:pPr>
      <w:r>
        <w:rPr>
          <w:rFonts w:hint="eastAsia" w:ascii="宋体" w:hAnsi="宋体" w:eastAsia="宋体" w:cs="宋体"/>
          <w:bCs/>
          <w:sz w:val="21"/>
          <w:szCs w:val="21"/>
        </w:rPr>
        <w:t>2.要求故障维修响应时间为1小时，24小时内工程师能到达现场</w:t>
      </w:r>
      <w:r>
        <w:rPr>
          <w:rFonts w:hint="eastAsia" w:ascii="宋体" w:hAnsi="宋体" w:cs="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验收标准：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设备全部安装完成后投入正常使用20个工作日后验收，验收在使用科室、设备器材科和经销商三方共同参加下进行。</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供货期：</w:t>
      </w:r>
      <w:r>
        <w:rPr>
          <w:rFonts w:hint="eastAsia" w:ascii="宋体" w:hAnsi="宋体" w:eastAsia="宋体" w:cs="宋体"/>
          <w:color w:val="000000" w:themeColor="text1"/>
          <w:sz w:val="21"/>
          <w:szCs w:val="21"/>
          <w14:textFill>
            <w14:solidFill>
              <w14:schemeClr w14:val="tx1"/>
            </w14:solidFill>
          </w14:textFill>
        </w:rPr>
        <w:t>签订合同后</w:t>
      </w:r>
      <w:r>
        <w:rPr>
          <w:rFonts w:hint="eastAsia" w:ascii="宋体" w:hAnsi="宋体" w:eastAsia="宋体" w:cs="宋体"/>
          <w:color w:val="000000" w:themeColor="text1"/>
          <w:sz w:val="21"/>
          <w:szCs w:val="21"/>
          <w:u w:val="single"/>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天内完成供货。</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（四）</w:t>
      </w:r>
      <w:r>
        <w:rPr>
          <w:rFonts w:hint="eastAsia" w:ascii="宋体" w:hAnsi="宋体" w:eastAsia="宋体" w:cs="宋体"/>
          <w:b/>
          <w:color w:val="000000" w:themeColor="text1"/>
          <w:sz w:val="21"/>
          <w:szCs w:val="21"/>
          <w:lang w:eastAsia="zh-CN"/>
          <w14:textFill>
            <w14:solidFill>
              <w14:schemeClr w14:val="tx1"/>
            </w14:solidFill>
          </w14:textFill>
        </w:rPr>
        <w:t>履约保证金</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在签订合同前5个工作日内需向</w:t>
      </w:r>
      <w:r>
        <w:rPr>
          <w:rFonts w:hint="eastAsia" w:ascii="宋体" w:hAnsi="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支付合同金额5%履约保证金</w:t>
      </w:r>
      <w:r>
        <w:rPr>
          <w:rFonts w:hint="eastAsia" w:ascii="宋体" w:hAnsi="宋体" w:cs="宋体"/>
          <w:color w:val="000000" w:themeColor="text1"/>
          <w:sz w:val="21"/>
          <w:szCs w:val="21"/>
          <w:lang w:eastAsia="zh-CN"/>
          <w14:textFill>
            <w14:solidFill>
              <w14:schemeClr w14:val="tx1"/>
            </w14:solidFill>
          </w14:textFill>
        </w:rPr>
        <w:t>。采购人确认供应商全部义务履行完毕且无违约责任后30个工作日内无息退回。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付款方式</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cs="宋体"/>
          <w:bCs/>
          <w:sz w:val="21"/>
          <w:szCs w:val="21"/>
          <w:lang w:val="en-US" w:eastAsia="zh-CN"/>
        </w:rPr>
        <w:t>1.</w:t>
      </w:r>
      <w:r>
        <w:rPr>
          <w:rFonts w:hint="eastAsia" w:ascii="宋体" w:hAnsi="宋体" w:eastAsia="宋体" w:cs="宋体"/>
          <w:bCs/>
          <w:sz w:val="21"/>
          <w:szCs w:val="21"/>
        </w:rPr>
        <w:t>合同设备全部到指定地点交付并完成安装及验收合格后，凭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（1）收货证明；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（2）正式全额发票；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（3）验收合格证明；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收取货款，由</w:t>
      </w:r>
      <w:r>
        <w:rPr>
          <w:rFonts w:hint="eastAsia" w:ascii="宋体" w:hAnsi="宋体" w:cs="宋体"/>
          <w:bCs/>
          <w:sz w:val="21"/>
          <w:szCs w:val="21"/>
          <w:lang w:eastAsia="zh-CN"/>
        </w:rPr>
        <w:t>采购人</w:t>
      </w:r>
      <w:r>
        <w:rPr>
          <w:rFonts w:hint="eastAsia" w:ascii="宋体" w:hAnsi="宋体" w:eastAsia="宋体" w:cs="宋体"/>
          <w:bCs/>
          <w:sz w:val="21"/>
          <w:szCs w:val="21"/>
        </w:rPr>
        <w:t>审核后在3个月内向</w:t>
      </w:r>
      <w:r>
        <w:rPr>
          <w:rFonts w:hint="eastAsia" w:ascii="宋体" w:hAnsi="宋体" w:cs="宋体"/>
          <w:bCs/>
          <w:sz w:val="21"/>
          <w:szCs w:val="21"/>
          <w:lang w:eastAsia="zh-CN"/>
        </w:rPr>
        <w:t>供应商</w:t>
      </w:r>
      <w:r>
        <w:rPr>
          <w:rFonts w:hint="eastAsia" w:ascii="宋体" w:hAnsi="宋体" w:eastAsia="宋体" w:cs="宋体"/>
          <w:bCs/>
          <w:sz w:val="21"/>
          <w:szCs w:val="21"/>
        </w:rPr>
        <w:t>支付合同总金额的100%。</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2.若该设备纳入采购人设备租赁项目范围内，由第三方支付货款，须签三方协议。</w:t>
      </w:r>
    </w:p>
    <w:p>
      <w:pPr>
        <w:pStyle w:val="23"/>
        <w:spacing w:line="360" w:lineRule="auto"/>
        <w:rPr>
          <w:rFonts w:ascii="宋体" w:hAnsi="宋体"/>
          <w:b/>
          <w:color w:val="FF0000"/>
          <w:sz w:val="24"/>
        </w:rPr>
      </w:pPr>
    </w:p>
    <w:p>
      <w:pPr>
        <w:pStyle w:val="23"/>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备注：</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1.标有“★”的条款均为必须完全满足指标，报价人须进行实质性响应，报价人若有一项带“★”的条款未响应或不满足，将按无效投标处理。</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2.标有“▲”的条款均为评审的重要评分指标，报价人若有部分“▲”条款未响应或不满足，将导致其响应性评审严重扣分。</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3.成交原则：根据评审标准按综合评分法进行评审，按其评审总得分由高到低顺序排列评分情况，排名第一的供应商为第一成交候选人。</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4.报价要求：本项目采用多轮次报价，各供应商现场再次统一填写总价报价表。</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5.供应商有下列情形之一的，将列入我院黑名单管理，在此后的三年内不得参与我院任何采买活动：</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（1）提供虚假材料谋取中标、成交的；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（2）采取不正当手段诋毁、排挤其它供应商的；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（3）与其他供应商或者采购机构恶意串通围标的；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（4）随意申请撤换或放弃中标/成交结果的；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（12）拒绝有关部门监督检查或者提供虚假情况的。</w:t>
      </w:r>
    </w:p>
    <w:p>
      <w:pPr>
        <w:pStyle w:val="23"/>
        <w:spacing w:line="360" w:lineRule="auto"/>
        <w:rPr>
          <w:rFonts w:hint="eastAsia" w:ascii="宋体" w:hAnsi="宋体" w:eastAsia="宋体" w:cs="宋体"/>
          <w:sz w:val="24"/>
        </w:rPr>
      </w:pPr>
    </w:p>
    <w:p>
      <w:pPr>
        <w:pStyle w:val="23"/>
        <w:spacing w:line="360" w:lineRule="auto"/>
        <w:outlineLvl w:val="0"/>
        <w:rPr>
          <w:rFonts w:hint="eastAsia" w:ascii="宋体" w:hAnsi="宋体" w:cs="宋体"/>
          <w:b/>
          <w:bCs/>
          <w:color w:val="auto"/>
          <w:kern w:val="0"/>
          <w:sz w:val="32"/>
          <w:szCs w:val="32"/>
          <w:highlight w:val="none"/>
          <w:lang w:val="en-US" w:eastAsia="zh-CN" w:bidi="ar-SA"/>
        </w:rPr>
      </w:pPr>
      <w:bookmarkStart w:id="23" w:name="_Toc16962"/>
      <w:bookmarkStart w:id="24" w:name="_Toc25812"/>
      <w:r>
        <w:rPr>
          <w:rFonts w:hint="eastAsia" w:ascii="宋体" w:hAnsi="宋体" w:cs="宋体"/>
          <w:b/>
          <w:bCs/>
          <w:color w:val="auto"/>
          <w:kern w:val="0"/>
          <w:sz w:val="32"/>
          <w:szCs w:val="32"/>
          <w:highlight w:val="none"/>
          <w:lang w:val="en-US" w:eastAsia="zh-CN" w:bidi="ar-SA"/>
        </w:rPr>
        <w:t>、</w:t>
      </w:r>
      <w:bookmarkEnd w:id="23"/>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9"/>
        <w:rPr>
          <w:rFonts w:hint="eastAsia" w:ascii="宋体" w:hAnsi="宋体" w:cs="宋体"/>
          <w:b/>
          <w:bCs/>
          <w:color w:val="auto"/>
          <w:kern w:val="0"/>
          <w:sz w:val="32"/>
          <w:szCs w:val="32"/>
          <w:highlight w:val="none"/>
          <w:lang w:val="en-US" w:eastAsia="zh-CN" w:bidi="ar-SA"/>
        </w:rPr>
      </w:pPr>
    </w:p>
    <w:p>
      <w:pPr>
        <w:pStyle w:val="23"/>
        <w:spacing w:line="360" w:lineRule="auto"/>
        <w:outlineLvl w:val="0"/>
        <w:rPr>
          <w:rFonts w:hint="eastAsia" w:ascii="宋体" w:hAnsi="宋体" w:eastAsia="宋体" w:cs="宋体"/>
          <w:b/>
          <w:bCs/>
          <w:color w:val="auto"/>
          <w:kern w:val="0"/>
          <w:sz w:val="32"/>
          <w:szCs w:val="32"/>
          <w:highlight w:val="none"/>
          <w:lang w:val="en-US" w:eastAsia="zh-CN" w:bidi="ar-SA"/>
        </w:rPr>
      </w:pPr>
      <w:bookmarkStart w:id="25" w:name="_Toc5887"/>
      <w:r>
        <w:rPr>
          <w:rFonts w:hint="eastAsia" w:ascii="宋体" w:hAnsi="宋体" w:eastAsia="宋体" w:cs="宋体"/>
          <w:b/>
          <w:bCs/>
          <w:color w:val="auto"/>
          <w:kern w:val="0"/>
          <w:sz w:val="32"/>
          <w:szCs w:val="32"/>
          <w:highlight w:val="none"/>
          <w:lang w:val="en-US" w:eastAsia="zh-CN" w:bidi="ar-SA"/>
        </w:rPr>
        <w:t>第三部分  评分标准</w:t>
      </w:r>
      <w:bookmarkEnd w:id="24"/>
      <w:bookmarkEnd w:id="25"/>
    </w:p>
    <w:p>
      <w:pPr>
        <w:tabs>
          <w:tab w:val="left" w:pos="3656"/>
        </w:tabs>
        <w:jc w:val="center"/>
        <w:rPr>
          <w:rFonts w:hint="eastAsia"/>
          <w:b/>
          <w:sz w:val="24"/>
          <w:szCs w:val="24"/>
        </w:rPr>
      </w:pPr>
      <w:r>
        <w:rPr>
          <w:rFonts w:hint="eastAsia"/>
          <w:b/>
          <w:sz w:val="24"/>
          <w:szCs w:val="24"/>
        </w:rPr>
        <w:t>南方医科大学第五附属医院院内采购医疗设备</w:t>
      </w:r>
      <w:r>
        <w:rPr>
          <w:rFonts w:hint="eastAsia"/>
          <w:b/>
          <w:sz w:val="24"/>
          <w:szCs w:val="24"/>
          <w:lang w:eastAsia="zh-CN"/>
        </w:rPr>
        <w:t>（手术灯）</w:t>
      </w:r>
      <w:r>
        <w:rPr>
          <w:rFonts w:hint="eastAsia"/>
          <w:b/>
          <w:sz w:val="24"/>
          <w:szCs w:val="24"/>
        </w:rPr>
        <w:t>项目评分表</w:t>
      </w:r>
    </w:p>
    <w:p>
      <w:pPr>
        <w:tabs>
          <w:tab w:val="left" w:pos="3656"/>
        </w:tabs>
        <w:jc w:val="right"/>
        <w:rPr>
          <w:rFonts w:hint="eastAsia"/>
          <w:b/>
          <w:sz w:val="21"/>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685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评审细则</w:t>
            </w:r>
          </w:p>
        </w:tc>
        <w:tc>
          <w:tcPr>
            <w:tcW w:w="98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（36分）</w:t>
            </w:r>
          </w:p>
        </w:tc>
        <w:tc>
          <w:tcPr>
            <w:tcW w:w="6859"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用户需求响应情况，该项最高扣36分。</w:t>
            </w:r>
          </w:p>
          <w:p>
            <w:pPr>
              <w:pStyle w:val="26"/>
              <w:numPr>
                <w:ilvl w:val="0"/>
                <w:numId w:val="2"/>
              </w:numPr>
              <w:ind w:firstLineChars="0"/>
              <w:rPr>
                <w:rFonts w:asciiTheme="minorEastAsia" w:hAnsiTheme="minorEastAsia" w:eastAsiaTheme="minorEastAsia"/>
                <w:b/>
                <w:szCs w:val="21"/>
              </w:rPr>
            </w:pPr>
            <w:r>
              <w:rPr>
                <w:rFonts w:hint="eastAsia" w:asciiTheme="minorEastAsia" w:hAnsiTheme="minorEastAsia" w:eastAsiaTheme="minorEastAsia"/>
                <w:b/>
                <w:szCs w:val="21"/>
              </w:rPr>
              <w:t>对用户需求中技术要求响应情况：</w:t>
            </w:r>
          </w:p>
          <w:p>
            <w:pPr>
              <w:pStyle w:val="26"/>
              <w:numPr>
                <w:ilvl w:val="0"/>
                <w:numId w:val="3"/>
              </w:numPr>
              <w:ind w:firstLineChars="0"/>
              <w:rPr>
                <w:rFonts w:asciiTheme="minorEastAsia" w:hAnsiTheme="minorEastAsia" w:eastAsiaTheme="minorEastAsia"/>
                <w:szCs w:val="21"/>
              </w:rPr>
            </w:pPr>
            <w:r>
              <w:rPr>
                <w:rFonts w:hint="eastAsia" w:asciiTheme="minorEastAsia" w:hAnsiTheme="minorEastAsia" w:eastAsiaTheme="minorEastAsia"/>
                <w:szCs w:val="21"/>
              </w:rPr>
              <w:t>不满足带▲号的重要技术参数的，一项扣4分；</w:t>
            </w:r>
            <w:r>
              <w:rPr>
                <w:rFonts w:hint="eastAsia" w:ascii="仿宋" w:hAnsi="仿宋" w:eastAsia="仿宋"/>
                <w:szCs w:val="21"/>
              </w:rPr>
              <w:t>②</w:t>
            </w:r>
            <w:r>
              <w:rPr>
                <w:rFonts w:hint="eastAsia" w:asciiTheme="minorEastAsia" w:hAnsiTheme="minorEastAsia" w:eastAsiaTheme="minorEastAsia"/>
                <w:szCs w:val="21"/>
              </w:rPr>
              <w:t>不满足不带▲号的一般技术参数的，一项扣1分。</w:t>
            </w:r>
          </w:p>
          <w:p>
            <w:pPr>
              <w:rPr>
                <w:rFonts w:asciiTheme="minorEastAsia" w:hAnsiTheme="minorEastAsia" w:eastAsiaTheme="minorEastAsia"/>
                <w:b/>
                <w:szCs w:val="21"/>
              </w:rPr>
            </w:pPr>
            <w:r>
              <w:rPr>
                <w:rFonts w:hint="eastAsia" w:asciiTheme="minorEastAsia" w:hAnsiTheme="minorEastAsia" w:eastAsiaTheme="minorEastAsia"/>
                <w:b/>
                <w:szCs w:val="21"/>
              </w:rPr>
              <w:t>备注：如采购需求中有明确要求提供证明材料的，则以采购需求要求的为准；如采购需求中无明确要求证明材料的，则投标人须提供投标产品的产品彩页或产品使用说明书（如为英文版，请同时提供中文版加盖供应商公章）或第三方检测机构出具的检测报告复印件或盖有厂家公章的技术参数（中文版）确认函作为技术证明文件。凡不符合上述要求的，将视为无效技术支持资料。</w:t>
            </w:r>
          </w:p>
          <w:p>
            <w:pPr>
              <w:rPr>
                <w:rFonts w:asciiTheme="minorEastAsia" w:hAnsiTheme="minorEastAsia" w:eastAsiaTheme="minorEastAsia"/>
                <w:szCs w:val="21"/>
              </w:rPr>
            </w:pPr>
            <w:r>
              <w:rPr>
                <w:rFonts w:hint="eastAsia" w:asciiTheme="minorEastAsia" w:hAnsiTheme="minorEastAsia" w:eastAsiaTheme="minorEastAsia"/>
                <w:b/>
                <w:szCs w:val="21"/>
              </w:rPr>
              <w:t>（2）对用户需求中商务要求响应情况：</w:t>
            </w:r>
            <w:r>
              <w:rPr>
                <w:rFonts w:asciiTheme="minorEastAsia" w:hAnsiTheme="minorEastAsia" w:eastAsiaTheme="minorEastAsia"/>
                <w:szCs w:val="21"/>
              </w:rPr>
              <w:t xml:space="preserve"> </w:t>
            </w:r>
            <w:r>
              <w:rPr>
                <w:rFonts w:hint="eastAsia" w:asciiTheme="minorEastAsia" w:hAnsiTheme="minorEastAsia" w:eastAsiaTheme="minorEastAsia"/>
                <w:szCs w:val="21"/>
              </w:rPr>
              <w:t>一项不满足的，扣1分。</w:t>
            </w:r>
          </w:p>
          <w:p>
            <w:pPr>
              <w:rPr>
                <w:rFonts w:asciiTheme="minorEastAsia" w:hAnsiTheme="minorEastAsia" w:eastAsiaTheme="minorEastAsia"/>
                <w:b/>
                <w:szCs w:val="21"/>
              </w:rPr>
            </w:pPr>
            <w:r>
              <w:rPr>
                <w:rFonts w:hint="eastAsia" w:asciiTheme="minorEastAsia" w:hAnsiTheme="minorEastAsia" w:eastAsiaTheme="minorEastAsia"/>
                <w:b/>
                <w:szCs w:val="21"/>
              </w:rPr>
              <w:t>备注：以供应商响应文件中的《用户需求偏离表》中填写内容为准，未填写的或不响应的视为负偏离，不得分。</w:t>
            </w:r>
          </w:p>
        </w:tc>
        <w:tc>
          <w:tcPr>
            <w:tcW w:w="986"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36</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（9分）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2020年1月1日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1.5</w:t>
            </w:r>
            <w:r>
              <w:rPr>
                <w:szCs w:val="21"/>
              </w:rPr>
              <w:t>分，满分</w:t>
            </w:r>
            <w:r>
              <w:rPr>
                <w:rFonts w:hint="eastAsia"/>
                <w:szCs w:val="21"/>
              </w:rPr>
              <w:t>9</w:t>
            </w:r>
            <w:r>
              <w:rPr>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注：须附上合同、发票、中标通知书其中一种并加盖公章，不提供不得分，提供不清晰不得分。</w:t>
            </w:r>
          </w:p>
        </w:tc>
        <w:tc>
          <w:tcPr>
            <w:tcW w:w="986" w:type="dxa"/>
            <w:shd w:val="clear" w:color="auto" w:fill="auto"/>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9</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w:t>
            </w:r>
          </w:p>
        </w:tc>
        <w:tc>
          <w:tcPr>
            <w:tcW w:w="1425"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设备包装、安装运输方案（10分）</w:t>
            </w:r>
          </w:p>
        </w:tc>
        <w:tc>
          <w:tcPr>
            <w:tcW w:w="6859"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根据供应商针对本项目制定的设备包装、安装运输方案进行评审：</w:t>
            </w:r>
          </w:p>
          <w:p>
            <w:pPr>
              <w:rPr>
                <w:rFonts w:asciiTheme="minorEastAsia" w:hAnsiTheme="minorEastAsia" w:eastAsiaTheme="minorEastAsia"/>
                <w:szCs w:val="21"/>
              </w:rPr>
            </w:pPr>
            <w:r>
              <w:rPr>
                <w:rFonts w:hint="eastAsia" w:asciiTheme="minorEastAsia" w:hAnsiTheme="minorEastAsia" w:eastAsiaTheme="minorEastAsia"/>
                <w:szCs w:val="21"/>
              </w:rPr>
              <w:t xml:space="preserve">（1）设备包装及安装运输方案合理、详细，优于采购需求，得10分；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（2）设备包装及安装运输方案合理、详细，能满足要求，得6分；</w:t>
            </w:r>
          </w:p>
          <w:p>
            <w:pPr>
              <w:rPr>
                <w:rFonts w:asciiTheme="minorEastAsia" w:hAnsiTheme="minorEastAsia" w:eastAsiaTheme="minorEastAsia"/>
                <w:szCs w:val="21"/>
              </w:rPr>
            </w:pPr>
            <w:r>
              <w:rPr>
                <w:rFonts w:hint="eastAsia" w:asciiTheme="minorEastAsia" w:hAnsiTheme="minorEastAsia" w:eastAsiaTheme="minorEastAsia"/>
                <w:szCs w:val="21"/>
              </w:rPr>
              <w:t>（3）设备包装及安装运输方案欠合理、详细，基本满足要求，得2分；</w:t>
            </w:r>
          </w:p>
          <w:p>
            <w:pPr>
              <w:rPr>
                <w:rFonts w:asciiTheme="minorEastAsia" w:hAnsiTheme="minorEastAsia" w:eastAsiaTheme="minorEastAsia"/>
                <w:szCs w:val="21"/>
              </w:rPr>
            </w:pPr>
            <w:r>
              <w:rPr>
                <w:rFonts w:hint="eastAsia" w:asciiTheme="minorEastAsia" w:hAnsiTheme="minorEastAsia" w:eastAsiaTheme="minorEastAsia"/>
                <w:szCs w:val="21"/>
              </w:rPr>
              <w:t>（4）设备包装及安装运输方案不合理、详细，不满足要求，得0分；</w:t>
            </w:r>
          </w:p>
        </w:tc>
        <w:tc>
          <w:tcPr>
            <w:tcW w:w="986"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4</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售后服务方案</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（10分）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根据供应商针对本项目制定的售后服务方案，（包含保修期内的三包原则、维修保障方案、培训方案）进行评审：</w:t>
            </w:r>
            <w:r>
              <w:rPr>
                <w:rFonts w:hint="eastAsia" w:asciiTheme="minorEastAsia" w:hAnsiTheme="minorEastAsia" w:eastAsiaTheme="minorEastAsia"/>
                <w:b/>
                <w:szCs w:val="21"/>
              </w:rPr>
              <w:br w:type="textWrapping"/>
            </w:r>
            <w:r>
              <w:rPr>
                <w:rFonts w:hint="eastAsia" w:asciiTheme="minorEastAsia" w:hAnsiTheme="minorEastAsia" w:eastAsiaTheme="minorEastAsia"/>
                <w:szCs w:val="21"/>
              </w:rPr>
              <w:t xml:space="preserve">（1）售后服务方案合理、详细，响应速度快，应急处理快，优于采购需求，得10分；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（2）售后服务方案较合理，响应速度较快，应急处理较快，满足采购需求，得6分；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（3）售后服务方案不够合理，响应速度一般，应急处理较慢，基本满足采购需求，得2分；  </w:t>
            </w:r>
          </w:p>
          <w:p>
            <w:pPr>
              <w:rPr>
                <w:rFonts w:asciiTheme="minorEastAsia" w:hAnsiTheme="minorEastAsia" w:eastAsiaTheme="minorEastAsia"/>
                <w:szCs w:val="21"/>
              </w:rPr>
            </w:pPr>
            <w:r>
              <w:rPr>
                <w:rFonts w:hint="eastAsia" w:asciiTheme="minorEastAsia" w:hAnsiTheme="minorEastAsia" w:eastAsiaTheme="minorEastAsia"/>
                <w:szCs w:val="21"/>
              </w:rPr>
              <w:t>（4）售后服务方案不合理，响应速度慢，应急处理较慢，不满足采购需求，得0分；</w:t>
            </w:r>
          </w:p>
        </w:tc>
        <w:tc>
          <w:tcPr>
            <w:tcW w:w="986"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5</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价格分</w:t>
            </w:r>
          </w:p>
          <w:p>
            <w:pPr>
              <w:widowControl/>
              <w:jc w:val="center"/>
              <w:rPr>
                <w:rFonts w:ascii="宋体" w:hAnsi="宋体" w:cs="宋体"/>
                <w:b/>
                <w:bCs/>
                <w:kern w:val="0"/>
                <w:szCs w:val="21"/>
              </w:rPr>
            </w:pPr>
            <w:r>
              <w:rPr>
                <w:rFonts w:hint="eastAsia" w:ascii="宋体" w:hAnsi="宋体" w:cs="宋体"/>
                <w:b/>
                <w:bCs/>
                <w:kern w:val="0"/>
                <w:szCs w:val="21"/>
              </w:rPr>
              <w:t>（35分）</w:t>
            </w:r>
          </w:p>
        </w:tc>
        <w:tc>
          <w:tcPr>
            <w:tcW w:w="6859" w:type="dxa"/>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（1）满足院内采购文件要求且最终价格最低的报价为评标基准价，其价格为满分。</w:t>
            </w:r>
            <w:r>
              <w:rPr>
                <w:rFonts w:hint="eastAsia" w:ascii="宋体" w:hAnsi="宋体" w:cs="宋体"/>
                <w:kern w:val="0"/>
                <w:szCs w:val="21"/>
              </w:rPr>
              <w:br w:type="textWrapping"/>
            </w:r>
            <w:r>
              <w:rPr>
                <w:rFonts w:hint="eastAsia" w:ascii="宋体" w:hAnsi="宋体" w:cs="宋体"/>
                <w:kern w:val="0"/>
                <w:szCs w:val="21"/>
              </w:rPr>
              <w:t>（2）各有效响应供应商的价格评分统一按照下列公式计算：</w:t>
            </w:r>
            <w:r>
              <w:rPr>
                <w:rFonts w:hint="eastAsia" w:ascii="宋体" w:hAnsi="宋体" w:cs="宋体"/>
                <w:kern w:val="0"/>
                <w:szCs w:val="21"/>
              </w:rPr>
              <w:br w:type="textWrapping"/>
            </w:r>
            <w:r>
              <w:rPr>
                <w:rFonts w:hint="eastAsia" w:ascii="宋体" w:hAnsi="宋体" w:cs="宋体"/>
                <w:kern w:val="0"/>
                <w:szCs w:val="21"/>
              </w:rPr>
              <w:t>报价得分 = （评标基准价/最终报价）×价格权值</w:t>
            </w:r>
          </w:p>
        </w:tc>
        <w:tc>
          <w:tcPr>
            <w:tcW w:w="986" w:type="dxa"/>
            <w:shd w:val="clear" w:color="auto" w:fill="auto"/>
            <w:vAlign w:val="center"/>
          </w:tcPr>
          <w:p>
            <w:pPr>
              <w:widowControl/>
              <w:jc w:val="center"/>
              <w:rPr>
                <w:rFonts w:hint="eastAsia" w:ascii="宋体" w:hAnsi="宋体" w:eastAsia="宋体" w:cs="宋体"/>
                <w:strike/>
                <w:kern w:val="0"/>
                <w:szCs w:val="21"/>
                <w:lang w:eastAsia="zh-CN"/>
              </w:rPr>
            </w:pPr>
            <w:r>
              <w:rPr>
                <w:rFonts w:hint="eastAsia" w:ascii="宋体" w:hAnsi="宋体" w:cs="宋体"/>
                <w:kern w:val="0"/>
                <w:szCs w:val="21"/>
              </w:rPr>
              <w:t>35</w:t>
            </w:r>
            <w:r>
              <w:rPr>
                <w:rFonts w:hint="eastAsia" w:ascii="宋体" w:hAnsi="宋体" w:cs="宋体"/>
                <w:kern w:val="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计</w:t>
            </w:r>
          </w:p>
        </w:tc>
        <w:tc>
          <w:tcPr>
            <w:tcW w:w="986" w:type="dxa"/>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100</w:t>
            </w:r>
            <w:r>
              <w:rPr>
                <w:rFonts w:hint="eastAsia" w:ascii="宋体" w:hAnsi="宋体" w:cs="宋体"/>
                <w:color w:val="000000"/>
                <w:kern w:val="0"/>
                <w:szCs w:val="21"/>
                <w:lang w:eastAsia="zh-CN"/>
              </w:rPr>
              <w:t>分</w:t>
            </w:r>
          </w:p>
        </w:tc>
      </w:tr>
    </w:tbl>
    <w:p>
      <w:pPr>
        <w:pStyle w:val="23"/>
        <w:spacing w:line="360" w:lineRule="auto"/>
        <w:rPr>
          <w:rFonts w:hint="eastAsia" w:ascii="宋体" w:hAnsi="宋体" w:eastAsia="宋体" w:cs="宋体"/>
          <w:sz w:val="24"/>
        </w:rPr>
      </w:pPr>
    </w:p>
    <w:p>
      <w:pPr>
        <w:pStyle w:val="23"/>
        <w:spacing w:line="360" w:lineRule="auto"/>
        <w:rPr>
          <w:rFonts w:hint="eastAsia" w:ascii="宋体" w:hAnsi="宋体" w:eastAsia="宋体" w:cs="宋体"/>
          <w:sz w:val="24"/>
        </w:rPr>
      </w:pPr>
    </w:p>
    <w:p>
      <w:pPr>
        <w:pStyle w:val="23"/>
        <w:spacing w:line="360" w:lineRule="auto"/>
        <w:rPr>
          <w:rFonts w:hint="eastAsia" w:ascii="宋体" w:hAnsi="宋体" w:eastAsia="宋体" w:cs="宋体"/>
          <w:sz w:val="24"/>
        </w:rPr>
      </w:pPr>
    </w:p>
    <w:p>
      <w:pPr>
        <w:pStyle w:val="23"/>
        <w:spacing w:line="360" w:lineRule="auto"/>
        <w:rPr>
          <w:rFonts w:hint="eastAsia" w:ascii="宋体" w:hAnsi="宋体" w:eastAsia="宋体" w:cs="宋体"/>
          <w:sz w:val="24"/>
        </w:rPr>
      </w:pPr>
    </w:p>
    <w:p>
      <w:pPr>
        <w:pStyle w:val="23"/>
        <w:spacing w:line="360" w:lineRule="auto"/>
        <w:rPr>
          <w:rFonts w:hint="eastAsia" w:ascii="宋体" w:hAnsi="宋体" w:eastAsia="宋体" w:cs="宋体"/>
          <w:sz w:val="24"/>
        </w:rPr>
      </w:pPr>
    </w:p>
    <w:bookmarkEnd w:id="21"/>
    <w:bookmarkEnd w:id="22"/>
    <w:p>
      <w:pPr>
        <w:spacing w:line="360" w:lineRule="exact"/>
        <w:jc w:val="center"/>
        <w:outlineLvl w:val="0"/>
        <w:rPr>
          <w:rFonts w:ascii="宋体" w:hAnsi="宋体" w:cs="宋体"/>
          <w:color w:val="auto"/>
          <w:sz w:val="32"/>
          <w:szCs w:val="32"/>
          <w:highlight w:val="none"/>
        </w:rPr>
      </w:pPr>
      <w:r>
        <w:rPr>
          <w:rFonts w:hint="eastAsia"/>
          <w:b/>
          <w:bCs/>
          <w:kern w:val="0"/>
          <w:sz w:val="32"/>
          <w:szCs w:val="32"/>
        </w:rPr>
        <w:t xml:space="preserve"> </w:t>
      </w:r>
      <w:bookmarkStart w:id="26" w:name="_Toc5185"/>
      <w:r>
        <w:rPr>
          <w:rFonts w:hint="eastAsia" w:ascii="宋体" w:hAnsi="宋体" w:cs="宋体"/>
          <w:b/>
          <w:bCs/>
          <w:color w:val="auto"/>
          <w:kern w:val="0"/>
          <w:sz w:val="32"/>
          <w:szCs w:val="32"/>
          <w:highlight w:val="none"/>
        </w:rPr>
        <w:t>第</w:t>
      </w:r>
      <w:r>
        <w:rPr>
          <w:rFonts w:hint="eastAsia" w:ascii="宋体" w:hAnsi="宋体" w:cs="宋体"/>
          <w:b/>
          <w:bCs/>
          <w:color w:val="auto"/>
          <w:kern w:val="0"/>
          <w:sz w:val="32"/>
          <w:szCs w:val="32"/>
          <w:highlight w:val="none"/>
          <w:lang w:eastAsia="zh-CN"/>
        </w:rPr>
        <w:t>四</w:t>
      </w:r>
      <w:r>
        <w:rPr>
          <w:rFonts w:hint="eastAsia" w:ascii="宋体" w:hAnsi="宋体" w:cs="宋体"/>
          <w:b/>
          <w:bCs/>
          <w:color w:val="auto"/>
          <w:kern w:val="0"/>
          <w:sz w:val="32"/>
          <w:szCs w:val="32"/>
          <w:highlight w:val="none"/>
        </w:rPr>
        <w:t xml:space="preserve">部分  </w:t>
      </w:r>
      <w:bookmarkStart w:id="27" w:name="_Toc270"/>
      <w:r>
        <w:rPr>
          <w:rFonts w:hint="eastAsia" w:ascii="宋体" w:hAnsi="宋体" w:cs="宋体"/>
          <w:b/>
          <w:bCs/>
          <w:color w:val="auto"/>
          <w:kern w:val="0"/>
          <w:sz w:val="32"/>
          <w:szCs w:val="32"/>
          <w:highlight w:val="none"/>
        </w:rPr>
        <w:t>资料整理注意事项</w:t>
      </w:r>
      <w:bookmarkEnd w:id="26"/>
      <w:bookmarkEnd w:id="27"/>
    </w:p>
    <w:p>
      <w:pPr>
        <w:spacing w:line="360" w:lineRule="exact"/>
        <w:ind w:firstLine="315" w:firstLineChars="15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3.响应文件需要一正</w:t>
      </w:r>
      <w:r>
        <w:rPr>
          <w:rFonts w:hint="eastAsia" w:ascii="宋体" w:hAnsi="宋体" w:cs="宋体"/>
          <w:color w:val="auto"/>
          <w:sz w:val="21"/>
          <w:szCs w:val="21"/>
          <w:highlight w:val="none"/>
          <w:lang w:eastAsia="zh-CN"/>
        </w:rPr>
        <w:t>六</w:t>
      </w:r>
      <w:r>
        <w:rPr>
          <w:rFonts w:hint="eastAsia" w:ascii="宋体" w:hAnsi="宋体" w:cs="宋体"/>
          <w:color w:val="auto"/>
          <w:sz w:val="21"/>
          <w:szCs w:val="21"/>
          <w:highlight w:val="none"/>
        </w:rPr>
        <w:t>副共</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4.所有响应文件须密封在一个不透明的外层封装中；并在封口位置处加盖公章，如因响应文件未密封导致不能进入磋商环节者，一切后果由供应商自负。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8.各供应商需认真阅读以上注意事项，不按要求提供响应文件者后果自负。</w:t>
      </w:r>
    </w:p>
    <w:p>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360" w:lineRule="exact"/>
        <w:jc w:val="both"/>
        <w:outlineLvl w:val="0"/>
        <w:rPr>
          <w:rFonts w:hint="eastAsia" w:ascii="宋体" w:hAnsi="宋体" w:cs="宋体"/>
          <w:b/>
          <w:bCs/>
          <w:color w:val="auto"/>
          <w:kern w:val="0"/>
          <w:sz w:val="30"/>
          <w:szCs w:val="30"/>
          <w:highlight w:val="none"/>
        </w:rPr>
      </w:pPr>
      <w:bookmarkStart w:id="28" w:name="_Toc91515617"/>
      <w:bookmarkStart w:id="29" w:name="_Toc17983"/>
      <w:r>
        <w:rPr>
          <w:rFonts w:hint="eastAsia" w:ascii="宋体" w:hAnsi="宋体" w:cs="宋体"/>
          <w:b/>
          <w:bCs/>
          <w:color w:val="auto"/>
          <w:kern w:val="0"/>
          <w:sz w:val="30"/>
          <w:szCs w:val="30"/>
          <w:highlight w:val="none"/>
          <w:lang w:eastAsia="zh-CN"/>
        </w:rPr>
        <w:t>第五部分</w:t>
      </w:r>
      <w:r>
        <w:rPr>
          <w:rFonts w:hint="eastAsia" w:ascii="宋体" w:hAnsi="宋体" w:cs="宋体"/>
          <w:b/>
          <w:bCs/>
          <w:color w:val="auto"/>
          <w:kern w:val="0"/>
          <w:sz w:val="30"/>
          <w:szCs w:val="30"/>
          <w:highlight w:val="none"/>
          <w:lang w:val="en-US" w:eastAsia="zh-CN"/>
        </w:rPr>
        <w:t xml:space="preserve"> </w:t>
      </w:r>
      <w:r>
        <w:rPr>
          <w:rFonts w:hint="eastAsia" w:ascii="宋体" w:hAnsi="宋体" w:cs="宋体"/>
          <w:b/>
          <w:bCs/>
          <w:color w:val="auto"/>
          <w:kern w:val="0"/>
          <w:sz w:val="30"/>
          <w:szCs w:val="30"/>
          <w:highlight w:val="none"/>
        </w:rPr>
        <w:t>相关格式模板</w:t>
      </w:r>
      <w:bookmarkEnd w:id="28"/>
      <w:bookmarkEnd w:id="29"/>
    </w:p>
    <w:p>
      <w:pPr>
        <w:pStyle w:val="23"/>
        <w:spacing w:line="360" w:lineRule="auto"/>
        <w:jc w:val="center"/>
        <w:rPr>
          <w:b/>
          <w:sz w:val="44"/>
          <w:szCs w:val="44"/>
        </w:rPr>
      </w:pPr>
    </w:p>
    <w:p>
      <w:pPr>
        <w:pStyle w:val="23"/>
        <w:spacing w:line="360" w:lineRule="auto"/>
        <w:jc w:val="center"/>
        <w:rPr>
          <w:b/>
          <w:sz w:val="36"/>
          <w:szCs w:val="28"/>
        </w:rPr>
      </w:pPr>
    </w:p>
    <w:p>
      <w:pPr>
        <w:jc w:val="center"/>
        <w:rPr>
          <w:rFonts w:hint="eastAsia" w:ascii="宋体" w:hAnsi="宋体" w:cs="宋体"/>
          <w:b/>
          <w:color w:val="auto"/>
          <w:kern w:val="0"/>
          <w:sz w:val="52"/>
          <w:szCs w:val="52"/>
          <w:highlight w:val="none"/>
        </w:rPr>
      </w:pPr>
      <w:bookmarkStart w:id="30" w:name="_Toc2217"/>
      <w:bookmarkStart w:id="31" w:name="_Toc28334"/>
      <w:bookmarkStart w:id="32" w:name="_Toc27578"/>
      <w:bookmarkStart w:id="33" w:name="_Toc21856"/>
      <w:bookmarkStart w:id="34" w:name="_Toc84838886"/>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pPr>
        <w:jc w:val="center"/>
        <w:rPr>
          <w:rFonts w:ascii="宋体" w:hAnsi="宋体" w:cs="宋体"/>
          <w:b/>
          <w:color w:val="auto"/>
          <w:kern w:val="0"/>
          <w:sz w:val="52"/>
          <w:szCs w:val="52"/>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pPr>
        <w:spacing w:line="480" w:lineRule="auto"/>
        <w:jc w:val="center"/>
        <w:rPr>
          <w:rFonts w:ascii="宋体" w:hAnsi="宋体"/>
          <w:b/>
          <w:bCs/>
          <w:color w:val="auto"/>
          <w:sz w:val="28"/>
          <w:szCs w:val="2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pPr>
        <w:widowControl/>
        <w:spacing w:line="360" w:lineRule="auto"/>
        <w:ind w:firstLine="600"/>
        <w:outlineLvl w:val="9"/>
        <w:rPr>
          <w:rFonts w:ascii="宋体" w:hAnsi="宋体" w:cs="宋体"/>
          <w:color w:val="auto"/>
          <w:kern w:val="0"/>
          <w:sz w:val="30"/>
          <w:szCs w:val="30"/>
          <w:highlight w:val="none"/>
        </w:rPr>
      </w:pPr>
    </w:p>
    <w:p>
      <w:pPr>
        <w:widowControl/>
        <w:spacing w:line="360" w:lineRule="auto"/>
        <w:ind w:firstLine="600"/>
        <w:outlineLvl w:val="0"/>
        <w:rPr>
          <w:color w:val="auto"/>
          <w:highlight w:val="none"/>
        </w:rPr>
      </w:pPr>
      <w:bookmarkStart w:id="35" w:name="_Toc8167"/>
      <w:bookmarkStart w:id="36" w:name="_Toc11301"/>
      <w:bookmarkStart w:id="37" w:name="_Toc7784"/>
      <w:r>
        <w:rPr>
          <w:rFonts w:ascii="宋体" w:hAnsi="宋体" w:cs="宋体"/>
          <w:color w:val="auto"/>
          <w:kern w:val="0"/>
          <w:sz w:val="30"/>
          <w:szCs w:val="30"/>
          <w:highlight w:val="none"/>
        </w:rPr>
        <w:t>项目编号：</w:t>
      </w:r>
      <w:bookmarkEnd w:id="35"/>
      <w:bookmarkEnd w:id="36"/>
      <w:bookmarkEnd w:id="37"/>
    </w:p>
    <w:p>
      <w:pPr>
        <w:widowControl/>
        <w:spacing w:line="360" w:lineRule="auto"/>
        <w:ind w:firstLine="600"/>
        <w:outlineLvl w:val="0"/>
        <w:rPr>
          <w:rFonts w:cs="宋体"/>
          <w:color w:val="auto"/>
          <w:kern w:val="0"/>
          <w:sz w:val="30"/>
          <w:szCs w:val="30"/>
          <w:highlight w:val="none"/>
        </w:rPr>
      </w:pPr>
      <w:bookmarkStart w:id="38" w:name="_Toc29678"/>
      <w:bookmarkStart w:id="39" w:name="_Toc13771"/>
      <w:bookmarkStart w:id="40" w:name="_Toc18736"/>
      <w:r>
        <w:rPr>
          <w:rFonts w:ascii="宋体" w:hAnsi="宋体" w:cs="宋体"/>
          <w:color w:val="auto"/>
          <w:kern w:val="0"/>
          <w:sz w:val="30"/>
          <w:szCs w:val="30"/>
          <w:highlight w:val="none"/>
        </w:rPr>
        <w:t>公司名称：</w:t>
      </w:r>
      <w:bookmarkEnd w:id="38"/>
      <w:bookmarkEnd w:id="39"/>
      <w:bookmarkEnd w:id="40"/>
    </w:p>
    <w:p>
      <w:pPr>
        <w:widowControl/>
        <w:spacing w:line="360" w:lineRule="auto"/>
        <w:ind w:firstLine="600"/>
        <w:outlineLvl w:val="0"/>
        <w:rPr>
          <w:rFonts w:cs="宋体"/>
          <w:color w:val="auto"/>
          <w:kern w:val="0"/>
          <w:sz w:val="30"/>
          <w:szCs w:val="30"/>
          <w:highlight w:val="none"/>
        </w:rPr>
      </w:pPr>
      <w:bookmarkStart w:id="41" w:name="_Toc11989"/>
      <w:bookmarkStart w:id="42" w:name="_Toc22473"/>
      <w:bookmarkStart w:id="43" w:name="_Toc30202"/>
      <w:r>
        <w:rPr>
          <w:rFonts w:ascii="宋体" w:hAnsi="宋体" w:cs="宋体"/>
          <w:color w:val="auto"/>
          <w:kern w:val="0"/>
          <w:sz w:val="30"/>
          <w:szCs w:val="30"/>
          <w:highlight w:val="none"/>
        </w:rPr>
        <w:t>业务代表：</w:t>
      </w:r>
      <w:bookmarkEnd w:id="41"/>
      <w:bookmarkEnd w:id="42"/>
      <w:bookmarkEnd w:id="43"/>
    </w:p>
    <w:p>
      <w:pPr>
        <w:widowControl/>
        <w:spacing w:line="360" w:lineRule="auto"/>
        <w:ind w:firstLine="600"/>
        <w:outlineLvl w:val="0"/>
        <w:rPr>
          <w:rFonts w:cs="宋体"/>
          <w:color w:val="auto"/>
          <w:kern w:val="0"/>
          <w:sz w:val="30"/>
          <w:szCs w:val="30"/>
          <w:highlight w:val="none"/>
        </w:rPr>
      </w:pPr>
      <w:bookmarkStart w:id="44" w:name="_Toc30935"/>
      <w:bookmarkStart w:id="45" w:name="_Toc27766"/>
      <w:bookmarkStart w:id="46" w:name="_Toc21354"/>
      <w:r>
        <w:rPr>
          <w:rFonts w:ascii="宋体" w:hAnsi="宋体" w:cs="宋体"/>
          <w:color w:val="auto"/>
          <w:kern w:val="0"/>
          <w:sz w:val="30"/>
          <w:szCs w:val="30"/>
          <w:highlight w:val="none"/>
        </w:rPr>
        <w:t>联系电话：</w:t>
      </w:r>
      <w:bookmarkEnd w:id="44"/>
      <w:bookmarkEnd w:id="45"/>
      <w:bookmarkEnd w:id="46"/>
    </w:p>
    <w:p>
      <w:pPr>
        <w:widowControl/>
        <w:spacing w:line="360" w:lineRule="auto"/>
        <w:ind w:firstLine="600"/>
        <w:outlineLvl w:val="0"/>
        <w:rPr>
          <w:rFonts w:cs="宋体"/>
          <w:color w:val="auto"/>
          <w:kern w:val="0"/>
          <w:sz w:val="30"/>
          <w:szCs w:val="30"/>
          <w:highlight w:val="none"/>
        </w:rPr>
      </w:pPr>
      <w:bookmarkStart w:id="47" w:name="_Toc10879"/>
      <w:bookmarkStart w:id="48" w:name="_Toc14663"/>
      <w:bookmarkStart w:id="49" w:name="_Toc3618"/>
      <w:r>
        <w:rPr>
          <w:rFonts w:ascii="宋体" w:hAnsi="宋体" w:cs="宋体"/>
          <w:color w:val="auto"/>
          <w:kern w:val="0"/>
          <w:sz w:val="30"/>
          <w:szCs w:val="30"/>
          <w:highlight w:val="none"/>
        </w:rPr>
        <w:t>联系邮箱：</w:t>
      </w:r>
      <w:bookmarkEnd w:id="47"/>
      <w:bookmarkEnd w:id="48"/>
      <w:bookmarkEnd w:id="49"/>
    </w:p>
    <w:p>
      <w:pPr>
        <w:widowControl/>
        <w:spacing w:line="360" w:lineRule="auto"/>
        <w:ind w:firstLine="600"/>
        <w:outlineLvl w:val="0"/>
        <w:rPr>
          <w:rFonts w:cs="宋体"/>
          <w:color w:val="auto"/>
          <w:kern w:val="0"/>
          <w:sz w:val="30"/>
          <w:szCs w:val="30"/>
          <w:highlight w:val="none"/>
        </w:rPr>
      </w:pPr>
      <w:bookmarkStart w:id="50" w:name="_Toc492"/>
      <w:bookmarkStart w:id="51" w:name="_Toc9980"/>
      <w:bookmarkStart w:id="52" w:name="_Toc10638"/>
      <w:r>
        <w:rPr>
          <w:rFonts w:ascii="宋体" w:hAnsi="宋体" w:cs="宋体"/>
          <w:color w:val="auto"/>
          <w:kern w:val="0"/>
          <w:sz w:val="30"/>
          <w:szCs w:val="30"/>
          <w:highlight w:val="none"/>
        </w:rPr>
        <w:t>日    期：</w:t>
      </w:r>
      <w:bookmarkEnd w:id="50"/>
      <w:bookmarkEnd w:id="51"/>
      <w:bookmarkEnd w:id="52"/>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left"/>
        <w:outlineLvl w:val="9"/>
        <w:rPr>
          <w:rFonts w:ascii="仿宋" w:hAnsi="仿宋" w:eastAsia="仿宋" w:cs="宋体"/>
          <w:b/>
          <w:kern w:val="0"/>
          <w:sz w:val="24"/>
          <w:szCs w:val="32"/>
        </w:rPr>
      </w:pPr>
    </w:p>
    <w:p>
      <w:pPr>
        <w:numPr>
          <w:ilvl w:val="0"/>
          <w:numId w:val="0"/>
        </w:numPr>
        <w:jc w:val="center"/>
        <w:outlineLvl w:val="0"/>
        <w:rPr>
          <w:rFonts w:hint="eastAsia" w:ascii="Times New Roman" w:hAnsi="Times New Roman" w:eastAsia="宋体" w:cs="Times New Roman"/>
          <w:b/>
          <w:bCs/>
          <w:kern w:val="0"/>
          <w:sz w:val="32"/>
          <w:szCs w:val="36"/>
        </w:rPr>
      </w:pPr>
      <w:bookmarkStart w:id="53" w:name="_Toc28104"/>
      <w:bookmarkStart w:id="54" w:name="_Toc40776118"/>
      <w:bookmarkStart w:id="55" w:name="_Toc40346223"/>
      <w:bookmarkStart w:id="56" w:name="_Toc6690"/>
      <w:bookmarkStart w:id="57" w:name="_Toc40346382"/>
      <w:bookmarkStart w:id="58" w:name="_Toc19795"/>
      <w:bookmarkStart w:id="59" w:name="_Toc26239"/>
      <w:bookmarkStart w:id="60" w:name="_Toc91515626"/>
      <w:bookmarkStart w:id="61" w:name="_Toc91499297"/>
      <w:r>
        <w:rPr>
          <w:rFonts w:hint="eastAsia" w:ascii="Times New Roman" w:hAnsi="Times New Roman" w:eastAsia="宋体" w:cs="Times New Roman"/>
          <w:b/>
          <w:bCs/>
          <w:kern w:val="0"/>
          <w:sz w:val="32"/>
          <w:szCs w:val="36"/>
        </w:rPr>
        <w:t>目  录</w:t>
      </w:r>
      <w:bookmarkEnd w:id="53"/>
      <w:bookmarkEnd w:id="54"/>
      <w:bookmarkEnd w:id="55"/>
      <w:bookmarkEnd w:id="56"/>
      <w:bookmarkEnd w:id="57"/>
      <w:bookmarkEnd w:id="58"/>
      <w:bookmarkEnd w:id="59"/>
    </w:p>
    <w:tbl>
      <w:tblPr>
        <w:tblStyle w:val="17"/>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b/>
                <w:bCs/>
                <w:kern w:val="0"/>
                <w:sz w:val="21"/>
                <w:szCs w:val="21"/>
              </w:rPr>
              <w:t>第一部分：设备</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3</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lang w:eastAsia="zh-CN"/>
              </w:rPr>
              <w:t>评分自查表</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5</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6</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7</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8</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bCs/>
                <w:sz w:val="21"/>
                <w:szCs w:val="21"/>
                <w:lang w:val="en-US"/>
              </w:rPr>
            </w:pPr>
            <w:r>
              <w:rPr>
                <w:rFonts w:hint="eastAsia" w:ascii="宋体" w:hAnsi="宋体" w:eastAsia="宋体" w:cs="宋体"/>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eastAsia="宋体" w:cs="宋体"/>
                <w:sz w:val="21"/>
                <w:szCs w:val="21"/>
                <w:lang w:eastAsia="zh-CN"/>
              </w:rPr>
              <w:t>，（需提供相关证明材料并加盖供应商公章</w:t>
            </w:r>
            <w:r>
              <w:rPr>
                <w:rFonts w:hint="eastAsia" w:ascii="宋体" w:hAnsi="宋体" w:eastAsia="宋体" w:cs="宋体"/>
                <w:sz w:val="21"/>
                <w:szCs w:val="21"/>
                <w:lang w:val="en-US" w:eastAsia="zh-CN"/>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9</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bCs/>
                <w:sz w:val="21"/>
                <w:szCs w:val="21"/>
                <w:lang w:eastAsia="zh-CN"/>
              </w:rPr>
            </w:pPr>
            <w:r>
              <w:rPr>
                <w:rFonts w:hint="eastAsia" w:ascii="宋体" w:hAnsi="宋体" w:eastAsia="宋体" w:cs="宋体"/>
                <w:sz w:val="21"/>
                <w:szCs w:val="21"/>
              </w:rPr>
              <w:t>如参与者为代理经销商且代理产品为进口产品，须提供从制造厂商到代理经销商对所投产品的合法有效授权证明文件。</w:t>
            </w:r>
            <w:r>
              <w:rPr>
                <w:rFonts w:hint="eastAsia" w:ascii="宋体" w:hAnsi="宋体" w:eastAsia="宋体" w:cs="宋体"/>
                <w:sz w:val="21"/>
                <w:szCs w:val="21"/>
                <w:lang w:eastAsia="zh-CN"/>
              </w:rPr>
              <w:t>（需提供相关证明材料并加盖供应商公章</w:t>
            </w:r>
            <w:r>
              <w:rPr>
                <w:rFonts w:hint="eastAsia" w:ascii="宋体" w:hAnsi="宋体" w:eastAsia="宋体" w:cs="宋体"/>
                <w:sz w:val="21"/>
                <w:szCs w:val="21"/>
                <w:lang w:val="en-US" w:eastAsia="zh-CN"/>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宋体" w:hAnsi="宋体"/>
                <w:bCs/>
                <w:sz w:val="21"/>
                <w:szCs w:val="21"/>
              </w:rPr>
              <w:t>无专机专用耗材保证函</w:t>
            </w:r>
            <w:r>
              <w:rPr>
                <w:rFonts w:hint="eastAsia" w:ascii="宋体" w:hAnsi="宋体"/>
                <w:bCs/>
                <w:sz w:val="21"/>
                <w:szCs w:val="21"/>
                <w:lang w:eastAsia="zh-CN"/>
              </w:rPr>
              <w:t>原件并加盖供应商公章</w:t>
            </w:r>
            <w:r>
              <w:rPr>
                <w:rFonts w:hint="eastAsia" w:ascii="宋体" w:hAnsi="宋体"/>
                <w:bCs/>
                <w:sz w:val="21"/>
                <w:szCs w:val="21"/>
              </w:rPr>
              <w:t>(如为无专机专用耗材设备)</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11</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bCs/>
                <w:sz w:val="21"/>
                <w:szCs w:val="21"/>
              </w:rPr>
            </w:pPr>
            <w:r>
              <w:rPr>
                <w:rFonts w:hint="eastAsia" w:ascii="宋体" w:hAnsi="宋体" w:eastAsia="宋体" w:cs="宋体"/>
                <w:b w:val="0"/>
                <w:bCs/>
                <w:kern w:val="0"/>
                <w:sz w:val="21"/>
                <w:szCs w:val="21"/>
              </w:rPr>
              <w:t>具有良好的商业信誉和健全的财务会计制度：提供承诺函，格式自拟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12</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bCs/>
                <w:sz w:val="21"/>
                <w:szCs w:val="21"/>
              </w:rPr>
            </w:pPr>
            <w:r>
              <w:rPr>
                <w:rFonts w:hint="eastAsia" w:ascii="宋体" w:hAnsi="宋体" w:eastAsia="宋体" w:cs="宋体"/>
                <w:b w:val="0"/>
                <w:bCs/>
                <w:kern w:val="0"/>
                <w:sz w:val="21"/>
                <w:szCs w:val="21"/>
              </w:rPr>
              <w:t>具有履行合同所必需的设备和专业技术能力</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填报设备及专业技术能力情况或者提供承诺函，格式自拟；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13</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bCs/>
                <w:sz w:val="21"/>
                <w:szCs w:val="21"/>
              </w:rPr>
            </w:pPr>
            <w:r>
              <w:rPr>
                <w:rFonts w:hint="eastAsia" w:ascii="宋体" w:hAnsi="宋体" w:eastAsia="宋体" w:cs="宋体"/>
                <w:b w:val="0"/>
                <w:bCs/>
                <w:kern w:val="0"/>
                <w:sz w:val="21"/>
                <w:szCs w:val="21"/>
              </w:rPr>
              <w:t>具有依法缴纳税收和社会保障资金的良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14</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bCs/>
                <w:sz w:val="21"/>
                <w:szCs w:val="21"/>
              </w:rPr>
            </w:pPr>
            <w:r>
              <w:rPr>
                <w:rFonts w:hint="eastAsia" w:ascii="宋体" w:hAnsi="宋体" w:eastAsia="宋体" w:cs="宋体"/>
                <w:kern w:val="0"/>
                <w:sz w:val="21"/>
                <w:szCs w:val="21"/>
                <w:lang w:val="en-US" w:eastAsia="zh-CN"/>
              </w:rPr>
              <w:t xml:space="preserve"> 2020年10月1日以来企业及其法定代表人未被人民法院列入“失信被执行人名单”；要求提供“信用中国”网站或全国法院被执行人信息查询的网页截图；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15</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2020年10月1日以来参加政府采购经营活动中没有重大违法记录；提供承诺函，格式自拟；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16</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kern w:val="0"/>
                <w:sz w:val="21"/>
                <w:szCs w:val="21"/>
              </w:rPr>
              <w:t>法定代表人或单位负责人为同一人或者存在直接控股、管理关系的不同响应单位，不得参加同一合同项下的政府采购活动（提供承诺函，格式自拟）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17</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本项目不接受联合体。（提供声明函，格式自拟）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18</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Theme="minorEastAsia" w:hAnsiTheme="minorEastAsia" w:eastAsiaTheme="minorEastAsia"/>
                <w:sz w:val="21"/>
                <w:szCs w:val="21"/>
              </w:rPr>
              <w:t>同型号产品</w:t>
            </w:r>
            <w:r>
              <w:rPr>
                <w:rFonts w:hint="eastAsia" w:asciiTheme="minorEastAsia" w:hAnsiTheme="minorEastAsia" w:eastAsiaTheme="minorEastAsia"/>
                <w:sz w:val="21"/>
                <w:szCs w:val="21"/>
                <w:lang w:val="en-US" w:eastAsia="zh-CN"/>
              </w:rPr>
              <w:t>2020</w:t>
            </w:r>
            <w:r>
              <w:rPr>
                <w:rFonts w:hint="eastAsia" w:asciiTheme="minorEastAsia" w:hAnsiTheme="minorEastAsia" w:eastAsiaTheme="minorEastAsia"/>
                <w:sz w:val="21"/>
                <w:szCs w:val="21"/>
              </w:rPr>
              <w:t>年1月1日以来业绩清单</w:t>
            </w:r>
            <w:r>
              <w:rPr>
                <w:rFonts w:hint="eastAsia" w:ascii="宋体" w:hAnsi="宋体"/>
                <w:bCs/>
                <w:sz w:val="21"/>
                <w:szCs w:val="21"/>
              </w:rPr>
              <w:t>（详见相关格式文件，需提供中标通知书、合同、发票其中一种，须自行提供业绩清</w:t>
            </w:r>
            <w:r>
              <w:rPr>
                <w:rFonts w:hint="eastAsia" w:ascii="宋体" w:hAnsi="宋体" w:eastAsia="宋体" w:cs="Times New Roman"/>
                <w:bCs/>
                <w:sz w:val="21"/>
                <w:szCs w:val="21"/>
              </w:rPr>
              <w:t>单中证明</w:t>
            </w:r>
            <w:r>
              <w:rPr>
                <w:rFonts w:hint="eastAsia" w:ascii="宋体" w:hAnsi="宋体" w:eastAsia="宋体" w:cs="Times New Roman"/>
                <w:bCs/>
                <w:sz w:val="21"/>
                <w:szCs w:val="21"/>
                <w:lang w:eastAsia="zh-CN"/>
              </w:rPr>
              <w:t>材料</w:t>
            </w:r>
            <w:r>
              <w:rPr>
                <w:rFonts w:hint="eastAsia" w:ascii="宋体" w:hAnsi="宋体" w:eastAsia="宋体" w:cs="Times New Roman"/>
                <w:bCs/>
                <w:sz w:val="21"/>
                <w:szCs w:val="21"/>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Times New Roman"/>
                <w:bCs/>
                <w:kern w:val="2"/>
                <w:sz w:val="21"/>
                <w:szCs w:val="21"/>
                <w:lang w:val="en-US" w:eastAsia="zh-CN" w:bidi="ar-SA"/>
              </w:rPr>
            </w:pPr>
            <w:r>
              <w:rPr>
                <w:rFonts w:hint="eastAsia" w:ascii="宋体" w:hAnsi="宋体"/>
                <w:sz w:val="21"/>
                <w:szCs w:val="21"/>
              </w:rPr>
              <w:t>产品彩页</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20</w:t>
            </w:r>
          </w:p>
        </w:tc>
        <w:tc>
          <w:tcPr>
            <w:tcW w:w="6944"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Times New Roman"/>
                <w:bCs/>
                <w:kern w:val="2"/>
                <w:sz w:val="21"/>
                <w:szCs w:val="21"/>
                <w:lang w:val="en-US" w:eastAsia="zh-CN" w:bidi="ar-SA"/>
              </w:rPr>
            </w:pPr>
            <w:r>
              <w:rPr>
                <w:rFonts w:hint="eastAsia" w:ascii="宋体" w:hAnsi="宋体"/>
                <w:bCs/>
                <w:sz w:val="21"/>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21</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bCs/>
                <w:sz w:val="21"/>
                <w:szCs w:val="21"/>
                <w:lang w:eastAsia="zh-CN"/>
              </w:rPr>
            </w:pPr>
            <w:r>
              <w:rPr>
                <w:rFonts w:hint="eastAsia" w:ascii="宋体" w:hAnsi="宋体"/>
                <w:bCs/>
                <w:sz w:val="21"/>
                <w:szCs w:val="21"/>
                <w:lang w:eastAsia="zh-CN"/>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22</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宋体" w:hAnsi="宋体"/>
                <w:bCs/>
                <w:sz w:val="21"/>
                <w:szCs w:val="21"/>
                <w:lang w:eastAsia="zh-CN"/>
              </w:rPr>
              <w:t>售后服务方案</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宋体" w:hAnsi="宋体"/>
                <w:bCs/>
                <w:sz w:val="21"/>
                <w:szCs w:val="21"/>
              </w:rPr>
              <w:t>公平竞争承诺书</w:t>
            </w:r>
            <w:r>
              <w:rPr>
                <w:rFonts w:ascii="宋体" w:hAnsi="宋体"/>
                <w:sz w:val="21"/>
                <w:szCs w:val="21"/>
              </w:rPr>
              <w:t>（详见</w:t>
            </w:r>
            <w:r>
              <w:rPr>
                <w:rFonts w:hint="eastAsia" w:ascii="宋体" w:hAnsi="宋体"/>
                <w:sz w:val="21"/>
                <w:szCs w:val="21"/>
              </w:rPr>
              <w:t>相关</w:t>
            </w:r>
            <w:r>
              <w:rPr>
                <w:rFonts w:ascii="宋体" w:hAnsi="宋体"/>
                <w:sz w:val="21"/>
                <w:szCs w:val="21"/>
              </w:rPr>
              <w:t>格式</w:t>
            </w:r>
            <w:r>
              <w:rPr>
                <w:rFonts w:hint="eastAsia" w:ascii="宋体" w:hAnsi="宋体"/>
                <w:sz w:val="21"/>
                <w:szCs w:val="21"/>
              </w:rPr>
              <w:t>文件</w:t>
            </w:r>
            <w:r>
              <w:rPr>
                <w:rFonts w:ascii="宋体" w:hAnsi="宋体"/>
                <w:sz w:val="21"/>
                <w:szCs w:val="21"/>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cs="宋体"/>
                <w:kern w:val="0"/>
                <w:sz w:val="21"/>
                <w:szCs w:val="21"/>
              </w:rPr>
            </w:pPr>
            <w:r>
              <w:rPr>
                <w:rFonts w:hint="eastAsia" w:ascii="宋体" w:hAnsi="宋体"/>
                <w:color w:val="auto"/>
                <w:sz w:val="21"/>
                <w:szCs w:val="21"/>
                <w:highlight w:val="none"/>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b/>
                <w:bCs/>
                <w:kern w:val="0"/>
                <w:sz w:val="21"/>
                <w:szCs w:val="21"/>
              </w:rPr>
              <w:t>第二部分：维修零配件报价</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1"/>
                <w:szCs w:val="21"/>
              </w:rPr>
            </w:pPr>
            <w:r>
              <w:rPr>
                <w:rFonts w:hint="eastAsia" w:ascii="宋体" w:hAnsi="宋体" w:cs="宋体"/>
                <w:kern w:val="0"/>
                <w:sz w:val="21"/>
                <w:szCs w:val="21"/>
              </w:rPr>
              <w:t>1</w:t>
            </w:r>
          </w:p>
        </w:tc>
        <w:tc>
          <w:tcPr>
            <w:tcW w:w="69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kern w:val="0"/>
                <w:sz w:val="21"/>
                <w:szCs w:val="21"/>
              </w:rPr>
            </w:pPr>
            <w:bookmarkStart w:id="62" w:name="_Toc15555"/>
            <w:bookmarkStart w:id="63" w:name="_Toc22105"/>
            <w:bookmarkStart w:id="64" w:name="_Toc27709"/>
            <w:r>
              <w:rPr>
                <w:rFonts w:hint="eastAsia" w:ascii="宋体" w:hAnsi="宋体" w:eastAsia="宋体" w:cs="宋体"/>
                <w:kern w:val="0"/>
                <w:sz w:val="21"/>
                <w:szCs w:val="21"/>
              </w:rPr>
              <w:t>维修报价表：名称、规格/型号、市场报价、优惠价。（提供销售设备主要零配件的发票复印件，如无法提供发票复印件，请提供厂家出具说明函。）</w:t>
            </w:r>
            <w:bookmarkEnd w:id="62"/>
            <w:bookmarkEnd w:id="63"/>
            <w:bookmarkEnd w:id="64"/>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outlineLvl w:val="0"/>
              <w:rPr>
                <w:rFonts w:hint="eastAsia" w:ascii="宋体" w:hAnsi="宋体" w:eastAsia="宋体" w:cs="宋体"/>
                <w:kern w:val="0"/>
                <w:sz w:val="21"/>
                <w:szCs w:val="21"/>
              </w:rPr>
            </w:pPr>
            <w:bookmarkStart w:id="65" w:name="_Toc6364"/>
            <w:bookmarkStart w:id="66" w:name="_Toc9920"/>
            <w:r>
              <w:rPr>
                <w:rFonts w:hint="eastAsia" w:ascii="宋体" w:hAnsi="宋体" w:eastAsia="宋体" w:cs="宋体"/>
                <w:kern w:val="0"/>
                <w:sz w:val="21"/>
                <w:szCs w:val="21"/>
              </w:rPr>
              <w:t>第(   ～   )页</w:t>
            </w:r>
            <w:bookmarkEnd w:id="65"/>
            <w:bookmarkEnd w:id="66"/>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1"/>
                <w:szCs w:val="21"/>
              </w:rPr>
            </w:pPr>
            <w:r>
              <w:rPr>
                <w:rFonts w:hint="eastAsia" w:ascii="宋体" w:hAnsi="宋体" w:cs="宋体"/>
                <w:kern w:val="0"/>
                <w:sz w:val="21"/>
                <w:szCs w:val="21"/>
              </w:rPr>
              <w:t>2</w:t>
            </w:r>
          </w:p>
        </w:tc>
        <w:tc>
          <w:tcPr>
            <w:tcW w:w="69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1"/>
                <w:szCs w:val="21"/>
              </w:rPr>
            </w:pPr>
            <w:r>
              <w:rPr>
                <w:rFonts w:hint="eastAsia" w:ascii="宋体" w:hAnsi="宋体" w:cs="宋体"/>
                <w:kern w:val="0"/>
                <w:sz w:val="21"/>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1"/>
                <w:szCs w:val="21"/>
              </w:rPr>
            </w:pPr>
            <w:r>
              <w:rPr>
                <w:rFonts w:hint="eastAsia" w:ascii="宋体" w:hAnsi="宋体" w:cs="宋体"/>
                <w:kern w:val="0"/>
                <w:sz w:val="21"/>
                <w:szCs w:val="21"/>
              </w:rPr>
              <w:t>3</w:t>
            </w:r>
          </w:p>
        </w:tc>
        <w:tc>
          <w:tcPr>
            <w:tcW w:w="69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1"/>
                <w:szCs w:val="21"/>
              </w:rPr>
            </w:pPr>
            <w:r>
              <w:rPr>
                <w:rFonts w:hint="eastAsia" w:ascii="宋体" w:hAnsi="宋体" w:cs="宋体"/>
                <w:kern w:val="0"/>
                <w:sz w:val="21"/>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bl>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bookmarkEnd w:id="30"/>
    <w:bookmarkEnd w:id="31"/>
    <w:bookmarkEnd w:id="32"/>
    <w:bookmarkEnd w:id="33"/>
    <w:bookmarkEnd w:id="34"/>
    <w:bookmarkEnd w:id="60"/>
    <w:bookmarkEnd w:id="61"/>
    <w:p>
      <w:pPr>
        <w:jc w:val="center"/>
        <w:rPr>
          <w:rFonts w:hint="eastAsia" w:ascii="黑体" w:hAnsi="黑体" w:eastAsia="黑体"/>
          <w:sz w:val="32"/>
          <w:szCs w:val="32"/>
        </w:rPr>
      </w:pPr>
      <w:bookmarkStart w:id="67" w:name="_Toc23070"/>
      <w:bookmarkStart w:id="68" w:name="_Toc18394"/>
      <w:bookmarkStart w:id="69" w:name="_Toc24209"/>
      <w:bookmarkStart w:id="70" w:name="_Toc2890"/>
      <w:bookmarkStart w:id="71" w:name="_Toc14500"/>
      <w:bookmarkStart w:id="72" w:name="_Toc2653"/>
      <w:bookmarkStart w:id="73" w:name="_Toc6149"/>
      <w:bookmarkStart w:id="74" w:name="_Toc40776120"/>
      <w:bookmarkStart w:id="75" w:name="_Toc7117"/>
      <w:bookmarkStart w:id="76" w:name="_Toc2130"/>
      <w:bookmarkStart w:id="77" w:name="_Toc6169"/>
      <w:bookmarkStart w:id="78" w:name="_Toc17997"/>
      <w:bookmarkStart w:id="79" w:name="_Toc2728"/>
      <w:bookmarkStart w:id="80" w:name="_Toc27269"/>
      <w:bookmarkStart w:id="81" w:name="_Toc32603"/>
      <w:bookmarkStart w:id="82" w:name="_Toc24236"/>
      <w:bookmarkStart w:id="83" w:name="_Toc11551"/>
      <w:bookmarkStart w:id="84" w:name="_Toc21582"/>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pStyle w:val="23"/>
        <w:rPr>
          <w:rFonts w:hint="eastAsia" w:ascii="黑体" w:hAnsi="黑体" w:eastAsia="黑体"/>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初始报价</w:t>
            </w:r>
          </w:p>
          <w:p>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127" w:type="dxa"/>
            <w:shd w:val="clear" w:color="auto" w:fill="auto"/>
            <w:noWrap/>
            <w:vAlign w:val="center"/>
          </w:tcPr>
          <w:p>
            <w:pPr>
              <w:spacing w:line="360" w:lineRule="auto"/>
              <w:jc w:val="left"/>
              <w:rPr>
                <w:rFonts w:ascii="宋体" w:hAnsi="宋体" w:cs="宋体"/>
                <w:bCs/>
                <w:sz w:val="24"/>
              </w:rPr>
            </w:pPr>
          </w:p>
        </w:tc>
        <w:tc>
          <w:tcPr>
            <w:tcW w:w="1417"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hint="eastAsia" w:ascii="宋体" w:hAnsi="宋体"/>
          <w:sz w:val="24"/>
        </w:rPr>
      </w:pPr>
    </w:p>
    <w:p>
      <w:pPr>
        <w:widowControl/>
        <w:spacing w:line="360" w:lineRule="auto"/>
        <w:ind w:firstLine="1440" w:firstLineChars="600"/>
        <w:jc w:val="left"/>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公司名称（加盖公章）：</w:t>
      </w:r>
    </w:p>
    <w:p>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r>
        <w:rPr>
          <w:rFonts w:hint="eastAsia" w:ascii="宋体" w:hAnsi="宋体" w:eastAsia="宋体" w:cs="宋体"/>
          <w:b/>
          <w:bCs/>
          <w:sz w:val="28"/>
          <w:szCs w:val="32"/>
        </w:rPr>
        <w:t>用户需求偏离表</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b/>
          <w:sz w:val="21"/>
          <w:szCs w:val="21"/>
          <w:lang w:eastAsia="zh-CN"/>
        </w:rPr>
      </w:pPr>
      <w:r>
        <w:rPr>
          <w:rFonts w:hint="eastAsia" w:ascii="宋体" w:hAnsi="宋体"/>
          <w:b/>
          <w:sz w:val="21"/>
          <w:szCs w:val="21"/>
          <w:lang w:eastAsia="zh-CN"/>
        </w:rPr>
        <w:t>一、技术</w:t>
      </w:r>
      <w:r>
        <w:rPr>
          <w:rFonts w:hint="eastAsia" w:ascii="宋体" w:hAnsi="宋体"/>
          <w:b/>
          <w:sz w:val="21"/>
          <w:szCs w:val="21"/>
        </w:rPr>
        <w:t>参数</w:t>
      </w:r>
      <w:r>
        <w:rPr>
          <w:rFonts w:hint="eastAsia" w:ascii="宋体" w:hAnsi="宋体"/>
          <w:b/>
          <w:sz w:val="21"/>
          <w:szCs w:val="21"/>
          <w:lang w:eastAsia="zh-CN"/>
        </w:rPr>
        <w:t>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b/>
          <w:sz w:val="21"/>
          <w:szCs w:val="21"/>
          <w:lang w:eastAsia="zh-CN"/>
        </w:rPr>
      </w:pPr>
      <w:r>
        <w:rPr>
          <w:rFonts w:hint="eastAsia" w:ascii="宋体" w:hAnsi="宋体"/>
          <w:b/>
          <w:sz w:val="21"/>
          <w:szCs w:val="21"/>
          <w:lang w:eastAsia="zh-CN"/>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24"/>
      </w:pPr>
      <w:r>
        <w:rPr>
          <w:rFonts w:hint="eastAsia" w:ascii="宋体" w:hAnsi="宋体"/>
          <w:b/>
          <w:sz w:val="21"/>
          <w:szCs w:val="21"/>
          <w:lang w:eastAsia="zh-CN"/>
        </w:rPr>
        <w:t>三</w:t>
      </w:r>
      <w:r>
        <w:rPr>
          <w:rFonts w:hint="eastAsia" w:ascii="宋体" w:hAnsi="宋体"/>
          <w:b/>
          <w:sz w:val="21"/>
          <w:szCs w:val="21"/>
        </w:rPr>
        <w:t>、合同条款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24"/>
      </w:pP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Pr>
        <w:pStyle w:val="27"/>
        <w:tabs>
          <w:tab w:val="left" w:pos="1050"/>
          <w:tab w:val="center" w:pos="4535"/>
        </w:tabs>
        <w:spacing w:line="360" w:lineRule="auto"/>
        <w:jc w:val="center"/>
        <w:outlineLvl w:val="9"/>
        <w:rPr>
          <w:rFonts w:hint="eastAsia"/>
          <w:b/>
          <w:bCs/>
          <w:color w:val="auto"/>
          <w:sz w:val="32"/>
          <w:szCs w:val="32"/>
          <w:highlight w:val="none"/>
        </w:rPr>
      </w:pPr>
      <w:bookmarkStart w:id="85" w:name="_Toc3593"/>
      <w:bookmarkStart w:id="86" w:name="_Toc28851"/>
      <w:bookmarkStart w:id="87" w:name="_Toc21213"/>
      <w:bookmarkStart w:id="88" w:name="_Toc31077"/>
      <w:bookmarkStart w:id="89" w:name="_Toc6214"/>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both"/>
        <w:outlineLvl w:val="9"/>
        <w:rPr>
          <w:rFonts w:hint="eastAsia"/>
          <w:b/>
          <w:bCs/>
          <w:color w:val="auto"/>
          <w:sz w:val="32"/>
          <w:szCs w:val="32"/>
          <w:highlight w:val="none"/>
        </w:rPr>
      </w:pPr>
    </w:p>
    <w:p>
      <w:pPr>
        <w:tabs>
          <w:tab w:val="left" w:pos="3656"/>
        </w:tabs>
        <w:jc w:val="center"/>
        <w:rPr>
          <w:rFonts w:hint="eastAsia"/>
          <w:b/>
          <w:sz w:val="24"/>
          <w:szCs w:val="24"/>
        </w:rPr>
      </w:pPr>
    </w:p>
    <w:p>
      <w:pPr>
        <w:tabs>
          <w:tab w:val="left" w:pos="3656"/>
        </w:tabs>
        <w:jc w:val="center"/>
        <w:rPr>
          <w:rFonts w:hint="eastAsia"/>
          <w:b/>
          <w:sz w:val="24"/>
          <w:szCs w:val="24"/>
        </w:rPr>
      </w:pPr>
      <w:r>
        <w:rPr>
          <w:rFonts w:hint="eastAsia"/>
          <w:b/>
          <w:sz w:val="24"/>
          <w:szCs w:val="24"/>
        </w:rPr>
        <w:t>南方医科大学第五附属医院院内采购医疗设备</w:t>
      </w:r>
      <w:r>
        <w:rPr>
          <w:rFonts w:hint="eastAsia"/>
          <w:b/>
          <w:sz w:val="24"/>
          <w:szCs w:val="24"/>
          <w:lang w:eastAsia="zh-CN"/>
        </w:rPr>
        <w:t>（手术灯）</w:t>
      </w:r>
      <w:r>
        <w:rPr>
          <w:rFonts w:hint="eastAsia"/>
          <w:b/>
          <w:sz w:val="24"/>
          <w:szCs w:val="24"/>
        </w:rPr>
        <w:t>项目评分</w:t>
      </w:r>
      <w:r>
        <w:rPr>
          <w:rFonts w:hint="eastAsia"/>
          <w:b/>
          <w:sz w:val="24"/>
          <w:szCs w:val="24"/>
          <w:lang w:eastAsia="zh-CN"/>
        </w:rPr>
        <w:t>自查</w:t>
      </w:r>
      <w:r>
        <w:rPr>
          <w:rFonts w:hint="eastAsia"/>
          <w:b/>
          <w:sz w:val="24"/>
          <w:szCs w:val="24"/>
        </w:rPr>
        <w:t>表</w:t>
      </w:r>
    </w:p>
    <w:p>
      <w:pPr>
        <w:tabs>
          <w:tab w:val="left" w:pos="3656"/>
        </w:tabs>
        <w:jc w:val="right"/>
        <w:rPr>
          <w:rFonts w:hint="eastAsia"/>
          <w:b/>
          <w:sz w:val="21"/>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91"/>
        <w:gridCol w:w="720"/>
        <w:gridCol w:w="756"/>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15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539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评审细则</w:t>
            </w:r>
          </w:p>
        </w:tc>
        <w:tc>
          <w:tcPr>
            <w:tcW w:w="72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c>
          <w:tcPr>
            <w:tcW w:w="756" w:type="dxa"/>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自评得分</w:t>
            </w:r>
          </w:p>
        </w:tc>
        <w:tc>
          <w:tcPr>
            <w:tcW w:w="1011" w:type="dxa"/>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页码</w:t>
            </w:r>
            <w:r>
              <w:rPr>
                <w:rFonts w:hint="eastAsia" w:ascii="宋体" w:hAnsi="宋体" w:cs="宋体"/>
                <w:b/>
                <w:bCs/>
                <w:kern w:val="0"/>
                <w:szCs w:val="21"/>
                <w:lang w:eastAsia="zh-CN"/>
              </w:rPr>
              <w:br w:type="textWrapping"/>
            </w:r>
            <w:r>
              <w:rPr>
                <w:rFonts w:hint="eastAsia" w:ascii="宋体" w:hAnsi="宋体" w:cs="宋体"/>
                <w:b/>
                <w:bCs/>
                <w:kern w:val="0"/>
                <w:szCs w:val="21"/>
                <w:lang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w:t>
            </w:r>
          </w:p>
        </w:tc>
        <w:tc>
          <w:tcPr>
            <w:tcW w:w="115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（36分）</w:t>
            </w:r>
          </w:p>
        </w:tc>
        <w:tc>
          <w:tcPr>
            <w:tcW w:w="5391"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用户需求响应情况，该项最高扣36分。</w:t>
            </w:r>
          </w:p>
          <w:p>
            <w:pPr>
              <w:pStyle w:val="26"/>
              <w:numPr>
                <w:ilvl w:val="0"/>
                <w:numId w:val="0"/>
              </w:numPr>
              <w:ind w:leftChars="0"/>
              <w:rPr>
                <w:rFonts w:asciiTheme="minorEastAsia" w:hAnsiTheme="minorEastAsia" w:eastAsiaTheme="minorEastAsia"/>
                <w:b/>
                <w:szCs w:val="21"/>
              </w:rPr>
            </w:pPr>
            <w:r>
              <w:rPr>
                <w:rFonts w:hint="eastAsia" w:asciiTheme="minorEastAsia" w:hAnsiTheme="minorEastAsia" w:eastAsiaTheme="minorEastAsia"/>
                <w:b/>
                <w:szCs w:val="21"/>
                <w:lang w:val="en-US" w:eastAsia="zh-CN"/>
              </w:rPr>
              <w:t>(1)</w:t>
            </w:r>
            <w:r>
              <w:rPr>
                <w:rFonts w:hint="eastAsia" w:asciiTheme="minorEastAsia" w:hAnsiTheme="minorEastAsia" w:eastAsiaTheme="minorEastAsia"/>
                <w:b/>
                <w:szCs w:val="21"/>
              </w:rPr>
              <w:t>对用户需求中技术要求响应情况：</w:t>
            </w:r>
          </w:p>
          <w:p>
            <w:pPr>
              <w:pStyle w:val="26"/>
              <w:numPr>
                <w:ilvl w:val="0"/>
                <w:numId w:val="0"/>
              </w:numPr>
              <w:ind w:leftChars="0"/>
              <w:rPr>
                <w:rFonts w:asciiTheme="minorEastAsia" w:hAnsiTheme="minorEastAsia" w:eastAsiaTheme="minorEastAsia"/>
                <w:szCs w:val="21"/>
              </w:rPr>
            </w:pPr>
            <w:r>
              <w:rPr>
                <w:rFonts w:hint="eastAsia" w:asciiTheme="minorEastAsia" w:hAnsiTheme="minorEastAsia" w:eastAsiaTheme="minorEastAsia"/>
                <w:szCs w:val="21"/>
                <w:lang w:eastAsia="zh-CN"/>
              </w:rPr>
              <w:t>①</w:t>
            </w:r>
            <w:r>
              <w:rPr>
                <w:rFonts w:hint="eastAsia" w:asciiTheme="minorEastAsia" w:hAnsiTheme="minorEastAsia" w:eastAsiaTheme="minorEastAsia"/>
                <w:szCs w:val="21"/>
              </w:rPr>
              <w:t>不满足带▲号的重要技术参数的，一项扣4分；</w:t>
            </w:r>
            <w:r>
              <w:rPr>
                <w:rFonts w:hint="eastAsia" w:ascii="仿宋" w:hAnsi="仿宋" w:eastAsia="仿宋"/>
                <w:szCs w:val="21"/>
              </w:rPr>
              <w:t>②</w:t>
            </w:r>
            <w:r>
              <w:rPr>
                <w:rFonts w:hint="eastAsia" w:asciiTheme="minorEastAsia" w:hAnsiTheme="minorEastAsia" w:eastAsiaTheme="minorEastAsia"/>
                <w:szCs w:val="21"/>
              </w:rPr>
              <w:t>不满足不带▲号的一般技术参数的，一项扣1分。</w:t>
            </w:r>
          </w:p>
          <w:p>
            <w:pPr>
              <w:rPr>
                <w:rFonts w:asciiTheme="minorEastAsia" w:hAnsiTheme="minorEastAsia" w:eastAsiaTheme="minorEastAsia"/>
                <w:b/>
                <w:szCs w:val="21"/>
              </w:rPr>
            </w:pPr>
            <w:r>
              <w:rPr>
                <w:rFonts w:hint="eastAsia" w:asciiTheme="minorEastAsia" w:hAnsiTheme="minorEastAsia" w:eastAsiaTheme="minorEastAsia"/>
                <w:b/>
                <w:szCs w:val="21"/>
              </w:rPr>
              <w:t>备注：如采购需求中有明确要求提供证明材料的，则以采购需求要求的为准；如采购需求中无明确要求证明材料的，则投标人须提供投标产品的产品彩页或产品使用说明书（如为英文版，请同时提供中文版加盖供应商公章）或第三方检测机构出具的检测报告复印件或盖有厂家公章的技术参数（中文版）确认函作为技术证明文件。凡不符合上述要求的，将视为无效技术支持资料。</w:t>
            </w:r>
          </w:p>
          <w:p>
            <w:pPr>
              <w:rPr>
                <w:rFonts w:asciiTheme="minorEastAsia" w:hAnsiTheme="minorEastAsia" w:eastAsiaTheme="minorEastAsia"/>
                <w:szCs w:val="21"/>
              </w:rPr>
            </w:pPr>
            <w:r>
              <w:rPr>
                <w:rFonts w:hint="eastAsia" w:asciiTheme="minorEastAsia" w:hAnsiTheme="minorEastAsia" w:eastAsiaTheme="minorEastAsia"/>
                <w:b/>
                <w:szCs w:val="21"/>
              </w:rPr>
              <w:t>（2）对用户需求中商务要求响应情况：</w:t>
            </w:r>
            <w:r>
              <w:rPr>
                <w:rFonts w:asciiTheme="minorEastAsia" w:hAnsiTheme="minorEastAsia" w:eastAsiaTheme="minorEastAsia"/>
                <w:szCs w:val="21"/>
              </w:rPr>
              <w:t xml:space="preserve"> </w:t>
            </w:r>
            <w:r>
              <w:rPr>
                <w:rFonts w:hint="eastAsia" w:asciiTheme="minorEastAsia" w:hAnsiTheme="minorEastAsia" w:eastAsiaTheme="minorEastAsia"/>
                <w:szCs w:val="21"/>
              </w:rPr>
              <w:t>一项不满足的，扣1分。</w:t>
            </w:r>
          </w:p>
          <w:p>
            <w:pPr>
              <w:rPr>
                <w:rFonts w:asciiTheme="minorEastAsia" w:hAnsiTheme="minorEastAsia" w:eastAsiaTheme="minorEastAsia"/>
                <w:b/>
                <w:szCs w:val="21"/>
              </w:rPr>
            </w:pPr>
            <w:r>
              <w:rPr>
                <w:rFonts w:hint="eastAsia" w:asciiTheme="minorEastAsia" w:hAnsiTheme="minorEastAsia" w:eastAsiaTheme="minorEastAsia"/>
                <w:b/>
                <w:szCs w:val="21"/>
              </w:rPr>
              <w:t>备注：以供应商响应文件中的《用户需求偏离表》中填写内容为准，未填写的或不响应的视为负偏离，不得分。</w:t>
            </w:r>
          </w:p>
        </w:tc>
        <w:tc>
          <w:tcPr>
            <w:tcW w:w="720"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36</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115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（9分）</w:t>
            </w:r>
          </w:p>
        </w:tc>
        <w:tc>
          <w:tcPr>
            <w:tcW w:w="5391"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2020年1月1日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1.5</w:t>
            </w:r>
            <w:r>
              <w:rPr>
                <w:szCs w:val="21"/>
              </w:rPr>
              <w:t>分，满分</w:t>
            </w:r>
            <w:r>
              <w:rPr>
                <w:rFonts w:hint="eastAsia"/>
                <w:szCs w:val="21"/>
              </w:rPr>
              <w:t>9</w:t>
            </w:r>
            <w:r>
              <w:rPr>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注：须附上合同、发票、中标通知书其中一种并加盖公章，不提供不得分，提供不清晰不得分。</w:t>
            </w:r>
          </w:p>
        </w:tc>
        <w:tc>
          <w:tcPr>
            <w:tcW w:w="720" w:type="dxa"/>
            <w:shd w:val="clear" w:color="auto" w:fill="auto"/>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9</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w:t>
            </w:r>
          </w:p>
        </w:tc>
        <w:tc>
          <w:tcPr>
            <w:tcW w:w="1155"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设备包装、安装运输方案（10分）</w:t>
            </w:r>
          </w:p>
        </w:tc>
        <w:tc>
          <w:tcPr>
            <w:tcW w:w="5391"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根据供应商针对本项目制定的设备包装、安装运输方案进行评审：</w:t>
            </w:r>
          </w:p>
          <w:p>
            <w:pPr>
              <w:rPr>
                <w:rFonts w:asciiTheme="minorEastAsia" w:hAnsiTheme="minorEastAsia" w:eastAsiaTheme="minorEastAsia"/>
                <w:szCs w:val="21"/>
              </w:rPr>
            </w:pPr>
            <w:r>
              <w:rPr>
                <w:rFonts w:hint="eastAsia" w:asciiTheme="minorEastAsia" w:hAnsiTheme="minorEastAsia" w:eastAsiaTheme="minorEastAsia"/>
                <w:szCs w:val="21"/>
              </w:rPr>
              <w:t xml:space="preserve">（1）设备包装及安装运输方案合理、详细，优于采购需求，得10分；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（2）设备包装及安装运输方案合理、详细，能满足要求，得6分；</w:t>
            </w:r>
          </w:p>
          <w:p>
            <w:pPr>
              <w:rPr>
                <w:rFonts w:asciiTheme="minorEastAsia" w:hAnsiTheme="minorEastAsia" w:eastAsiaTheme="minorEastAsia"/>
                <w:szCs w:val="21"/>
              </w:rPr>
            </w:pPr>
            <w:r>
              <w:rPr>
                <w:rFonts w:hint="eastAsia" w:asciiTheme="minorEastAsia" w:hAnsiTheme="minorEastAsia" w:eastAsiaTheme="minorEastAsia"/>
                <w:szCs w:val="21"/>
              </w:rPr>
              <w:t>（3）设备包装及安装运输方案欠合理、详细，基本满足要求，得2分；</w:t>
            </w:r>
          </w:p>
          <w:p>
            <w:pPr>
              <w:rPr>
                <w:rFonts w:asciiTheme="minorEastAsia" w:hAnsiTheme="minorEastAsia" w:eastAsiaTheme="minorEastAsia"/>
                <w:szCs w:val="21"/>
              </w:rPr>
            </w:pPr>
            <w:r>
              <w:rPr>
                <w:rFonts w:hint="eastAsia" w:asciiTheme="minorEastAsia" w:hAnsiTheme="minorEastAsia" w:eastAsiaTheme="minorEastAsia"/>
                <w:szCs w:val="21"/>
              </w:rPr>
              <w:t>（4）设备包装及安装运输方案不合理、详细，不满足要求，得0分；</w:t>
            </w:r>
          </w:p>
        </w:tc>
        <w:tc>
          <w:tcPr>
            <w:tcW w:w="720"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4</w:t>
            </w:r>
          </w:p>
        </w:tc>
        <w:tc>
          <w:tcPr>
            <w:tcW w:w="115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售后服务方案</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（10分）</w:t>
            </w:r>
          </w:p>
        </w:tc>
        <w:tc>
          <w:tcPr>
            <w:tcW w:w="5391"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根据供应商针对本项目制定的售后服务方案，（包含保修期内的三包原则、维修保障方案、培训方案）进行评审：</w:t>
            </w:r>
            <w:r>
              <w:rPr>
                <w:rFonts w:hint="eastAsia" w:asciiTheme="minorEastAsia" w:hAnsiTheme="minorEastAsia" w:eastAsiaTheme="minorEastAsia"/>
                <w:b/>
                <w:szCs w:val="21"/>
              </w:rPr>
              <w:br w:type="textWrapping"/>
            </w:r>
            <w:r>
              <w:rPr>
                <w:rFonts w:hint="eastAsia" w:asciiTheme="minorEastAsia" w:hAnsiTheme="minorEastAsia" w:eastAsiaTheme="minorEastAsia"/>
                <w:szCs w:val="21"/>
              </w:rPr>
              <w:t xml:space="preserve">（1）售后服务方案合理、详细，响应速度快，应急处理快，优于采购需求，得10分；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（2）售后服务方案较合理，响应速度较快，应急处理较快，满足采购需求，得6分；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（3）售后服务方案不够合理，响应速度一般，应急处理较慢，基本满足采购需求，得2分；  </w:t>
            </w:r>
          </w:p>
          <w:p>
            <w:pPr>
              <w:rPr>
                <w:rFonts w:asciiTheme="minorEastAsia" w:hAnsiTheme="minorEastAsia" w:eastAsiaTheme="minorEastAsia"/>
                <w:szCs w:val="21"/>
              </w:rPr>
            </w:pPr>
            <w:r>
              <w:rPr>
                <w:rFonts w:hint="eastAsia" w:asciiTheme="minorEastAsia" w:hAnsiTheme="minorEastAsia" w:eastAsiaTheme="minorEastAsia"/>
                <w:szCs w:val="21"/>
              </w:rPr>
              <w:t>（4）售后服务方案不合理，响应速度慢，应急处理较慢，不满足采购需求，得0分；</w:t>
            </w:r>
          </w:p>
        </w:tc>
        <w:tc>
          <w:tcPr>
            <w:tcW w:w="720"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5</w:t>
            </w:r>
          </w:p>
        </w:tc>
        <w:tc>
          <w:tcPr>
            <w:tcW w:w="115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价格分</w:t>
            </w:r>
          </w:p>
          <w:p>
            <w:pPr>
              <w:widowControl/>
              <w:jc w:val="center"/>
              <w:rPr>
                <w:rFonts w:ascii="宋体" w:hAnsi="宋体" w:cs="宋体"/>
                <w:b/>
                <w:bCs/>
                <w:kern w:val="0"/>
                <w:szCs w:val="21"/>
              </w:rPr>
            </w:pPr>
            <w:r>
              <w:rPr>
                <w:rFonts w:hint="eastAsia" w:ascii="宋体" w:hAnsi="宋体" w:cs="宋体"/>
                <w:b/>
                <w:bCs/>
                <w:kern w:val="0"/>
                <w:szCs w:val="21"/>
              </w:rPr>
              <w:t>（35分）</w:t>
            </w:r>
          </w:p>
        </w:tc>
        <w:tc>
          <w:tcPr>
            <w:tcW w:w="5391" w:type="dxa"/>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（1）满足院内采购文件要求且最终价格最低的报价为评标基准价，其价格为满分。</w:t>
            </w:r>
            <w:r>
              <w:rPr>
                <w:rFonts w:hint="eastAsia" w:ascii="宋体" w:hAnsi="宋体" w:cs="宋体"/>
                <w:kern w:val="0"/>
                <w:szCs w:val="21"/>
              </w:rPr>
              <w:br w:type="textWrapping"/>
            </w:r>
            <w:r>
              <w:rPr>
                <w:rFonts w:hint="eastAsia" w:ascii="宋体" w:hAnsi="宋体" w:cs="宋体"/>
                <w:kern w:val="0"/>
                <w:szCs w:val="21"/>
              </w:rPr>
              <w:t>（2）各有效响应供应商的价格评分统一按照下列公式计算：</w:t>
            </w:r>
            <w:r>
              <w:rPr>
                <w:rFonts w:hint="eastAsia" w:ascii="宋体" w:hAnsi="宋体" w:cs="宋体"/>
                <w:kern w:val="0"/>
                <w:szCs w:val="21"/>
              </w:rPr>
              <w:br w:type="textWrapping"/>
            </w:r>
            <w:r>
              <w:rPr>
                <w:rFonts w:hint="eastAsia" w:ascii="宋体" w:hAnsi="宋体" w:cs="宋体"/>
                <w:kern w:val="0"/>
                <w:szCs w:val="21"/>
              </w:rPr>
              <w:t>报价得分 = （评标基准价/最终报价）×价格权值</w:t>
            </w:r>
          </w:p>
        </w:tc>
        <w:tc>
          <w:tcPr>
            <w:tcW w:w="720" w:type="dxa"/>
            <w:shd w:val="clear" w:color="auto" w:fill="auto"/>
            <w:vAlign w:val="center"/>
          </w:tcPr>
          <w:p>
            <w:pPr>
              <w:widowControl/>
              <w:jc w:val="center"/>
              <w:rPr>
                <w:rFonts w:hint="eastAsia" w:ascii="宋体" w:hAnsi="宋体" w:eastAsia="宋体" w:cs="宋体"/>
                <w:strike/>
                <w:kern w:val="0"/>
                <w:szCs w:val="21"/>
                <w:lang w:eastAsia="zh-CN"/>
              </w:rPr>
            </w:pPr>
            <w:r>
              <w:rPr>
                <w:rFonts w:hint="eastAsia" w:ascii="宋体" w:hAnsi="宋体" w:cs="宋体"/>
                <w:kern w:val="0"/>
                <w:szCs w:val="21"/>
              </w:rPr>
              <w:t>35</w:t>
            </w:r>
            <w:r>
              <w:rPr>
                <w:rFonts w:hint="eastAsia" w:ascii="宋体" w:hAnsi="宋体" w:cs="宋体"/>
                <w:kern w:val="0"/>
                <w:szCs w:val="21"/>
                <w:lang w:eastAsia="zh-CN"/>
              </w:rPr>
              <w:t>分</w:t>
            </w:r>
          </w:p>
        </w:tc>
        <w:tc>
          <w:tcPr>
            <w:tcW w:w="756" w:type="dxa"/>
            <w:shd w:val="clear" w:color="auto" w:fill="auto"/>
            <w:vAlign w:val="center"/>
          </w:tcPr>
          <w:p>
            <w:pPr>
              <w:widowControl/>
              <w:jc w:val="center"/>
              <w:rPr>
                <w:rFonts w:hint="eastAsia" w:ascii="宋体" w:hAnsi="宋体" w:cs="宋体"/>
                <w:kern w:val="0"/>
                <w:szCs w:val="21"/>
              </w:rPr>
            </w:pPr>
          </w:p>
        </w:tc>
        <w:tc>
          <w:tcPr>
            <w:tcW w:w="1011" w:type="dxa"/>
            <w:shd w:val="clear" w:color="auto" w:fill="auto"/>
            <w:vAlign w:val="center"/>
          </w:tcPr>
          <w:p>
            <w:pPr>
              <w:widowControl/>
              <w:jc w:val="center"/>
              <w:rPr>
                <w:rFonts w:hint="eastAsia" w:ascii="宋体" w:hAnsi="宋体" w:cs="宋体"/>
                <w:kern w:val="0"/>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计</w:t>
            </w:r>
          </w:p>
        </w:tc>
        <w:tc>
          <w:tcPr>
            <w:tcW w:w="720" w:type="dxa"/>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100</w:t>
            </w:r>
            <w:r>
              <w:rPr>
                <w:rFonts w:hint="eastAsia" w:ascii="宋体" w:hAnsi="宋体" w:cs="宋体"/>
                <w:color w:val="000000"/>
                <w:kern w:val="0"/>
                <w:szCs w:val="21"/>
                <w:lang w:eastAsia="zh-CN"/>
              </w:rPr>
              <w:t>分</w:t>
            </w:r>
          </w:p>
        </w:tc>
        <w:tc>
          <w:tcPr>
            <w:tcW w:w="756" w:type="dxa"/>
            <w:shd w:val="clear" w:color="auto" w:fill="auto"/>
            <w:noWrap/>
            <w:vAlign w:val="center"/>
          </w:tcPr>
          <w:p>
            <w:pPr>
              <w:widowControl/>
              <w:jc w:val="center"/>
              <w:rPr>
                <w:rFonts w:hint="eastAsia" w:ascii="宋体" w:hAnsi="宋体" w:cs="宋体"/>
                <w:color w:val="000000"/>
                <w:kern w:val="0"/>
                <w:szCs w:val="21"/>
              </w:rPr>
            </w:pPr>
          </w:p>
        </w:tc>
        <w:tc>
          <w:tcPr>
            <w:tcW w:w="1011" w:type="dxa"/>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r>
    </w:tbl>
    <w:p>
      <w:pPr>
        <w:pStyle w:val="27"/>
        <w:tabs>
          <w:tab w:val="left" w:pos="1050"/>
          <w:tab w:val="center" w:pos="4535"/>
        </w:tabs>
        <w:spacing w:line="360" w:lineRule="auto"/>
        <w:jc w:val="center"/>
        <w:outlineLvl w:val="0"/>
        <w:rPr>
          <w:b/>
          <w:bCs/>
          <w:color w:val="auto"/>
          <w:sz w:val="32"/>
          <w:szCs w:val="32"/>
          <w:highlight w:val="none"/>
        </w:rPr>
      </w:pPr>
      <w:bookmarkStart w:id="90" w:name="_Toc20406"/>
      <w:bookmarkStart w:id="91" w:name="_Toc895"/>
      <w:r>
        <w:rPr>
          <w:rFonts w:hint="eastAsia"/>
          <w:b/>
          <w:bCs/>
          <w:color w:val="auto"/>
          <w:sz w:val="32"/>
          <w:szCs w:val="32"/>
          <w:highlight w:val="none"/>
        </w:rPr>
        <w:t>法定代表人资格证明书</w:t>
      </w:r>
      <w:bookmarkEnd w:id="85"/>
      <w:bookmarkEnd w:id="86"/>
      <w:bookmarkEnd w:id="87"/>
      <w:bookmarkEnd w:id="88"/>
      <w:bookmarkEnd w:id="89"/>
      <w:bookmarkEnd w:id="90"/>
      <w:bookmarkEnd w:id="91"/>
    </w:p>
    <w:p>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pPr>
        <w:pStyle w:val="27"/>
        <w:spacing w:line="360" w:lineRule="auto"/>
        <w:ind w:firstLine="560"/>
        <w:rPr>
          <w:color w:val="auto"/>
          <w:highlight w:val="none"/>
        </w:rPr>
      </w:pPr>
    </w:p>
    <w:p>
      <w:pPr>
        <w:pStyle w:val="27"/>
        <w:spacing w:line="360" w:lineRule="auto"/>
        <w:ind w:firstLine="560"/>
        <w:rPr>
          <w:color w:val="auto"/>
          <w:highlight w:val="none"/>
          <w:u w:val="single"/>
        </w:rPr>
      </w:pPr>
      <w:r>
        <w:rPr>
          <w:rFonts w:hint="eastAsia"/>
          <w:color w:val="auto"/>
          <w:highlight w:val="none"/>
          <w:lang w:eastAsia="zh-CN"/>
        </w:rPr>
        <w:t>公司</w:t>
      </w:r>
      <w:r>
        <w:rPr>
          <w:rFonts w:hint="eastAsia"/>
          <w:color w:val="auto"/>
          <w:highlight w:val="none"/>
        </w:rPr>
        <w:t>法定代表人签字（盖章）：</w:t>
      </w:r>
      <w:r>
        <w:rPr>
          <w:rFonts w:hint="eastAsia"/>
          <w:color w:val="auto"/>
          <w:highlight w:val="none"/>
          <w:u w:val="single"/>
        </w:rPr>
        <w:t xml:space="preserve">                                  </w:t>
      </w:r>
    </w:p>
    <w:p>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pPr>
        <w:pStyle w:val="27"/>
        <w:spacing w:line="360" w:lineRule="auto"/>
        <w:rPr>
          <w:b/>
          <w:bCs/>
          <w:color w:val="auto"/>
          <w:sz w:val="28"/>
          <w:szCs w:val="28"/>
          <w:highlight w:val="none"/>
        </w:rPr>
      </w:pPr>
    </w:p>
    <w:p>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7"/>
        <w:spacing w:line="360" w:lineRule="auto"/>
        <w:jc w:val="center"/>
        <w:outlineLvl w:val="9"/>
        <w:rPr>
          <w:b/>
          <w:bCs/>
          <w:color w:val="auto"/>
          <w:sz w:val="32"/>
          <w:szCs w:val="32"/>
          <w:highlight w:val="none"/>
        </w:rPr>
      </w:pPr>
      <w:bookmarkStart w:id="92" w:name="_Toc14020"/>
      <w:bookmarkStart w:id="93" w:name="_Toc14591"/>
      <w:bookmarkStart w:id="94" w:name="_Toc18443"/>
      <w:bookmarkStart w:id="95" w:name="_Toc3758"/>
      <w:bookmarkStart w:id="96" w:name="_Toc28957"/>
      <w:bookmarkStart w:id="97" w:name="_Toc22175"/>
      <w:bookmarkStart w:id="98" w:name="_Toc3241"/>
      <w:bookmarkStart w:id="99" w:name="_Toc7276"/>
      <w:bookmarkStart w:id="100" w:name="_Toc23685"/>
      <w:bookmarkStart w:id="101" w:name="_Toc14853"/>
      <w:bookmarkStart w:id="102" w:name="_Toc15050"/>
    </w:p>
    <w:p>
      <w:pPr>
        <w:pStyle w:val="27"/>
        <w:spacing w:line="360" w:lineRule="auto"/>
        <w:jc w:val="center"/>
        <w:outlineLvl w:val="9"/>
        <w:rPr>
          <w:b/>
          <w:bCs/>
          <w:color w:val="auto"/>
          <w:sz w:val="32"/>
          <w:szCs w:val="32"/>
          <w:highlight w:val="none"/>
        </w:rPr>
      </w:pPr>
    </w:p>
    <w:p>
      <w:pPr>
        <w:pStyle w:val="27"/>
        <w:spacing w:line="360" w:lineRule="auto"/>
        <w:jc w:val="center"/>
        <w:outlineLvl w:val="9"/>
        <w:rPr>
          <w:b/>
          <w:bCs/>
          <w:color w:val="auto"/>
          <w:sz w:val="32"/>
          <w:szCs w:val="32"/>
          <w:highlight w:val="none"/>
        </w:rPr>
      </w:pPr>
    </w:p>
    <w:p>
      <w:pPr>
        <w:pStyle w:val="27"/>
        <w:spacing w:line="360" w:lineRule="auto"/>
        <w:jc w:val="center"/>
        <w:outlineLvl w:val="0"/>
        <w:rPr>
          <w:b/>
          <w:bCs/>
          <w:color w:val="auto"/>
          <w:sz w:val="32"/>
          <w:szCs w:val="32"/>
          <w:highlight w:val="none"/>
        </w:rPr>
      </w:pPr>
      <w:bookmarkStart w:id="103" w:name="_Toc15848"/>
      <w:bookmarkStart w:id="104" w:name="_Toc3133"/>
      <w:bookmarkStart w:id="105" w:name="_Toc22599"/>
      <w:r>
        <w:rPr>
          <w:rFonts w:hint="eastAsia"/>
          <w:b/>
          <w:bCs/>
          <w:color w:val="auto"/>
          <w:sz w:val="32"/>
          <w:szCs w:val="32"/>
          <w:highlight w:val="none"/>
        </w:rPr>
        <w:t>法定代表人授权委托书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（公司地址）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w:t>
      </w:r>
      <w:r>
        <w:rPr>
          <w:rFonts w:hint="eastAsia"/>
          <w:color w:val="auto"/>
          <w:highlight w:val="none"/>
          <w:lang w:eastAsia="zh-CN"/>
        </w:rPr>
        <w:t>一切与之相关的</w:t>
      </w:r>
      <w:r>
        <w:rPr>
          <w:rFonts w:hint="eastAsia"/>
          <w:color w:val="auto"/>
          <w:highlight w:val="none"/>
        </w:rPr>
        <w:t>事宜。</w:t>
      </w:r>
    </w:p>
    <w:p>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pPr>
        <w:pStyle w:val="27"/>
        <w:spacing w:line="360" w:lineRule="auto"/>
        <w:ind w:firstLine="560"/>
        <w:rPr>
          <w:color w:val="auto"/>
          <w:highlight w:val="none"/>
        </w:rPr>
      </w:pPr>
      <w:r>
        <w:rPr>
          <w:rFonts w:hint="eastAsia"/>
          <w:color w:val="auto"/>
          <w:highlight w:val="none"/>
        </w:rPr>
        <w:t>本授权书在签字盖章后生效，特此声明。</w:t>
      </w:r>
    </w:p>
    <w:p>
      <w:pPr>
        <w:pStyle w:val="27"/>
        <w:spacing w:line="360" w:lineRule="auto"/>
        <w:ind w:firstLine="560"/>
        <w:rPr>
          <w:color w:val="auto"/>
          <w:highlight w:val="none"/>
          <w:u w:val="single"/>
        </w:rPr>
      </w:pPr>
      <w:r>
        <w:rPr>
          <w:rFonts w:hint="eastAsia"/>
          <w:color w:val="auto"/>
          <w:highlight w:val="none"/>
          <w:lang w:eastAsia="zh-CN"/>
        </w:rPr>
        <w:t>公司</w:t>
      </w:r>
      <w:r>
        <w:rPr>
          <w:rFonts w:hint="eastAsia"/>
          <w:color w:val="auto"/>
          <w:highlight w:val="none"/>
        </w:rPr>
        <w:t>法定代表人签字（盖章）：</w:t>
      </w:r>
      <w:r>
        <w:rPr>
          <w:rFonts w:hint="eastAsia"/>
          <w:color w:val="auto"/>
          <w:highlight w:val="none"/>
          <w:u w:val="single"/>
        </w:rPr>
        <w:t xml:space="preserve">                                </w:t>
      </w:r>
    </w:p>
    <w:p>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ind w:firstLine="3975" w:firstLineChars="1100"/>
        <w:rPr>
          <w:b/>
          <w:bCs/>
          <w:color w:val="auto"/>
          <w:sz w:val="36"/>
          <w:szCs w:val="36"/>
          <w:highlight w:val="none"/>
        </w:rPr>
      </w:pPr>
    </w:p>
    <w:p>
      <w:pPr>
        <w:pStyle w:val="27"/>
        <w:spacing w:line="360" w:lineRule="auto"/>
        <w:ind w:firstLine="360" w:firstLineChars="150"/>
      </w:pPr>
    </w:p>
    <w:p>
      <w:pPr>
        <w:pStyle w:val="27"/>
        <w:spacing w:line="360" w:lineRule="auto"/>
        <w:ind w:firstLine="360" w:firstLineChars="150"/>
      </w:pPr>
    </w:p>
    <w:p>
      <w:pPr>
        <w:widowControl/>
        <w:spacing w:line="480" w:lineRule="exact"/>
        <w:jc w:val="center"/>
        <w:rPr>
          <w:rFonts w:ascii="宋体" w:hAnsi="宋体"/>
          <w:b/>
          <w:sz w:val="24"/>
        </w:rPr>
      </w:pPr>
      <w:r>
        <w:rPr>
          <w:rFonts w:hint="eastAsia" w:ascii="宋体" w:hAnsi="宋体"/>
          <w:b/>
          <w:sz w:val="24"/>
        </w:rPr>
        <w:t>20</w:t>
      </w:r>
      <w:r>
        <w:rPr>
          <w:rFonts w:hint="eastAsia" w:ascii="宋体" w:hAnsi="宋体"/>
          <w:b/>
          <w:sz w:val="24"/>
          <w:lang w:val="en-US" w:eastAsia="zh-CN"/>
        </w:rPr>
        <w:t>20</w:t>
      </w:r>
      <w:r>
        <w:rPr>
          <w:rFonts w:hint="eastAsia" w:ascii="宋体" w:hAnsi="宋体"/>
          <w:b/>
          <w:sz w:val="24"/>
        </w:rPr>
        <w:t>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753" w:type="dxa"/>
            <w:vAlign w:val="center"/>
          </w:tcPr>
          <w:p>
            <w:pPr>
              <w:spacing w:line="360" w:lineRule="auto"/>
              <w:jc w:val="center"/>
              <w:rPr>
                <w:rFonts w:ascii="宋体" w:hAnsi="宋体"/>
                <w:b/>
                <w:sz w:val="24"/>
              </w:rPr>
            </w:pPr>
            <w:r>
              <w:rPr>
                <w:rFonts w:hint="eastAsia" w:ascii="宋体" w:hAnsi="宋体"/>
                <w:b/>
                <w:sz w:val="24"/>
              </w:rPr>
              <w:t>业主名称</w:t>
            </w:r>
          </w:p>
        </w:tc>
        <w:tc>
          <w:tcPr>
            <w:tcW w:w="1344" w:type="dxa"/>
            <w:vAlign w:val="center"/>
          </w:tcPr>
          <w:p>
            <w:pPr>
              <w:spacing w:line="360" w:lineRule="auto"/>
              <w:jc w:val="center"/>
              <w:rPr>
                <w:rFonts w:ascii="宋体" w:hAnsi="宋体"/>
                <w:b/>
                <w:sz w:val="24"/>
              </w:rPr>
            </w:pPr>
            <w:r>
              <w:rPr>
                <w:rFonts w:hint="eastAsia" w:ascii="宋体" w:hAnsi="宋体"/>
                <w:b/>
                <w:sz w:val="24"/>
              </w:rPr>
              <w:t>项目名称</w:t>
            </w:r>
          </w:p>
        </w:tc>
        <w:tc>
          <w:tcPr>
            <w:tcW w:w="1727" w:type="dxa"/>
            <w:vAlign w:val="center"/>
          </w:tcPr>
          <w:p>
            <w:pPr>
              <w:spacing w:line="360" w:lineRule="auto"/>
              <w:jc w:val="center"/>
              <w:rPr>
                <w:rFonts w:ascii="宋体" w:hAnsi="宋体"/>
                <w:b/>
                <w:sz w:val="24"/>
              </w:rPr>
            </w:pPr>
            <w:r>
              <w:rPr>
                <w:rFonts w:hint="eastAsia" w:ascii="宋体" w:hAnsi="宋体"/>
                <w:b/>
                <w:sz w:val="24"/>
              </w:rPr>
              <w:t>合同总价</w:t>
            </w:r>
          </w:p>
        </w:tc>
        <w:tc>
          <w:tcPr>
            <w:tcW w:w="1344" w:type="dxa"/>
            <w:vAlign w:val="center"/>
          </w:tcPr>
          <w:p>
            <w:pPr>
              <w:spacing w:line="360" w:lineRule="auto"/>
              <w:jc w:val="center"/>
              <w:rPr>
                <w:rFonts w:ascii="宋体" w:hAnsi="宋体"/>
                <w:b/>
                <w:sz w:val="24"/>
              </w:rPr>
            </w:pPr>
            <w:r>
              <w:rPr>
                <w:rFonts w:hint="eastAsia" w:ascii="宋体" w:hAnsi="宋体"/>
                <w:b/>
                <w:sz w:val="24"/>
              </w:rPr>
              <w:t>完成时间</w:t>
            </w:r>
          </w:p>
        </w:tc>
        <w:tc>
          <w:tcPr>
            <w:tcW w:w="2119"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bl>
    <w:p>
      <w:pPr>
        <w:spacing w:line="360" w:lineRule="auto"/>
        <w:ind w:left="556" w:leftChars="150" w:hanging="241" w:hangingChars="100"/>
        <w:rPr>
          <w:rFonts w:ascii="宋体" w:hAnsi="宋体"/>
          <w:b/>
          <w:sz w:val="24"/>
        </w:rPr>
      </w:pPr>
      <w:bookmarkStart w:id="106" w:name="_Hlt10548694"/>
      <w:r>
        <w:rPr>
          <w:rFonts w:hint="eastAsia" w:ascii="宋体" w:hAnsi="宋体"/>
          <w:b/>
          <w:sz w:val="24"/>
        </w:rPr>
        <w:t>注：</w:t>
      </w:r>
      <w:bookmarkEnd w:id="106"/>
      <w:r>
        <w:rPr>
          <w:rFonts w:hint="eastAsia" w:ascii="宋体" w:hAnsi="宋体"/>
          <w:b/>
          <w:sz w:val="24"/>
        </w:rPr>
        <w:t>1.需提供完整合同、中标通知书、发票其中一种作为附件。</w:t>
      </w:r>
    </w:p>
    <w:p>
      <w:pPr>
        <w:spacing w:line="360" w:lineRule="auto"/>
        <w:ind w:left="525" w:leftChars="150" w:hanging="210" w:hangingChars="100"/>
        <w:sectPr>
          <w:footerReference r:id="rId5" w:type="default"/>
          <w:pgSz w:w="11906" w:h="16838"/>
          <w:pgMar w:top="1417" w:right="1134" w:bottom="1417" w:left="1134" w:header="851" w:footer="992" w:gutter="0"/>
          <w:pgNumType w:fmt="decimal" w:start="1"/>
          <w:cols w:space="425" w:num="1"/>
          <w:docGrid w:linePitch="312" w:charSpace="0"/>
        </w:sectPr>
      </w:pPr>
      <w:r>
        <w:rPr>
          <w:rFonts w:hint="eastAsia"/>
        </w:rPr>
        <w:t xml:space="preserve">     </w:t>
      </w:r>
      <w:r>
        <w:rPr>
          <w:rFonts w:hint="eastAsia" w:ascii="宋体" w:hAnsi="宋体"/>
          <w:b/>
          <w:sz w:val="24"/>
        </w:rPr>
        <w:t>2. 须自行提供业绩清单中证明</w:t>
      </w:r>
      <w:r>
        <w:rPr>
          <w:rFonts w:hint="eastAsia" w:ascii="宋体" w:hAnsi="宋体"/>
          <w:b/>
          <w:sz w:val="24"/>
          <w:lang w:eastAsia="zh-CN"/>
        </w:rPr>
        <w:t>材料</w:t>
      </w:r>
      <w:r>
        <w:rPr>
          <w:rFonts w:hint="eastAsia" w:ascii="宋体" w:hAnsi="宋体"/>
          <w:b/>
          <w:sz w:val="24"/>
        </w:rPr>
        <w:t>。</w:t>
      </w:r>
    </w:p>
    <w:p>
      <w:pPr>
        <w:jc w:val="center"/>
        <w:rPr>
          <w:b/>
          <w:sz w:val="32"/>
          <w:szCs w:val="32"/>
        </w:rPr>
      </w:pPr>
    </w:p>
    <w:p>
      <w:pPr>
        <w:jc w:val="center"/>
        <w:rPr>
          <w:b/>
          <w:sz w:val="32"/>
          <w:szCs w:val="32"/>
        </w:rPr>
      </w:pPr>
      <w:r>
        <w:rPr>
          <w:b/>
          <w:sz w:val="32"/>
          <w:szCs w:val="32"/>
        </w:rPr>
        <w:t>公平竞争承诺书</w:t>
      </w:r>
    </w:p>
    <w:p>
      <w:pPr>
        <w:spacing w:line="360" w:lineRule="auto"/>
        <w:ind w:firstLine="560" w:firstLineChars="200"/>
        <w:rPr>
          <w:sz w:val="28"/>
          <w:szCs w:val="28"/>
        </w:rPr>
      </w:pPr>
    </w:p>
    <w:p>
      <w:pPr>
        <w:spacing w:line="360" w:lineRule="auto"/>
        <w:ind w:firstLine="480" w:firstLineChars="200"/>
        <w:rPr>
          <w:sz w:val="28"/>
          <w:szCs w:val="28"/>
        </w:rPr>
      </w:pPr>
      <w:r>
        <w:rPr>
          <w:color w:val="auto"/>
          <w:sz w:val="24"/>
          <w:highlight w:val="none"/>
        </w:rPr>
        <w:t>本公司郑重承诺：本公司保证所提交的相关资质文件和证明材料的真实性，有良好的历史诚信记录，并将依法参与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项目名称</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项目编号           </w:t>
      </w:r>
      <w:r>
        <w:rPr>
          <w:color w:val="auto"/>
          <w:sz w:val="24"/>
          <w:highlight w:val="none"/>
        </w:rPr>
        <w:t xml:space="preserve">的公平竞争，不以任何不正当行为谋取不当利益，否则承担相应的法律责任。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pStyle w:val="8"/>
        <w:adjustRightInd w:val="0"/>
        <w:snapToGrid w:val="0"/>
        <w:rPr>
          <w:rFonts w:hAnsi="宋体" w:cs="Times New Roman"/>
          <w:b/>
        </w:rPr>
      </w:pPr>
    </w:p>
    <w:p>
      <w:pPr>
        <w:widowControl/>
        <w:spacing w:line="500" w:lineRule="atLeast"/>
        <w:outlineLvl w:val="0"/>
        <w:rPr>
          <w:rFonts w:ascii="宋体" w:hAnsi="宋体"/>
          <w:b/>
          <w:spacing w:val="4"/>
          <w:kern w:val="0"/>
          <w:szCs w:val="21"/>
        </w:rPr>
      </w:pPr>
      <w:bookmarkStart w:id="107" w:name="_Toc5541"/>
      <w:bookmarkStart w:id="108" w:name="_Toc14979"/>
      <w:bookmarkStart w:id="109" w:name="_Toc19813"/>
      <w:r>
        <w:rPr>
          <w:rFonts w:hint="eastAsia" w:ascii="仿宋" w:hAnsi="仿宋" w:eastAsia="仿宋" w:cs="宋体"/>
          <w:b/>
          <w:kern w:val="0"/>
          <w:sz w:val="24"/>
          <w:szCs w:val="32"/>
        </w:rPr>
        <w:t>无专机专用耗材保证函(无专机专用耗材设备)</w:t>
      </w:r>
      <w:bookmarkEnd w:id="107"/>
      <w:bookmarkEnd w:id="108"/>
      <w:bookmarkEnd w:id="109"/>
    </w:p>
    <w:p>
      <w:pPr>
        <w:jc w:val="center"/>
        <w:rPr>
          <w:b/>
          <w:sz w:val="32"/>
          <w:szCs w:val="32"/>
        </w:rPr>
      </w:pPr>
    </w:p>
    <w:p>
      <w:pPr>
        <w:jc w:val="center"/>
        <w:rPr>
          <w:b/>
          <w:sz w:val="32"/>
          <w:szCs w:val="32"/>
        </w:rPr>
      </w:pPr>
      <w:r>
        <w:rPr>
          <w:rFonts w:hint="eastAsia"/>
          <w:b/>
          <w:sz w:val="32"/>
          <w:szCs w:val="32"/>
        </w:rPr>
        <w:t>保证函</w:t>
      </w:r>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27"/>
        <w:spacing w:line="360" w:lineRule="auto"/>
        <w:jc w:val="center"/>
        <w:outlineLvl w:val="0"/>
        <w:rPr>
          <w:b/>
          <w:bCs/>
          <w:color w:val="auto"/>
          <w:sz w:val="32"/>
          <w:szCs w:val="32"/>
          <w:highlight w:val="none"/>
        </w:rPr>
      </w:pPr>
      <w:bookmarkStart w:id="110" w:name="_Toc22349"/>
      <w:bookmarkStart w:id="111" w:name="_Toc9085"/>
      <w:bookmarkStart w:id="112" w:name="_Toc5237"/>
      <w:bookmarkStart w:id="113" w:name="_Toc8464"/>
      <w:bookmarkStart w:id="114" w:name="_Toc9308"/>
      <w:bookmarkStart w:id="115" w:name="_Toc9813"/>
      <w:bookmarkStart w:id="116" w:name="_Toc6773"/>
      <w:bookmarkStart w:id="117" w:name="_Toc13828"/>
      <w:bookmarkStart w:id="118" w:name="_Toc12567"/>
      <w:bookmarkStart w:id="119" w:name="_Toc12004"/>
      <w:bookmarkStart w:id="120" w:name="_Toc29986"/>
      <w:bookmarkStart w:id="121" w:name="_Toc12986"/>
      <w:bookmarkStart w:id="122" w:name="_Toc4538"/>
      <w:bookmarkStart w:id="123" w:name="_Toc20949"/>
      <w:r>
        <w:rPr>
          <w:rFonts w:hint="eastAsia"/>
          <w:b/>
          <w:bCs/>
          <w:color w:val="auto"/>
          <w:sz w:val="32"/>
          <w:szCs w:val="32"/>
          <w:highlight w:val="none"/>
        </w:rPr>
        <w:t>关于资格和响应文件的声明函</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6"/>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6"/>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lang w:eastAsia="zh-CN"/>
        </w:rPr>
        <w:t>公司</w:t>
      </w:r>
      <w:r>
        <w:rPr>
          <w:rFonts w:hint="eastAsia" w:ascii="宋体" w:hAnsi="宋体"/>
          <w:color w:val="auto"/>
          <w:sz w:val="24"/>
          <w:highlight w:val="none"/>
        </w:rPr>
        <w:t>名称（盖章）：</w:t>
      </w:r>
    </w:p>
    <w:p>
      <w:pPr>
        <w:pStyle w:val="23"/>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lang w:eastAsia="zh-CN"/>
        </w:rPr>
        <w:t>公司</w:t>
      </w:r>
      <w:r>
        <w:rPr>
          <w:rFonts w:hint="eastAsia" w:ascii="宋体" w:hAnsi="宋体"/>
          <w:color w:val="auto"/>
          <w:sz w:val="24"/>
          <w:highlight w:val="none"/>
        </w:rPr>
        <w:t>法定代表人（或法定代表人授权代表）（签字或盖章）：</w:t>
      </w:r>
    </w:p>
    <w:p>
      <w:pPr>
        <w:pStyle w:val="23"/>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仿宋" w:hAnsi="仿宋" w:eastAsia="仿宋" w:cs="宋体"/>
          <w:b/>
          <w:kern w:val="0"/>
          <w:sz w:val="24"/>
          <w:szCs w:val="32"/>
        </w:rPr>
      </w:pPr>
    </w:p>
    <w:p>
      <w:pPr>
        <w:numPr>
          <w:ilvl w:val="0"/>
          <w:numId w:val="0"/>
        </w:numPr>
        <w:jc w:val="center"/>
        <w:outlineLvl w:val="0"/>
        <w:rPr>
          <w:b/>
          <w:bCs/>
          <w:kern w:val="0"/>
          <w:sz w:val="32"/>
          <w:szCs w:val="36"/>
        </w:rPr>
      </w:pPr>
      <w:bookmarkStart w:id="124" w:name="_Toc1772"/>
      <w:r>
        <w:rPr>
          <w:rFonts w:hint="eastAsia"/>
          <w:b/>
          <w:bCs/>
          <w:kern w:val="0"/>
          <w:sz w:val="32"/>
          <w:szCs w:val="36"/>
          <w:lang w:eastAsia="zh-CN"/>
        </w:rPr>
        <w:t>第六部分</w:t>
      </w:r>
      <w:r>
        <w:rPr>
          <w:rFonts w:hint="eastAsia"/>
          <w:b/>
          <w:bCs/>
          <w:kern w:val="0"/>
          <w:sz w:val="32"/>
          <w:szCs w:val="36"/>
        </w:rPr>
        <w:t xml:space="preserve">  </w:t>
      </w:r>
      <w:bookmarkStart w:id="125" w:name="_Toc91515614"/>
      <w:r>
        <w:rPr>
          <w:rFonts w:hint="eastAsia"/>
          <w:b/>
          <w:bCs/>
          <w:kern w:val="0"/>
          <w:sz w:val="32"/>
          <w:szCs w:val="36"/>
        </w:rPr>
        <w:t>合同模板</w:t>
      </w:r>
      <w:bookmarkEnd w:id="124"/>
      <w:bookmarkEnd w:id="125"/>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pPr>
        <w:spacing w:line="360" w:lineRule="auto"/>
        <w:rPr>
          <w:rFonts w:ascii="黑体" w:hAnsi="黑体" w:eastAsia="黑体" w:cs="黑体"/>
          <w:b/>
          <w:bCs/>
          <w:sz w:val="48"/>
          <w:szCs w:val="48"/>
        </w:rPr>
      </w:pPr>
      <w:bookmarkStart w:id="126" w:name="EB96da972056de4385935c5eeed9aedf73"/>
    </w:p>
    <w:bookmarkEnd w:id="126"/>
    <w:p>
      <w:pPr>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南方医科大学第五附属医院</w:t>
      </w:r>
    </w:p>
    <w:p>
      <w:pPr>
        <w:spacing w:line="360" w:lineRule="auto"/>
        <w:jc w:val="center"/>
        <w:rPr>
          <w:rFonts w:hint="eastAsia" w:ascii="黑体" w:hAnsi="黑体" w:eastAsia="黑体" w:cs="黑体"/>
          <w:b/>
          <w:bCs/>
          <w:sz w:val="44"/>
          <w:szCs w:val="44"/>
        </w:rPr>
      </w:pPr>
      <w:r>
        <w:rPr>
          <w:rFonts w:hint="eastAsia" w:ascii="黑体" w:hAnsi="黑体" w:eastAsia="黑体" w:cs="黑体"/>
          <w:b/>
          <w:bCs/>
          <w:color w:val="0000FF"/>
          <w:sz w:val="44"/>
          <w:szCs w:val="44"/>
          <w:lang w:val="en-US" w:eastAsia="zh-CN"/>
        </w:rPr>
        <w:t>****项目</w:t>
      </w:r>
      <w:r>
        <w:rPr>
          <w:rFonts w:hint="eastAsia" w:ascii="黑体" w:hAnsi="黑体" w:eastAsia="黑体" w:cs="黑体"/>
          <w:b/>
          <w:bCs/>
          <w:sz w:val="44"/>
          <w:szCs w:val="44"/>
        </w:rPr>
        <w:t>采购合同</w:t>
      </w: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b/>
          <w:bCs/>
          <w:sz w:val="24"/>
          <w:szCs w:val="24"/>
        </w:rPr>
      </w:pPr>
    </w:p>
    <w:p>
      <w:pPr>
        <w:pStyle w:val="23"/>
        <w:rPr>
          <w:rFonts w:ascii="宋体" w:hAnsi="宋体" w:cs="宋体"/>
          <w:b/>
          <w:bCs/>
          <w:sz w:val="24"/>
        </w:rPr>
      </w:pPr>
    </w:p>
    <w:p>
      <w:pPr>
        <w:pStyle w:val="23"/>
        <w:rPr>
          <w:rFonts w:ascii="宋体" w:hAnsi="宋体" w:cs="宋体"/>
          <w:b/>
          <w:bCs/>
          <w:sz w:val="24"/>
        </w:rPr>
      </w:pPr>
    </w:p>
    <w:p>
      <w:pPr>
        <w:pStyle w:val="23"/>
        <w:rPr>
          <w:rFonts w:ascii="宋体" w:hAnsi="宋体" w:cs="宋体"/>
          <w:b/>
          <w:bCs/>
          <w:sz w:val="24"/>
        </w:rPr>
      </w:pPr>
    </w:p>
    <w:p>
      <w:pPr>
        <w:adjustRightInd w:val="0"/>
        <w:snapToGrid w:val="0"/>
        <w:spacing w:line="360" w:lineRule="auto"/>
        <w:ind w:firstLine="301" w:firstLineChars="100"/>
        <w:rPr>
          <w:rFonts w:ascii="宋体" w:hAnsi="宋体" w:eastAsia="宋体" w:cs="宋体"/>
          <w:sz w:val="30"/>
          <w:szCs w:val="30"/>
        </w:rPr>
      </w:pPr>
      <w:r>
        <w:rPr>
          <w:rFonts w:ascii="宋体" w:hAnsi="宋体" w:cs="宋体"/>
          <w:b/>
          <w:bCs/>
          <w:sz w:val="30"/>
          <w:szCs w:val="30"/>
        </w:rPr>
        <w:t>合同编号：</w:t>
      </w:r>
    </w:p>
    <w:p>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pPr>
        <w:autoSpaceDE w:val="0"/>
        <w:autoSpaceDN w:val="0"/>
        <w:spacing w:line="360" w:lineRule="auto"/>
        <w:ind w:right="1848" w:firstLine="301" w:firstLineChars="100"/>
        <w:rPr>
          <w:rFonts w:ascii="宋体" w:hAnsi="宋体" w:cs="宋体"/>
          <w:sz w:val="28"/>
          <w:szCs w:val="28"/>
          <w:highlight w:val="none"/>
        </w:rPr>
      </w:pPr>
      <w:r>
        <w:rPr>
          <w:rFonts w:ascii="宋体" w:hAnsi="宋体" w:cs="宋体"/>
          <w:b/>
          <w:sz w:val="30"/>
          <w:szCs w:val="30"/>
          <w:highlight w:val="none"/>
        </w:rPr>
        <w:t>乙方：</w:t>
      </w:r>
    </w:p>
    <w:p>
      <w:pPr>
        <w:widowControl/>
        <w:spacing w:line="360" w:lineRule="auto"/>
        <w:ind w:firstLine="301" w:firstLineChars="100"/>
        <w:rPr>
          <w:rFonts w:ascii="宋体" w:hAnsi="宋体" w:cs="宋体"/>
          <w:kern w:val="0"/>
          <w:sz w:val="30"/>
          <w:szCs w:val="30"/>
        </w:rPr>
        <w:sectPr>
          <w:headerReference r:id="rId6" w:type="default"/>
          <w:pgSz w:w="12240" w:h="15840"/>
          <w:pgMar w:top="1440" w:right="1418" w:bottom="1440" w:left="1418" w:header="720" w:footer="720" w:gutter="0"/>
          <w:pgNumType w:fmt="decimal"/>
          <w:cols w:space="720" w:num="1"/>
        </w:sectPr>
      </w:pPr>
      <w:r>
        <w:rPr>
          <w:rFonts w:ascii="宋体" w:hAnsi="宋体" w:cs="宋体"/>
          <w:b/>
          <w:kern w:val="0"/>
          <w:sz w:val="30"/>
          <w:szCs w:val="30"/>
        </w:rPr>
        <w:t>签署地点：</w:t>
      </w:r>
    </w:p>
    <w:p>
      <w:pPr>
        <w:jc w:val="center"/>
        <w:rPr>
          <w:rFonts w:ascii="宋体" w:hAnsi="Times New Roman" w:eastAsia="宋体" w:cs="Times New Roman"/>
          <w:b/>
          <w:sz w:val="28"/>
        </w:rPr>
      </w:pPr>
    </w:p>
    <w:p>
      <w:pPr>
        <w:jc w:val="center"/>
        <w:rPr>
          <w:b/>
          <w:sz w:val="28"/>
        </w:rPr>
      </w:pPr>
    </w:p>
    <w:p>
      <w:pPr>
        <w:jc w:val="center"/>
      </w:pPr>
      <w:r>
        <w:rPr>
          <w:b/>
          <w:sz w:val="28"/>
        </w:rPr>
        <w:t>南方医科大学第五附属医院</w:t>
      </w:r>
    </w:p>
    <w:p>
      <w:pPr>
        <w:jc w:val="center"/>
      </w:pPr>
      <w:r>
        <w:rPr>
          <w:rFonts w:hint="eastAsia"/>
          <w:b/>
          <w:color w:val="0000FF"/>
          <w:sz w:val="28"/>
          <w:lang w:val="en-US" w:eastAsia="zh-CN"/>
        </w:rPr>
        <w:t>***项目</w:t>
      </w:r>
      <w:r>
        <w:rPr>
          <w:b/>
          <w:sz w:val="28"/>
        </w:rPr>
        <w:t>采购合同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甲方：</w:t>
      </w:r>
      <w:r>
        <w:rPr>
          <w:rFonts w:hint="eastAsia" w:asciiTheme="minorEastAsia" w:hAnsiTheme="minorEastAsia" w:eastAsiaTheme="minorEastAsia" w:cstheme="minorEastAsia"/>
          <w:sz w:val="21"/>
          <w:szCs w:val="21"/>
        </w:rPr>
        <w:t>南方医科大学第五附属医院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根据南方医科大学第五附属医院</w:t>
      </w:r>
      <w:r>
        <w:rPr>
          <w:rFonts w:hint="eastAsia" w:asciiTheme="minorEastAsia" w:hAnsiTheme="minorEastAsia" w:eastAsiaTheme="minorEastAsia" w:cstheme="minorEastAsia"/>
          <w:color w:val="0000FF"/>
          <w:sz w:val="21"/>
          <w:szCs w:val="21"/>
          <w:lang w:val="en-US" w:eastAsia="zh-CN"/>
        </w:rPr>
        <w:t>****</w:t>
      </w:r>
      <w:r>
        <w:rPr>
          <w:rFonts w:hint="eastAsia" w:asciiTheme="minorEastAsia" w:hAnsiTheme="minorEastAsia" w:eastAsiaTheme="minorEastAsia" w:cstheme="minorEastAsia"/>
          <w:sz w:val="21"/>
          <w:szCs w:val="21"/>
        </w:rPr>
        <w:t>项目(项目编号：</w:t>
      </w:r>
      <w:r>
        <w:rPr>
          <w:rFonts w:hint="eastAsia" w:asciiTheme="minorEastAsia" w:hAnsiTheme="minorEastAsia" w:eastAsiaTheme="minorEastAsia" w:cstheme="minorEastAsia"/>
          <w:color w:val="0000FF"/>
          <w:sz w:val="21"/>
          <w:szCs w:val="21"/>
          <w:lang w:val="en-US" w:eastAsia="zh-CN"/>
        </w:rPr>
        <w:t>******</w:t>
      </w:r>
      <w:r>
        <w:rPr>
          <w:rFonts w:hint="eastAsia" w:asciiTheme="minorEastAsia" w:hAnsiTheme="minorEastAsia" w:eastAsiaTheme="minorEastAsia" w:cstheme="minorEastAsia"/>
          <w:sz w:val="21"/>
          <w:szCs w:val="21"/>
        </w:rPr>
        <w:t>）的采购结果，按照《中华人民共和国民法典》合同编相关规定，甲、乙双方在平等互利的基础上，经协商一致确定，甲方向乙方</w:t>
      </w:r>
      <w:r>
        <w:rPr>
          <w:rFonts w:hint="eastAsia" w:asciiTheme="minorEastAsia" w:hAnsiTheme="minorEastAsia" w:eastAsiaTheme="minorEastAsia" w:cstheme="minorEastAsia"/>
          <w:color w:val="0000FF"/>
          <w:sz w:val="21"/>
          <w:szCs w:val="21"/>
        </w:rPr>
        <w:t>订购</w:t>
      </w:r>
      <w:r>
        <w:rPr>
          <w:rFonts w:hint="eastAsia" w:asciiTheme="minorEastAsia" w:hAnsiTheme="minorEastAsia" w:eastAsiaTheme="minorEastAsia" w:cstheme="minorEastAsia"/>
          <w:color w:val="0000FF"/>
          <w:sz w:val="21"/>
          <w:szCs w:val="21"/>
          <w:lang w:val="en-US" w:eastAsia="zh-CN"/>
        </w:rPr>
        <w:t>*****</w:t>
      </w:r>
      <w:r>
        <w:rPr>
          <w:rFonts w:hint="eastAsia" w:asciiTheme="minorEastAsia" w:hAnsiTheme="minorEastAsia" w:eastAsiaTheme="minorEastAsia" w:cstheme="minorEastAsia"/>
          <w:sz w:val="21"/>
          <w:szCs w:val="21"/>
        </w:rPr>
        <w:t>，为明确双方的权利和义务，特签订本合同，共同遵守。具体条款如下：</w:t>
      </w:r>
    </w:p>
    <w:p>
      <w:pPr>
        <w:keepNext w:val="0"/>
        <w:keepLines w:val="0"/>
        <w:pageBreakBefore w:val="0"/>
        <w:widowControl w:val="0"/>
        <w:kinsoku/>
        <w:wordWrap/>
        <w:overflowPunct/>
        <w:topLinePunct w:val="0"/>
        <w:autoSpaceDE/>
        <w:autoSpaceDN/>
        <w:bidi w:val="0"/>
        <w:adjustRightInd/>
        <w:snapToGrid/>
        <w:spacing w:line="400" w:lineRule="exact"/>
        <w:ind w:firstLine="42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 合同采购的设备</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color w:val="0000FF"/>
          <w:sz w:val="21"/>
          <w:szCs w:val="21"/>
          <w:highlight w:val="none"/>
          <w:lang w:eastAsia="zh-CN"/>
        </w:rPr>
      </w:pPr>
      <w:r>
        <w:rPr>
          <w:rFonts w:hint="eastAsia" w:asciiTheme="minorEastAsia" w:hAnsiTheme="minorEastAsia" w:eastAsiaTheme="minorEastAsia" w:cstheme="minorEastAsia"/>
          <w:sz w:val="21"/>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5"/>
        <w:gridCol w:w="918"/>
        <w:gridCol w:w="772"/>
        <w:gridCol w:w="641"/>
        <w:gridCol w:w="699"/>
        <w:gridCol w:w="699"/>
        <w:gridCol w:w="772"/>
        <w:gridCol w:w="1535"/>
        <w:gridCol w:w="16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品名</w:t>
            </w:r>
          </w:p>
        </w:tc>
        <w:tc>
          <w:tcPr>
            <w:tcW w:w="9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注册证名称</w:t>
            </w:r>
          </w:p>
        </w:tc>
        <w:tc>
          <w:tcPr>
            <w:tcW w:w="77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品牌型号</w:t>
            </w:r>
          </w:p>
        </w:tc>
        <w:tc>
          <w:tcPr>
            <w:tcW w:w="641"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产地</w:t>
            </w:r>
          </w:p>
        </w:tc>
        <w:tc>
          <w:tcPr>
            <w:tcW w:w="69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厂家</w:t>
            </w:r>
          </w:p>
        </w:tc>
        <w:tc>
          <w:tcPr>
            <w:tcW w:w="69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w:t>
            </w:r>
          </w:p>
        </w:tc>
        <w:tc>
          <w:tcPr>
            <w:tcW w:w="77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53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单价(元)</w:t>
            </w:r>
          </w:p>
        </w:tc>
        <w:tc>
          <w:tcPr>
            <w:tcW w:w="165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随机配件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918"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772"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641"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699"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699"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772"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1535"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1650"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详见附件1《配置清单》</w:t>
            </w:r>
          </w:p>
        </w:tc>
      </w:tr>
    </w:tbl>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 合同总价</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总价为</w:t>
      </w:r>
      <w:r>
        <w:rPr>
          <w:rFonts w:hint="eastAsia" w:asciiTheme="minorEastAsia" w:hAnsiTheme="minorEastAsia" w:eastAsiaTheme="minorEastAsia" w:cstheme="minorEastAsia"/>
          <w:sz w:val="21"/>
          <w:szCs w:val="21"/>
          <w:highlight w:val="none"/>
        </w:rPr>
        <w:t>人民币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元整（￥      ），该合</w:t>
      </w:r>
      <w:r>
        <w:rPr>
          <w:rFonts w:hint="eastAsia" w:asciiTheme="minorEastAsia" w:hAnsiTheme="minorEastAsia" w:eastAsiaTheme="minorEastAsia" w:cstheme="minorEastAsia"/>
          <w:sz w:val="21"/>
          <w:szCs w:val="21"/>
        </w:rPr>
        <w:t>同总金额包括但不限于设计、设备制造、包装、仓储、运输、安装及验收合格之前及保修期间包括备品备件发生的所有含税费用。本合同履行期间合同总金额不变。</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第三条 合同组成</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1.本合同所有附件、采购文件、响应文件、报价文件、会议纪要等均为合同的有效组成部分，与本合同具有同等法律效力。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2.在协商和执行本合同的过程中，所有经双方签署确认的文件（包括补充协议、往来信函）也可成为本合同的有效组成部分。</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3.以上若不同文件之间有冲突的，适用有利于甲方的条款。</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 技术要求</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乙方所提供设备，必须符合国家有关规范和环保要求及甲方的技术要求。</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 合同设备包装、交货、安装及验收</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1.合同设备的包装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设备的包装均应有良好的防湿、防锈、防潮、防雨、防腐及防碰撞的措施。凡由于包装不良造成的损失和由此产生的费用均由乙方承担。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2.合同设备的交货</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2.1乙方交货时间：签</w:t>
      </w:r>
      <w:r>
        <w:rPr>
          <w:rFonts w:hint="eastAsia" w:asciiTheme="minorEastAsia" w:hAnsiTheme="minorEastAsia" w:eastAsiaTheme="minorEastAsia" w:cstheme="minorEastAsia"/>
          <w:sz w:val="21"/>
          <w:szCs w:val="21"/>
          <w:highlight w:val="none"/>
        </w:rPr>
        <w:t>订合同后</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天内完</w:t>
      </w:r>
      <w:r>
        <w:rPr>
          <w:rFonts w:hint="eastAsia" w:asciiTheme="minorEastAsia" w:hAnsiTheme="minorEastAsia" w:eastAsiaTheme="minorEastAsia" w:cstheme="minorEastAsia"/>
          <w:sz w:val="21"/>
          <w:szCs w:val="21"/>
        </w:rPr>
        <w:t>成供货。</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2.2乙方交货地点：运输及交货至甲方指定地点。</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3.合同设备的安装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3.1乙方负责合同项下所有采购设备的安装，一切费用由乙方负责。</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3.2乙方安装时须对各安装场地内的其他设备、设施有良好保护措施。</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设备的验收</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4.1合同采购的设备全部安装完成后设备全部安装完成后投入正常使用20个工作日后验收，验收在使用科室、设备器材科和经销商三方共同参加下进行。</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4.3如果合同设备运输和安装过程中因事故造成货物短缺、损坏，乙方应及时安排换装，以保证合同设备安装的按期成功完成，换货的时间包含在验收时间中不予延期，换货的相关费用由乙方承担。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5.乙方保证合同项下提供的设备不侵犯任何第三方的专利、商标或版权，否则，乙方须承担对第三方的专利或版权的侵权责任并承担因此而发生的所有费用。</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第六条 质量保证及售后服务</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1.乙方保证合同设备是全新、未曾使用过的，其质量、规格及技术特征符合合同附件的要求。</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2.保修期：合同设备整机保修期为本项目有关部门验收合格签</w:t>
      </w:r>
      <w:r>
        <w:rPr>
          <w:rFonts w:hint="eastAsia" w:asciiTheme="minorEastAsia" w:hAnsiTheme="minorEastAsia" w:eastAsiaTheme="minorEastAsia" w:cstheme="minorEastAsia"/>
          <w:sz w:val="21"/>
          <w:szCs w:val="21"/>
          <w:highlight w:val="none"/>
        </w:rPr>
        <w:t>字之日起</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年，</w:t>
      </w:r>
      <w:r>
        <w:rPr>
          <w:rFonts w:hint="eastAsia" w:asciiTheme="minorEastAsia" w:hAnsiTheme="minorEastAsia" w:eastAsiaTheme="minorEastAsia" w:cstheme="minorEastAsia"/>
          <w:sz w:val="21"/>
          <w:szCs w:val="21"/>
        </w:rPr>
        <w:t>保修期内，每半年一次常规维护保养。免费维修和更换零配件，保修期过后终身维修，仅收取零件费用。</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3.保质保用期内非因甲方的人为原因而出现产品质量及安装问题，由乙方负责包修、包换或包退，并承担因此而产生的一切费用。设备发生故障后，乙方故障维修响应</w:t>
      </w:r>
      <w:r>
        <w:rPr>
          <w:rFonts w:hint="eastAsia" w:asciiTheme="minorEastAsia" w:hAnsiTheme="minorEastAsia" w:eastAsiaTheme="minorEastAsia" w:cstheme="minorEastAsia"/>
          <w:sz w:val="21"/>
          <w:szCs w:val="21"/>
          <w:highlight w:val="none"/>
        </w:rPr>
        <w:t>时间为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小时，</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时内工程师能到达现场，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小时内修复，如不能修复，乙方保证提供同型号设备备用机于甲方使用。</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下列情况乙方不负责免费保修：</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（1）甲方不按照乙方提供的正确使用方法使用而引致设备发生故障损坏；</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（2）甲方擅自改装设备；</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4.因设备的质量问题而发生争议，由广东省质检部门进行质量鉴定。设备符合质量标准的，鉴定费用由甲方承担；设备不符合质量标准的，鉴定费用由乙方承担。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5.乙方履行本合同的指定联系人及授权代表为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；身份证件号码：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联系电话：</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第七条 付款办法</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1.本合同的每笔款项以人民币方式支付，支付的时间和金额如下：</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合同设备全部到指定地点交付并完成安装及验收合格后，凭收货证明、正式全额发票、验收合格证明，收取货款，由甲方审核后在3个月内向乙方支付合同总金额的100%，即人民币大写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第八条 履约保证金</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乙方在签订合同前5个工作日内需向甲方支付合同金额5%履约保证金，即人民币大写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）。甲方确认乙方全部义务履行完毕且无违约责任后30个工作日内无息退回。</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第九条 技术服务</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1.乙方应派员到甲方指定地点配合工作。</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2.乙方按甲方提供的合同执行进度计划，再配合甲方及有关单位，以此做好合同执行进度上的配合工作。</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第十条 不可抗力</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1.不可抗力指战争、严重火灾、洪水、台风、地震等或其它双方认定的不可抗力事件。</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第十一条 索赔</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1.甲方如对乙方供应的设备质量或安装质量有异议，甲方有权根据有关政府部门的检验结果向乙方提出索赔。</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在合同履行期间，如果乙方对甲方提出的索赔和差异负有责任，乙方应按照甲方同意的下列一种或多种方式解决索赔事宜：</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2.1乙方同意退货，并按合同规定的同种货币将货款退还给甲方，并赔偿甲方由此发生的一切损失和费用。</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2.2根据货物低劣程度、损坏程度以及甲方所遭受损失的数额甲乙双方商定降低货物的价格。</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2.3用符合规格、质量和性能要求的新零件、部件或货物来更换有缺陷的部分或修补缺陷的部分，乙方应承担一切费用和风险并负担甲方所发生的一切直接费用。同时，相应延长质量保证期。</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3.如果在甲方发出索赔通知后30天内，乙方未作答复，上述索赔应视为已被乙方接受。甲方将从合同款项中扣回索赔金额。如果这些金额不足以补偿索赔金额，甲方有权向乙方提出不足部分的补偿。</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第十二条  违约与处罚</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1.甲方应依合同规定时间内，向乙方支付货款，每拖延一天乙方可向甲方加收应付款项3‰的违约金，违约金累计不超过欠付费用的3%。</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3.乙方交付的货物不符合合同约定的，甲方有权拒收，乙方向甲方支付合同金额的5%的违约金。</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4.甲方无正当理由拒收货物的，甲方向乙方支付合同金额5%的违约金。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5.乙方未能交付货物，则向甲方支付合同金额7.5%的违约金。造成甲方损失的，还应予以赔偿。</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6.本合同生效后，如任何一方违约，守约方为维护权益，向违约方追偿的一切费用包括但不限于律师费、诉讼费、保全费、鉴定费、差旅费由违约方承担。</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第十三条 合同解除</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如果一方严重违反合同，并在收到对方违约通知书后在30天内仍未能改正违约的另一方可立即解除本合同。</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第十四条 纠纷的解决方式</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签约双方在履约中发生争执和分歧，双方应通过友好协商解决，若经协商不能达成协议时，则由甲方所在地人民法院管辖。受理期间，双方应继续执行合同其余部分。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第十五条 其他</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1.如一方地址、电话有变更，应在变更当日内书面通知对方，否则，应承担相应责任。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2.本合同未尽事宜，由双方协商处理,另行签订《补充协议》。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w:t>
      </w:r>
      <w:r>
        <w:rPr>
          <w:rFonts w:hint="eastAsia" w:asciiTheme="minorEastAsia" w:hAnsiTheme="minorEastAsia" w:eastAsiaTheme="minorEastAsia" w:cstheme="minorEastAsia"/>
          <w:b/>
          <w:sz w:val="21"/>
          <w:szCs w:val="21"/>
          <w:lang w:eastAsia="zh-CN"/>
        </w:rPr>
        <w:t>六</w:t>
      </w:r>
      <w:r>
        <w:rPr>
          <w:rFonts w:hint="eastAsia" w:asciiTheme="minorEastAsia" w:hAnsiTheme="minorEastAsia" w:eastAsiaTheme="minorEastAsia" w:cstheme="minorEastAsia"/>
          <w:b/>
          <w:sz w:val="21"/>
          <w:szCs w:val="21"/>
        </w:rPr>
        <w:t>条</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合同生效</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1.本合同在甲乙双方法定代表人或其授权代表签字并加盖公章后生效。</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2.本合同一式</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份，甲方执</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份，乙方执</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份。各份合同具有同等法律效力。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(以下无正文)</w:t>
      </w: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附件：配置清单</w:t>
      </w: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签署页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甲方：</w:t>
      </w:r>
      <w:r>
        <w:rPr>
          <w:rFonts w:hint="eastAsia" w:asciiTheme="minorEastAsia" w:hAnsiTheme="minorEastAsia" w:eastAsiaTheme="minorEastAsia" w:cstheme="minorEastAsia"/>
          <w:b/>
          <w:sz w:val="21"/>
          <w:szCs w:val="21"/>
          <w:highlight w:val="none"/>
          <w:lang w:val="en-US" w:eastAsia="zh-CN"/>
        </w:rPr>
        <w:t xml:space="preserve">                       </w:t>
      </w:r>
      <w:r>
        <w:rPr>
          <w:rFonts w:hint="eastAsia" w:asciiTheme="minorEastAsia" w:hAnsiTheme="minorEastAsia" w:eastAsiaTheme="minorEastAsia" w:cstheme="minorEastAsia"/>
          <w:b/>
          <w:sz w:val="21"/>
          <w:szCs w:val="21"/>
          <w:highlight w:val="none"/>
        </w:rPr>
        <w:t xml:space="preserve">                   乙方：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法定代表人或授权代表：                           法定代表人或授权代表：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日期：  年  月  日                            日期：  年  月  日</w:t>
      </w: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widowControl/>
        <w:jc w:val="left"/>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13"/>
        <w:outlineLvl w:val="0"/>
        <w:rPr>
          <w:rFonts w:asciiTheme="minorEastAsia" w:hAnsiTheme="minorEastAsia" w:eastAsiaTheme="minorEastAsia"/>
          <w:b/>
          <w:sz w:val="24"/>
        </w:rPr>
      </w:pPr>
      <w:bookmarkStart w:id="127" w:name="_Toc28100"/>
      <w:bookmarkStart w:id="128" w:name="_Toc3458"/>
      <w:bookmarkStart w:id="129" w:name="_Toc3029"/>
      <w:r>
        <w:rPr>
          <w:rFonts w:hint="eastAsia" w:asciiTheme="minorEastAsia" w:hAnsiTheme="minorEastAsia" w:eastAsiaTheme="minorEastAsia"/>
          <w:b/>
          <w:sz w:val="24"/>
        </w:rPr>
        <w:t>附件1</w:t>
      </w:r>
      <w:bookmarkEnd w:id="127"/>
      <w:bookmarkEnd w:id="128"/>
      <w:bookmarkEnd w:id="129"/>
    </w:p>
    <w:p>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数量</w:t>
            </w:r>
          </w:p>
        </w:tc>
      </w:tr>
      <w:tr>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bl>
    <w:p>
      <w:pPr>
        <w:widowControl/>
        <w:jc w:val="left"/>
        <w:rPr>
          <w:rFonts w:ascii="Calibri" w:hAnsi="Calibri"/>
          <w:szCs w:val="20"/>
        </w:rPr>
      </w:pPr>
    </w:p>
    <w:p>
      <w:pPr>
        <w:spacing w:line="360" w:lineRule="auto"/>
        <w:rPr>
          <w:rFonts w:ascii="Calibri" w:hAnsi="Calibri"/>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pStyle w:val="23"/>
        <w:rPr>
          <w:szCs w:val="20"/>
        </w:rPr>
      </w:pPr>
    </w:p>
    <w:p>
      <w:pPr>
        <w:pStyle w:val="23"/>
        <w:rPr>
          <w:szCs w:val="20"/>
        </w:rPr>
      </w:pPr>
    </w:p>
    <w:p>
      <w:pPr>
        <w:pStyle w:val="23"/>
        <w:rPr>
          <w:szCs w:val="20"/>
        </w:rPr>
      </w:pPr>
    </w:p>
    <w:p>
      <w:pPr>
        <w:pStyle w:val="23"/>
        <w:rPr>
          <w:rFonts w:ascii="仿宋" w:hAnsi="仿宋" w:eastAsia="仿宋" w:cs="宋体"/>
          <w:b/>
          <w:kern w:val="0"/>
          <w:sz w:val="24"/>
          <w:szCs w:val="32"/>
        </w:rPr>
      </w:pP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 共</w:t>
                          </w:r>
                          <w:r>
                            <w:rPr>
                              <w:rFonts w:hint="eastAsia"/>
                              <w:lang w:val="en-US" w:eastAsia="zh-CN"/>
                            </w:rPr>
                            <w:t>25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 共</w:t>
                    </w:r>
                    <w:r>
                      <w:rPr>
                        <w:rFonts w:hint="eastAsia"/>
                        <w:lang w:val="en-US" w:eastAsia="zh-CN"/>
                      </w:rPr>
                      <w:t>25</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5CE2"/>
    <w:multiLevelType w:val="singleLevel"/>
    <w:tmpl w:val="E9725CE2"/>
    <w:lvl w:ilvl="0" w:tentative="0">
      <w:start w:val="1"/>
      <w:numFmt w:val="chineseCounting"/>
      <w:suff w:val="space"/>
      <w:lvlText w:val="第%1部分"/>
      <w:lvlJc w:val="left"/>
      <w:rPr>
        <w:rFonts w:hint="eastAsia"/>
      </w:rPr>
    </w:lvl>
  </w:abstractNum>
  <w:abstractNum w:abstractNumId="1">
    <w:nsid w:val="62116A68"/>
    <w:multiLevelType w:val="multilevel"/>
    <w:tmpl w:val="62116A6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3D10CA"/>
    <w:multiLevelType w:val="multilevel"/>
    <w:tmpl w:val="663D10CA"/>
    <w:lvl w:ilvl="0" w:tentative="0">
      <w:start w:val="1"/>
      <w:numFmt w:val="decimalEnclosedCircle"/>
      <w:lvlText w:val="%1"/>
      <w:lvlJc w:val="left"/>
      <w:pPr>
        <w:ind w:left="360" w:hanging="360"/>
      </w:pPr>
      <w:rPr>
        <w:rFonts w:hint="default" w:ascii="仿宋" w:hAnsi="仿宋"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7F1D"/>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1B719F"/>
    <w:rsid w:val="028F4759"/>
    <w:rsid w:val="02F34145"/>
    <w:rsid w:val="03766311"/>
    <w:rsid w:val="067C2431"/>
    <w:rsid w:val="06D53D90"/>
    <w:rsid w:val="071B55C3"/>
    <w:rsid w:val="075E248C"/>
    <w:rsid w:val="07717FE4"/>
    <w:rsid w:val="08323CDC"/>
    <w:rsid w:val="08C946BC"/>
    <w:rsid w:val="0A460D6B"/>
    <w:rsid w:val="0A726737"/>
    <w:rsid w:val="0AAE36E1"/>
    <w:rsid w:val="0C21655A"/>
    <w:rsid w:val="0C7D0976"/>
    <w:rsid w:val="0C865B71"/>
    <w:rsid w:val="0CEA502E"/>
    <w:rsid w:val="0D070E59"/>
    <w:rsid w:val="0D565967"/>
    <w:rsid w:val="0D6C49AA"/>
    <w:rsid w:val="0D987605"/>
    <w:rsid w:val="0E7C0F26"/>
    <w:rsid w:val="0EBD7892"/>
    <w:rsid w:val="100C6724"/>
    <w:rsid w:val="10F93609"/>
    <w:rsid w:val="111B1E9E"/>
    <w:rsid w:val="11B5417B"/>
    <w:rsid w:val="12D44A81"/>
    <w:rsid w:val="13A07EA8"/>
    <w:rsid w:val="13C0284D"/>
    <w:rsid w:val="148E0F6C"/>
    <w:rsid w:val="15156CCE"/>
    <w:rsid w:val="159837B8"/>
    <w:rsid w:val="16622EAD"/>
    <w:rsid w:val="18583300"/>
    <w:rsid w:val="18F5284B"/>
    <w:rsid w:val="19245736"/>
    <w:rsid w:val="19B02442"/>
    <w:rsid w:val="1A1E1C90"/>
    <w:rsid w:val="1A9B48AC"/>
    <w:rsid w:val="1AE64524"/>
    <w:rsid w:val="1BA837CD"/>
    <w:rsid w:val="1C675470"/>
    <w:rsid w:val="1C862732"/>
    <w:rsid w:val="1CC865E3"/>
    <w:rsid w:val="1CFA688A"/>
    <w:rsid w:val="1D73541C"/>
    <w:rsid w:val="1DC73F81"/>
    <w:rsid w:val="20883077"/>
    <w:rsid w:val="21614A2B"/>
    <w:rsid w:val="21A7260E"/>
    <w:rsid w:val="23224138"/>
    <w:rsid w:val="24782FDE"/>
    <w:rsid w:val="248D7E61"/>
    <w:rsid w:val="25983863"/>
    <w:rsid w:val="26565926"/>
    <w:rsid w:val="26E25288"/>
    <w:rsid w:val="27555203"/>
    <w:rsid w:val="27B0758A"/>
    <w:rsid w:val="2813078C"/>
    <w:rsid w:val="28716EFA"/>
    <w:rsid w:val="28F05BE9"/>
    <w:rsid w:val="28FA298C"/>
    <w:rsid w:val="291658E9"/>
    <w:rsid w:val="29192B14"/>
    <w:rsid w:val="292E7041"/>
    <w:rsid w:val="296F2D34"/>
    <w:rsid w:val="29DE75C4"/>
    <w:rsid w:val="29F7222B"/>
    <w:rsid w:val="2A3F2493"/>
    <w:rsid w:val="2A85242B"/>
    <w:rsid w:val="2B694EC9"/>
    <w:rsid w:val="2C7F4488"/>
    <w:rsid w:val="2D22434F"/>
    <w:rsid w:val="2D247BFB"/>
    <w:rsid w:val="2DAD7DFD"/>
    <w:rsid w:val="2DBE4A99"/>
    <w:rsid w:val="2E46739B"/>
    <w:rsid w:val="2E563044"/>
    <w:rsid w:val="2EB01C1E"/>
    <w:rsid w:val="2EB65903"/>
    <w:rsid w:val="2F2B6123"/>
    <w:rsid w:val="30CF1B3A"/>
    <w:rsid w:val="33497717"/>
    <w:rsid w:val="343D5C53"/>
    <w:rsid w:val="34D6158E"/>
    <w:rsid w:val="351B0104"/>
    <w:rsid w:val="355B0E0A"/>
    <w:rsid w:val="35742812"/>
    <w:rsid w:val="35F12D98"/>
    <w:rsid w:val="365C708E"/>
    <w:rsid w:val="38183C99"/>
    <w:rsid w:val="38935A50"/>
    <w:rsid w:val="38AC7253"/>
    <w:rsid w:val="38E86458"/>
    <w:rsid w:val="39274B6A"/>
    <w:rsid w:val="39573D91"/>
    <w:rsid w:val="39E207BF"/>
    <w:rsid w:val="3A0410CF"/>
    <w:rsid w:val="3AA649D4"/>
    <w:rsid w:val="3AF37D8C"/>
    <w:rsid w:val="3BE951B6"/>
    <w:rsid w:val="3BF9256D"/>
    <w:rsid w:val="3C52785C"/>
    <w:rsid w:val="3ED7163A"/>
    <w:rsid w:val="3F787C67"/>
    <w:rsid w:val="3FC858DC"/>
    <w:rsid w:val="3FEB602E"/>
    <w:rsid w:val="40A95E96"/>
    <w:rsid w:val="4121517C"/>
    <w:rsid w:val="42610076"/>
    <w:rsid w:val="42F736CA"/>
    <w:rsid w:val="432E501B"/>
    <w:rsid w:val="43F54F5F"/>
    <w:rsid w:val="44546201"/>
    <w:rsid w:val="445F5435"/>
    <w:rsid w:val="44A97AE4"/>
    <w:rsid w:val="44B4176F"/>
    <w:rsid w:val="473A6662"/>
    <w:rsid w:val="4750593E"/>
    <w:rsid w:val="47C92F7B"/>
    <w:rsid w:val="47E6500A"/>
    <w:rsid w:val="493C3F49"/>
    <w:rsid w:val="494516EF"/>
    <w:rsid w:val="4A77668A"/>
    <w:rsid w:val="4A7B1730"/>
    <w:rsid w:val="4B78393E"/>
    <w:rsid w:val="4C5B5CAE"/>
    <w:rsid w:val="4CB709E2"/>
    <w:rsid w:val="4D4A5495"/>
    <w:rsid w:val="4E5E5E11"/>
    <w:rsid w:val="4EC01691"/>
    <w:rsid w:val="4F3767B4"/>
    <w:rsid w:val="4F771DC3"/>
    <w:rsid w:val="4FC56AF0"/>
    <w:rsid w:val="50520ABE"/>
    <w:rsid w:val="50D43B78"/>
    <w:rsid w:val="50DE4FD7"/>
    <w:rsid w:val="523853B0"/>
    <w:rsid w:val="525940CF"/>
    <w:rsid w:val="53432B32"/>
    <w:rsid w:val="53773B61"/>
    <w:rsid w:val="54794E03"/>
    <w:rsid w:val="568A3B26"/>
    <w:rsid w:val="5699320F"/>
    <w:rsid w:val="57513563"/>
    <w:rsid w:val="57EF2F07"/>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6C1641A"/>
    <w:rsid w:val="69E53D98"/>
    <w:rsid w:val="69ED4F00"/>
    <w:rsid w:val="6A1E198E"/>
    <w:rsid w:val="6A4C0196"/>
    <w:rsid w:val="6A843983"/>
    <w:rsid w:val="6AC52C01"/>
    <w:rsid w:val="6B907B50"/>
    <w:rsid w:val="6C063B86"/>
    <w:rsid w:val="6C3C7FAE"/>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8A637D"/>
    <w:rsid w:val="76C306EB"/>
    <w:rsid w:val="775F306F"/>
    <w:rsid w:val="77EA3963"/>
    <w:rsid w:val="78833952"/>
    <w:rsid w:val="78840542"/>
    <w:rsid w:val="78AB2DA7"/>
    <w:rsid w:val="7910501E"/>
    <w:rsid w:val="79C63ECA"/>
    <w:rsid w:val="7A597865"/>
    <w:rsid w:val="7ADE338D"/>
    <w:rsid w:val="7BF41475"/>
    <w:rsid w:val="7C773D9D"/>
    <w:rsid w:val="7CBA72F4"/>
    <w:rsid w:val="7DA5314F"/>
    <w:rsid w:val="7DC62455"/>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1E725-B1CD-434C-8B28-1AFC3EF018B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36</Pages>
  <Words>2582</Words>
  <Characters>14719</Characters>
  <Lines>122</Lines>
  <Paragraphs>34</Paragraphs>
  <TotalTime>1</TotalTime>
  <ScaleCrop>false</ScaleCrop>
  <LinksUpToDate>false</LinksUpToDate>
  <CharactersWithSpaces>17267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2023-12-18T12:02:00Z</cp:lastPrinted>
  <dcterms:modified xsi:type="dcterms:W3CDTF">2023-12-19T06:46:03Z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47429C040DC449BB8D491E4A4BA5268A</vt:lpwstr>
  </property>
</Properties>
</file>