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color w:val="auto"/>
          <w:kern w:val="0"/>
          <w:sz w:val="48"/>
          <w:szCs w:val="48"/>
          <w:highlight w:val="none"/>
        </w:rPr>
      </w:pPr>
    </w:p>
    <w:p>
      <w:pPr>
        <w:jc w:val="center"/>
        <w:outlineLvl w:val="0"/>
        <w:rPr>
          <w:rFonts w:ascii="宋体" w:hAnsi="宋体"/>
          <w:b/>
          <w:color w:val="auto"/>
          <w:kern w:val="0"/>
          <w:sz w:val="44"/>
          <w:szCs w:val="44"/>
          <w:highlight w:val="none"/>
        </w:rPr>
      </w:pPr>
      <w:bookmarkStart w:id="0" w:name="_Toc6752"/>
      <w:bookmarkStart w:id="1" w:name="_Toc20609"/>
      <w:bookmarkStart w:id="2" w:name="_Toc8279"/>
      <w:r>
        <w:rPr>
          <w:rFonts w:hint="eastAsia" w:ascii="宋体" w:hAnsi="宋体"/>
          <w:b/>
          <w:color w:val="auto"/>
          <w:kern w:val="0"/>
          <w:sz w:val="44"/>
          <w:szCs w:val="44"/>
          <w:highlight w:val="none"/>
        </w:rPr>
        <w:t>南方医科大学第五附属医院</w:t>
      </w:r>
      <w:bookmarkEnd w:id="0"/>
      <w:bookmarkEnd w:id="1"/>
      <w:bookmarkEnd w:id="2"/>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3" w:name="_Toc7708"/>
      <w:bookmarkStart w:id="4" w:name="_Toc5127"/>
      <w:bookmarkStart w:id="5" w:name="_Toc13036"/>
      <w:r>
        <w:rPr>
          <w:rFonts w:hint="eastAsia" w:ascii="宋体" w:hAnsi="宋体"/>
          <w:b/>
          <w:color w:val="auto"/>
          <w:kern w:val="0"/>
          <w:sz w:val="44"/>
          <w:szCs w:val="44"/>
          <w:highlight w:val="none"/>
        </w:rPr>
        <w:t>手术床项目</w:t>
      </w:r>
      <w:bookmarkEnd w:id="3"/>
      <w:bookmarkEnd w:id="4"/>
      <w:bookmarkEnd w:id="5"/>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spacing w:line="480" w:lineRule="auto"/>
        <w:jc w:val="center"/>
        <w:outlineLvl w:val="0"/>
        <w:rPr>
          <w:rFonts w:ascii="宋体" w:hAnsi="宋体"/>
          <w:b/>
          <w:bCs/>
          <w:color w:val="auto"/>
          <w:sz w:val="72"/>
          <w:szCs w:val="72"/>
          <w:highlight w:val="none"/>
        </w:rPr>
      </w:pPr>
      <w:bookmarkStart w:id="6" w:name="_Toc4148"/>
      <w:bookmarkStart w:id="7" w:name="_Toc19298"/>
      <w:bookmarkStart w:id="8" w:name="_Toc74"/>
      <w:r>
        <w:rPr>
          <w:rFonts w:hint="eastAsia" w:ascii="宋体" w:hAnsi="宋体"/>
          <w:b/>
          <w:bCs/>
          <w:color w:val="auto"/>
          <w:sz w:val="72"/>
          <w:szCs w:val="72"/>
          <w:highlight w:val="none"/>
        </w:rPr>
        <w:t>院内采购文件</w:t>
      </w:r>
      <w:bookmarkEnd w:id="6"/>
      <w:bookmarkEnd w:id="7"/>
      <w:bookmarkEnd w:id="8"/>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6075"/>
      <w:bookmarkStart w:id="10" w:name="_Toc10723"/>
      <w:bookmarkStart w:id="11" w:name="_Toc14283"/>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val="en-US" w:eastAsia="zh-CN"/>
        </w:rPr>
        <w:t>NYWYH20230013</w:t>
      </w:r>
      <w:bookmarkEnd w:id="9"/>
      <w:bookmarkEnd w:id="10"/>
      <w:bookmarkEnd w:id="11"/>
    </w:p>
    <w:p>
      <w:pPr>
        <w:pStyle w:val="2"/>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2023年12月</w:t>
      </w:r>
    </w:p>
    <w:p>
      <w:pPr>
        <w:spacing w:line="360" w:lineRule="auto"/>
        <w:jc w:val="center"/>
        <w:rPr>
          <w:rFonts w:ascii="宋体" w:hAnsi="宋体"/>
          <w:b/>
          <w:bCs/>
          <w:color w:val="auto"/>
          <w:sz w:val="28"/>
          <w:szCs w:val="28"/>
          <w:highlight w:val="none"/>
        </w:rPr>
      </w:pPr>
    </w:p>
    <w:p>
      <w:pPr>
        <w:pStyle w:val="14"/>
      </w:pPr>
    </w:p>
    <w:p>
      <w:pPr>
        <w:pStyle w:val="14"/>
      </w:pPr>
    </w:p>
    <w:p>
      <w:pPr>
        <w:pStyle w:val="14"/>
      </w:pPr>
    </w:p>
    <w:p>
      <w:pPr>
        <w:pStyle w:val="14"/>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eastAsia="宋体" w:cs="Times New Roman"/>
          <w:kern w:val="2"/>
          <w:sz w:val="21"/>
          <w:szCs w:val="24"/>
          <w:lang w:val="en-US" w:eastAsia="zh-CN" w:bidi="ar-SA"/>
        </w:rPr>
        <w:id w:val="147453765"/>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_Toc3511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_Toc3511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_Toc30591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第二部分 用户需求书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_Toc30591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_Toc11429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SA"/>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_Toc11429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_Toc18405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rPr>
            <w:t>第</w:t>
          </w:r>
          <w:r>
            <w:rPr>
              <w:rFonts w:hint="eastAsia" w:ascii="宋体" w:hAnsi="宋体" w:eastAsia="宋体" w:cs="宋体"/>
              <w:b/>
              <w:bCs/>
              <w:kern w:val="0"/>
              <w:sz w:val="28"/>
              <w:szCs w:val="28"/>
              <w:highlight w:val="none"/>
              <w:lang w:eastAsia="zh-CN"/>
            </w:rPr>
            <w:t>四</w:t>
          </w:r>
          <w:r>
            <w:rPr>
              <w:rFonts w:hint="eastAsia" w:ascii="宋体" w:hAnsi="宋体" w:eastAsia="宋体" w:cs="宋体"/>
              <w:b/>
              <w:bCs/>
              <w:kern w:val="0"/>
              <w:sz w:val="28"/>
              <w:szCs w:val="28"/>
              <w:highlight w:val="none"/>
            </w:rPr>
            <w:t>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_Toc18405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_Toc20346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highlight w:val="none"/>
              <w:lang w:eastAsia="zh-CN"/>
            </w:rPr>
            <w:t>第五部分</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rPr>
            <w:t>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_Toc20346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_Toc1419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eastAsia="zh-CN"/>
            </w:rPr>
            <w:t>第六部分</w:t>
          </w:r>
          <w:r>
            <w:rPr>
              <w:rFonts w:hint="eastAsia" w:ascii="宋体" w:hAnsi="宋体" w:eastAsia="宋体" w:cs="宋体"/>
              <w:b/>
              <w:bCs/>
              <w:kern w:val="0"/>
              <w:sz w:val="28"/>
              <w:szCs w:val="28"/>
            </w:rPr>
            <w:t xml:space="preserve">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_Toc1419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5"/>
            <w:tabs>
              <w:tab w:val="right" w:leader="dot" w:pos="9070"/>
            </w:tabs>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end"/>
          </w:r>
        </w:p>
      </w:sdtContent>
    </w:sdt>
    <w:p/>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91515612"/>
      <w:bookmarkStart w:id="13" w:name="_Toc18867"/>
    </w:p>
    <w:p>
      <w:pPr>
        <w:numPr>
          <w:ilvl w:val="0"/>
          <w:numId w:val="1"/>
        </w:numPr>
        <w:jc w:val="center"/>
        <w:outlineLvl w:val="0"/>
        <w:rPr>
          <w:b/>
          <w:bCs/>
          <w:kern w:val="0"/>
          <w:sz w:val="32"/>
          <w:szCs w:val="36"/>
        </w:rPr>
      </w:pPr>
      <w:bookmarkStart w:id="14" w:name="_Toc3511"/>
      <w:bookmarkStart w:id="15" w:name="_Toc17322"/>
      <w:r>
        <w:rPr>
          <w:rFonts w:hint="eastAsia"/>
          <w:b/>
          <w:bCs/>
          <w:kern w:val="0"/>
          <w:sz w:val="32"/>
          <w:szCs w:val="36"/>
        </w:rPr>
        <w:t>报名邀请函</w:t>
      </w:r>
      <w:bookmarkEnd w:id="12"/>
      <w:bookmarkEnd w:id="13"/>
      <w:bookmarkEnd w:id="14"/>
      <w:bookmarkEnd w:id="15"/>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rPr>
        <w:t>根据我院业务发展需要，近期拟采购手术床1批。现根据相关规定特此公告，欢迎符合条件的供应商参与报名响应。</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一、采购需求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项目编号：NYWYH20230013</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项目名称：南方医科大学第五附属医院手术床项目</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项目限价:39.9万元</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 数量：3张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采购内容及要求：详见第二部分用户需求书</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二、提供资料相关事项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报名截止时间：2023年12月</w:t>
      </w:r>
      <w:r>
        <w:rPr>
          <w:rFonts w:hint="eastAsia" w:ascii="宋体" w:hAnsi="宋体" w:cs="宋体"/>
          <w:kern w:val="0"/>
          <w:sz w:val="21"/>
          <w:szCs w:val="21"/>
          <w:lang w:val="en-US" w:eastAsia="zh-CN"/>
        </w:rPr>
        <w:t>22</w:t>
      </w:r>
      <w:r>
        <w:rPr>
          <w:rFonts w:hint="eastAsia" w:ascii="宋体" w:hAnsi="宋体" w:cs="宋体"/>
          <w:kern w:val="0"/>
          <w:sz w:val="21"/>
          <w:szCs w:val="21"/>
        </w:rPr>
        <w:t>日下午17点30分</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报名方式：电子邮件报名</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报名所需提供资料及要求：详见</w:t>
      </w:r>
      <w:r>
        <w:rPr>
          <w:rFonts w:hint="eastAsia" w:ascii="宋体" w:hAnsi="宋体" w:cs="宋体"/>
          <w:kern w:val="0"/>
          <w:sz w:val="21"/>
          <w:szCs w:val="21"/>
          <w:lang w:val="en-US" w:eastAsia="zh-CN"/>
        </w:rPr>
        <w:t xml:space="preserve"> 项目公告</w:t>
      </w:r>
      <w:r>
        <w:rPr>
          <w:rFonts w:hint="eastAsia" w:ascii="宋体" w:hAnsi="宋体" w:cs="宋体"/>
          <w:kern w:val="0"/>
          <w:sz w:val="21"/>
          <w:szCs w:val="21"/>
        </w:rPr>
        <w:t>附件3报名资料</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4.评审时间及地点：待定（根据医院工作安排通知符合要求报名公司）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5.报名注意事项：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（1）请各报名供应商在报名截止时间前，按照采购文件要求做好整套报名资料，发送至指定邮箱，报名时间截止后，由相关人员统一审核。</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（2）各报名供应商应确保所提供报名资料真实、完整、清晰可辨，报名资料模糊不清、难以辨认，视为未提供处理，由此造成报名不成功、不能进入评审环节等严重后果由供应商自行负责。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（3）报名时间截止后不再受理报名或资料变更和补充，报名时间截止后所接收的任何邮件视为无效邮件。</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kern w:val="0"/>
          <w:sz w:val="21"/>
          <w:szCs w:val="21"/>
        </w:rPr>
      </w:pPr>
      <w:r>
        <w:rPr>
          <w:rFonts w:hint="eastAsia" w:ascii="宋体" w:hAnsi="宋体" w:cs="宋体"/>
          <w:b/>
          <w:bCs/>
          <w:kern w:val="0"/>
          <w:sz w:val="21"/>
          <w:szCs w:val="21"/>
        </w:rPr>
        <w:t>三、供应商资格要求</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2. 具有良好的商业信誉和健全的财务会计制度：提供承诺函，格式自拟；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3. 具有履行合同所必需的设备和专业技术能力：填报设备及专业技术能力情况或者提供承诺函，格式自拟；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4. 具有依法缴纳税收和社会保障资金的良好记录：提供承诺函，格式自拟；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5. 2020年10月1日以来企业及其法定代表人未被人民法院列入“失信被执行人名单”；要求提供“信用中国”网站或全国法院被执行人信息查询的网页截图；</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6. 2020年10月1日以来参加政府采购经营活动中没有重大违法记录；提供承诺函，格式自拟；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7. </w:t>
      </w:r>
      <w:r>
        <w:rPr>
          <w:rFonts w:hint="eastAsia" w:ascii="宋体" w:hAnsi="宋体" w:eastAsia="宋体" w:cs="宋体"/>
          <w:kern w:val="0"/>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kern w:val="0"/>
          <w:sz w:val="21"/>
          <w:szCs w:val="21"/>
          <w:lang w:eastAsia="zh-CN"/>
        </w:rPr>
        <w:t>需提供相关证明文件材料并加盖供应商公章。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如参与者为代理经销商且代理产品为进口产品，须提供从制造厂商到代理经销商对所投产品的合法有效授权证明文件</w:t>
      </w:r>
      <w:r>
        <w:rPr>
          <w:rFonts w:hint="eastAsia" w:ascii="宋体" w:hAnsi="宋体" w:eastAsia="宋体" w:cs="宋体"/>
          <w:kern w:val="0"/>
          <w:sz w:val="21"/>
          <w:szCs w:val="21"/>
          <w:lang w:eastAsia="zh-CN"/>
        </w:rPr>
        <w:t>并加盖供应商公章。</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eastAsia="宋体" w:cs="宋体"/>
          <w:kern w:val="0"/>
          <w:sz w:val="21"/>
          <w:szCs w:val="21"/>
        </w:rPr>
        <w:t>9. 法定代表人或单位负责人为同一人或者存在直接控股、管理关系</w:t>
      </w:r>
      <w:r>
        <w:rPr>
          <w:rFonts w:hint="eastAsia" w:ascii="宋体" w:hAnsi="宋体" w:cs="宋体"/>
          <w:kern w:val="0"/>
          <w:sz w:val="21"/>
          <w:szCs w:val="21"/>
        </w:rPr>
        <w:t>的不同响应单位，不得参加同一合同项下的政府采购活动（提供承诺函，格式自拟）；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10. 本项目不接受联合体。（提供声明函，格式自拟）。</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注：供应商若不能同时满足以上条件则视为投标参与无效。（如发现提供虚假材料者，取消其参加评审资格和成交资格）</w:t>
      </w:r>
    </w:p>
    <w:p>
      <w:pPr>
        <w:keepNext w:val="0"/>
        <w:keepLines w:val="0"/>
        <w:pageBreakBefore w:val="0"/>
        <w:widowControl/>
        <w:kinsoku/>
        <w:wordWrap/>
        <w:overflowPunct/>
        <w:topLinePunct w:val="0"/>
        <w:autoSpaceDE/>
        <w:autoSpaceDN/>
        <w:bidi w:val="0"/>
        <w:adjustRightInd/>
        <w:snapToGrid/>
        <w:spacing w:line="400" w:lineRule="exact"/>
        <w:ind w:firstLine="316" w:firstLineChars="150"/>
        <w:jc w:val="left"/>
        <w:textAlignment w:val="auto"/>
        <w:rPr>
          <w:rFonts w:hint="eastAsia" w:ascii="宋体" w:hAnsi="宋体" w:cs="宋体"/>
          <w:b/>
          <w:bCs/>
          <w:kern w:val="0"/>
          <w:sz w:val="21"/>
          <w:szCs w:val="21"/>
        </w:rPr>
      </w:pPr>
      <w:r>
        <w:rPr>
          <w:rFonts w:hint="eastAsia" w:ascii="宋体" w:hAnsi="宋体" w:cs="宋体"/>
          <w:b/>
          <w:bCs/>
          <w:kern w:val="0"/>
          <w:sz w:val="21"/>
          <w:szCs w:val="21"/>
        </w:rPr>
        <w:t>四、联系方式</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冯老师：020-62236261（采购业务咨询）  邮箱：nywycgb@126.com</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侯老师：020-62236239（项目需求咨询）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lang w:eastAsia="zh-CN"/>
        </w:rPr>
        <w:t>黄</w:t>
      </w:r>
      <w:r>
        <w:rPr>
          <w:rFonts w:hint="eastAsia" w:ascii="宋体" w:hAnsi="宋体" w:cs="宋体"/>
          <w:kern w:val="0"/>
          <w:sz w:val="21"/>
          <w:szCs w:val="21"/>
        </w:rPr>
        <w:t>老师：020-62236105（投诉举报电话）</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南方医科大学第五附属医院</w: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right"/>
        <w:textAlignment w:val="auto"/>
        <w:rPr>
          <w:rFonts w:hint="eastAsia" w:ascii="宋体" w:hAnsi="宋体" w:cs="宋体"/>
          <w:kern w:val="0"/>
          <w:sz w:val="21"/>
          <w:szCs w:val="21"/>
        </w:rPr>
      </w:pPr>
      <w:r>
        <w:rPr>
          <w:rFonts w:hint="eastAsia" w:ascii="宋体" w:hAnsi="宋体" w:cs="宋体"/>
          <w:kern w:val="0"/>
          <w:sz w:val="21"/>
          <w:szCs w:val="21"/>
        </w:rPr>
        <w:t>2023年</w:t>
      </w:r>
      <w:r>
        <w:rPr>
          <w:rFonts w:hint="eastAsia" w:ascii="宋体" w:hAnsi="宋体" w:cs="宋体"/>
          <w:kern w:val="0"/>
          <w:sz w:val="21"/>
          <w:szCs w:val="21"/>
          <w:lang w:val="en-US" w:eastAsia="zh-CN"/>
        </w:rPr>
        <w:t>12</w:t>
      </w:r>
      <w:r>
        <w:rPr>
          <w:rFonts w:hint="eastAsia" w:ascii="宋体" w:hAnsi="宋体" w:cs="宋体"/>
          <w:kern w:val="0"/>
          <w:sz w:val="21"/>
          <w:szCs w:val="21"/>
        </w:rPr>
        <w:t>月</w:t>
      </w:r>
      <w:r>
        <w:rPr>
          <w:rFonts w:hint="eastAsia" w:ascii="宋体" w:hAnsi="宋体" w:cs="宋体"/>
          <w:kern w:val="0"/>
          <w:sz w:val="21"/>
          <w:szCs w:val="21"/>
          <w:lang w:val="en-US" w:eastAsia="zh-CN"/>
        </w:rPr>
        <w:t>19</w:t>
      </w:r>
      <w:r>
        <w:rPr>
          <w:rFonts w:hint="eastAsia" w:ascii="宋体" w:hAnsi="宋体" w:cs="宋体"/>
          <w:kern w:val="0"/>
          <w:sz w:val="21"/>
          <w:szCs w:val="21"/>
        </w:rPr>
        <w:t>日</w:t>
      </w:r>
    </w:p>
    <w:p>
      <w:pPr>
        <w:widowControl/>
        <w:spacing w:line="360" w:lineRule="auto"/>
        <w:ind w:firstLine="360" w:firstLineChars="150"/>
        <w:jc w:val="left"/>
        <w:rPr>
          <w:rFonts w:hint="eastAsia"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
        <w:rPr>
          <w:rFonts w:cs="宋体" w:asciiTheme="minorEastAsia" w:hAnsiTheme="minorEastAsia"/>
          <w:kern w:val="0"/>
          <w:sz w:val="24"/>
          <w:szCs w:val="28"/>
        </w:rPr>
      </w:pPr>
      <w:bookmarkStart w:id="134" w:name="_GoBack"/>
      <w:bookmarkEnd w:id="134"/>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pStyle w:val="2"/>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6" w:name="_Toc3128"/>
      <w:bookmarkStart w:id="17" w:name="_Toc30591"/>
      <w:bookmarkStart w:id="18" w:name="_Toc5899"/>
      <w:bookmarkStart w:id="19" w:name="_Toc25217"/>
      <w:bookmarkStart w:id="20" w:name="_Toc91515613"/>
      <w:bookmarkStart w:id="21" w:name="_Toc28493"/>
      <w:bookmarkStart w:id="22" w:name="_Toc31844"/>
      <w:r>
        <w:rPr>
          <w:rFonts w:hint="eastAsia"/>
          <w:b/>
          <w:bCs/>
          <w:kern w:val="0"/>
          <w:sz w:val="32"/>
          <w:szCs w:val="36"/>
        </w:rPr>
        <w:t>用户需求书</w:t>
      </w:r>
      <w:bookmarkEnd w:id="16"/>
      <w:bookmarkEnd w:id="17"/>
      <w:bookmarkEnd w:id="18"/>
      <w:bookmarkEnd w:id="19"/>
      <w:bookmarkEnd w:id="20"/>
      <w:bookmarkEnd w:id="21"/>
      <w:bookmarkEnd w:id="22"/>
      <w:bookmarkStart w:id="23" w:name="_Toc40346211"/>
      <w:bookmarkStart w:id="24" w:name="_Toc40776106"/>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采购内容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（一）</w:t>
      </w:r>
      <w:r>
        <w:rPr>
          <w:rFonts w:hint="eastAsia" w:ascii="宋体" w:hAnsi="宋体" w:eastAsia="宋体" w:cs="宋体"/>
          <w:color w:val="000000" w:themeColor="text1"/>
          <w:sz w:val="21"/>
          <w:szCs w:val="21"/>
          <w:lang w:val="zh-CN"/>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南方医科大学第五附属医院手术床项目</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项目预算：</w:t>
      </w:r>
      <w:r>
        <w:rPr>
          <w:rFonts w:hint="eastAsia" w:ascii="宋体" w:hAnsi="宋体" w:eastAsia="宋体" w:cs="宋体"/>
          <w:bCs/>
          <w:color w:val="000000" w:themeColor="text1"/>
          <w:sz w:val="21"/>
          <w:szCs w:val="21"/>
          <w14:textFill>
            <w14:solidFill>
              <w14:schemeClr w14:val="tx1"/>
            </w14:solidFill>
          </w14:textFill>
        </w:rPr>
        <w:t>39.9</w:t>
      </w:r>
      <w:r>
        <w:rPr>
          <w:rFonts w:hint="eastAsia" w:ascii="宋体" w:hAnsi="宋体" w:eastAsia="宋体" w:cs="宋体"/>
          <w:color w:val="000000" w:themeColor="text1"/>
          <w:sz w:val="21"/>
          <w:szCs w:val="21"/>
          <w14:textFill>
            <w14:solidFill>
              <w14:schemeClr w14:val="tx1"/>
            </w14:solidFill>
          </w14:textFill>
        </w:rPr>
        <w:t>万元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lang w:val="en-US" w:eastAsia="zh-CN"/>
          <w14:textFill>
            <w14:solidFill>
              <w14:schemeClr w14:val="tx1"/>
            </w14:solidFill>
          </w14:textFill>
        </w:rPr>
        <w:t>数量：3张</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技术要求</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（一）</w:t>
      </w:r>
      <w:r>
        <w:rPr>
          <w:rFonts w:hint="eastAsia" w:ascii="宋体" w:hAnsi="宋体" w:eastAsia="宋体" w:cs="宋体"/>
          <w:bCs/>
          <w:color w:val="000000" w:themeColor="text1"/>
          <w:sz w:val="21"/>
          <w:szCs w:val="21"/>
          <w14:textFill>
            <w14:solidFill>
              <w14:schemeClr w14:val="tx1"/>
            </w14:solidFill>
          </w14:textFill>
        </w:rPr>
        <w:t>概括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1.用于麻醉科手术患者的诊疗活动,以满足开展各种外科,妇产科,五官科等科室手术体位要求。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（二）</w:t>
      </w:r>
      <w:r>
        <w:rPr>
          <w:rFonts w:hint="eastAsia" w:ascii="宋体" w:hAnsi="宋体" w:eastAsia="宋体" w:cs="宋体"/>
          <w:color w:val="000000" w:themeColor="text1"/>
          <w:sz w:val="21"/>
          <w:szCs w:val="21"/>
          <w:lang w:val="zh-CN"/>
          <w14:textFill>
            <w14:solidFill>
              <w14:schemeClr w14:val="tx1"/>
            </w14:solidFill>
          </w14:textFill>
        </w:rPr>
        <w:t>设备系统性能概括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1.床面由四部分组成:头部,背部,臀部,腿部,各种床面调节全部由电动完成。</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2.配备托手架、支身架、支肩架、拖腿架、麻醉屏架等辅助配件，满足开展各类手术。</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▲3.手术床类型为微电脑控制电动液压多功能手术床，采用油路透析技术保证液压系统运行稳定。</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4.床板采用X光可透视材料,满足开展C型臂X光透视骨科手术需求。</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5.传动柱机构的良好性能能够为床面纵向及横向倾斜等位置提供安全平稳的切换。</w:t>
      </w:r>
    </w:p>
    <w:p>
      <w:pPr>
        <w:keepNext w:val="0"/>
        <w:keepLines w:val="0"/>
        <w:pageBreakBefore w:val="0"/>
        <w:widowControl w:val="0"/>
        <w:kinsoku/>
        <w:wordWrap/>
        <w:overflowPunct/>
        <w:topLinePunct w:val="0"/>
        <w:bidi w:val="0"/>
        <w:adjustRightInd/>
        <w:snapToGrid/>
        <w:spacing w:line="400" w:lineRule="exact"/>
        <w:ind w:firstLine="210" w:firstLineChars="1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▲6.床面尺寸:长度≥2000mm, 宽度≥500mm。</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7.床面可双向（向头、向脚）平移≥350mm，增加C型臂X光透视检查之范围。</w:t>
      </w:r>
    </w:p>
    <w:p>
      <w:pPr>
        <w:keepNext w:val="0"/>
        <w:keepLines w:val="0"/>
        <w:pageBreakBefore w:val="0"/>
        <w:widowControl w:val="0"/>
        <w:kinsoku/>
        <w:wordWrap/>
        <w:overflowPunct/>
        <w:topLinePunct w:val="0"/>
        <w:bidi w:val="0"/>
        <w:adjustRightInd/>
        <w:snapToGrid/>
        <w:spacing w:line="400" w:lineRule="exact"/>
        <w:ind w:firstLine="210" w:firstLineChars="1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▲8.床面离地电动可调节高度,最低高度≤680mm最高高度≥900mm。</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9.床面电动可调节横向倾斜(左右倾斜)角度≥20度。</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10.床面电动可调节头高足低/头低足高位角度≥25度。</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11.头部段可调角度范围为+45度至–90度。</w:t>
      </w:r>
      <w:r>
        <w:rPr>
          <w:rFonts w:hint="eastAsia" w:ascii="宋体" w:hAnsi="宋体" w:eastAsia="宋体" w:cs="宋体"/>
          <w:bCs/>
          <w:sz w:val="21"/>
          <w:szCs w:val="21"/>
        </w:rPr>
        <w:tab/>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12.背部段角度电动可调范围为:上部80度,下部40度。</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13.脚部:上下可调15度至90度,左右旋转0度至90度。</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14.配备独立的中央机械式刹车装置,</w:t>
      </w:r>
      <w:r>
        <w:rPr>
          <w:rFonts w:hint="eastAsia" w:ascii="宋体" w:hAnsi="宋体" w:eastAsia="宋体" w:cs="宋体"/>
          <w:sz w:val="21"/>
          <w:szCs w:val="21"/>
        </w:rPr>
        <w:t xml:space="preserve"> </w:t>
      </w:r>
      <w:r>
        <w:rPr>
          <w:rFonts w:hint="eastAsia" w:ascii="宋体" w:hAnsi="宋体" w:eastAsia="宋体" w:cs="宋体"/>
          <w:bCs/>
          <w:sz w:val="21"/>
          <w:szCs w:val="21"/>
        </w:rPr>
        <w:t>锁定机构确保手术床稳固，方便的踏板操作方式，不锈钢T型基座，可坚固地固定床身。</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15.复合体位,床面腰上位及腰下位这两个动作均可一键完成，使用方便快捷。</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16.配置内置式肾桥,肾桥为可X光透视材料。</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17.手术床底座为纯平设计，床底座表面材料为高级医用不锈钢,方便清洁消毒。</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18.手术床升降柱被全不锈钢包裹，方便清洁易维护。</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19.手术床配高性能充电电池，确保手术床在临时断电状态下能正常工作。</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20.</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Cs/>
          <w:sz w:val="21"/>
          <w:szCs w:val="21"/>
        </w:rPr>
        <w:t>为有效预防病人压疮现象，手术床配备质地柔软的记忆海绵整体床垫，厚度≥75mm，床垫表面采用无缝烫接技术，具有良好的防水防静电及透气效果。</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w:t>
      </w:r>
      <w:r>
        <w:rPr>
          <w:rFonts w:hint="eastAsia" w:ascii="宋体" w:hAnsi="宋体" w:eastAsia="宋体" w:cs="宋体"/>
          <w:sz w:val="21"/>
          <w:szCs w:val="21"/>
        </w:rPr>
        <w:t xml:space="preserve"> </w:t>
      </w:r>
      <w:r>
        <w:rPr>
          <w:rFonts w:hint="eastAsia" w:ascii="宋体" w:hAnsi="宋体" w:eastAsia="宋体" w:cs="宋体"/>
          <w:bCs/>
          <w:sz w:val="21"/>
          <w:szCs w:val="21"/>
        </w:rPr>
        <w:t>手术床承重≥280Kg。</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（三）</w:t>
      </w:r>
      <w:r>
        <w:rPr>
          <w:rFonts w:hint="eastAsia" w:ascii="宋体" w:hAnsi="宋体" w:eastAsia="宋体" w:cs="宋体"/>
          <w:bCs/>
          <w:sz w:val="21"/>
          <w:szCs w:val="21"/>
        </w:rPr>
        <w:t>主要硬件配置清单（3张手术床）</w:t>
      </w:r>
      <w:r>
        <w:rPr>
          <w:rFonts w:hint="eastAsia" w:ascii="宋体" w:hAnsi="宋体" w:eastAsia="宋体" w:cs="宋体"/>
          <w:bCs/>
          <w:sz w:val="21"/>
          <w:szCs w:val="21"/>
          <w:lang w:val="en-US" w:eastAsia="zh-CN"/>
        </w:rPr>
        <w:t>(每个序号项为一个技术参数）</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61"/>
        <w:gridCol w:w="905"/>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名称</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数量</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手术床主体</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头板</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手板</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腿板</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遥控器</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5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麻醉屏架</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w:t>
            </w:r>
          </w:p>
        </w:tc>
        <w:tc>
          <w:tcPr>
            <w:tcW w:w="50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床垫</w:t>
            </w:r>
          </w:p>
        </w:tc>
        <w:tc>
          <w:tcPr>
            <w:tcW w:w="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78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506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支身架、支肩架</w:t>
            </w:r>
          </w:p>
        </w:tc>
        <w:tc>
          <w:tcPr>
            <w:tcW w:w="9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9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套</w:t>
            </w:r>
          </w:p>
        </w:tc>
      </w:tr>
    </w:tbl>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1.保修期：验收合格后整机保修≥5年，保修期内每半年一次常规维护保养。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2.要求故障维修响应时间为1小时，24小时内工程师能到达现场；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验收标准：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供货期：</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天内完成供货。</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（四）</w:t>
      </w:r>
      <w:r>
        <w:rPr>
          <w:rFonts w:hint="eastAsia" w:ascii="宋体" w:hAnsi="宋体" w:eastAsia="宋体" w:cs="宋体"/>
          <w:b/>
          <w:color w:val="000000" w:themeColor="text1"/>
          <w:sz w:val="21"/>
          <w:szCs w:val="21"/>
          <w:lang w:eastAsia="zh-CN"/>
          <w14:textFill>
            <w14:solidFill>
              <w14:schemeClr w14:val="tx1"/>
            </w14:solidFill>
          </w14:textFill>
        </w:rPr>
        <w:t>履约保证金</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在签订合同前5个工作日内需向</w:t>
      </w:r>
      <w:r>
        <w:rPr>
          <w:rFonts w:hint="eastAsia" w:ascii="宋体" w:hAnsi="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支付合同金额5%履约保证金</w:t>
      </w:r>
      <w:r>
        <w:rPr>
          <w:rFonts w:hint="eastAsia" w:ascii="宋体" w:hAnsi="宋体" w:cs="宋体"/>
          <w:color w:val="000000" w:themeColor="text1"/>
          <w:sz w:val="21"/>
          <w:szCs w:val="21"/>
          <w:lang w:eastAsia="zh-CN"/>
          <w14:textFill>
            <w14:solidFill>
              <w14:schemeClr w14:val="tx1"/>
            </w14:solidFill>
          </w14:textFill>
        </w:rPr>
        <w:t>。采购人确认供应商全部义务履行完毕且无违约责任后30个工作日内无息退回。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1.</w:t>
      </w:r>
      <w:r>
        <w:rPr>
          <w:rFonts w:hint="eastAsia" w:ascii="宋体" w:hAnsi="宋体" w:eastAsia="宋体" w:cs="宋体"/>
          <w:bCs/>
          <w:sz w:val="21"/>
          <w:szCs w:val="21"/>
        </w:rPr>
        <w:t>合同设备全部到指定地点交付并完成安装及验收合格后，凭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（1）收货证明；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（2）正式全额发票；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（3）验收合格证明；</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rPr>
        <w:t>收取货款，由</w:t>
      </w:r>
      <w:r>
        <w:rPr>
          <w:rFonts w:hint="eastAsia" w:ascii="宋体" w:hAnsi="宋体" w:cs="宋体"/>
          <w:bCs/>
          <w:sz w:val="21"/>
          <w:szCs w:val="21"/>
          <w:lang w:eastAsia="zh-CN"/>
        </w:rPr>
        <w:t>采购人</w:t>
      </w:r>
      <w:r>
        <w:rPr>
          <w:rFonts w:hint="eastAsia" w:ascii="宋体" w:hAnsi="宋体" w:eastAsia="宋体" w:cs="宋体"/>
          <w:bCs/>
          <w:sz w:val="21"/>
          <w:szCs w:val="21"/>
        </w:rPr>
        <w:t>审核</w:t>
      </w:r>
      <w:r>
        <w:rPr>
          <w:rFonts w:hint="eastAsia" w:ascii="宋体" w:hAnsi="宋体" w:eastAsia="宋体" w:cs="宋体"/>
          <w:color w:val="000000" w:themeColor="text1"/>
          <w:sz w:val="21"/>
          <w:szCs w:val="21"/>
          <w14:textFill>
            <w14:solidFill>
              <w14:schemeClr w14:val="tx1"/>
            </w14:solidFill>
          </w14:textFill>
        </w:rPr>
        <w:t>后在3个月内向</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支付合同总金额的100%。</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2.若该设备纳入采购人设备租赁项目范围内，由第三方支付货款，须签三方协议。</w:t>
      </w:r>
    </w:p>
    <w:p>
      <w:pPr>
        <w:pStyle w:val="2"/>
        <w:spacing w:line="360" w:lineRule="auto"/>
        <w:ind w:firstLine="422" w:firstLineChars="200"/>
        <w:rPr>
          <w:rFonts w:hint="eastAsia" w:ascii="宋体" w:hAnsi="宋体" w:eastAsia="宋体" w:cs="宋体"/>
          <w:b/>
          <w:bCs/>
          <w:sz w:val="21"/>
          <w:szCs w:val="21"/>
        </w:rPr>
      </w:pPr>
    </w:p>
    <w:p>
      <w:pPr>
        <w:pStyle w:val="2"/>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备注：</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2.标有“▲”的条款均为评审的重要评分指标，报价人若有部分“▲”条款未响应或不满足，将导致其响应性评审严重扣分。</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3.成交原则：根据评审标准按综合评分法进行评审，按其评审总得分由高到低顺序排列评分情况，排名第一的供应商为第一成交候选人。</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4.报价要求：本项目采用多轮次报价，各供应商现场再次统一填写总价报价表。</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5.供应商有下列情形之一的，将列入我院黑名单管理，在此后的三年内不得参与我院任何采买活动：</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outlineLvl w:val="0"/>
        <w:rPr>
          <w:rFonts w:hint="eastAsia" w:ascii="Times New Roman" w:hAnsi="Times New Roman" w:eastAsia="宋体" w:cs="Times New Roman"/>
          <w:b/>
          <w:bCs/>
          <w:kern w:val="0"/>
          <w:sz w:val="32"/>
          <w:szCs w:val="36"/>
          <w:lang w:val="en-US" w:eastAsia="zh-CN" w:bidi="ar-SA"/>
        </w:rPr>
      </w:pPr>
      <w:bookmarkStart w:id="25" w:name="_Toc11429"/>
      <w:bookmarkStart w:id="26" w:name="_Toc25812"/>
      <w:r>
        <w:rPr>
          <w:rFonts w:hint="eastAsia" w:ascii="Times New Roman" w:hAnsi="Times New Roman" w:eastAsia="宋体" w:cs="Times New Roman"/>
          <w:b/>
          <w:bCs/>
          <w:kern w:val="0"/>
          <w:sz w:val="32"/>
          <w:szCs w:val="36"/>
          <w:lang w:val="en-US" w:eastAsia="zh-CN" w:bidi="ar-SA"/>
        </w:rPr>
        <w:t>第三部分  评分标准</w:t>
      </w:r>
      <w:bookmarkEnd w:id="25"/>
      <w:bookmarkEnd w:id="26"/>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（手术床）</w:t>
      </w:r>
      <w:r>
        <w:rPr>
          <w:rFonts w:hint="eastAsia"/>
          <w:b/>
          <w:sz w:val="24"/>
          <w:szCs w:val="24"/>
        </w:rPr>
        <w:t>项目评分表</w:t>
      </w:r>
    </w:p>
    <w:p>
      <w:pPr>
        <w:tabs>
          <w:tab w:val="left" w:pos="3656"/>
        </w:tabs>
        <w:jc w:val="right"/>
        <w:rPr>
          <w:rFonts w:hint="eastAsia"/>
          <w:b/>
          <w:sz w:val="21"/>
          <w:szCs w:val="21"/>
        </w:rPr>
      </w:pPr>
    </w:p>
    <w:tbl>
      <w:tblPr>
        <w:tblStyle w:val="18"/>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8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98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39.5</w:t>
            </w:r>
            <w:r>
              <w:rPr>
                <w:rFonts w:hint="eastAsia" w:asciiTheme="minorEastAsia" w:hAnsiTheme="minorEastAsia" w:eastAsiaTheme="minorEastAsia"/>
                <w:b/>
                <w:bCs/>
                <w:szCs w:val="21"/>
              </w:rPr>
              <w:t>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w:t>
            </w:r>
            <w:r>
              <w:rPr>
                <w:rFonts w:hint="eastAsia" w:asciiTheme="minorEastAsia" w:hAnsiTheme="minorEastAsia" w:eastAsiaTheme="minorEastAsia"/>
                <w:b/>
                <w:szCs w:val="21"/>
                <w:lang w:val="en-US" w:eastAsia="zh-CN"/>
              </w:rPr>
              <w:t>39.5</w:t>
            </w:r>
            <w:r>
              <w:rPr>
                <w:rFonts w:hint="eastAsia" w:asciiTheme="minorEastAsia" w:hAnsiTheme="minorEastAsia" w:eastAsiaTheme="minorEastAsia"/>
                <w:b/>
                <w:szCs w:val="21"/>
              </w:rPr>
              <w:t>分。</w:t>
            </w:r>
          </w:p>
          <w:p>
            <w:pPr>
              <w:pStyle w:val="26"/>
              <w:numPr>
                <w:ilvl w:val="0"/>
                <w:numId w:val="2"/>
              </w:numPr>
              <w:ind w:firstLineChars="0"/>
              <w:rPr>
                <w:rFonts w:asciiTheme="minorEastAsia" w:hAnsiTheme="minorEastAsia" w:eastAsiaTheme="minorEastAsia"/>
                <w:b/>
                <w:szCs w:val="21"/>
              </w:rPr>
            </w:pPr>
            <w:r>
              <w:rPr>
                <w:rFonts w:hint="eastAsia" w:asciiTheme="minorEastAsia" w:hAnsiTheme="minorEastAsia" w:eastAsiaTheme="minorEastAsia"/>
                <w:b/>
                <w:szCs w:val="21"/>
              </w:rPr>
              <w:t>对用户需求中技术要求响应情况：</w:t>
            </w:r>
          </w:p>
          <w:p>
            <w:pPr>
              <w:pStyle w:val="26"/>
              <w:numPr>
                <w:ilvl w:val="0"/>
                <w:numId w:val="3"/>
              </w:numPr>
              <w:ind w:firstLineChars="0"/>
              <w:rPr>
                <w:rFonts w:asciiTheme="minorEastAsia" w:hAnsiTheme="minorEastAsia" w:eastAsiaTheme="minorEastAsia"/>
                <w:szCs w:val="21"/>
              </w:rPr>
            </w:pPr>
            <w:r>
              <w:rPr>
                <w:rFonts w:hint="eastAsia" w:asciiTheme="minorEastAsia" w:hAnsiTheme="minorEastAsia" w:eastAsiaTheme="minorEastAsia"/>
                <w:szCs w:val="21"/>
              </w:rPr>
              <w:t>不满足带▲号的重要技术参数的，一项扣</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w:t>
            </w:r>
            <w:r>
              <w:rPr>
                <w:rFonts w:hint="eastAsia" w:asciiTheme="minorEastAsia" w:hAnsiTheme="minorEastAsia" w:eastAsiaTheme="minorEastAsia"/>
                <w:szCs w:val="21"/>
                <w:lang w:val="en-US" w:eastAsia="zh-CN"/>
              </w:rPr>
              <w:t>0.5</w:t>
            </w:r>
            <w:r>
              <w:rPr>
                <w:rFonts w:hint="eastAsia" w:asciiTheme="minorEastAsia" w:hAnsiTheme="minorEastAsia" w:eastAsiaTheme="minorEastAsia"/>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39.5</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lang w:val="en-US" w:eastAsia="zh-CN"/>
              </w:rPr>
              <w:t>6</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986"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42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w:t>
            </w:r>
            <w:r>
              <w:rPr>
                <w:rFonts w:hint="eastAsia" w:asciiTheme="minorEastAsia" w:hAnsiTheme="minorEastAsia" w:eastAsiaTheme="minorEastAsia"/>
                <w:b/>
                <w:bCs/>
                <w:szCs w:val="21"/>
                <w:lang w:val="en-US" w:eastAsia="zh-CN"/>
              </w:rPr>
              <w:t>9.5</w:t>
            </w:r>
            <w:r>
              <w:rPr>
                <w:rFonts w:hint="eastAsia" w:asciiTheme="minorEastAsia" w:hAnsiTheme="minorEastAsia" w:eastAsiaTheme="minorEastAsia"/>
                <w:b/>
                <w:bCs/>
                <w:szCs w:val="21"/>
              </w:rPr>
              <w:t>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（1）设备包装及安装运输方案合理、详细，优于采购需求，得</w:t>
            </w:r>
            <w:r>
              <w:rPr>
                <w:rFonts w:hint="eastAsia" w:asciiTheme="minorEastAsia" w:hAnsiTheme="minorEastAsia" w:eastAsiaTheme="minorEastAsia"/>
                <w:szCs w:val="21"/>
                <w:lang w:val="en-US" w:eastAsia="zh-CN"/>
              </w:rPr>
              <w:t>9.5</w:t>
            </w:r>
            <w:r>
              <w:rPr>
                <w:rFonts w:hint="eastAsia" w:asciiTheme="minorEastAsia" w:hAnsiTheme="minorEastAsia" w:eastAsiaTheme="minorEastAsia"/>
                <w:szCs w:val="21"/>
              </w:rPr>
              <w:t xml:space="preserve">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9.5</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986"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6859"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986"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986"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r>
    </w:tbl>
    <w:p>
      <w:pPr>
        <w:pStyle w:val="2"/>
        <w:spacing w:line="360" w:lineRule="auto"/>
        <w:rPr>
          <w:rFonts w:hint="eastAsia" w:ascii="宋体" w:hAnsi="宋体" w:eastAsia="宋体" w:cs="宋体"/>
          <w:b/>
          <w:bCs/>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p>
      <w:pPr>
        <w:pStyle w:val="2"/>
        <w:spacing w:line="360" w:lineRule="auto"/>
        <w:rPr>
          <w:rFonts w:hint="eastAsia" w:ascii="宋体" w:hAnsi="宋体" w:eastAsia="宋体" w:cs="宋体"/>
          <w:sz w:val="24"/>
        </w:rPr>
      </w:pPr>
    </w:p>
    <w:bookmarkEnd w:id="23"/>
    <w:bookmarkEnd w:id="24"/>
    <w:p>
      <w:pPr>
        <w:spacing w:line="360" w:lineRule="exact"/>
        <w:jc w:val="center"/>
        <w:outlineLvl w:val="0"/>
        <w:rPr>
          <w:rFonts w:ascii="宋体" w:hAnsi="宋体" w:cs="宋体"/>
          <w:color w:val="auto"/>
          <w:sz w:val="32"/>
          <w:szCs w:val="32"/>
          <w:highlight w:val="none"/>
        </w:rPr>
      </w:pPr>
      <w:bookmarkStart w:id="27" w:name="_Toc18405"/>
      <w:bookmarkStart w:id="28" w:name="_Toc32083"/>
      <w:r>
        <w:rPr>
          <w:rFonts w:hint="eastAsia" w:ascii="宋体" w:hAnsi="宋体" w:cs="宋体"/>
          <w:b/>
          <w:bCs/>
          <w:color w:val="auto"/>
          <w:kern w:val="0"/>
          <w:sz w:val="32"/>
          <w:szCs w:val="32"/>
          <w:highlight w:val="none"/>
        </w:rPr>
        <w:t>第</w:t>
      </w:r>
      <w:r>
        <w:rPr>
          <w:rFonts w:hint="eastAsia" w:ascii="宋体" w:hAnsi="宋体" w:cs="宋体"/>
          <w:b/>
          <w:bCs/>
          <w:color w:val="auto"/>
          <w:kern w:val="0"/>
          <w:sz w:val="32"/>
          <w:szCs w:val="32"/>
          <w:highlight w:val="none"/>
          <w:lang w:eastAsia="zh-CN"/>
        </w:rPr>
        <w:t>四</w:t>
      </w:r>
      <w:r>
        <w:rPr>
          <w:rFonts w:hint="eastAsia" w:ascii="宋体" w:hAnsi="宋体" w:cs="宋体"/>
          <w:b/>
          <w:bCs/>
          <w:color w:val="auto"/>
          <w:kern w:val="0"/>
          <w:sz w:val="32"/>
          <w:szCs w:val="32"/>
          <w:highlight w:val="none"/>
        </w:rPr>
        <w:t xml:space="preserve">部分  </w:t>
      </w:r>
      <w:bookmarkStart w:id="29" w:name="_Toc270"/>
      <w:r>
        <w:rPr>
          <w:rFonts w:hint="eastAsia" w:ascii="宋体" w:hAnsi="宋体" w:cs="宋体"/>
          <w:b/>
          <w:bCs/>
          <w:color w:val="auto"/>
          <w:kern w:val="0"/>
          <w:sz w:val="32"/>
          <w:szCs w:val="32"/>
          <w:highlight w:val="none"/>
        </w:rPr>
        <w:t>资料整理注意事项</w:t>
      </w:r>
      <w:bookmarkEnd w:id="27"/>
      <w:bookmarkEnd w:id="28"/>
      <w:bookmarkEnd w:id="29"/>
    </w:p>
    <w:p>
      <w:pPr>
        <w:spacing w:line="360" w:lineRule="exact"/>
        <w:ind w:firstLine="315" w:firstLineChars="15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3.响应文件需要一正</w:t>
      </w:r>
      <w:r>
        <w:rPr>
          <w:rFonts w:hint="eastAsia" w:ascii="宋体" w:hAnsi="宋体" w:cs="宋体"/>
          <w:color w:val="auto"/>
          <w:sz w:val="21"/>
          <w:szCs w:val="21"/>
          <w:highlight w:val="none"/>
          <w:lang w:eastAsia="zh-CN"/>
        </w:rPr>
        <w:t>六</w:t>
      </w:r>
      <w:r>
        <w:rPr>
          <w:rFonts w:hint="eastAsia" w:ascii="宋体" w:hAnsi="宋体" w:cs="宋体"/>
          <w:color w:val="auto"/>
          <w:sz w:val="21"/>
          <w:szCs w:val="21"/>
          <w:highlight w:val="none"/>
        </w:rPr>
        <w:t>副共</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8.各供应商需认真阅读以上注意事项，不按要求提供响应文件者后果自负。</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line="360" w:lineRule="exact"/>
        <w:jc w:val="both"/>
        <w:outlineLvl w:val="0"/>
        <w:rPr>
          <w:rFonts w:hint="eastAsia" w:ascii="宋体" w:hAnsi="宋体" w:cs="宋体"/>
          <w:b/>
          <w:bCs/>
          <w:color w:val="auto"/>
          <w:kern w:val="0"/>
          <w:sz w:val="30"/>
          <w:szCs w:val="30"/>
          <w:highlight w:val="none"/>
        </w:rPr>
      </w:pPr>
      <w:bookmarkStart w:id="30" w:name="_Toc15582"/>
      <w:bookmarkStart w:id="31" w:name="_Toc20346"/>
      <w:bookmarkStart w:id="32" w:name="_Toc91515617"/>
      <w:r>
        <w:rPr>
          <w:rFonts w:hint="eastAsia" w:ascii="宋体" w:hAnsi="宋体" w:cs="宋体"/>
          <w:b/>
          <w:bCs/>
          <w:color w:val="auto"/>
          <w:kern w:val="0"/>
          <w:sz w:val="30"/>
          <w:szCs w:val="30"/>
          <w:highlight w:val="none"/>
          <w:lang w:eastAsia="zh-CN"/>
        </w:rPr>
        <w:t>第五部分</w:t>
      </w:r>
      <w:r>
        <w:rPr>
          <w:rFonts w:hint="eastAsia" w:ascii="宋体" w:hAnsi="宋体" w:cs="宋体"/>
          <w:b/>
          <w:bCs/>
          <w:color w:val="auto"/>
          <w:kern w:val="0"/>
          <w:sz w:val="30"/>
          <w:szCs w:val="30"/>
          <w:highlight w:val="none"/>
          <w:lang w:val="en-US" w:eastAsia="zh-CN"/>
        </w:rPr>
        <w:t xml:space="preserve"> </w:t>
      </w:r>
      <w:r>
        <w:rPr>
          <w:rFonts w:hint="eastAsia" w:ascii="宋体" w:hAnsi="宋体" w:cs="宋体"/>
          <w:b/>
          <w:bCs/>
          <w:color w:val="auto"/>
          <w:kern w:val="0"/>
          <w:sz w:val="30"/>
          <w:szCs w:val="30"/>
          <w:highlight w:val="none"/>
        </w:rPr>
        <w:t>相关格式模板</w:t>
      </w:r>
      <w:bookmarkEnd w:id="30"/>
      <w:bookmarkEnd w:id="31"/>
      <w:bookmarkEnd w:id="32"/>
    </w:p>
    <w:p>
      <w:pPr>
        <w:pStyle w:val="2"/>
        <w:spacing w:line="360" w:lineRule="auto"/>
        <w:jc w:val="center"/>
        <w:rPr>
          <w:b/>
          <w:sz w:val="44"/>
          <w:szCs w:val="44"/>
        </w:rPr>
      </w:pPr>
    </w:p>
    <w:p>
      <w:pPr>
        <w:pStyle w:val="2"/>
        <w:spacing w:line="360" w:lineRule="auto"/>
        <w:jc w:val="center"/>
        <w:rPr>
          <w:b/>
          <w:sz w:val="36"/>
          <w:szCs w:val="28"/>
        </w:rPr>
      </w:pPr>
    </w:p>
    <w:p>
      <w:pPr>
        <w:jc w:val="center"/>
        <w:rPr>
          <w:rFonts w:hint="eastAsia" w:ascii="宋体" w:hAnsi="宋体" w:cs="宋体"/>
          <w:b/>
          <w:color w:val="auto"/>
          <w:kern w:val="0"/>
          <w:sz w:val="52"/>
          <w:szCs w:val="52"/>
          <w:highlight w:val="none"/>
        </w:rPr>
      </w:pPr>
      <w:bookmarkStart w:id="33" w:name="_Toc28334"/>
      <w:bookmarkStart w:id="34" w:name="_Toc2217"/>
      <w:bookmarkStart w:id="35" w:name="_Toc84838886"/>
      <w:bookmarkStart w:id="36" w:name="_Toc21856"/>
      <w:bookmarkStart w:id="37" w:name="_Toc27578"/>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9"/>
        <w:rPr>
          <w:rFonts w:ascii="宋体" w:hAnsi="宋体" w:cs="宋体"/>
          <w:color w:val="auto"/>
          <w:kern w:val="0"/>
          <w:sz w:val="30"/>
          <w:szCs w:val="30"/>
          <w:highlight w:val="none"/>
        </w:rPr>
      </w:pPr>
    </w:p>
    <w:p>
      <w:pPr>
        <w:widowControl/>
        <w:spacing w:line="360" w:lineRule="auto"/>
        <w:ind w:firstLine="600"/>
        <w:outlineLvl w:val="0"/>
        <w:rPr>
          <w:color w:val="auto"/>
          <w:highlight w:val="none"/>
        </w:rPr>
      </w:pPr>
      <w:bookmarkStart w:id="38" w:name="_Toc11301"/>
      <w:bookmarkStart w:id="39" w:name="_Toc1978"/>
      <w:bookmarkStart w:id="40" w:name="_Toc20588"/>
      <w:r>
        <w:rPr>
          <w:rFonts w:ascii="宋体" w:hAnsi="宋体" w:cs="宋体"/>
          <w:color w:val="auto"/>
          <w:kern w:val="0"/>
          <w:sz w:val="30"/>
          <w:szCs w:val="30"/>
          <w:highlight w:val="none"/>
        </w:rPr>
        <w:t>项目编号：</w:t>
      </w:r>
      <w:bookmarkEnd w:id="38"/>
      <w:bookmarkEnd w:id="39"/>
      <w:bookmarkEnd w:id="40"/>
    </w:p>
    <w:p>
      <w:pPr>
        <w:widowControl/>
        <w:spacing w:line="360" w:lineRule="auto"/>
        <w:ind w:firstLine="600"/>
        <w:outlineLvl w:val="0"/>
        <w:rPr>
          <w:rFonts w:cs="宋体"/>
          <w:color w:val="auto"/>
          <w:kern w:val="0"/>
          <w:sz w:val="30"/>
          <w:szCs w:val="30"/>
          <w:highlight w:val="none"/>
        </w:rPr>
      </w:pPr>
      <w:bookmarkStart w:id="41" w:name="_Toc13771"/>
      <w:bookmarkStart w:id="42" w:name="_Toc7926"/>
      <w:bookmarkStart w:id="43" w:name="_Toc23413"/>
      <w:r>
        <w:rPr>
          <w:rFonts w:ascii="宋体" w:hAnsi="宋体" w:cs="宋体"/>
          <w:color w:val="auto"/>
          <w:kern w:val="0"/>
          <w:sz w:val="30"/>
          <w:szCs w:val="30"/>
          <w:highlight w:val="none"/>
        </w:rPr>
        <w:t>公司名称：</w:t>
      </w:r>
      <w:bookmarkEnd w:id="41"/>
      <w:bookmarkEnd w:id="42"/>
      <w:bookmarkEnd w:id="43"/>
    </w:p>
    <w:p>
      <w:pPr>
        <w:widowControl/>
        <w:spacing w:line="360" w:lineRule="auto"/>
        <w:ind w:firstLine="600"/>
        <w:outlineLvl w:val="0"/>
        <w:rPr>
          <w:rFonts w:cs="宋体"/>
          <w:color w:val="auto"/>
          <w:kern w:val="0"/>
          <w:sz w:val="30"/>
          <w:szCs w:val="30"/>
          <w:highlight w:val="none"/>
        </w:rPr>
      </w:pPr>
      <w:bookmarkStart w:id="44" w:name="_Toc20975"/>
      <w:bookmarkStart w:id="45" w:name="_Toc11989"/>
      <w:bookmarkStart w:id="46" w:name="_Toc20811"/>
      <w:r>
        <w:rPr>
          <w:rFonts w:ascii="宋体" w:hAnsi="宋体" w:cs="宋体"/>
          <w:color w:val="auto"/>
          <w:kern w:val="0"/>
          <w:sz w:val="30"/>
          <w:szCs w:val="30"/>
          <w:highlight w:val="none"/>
        </w:rPr>
        <w:t>业务代表：</w:t>
      </w:r>
      <w:bookmarkEnd w:id="44"/>
      <w:bookmarkEnd w:id="45"/>
      <w:bookmarkEnd w:id="46"/>
    </w:p>
    <w:p>
      <w:pPr>
        <w:widowControl/>
        <w:spacing w:line="360" w:lineRule="auto"/>
        <w:ind w:firstLine="600"/>
        <w:outlineLvl w:val="0"/>
        <w:rPr>
          <w:rFonts w:cs="宋体"/>
          <w:color w:val="auto"/>
          <w:kern w:val="0"/>
          <w:sz w:val="30"/>
          <w:szCs w:val="30"/>
          <w:highlight w:val="none"/>
        </w:rPr>
      </w:pPr>
      <w:bookmarkStart w:id="47" w:name="_Toc13858"/>
      <w:bookmarkStart w:id="48" w:name="_Toc27766"/>
      <w:bookmarkStart w:id="49" w:name="_Toc9267"/>
      <w:r>
        <w:rPr>
          <w:rFonts w:ascii="宋体" w:hAnsi="宋体" w:cs="宋体"/>
          <w:color w:val="auto"/>
          <w:kern w:val="0"/>
          <w:sz w:val="30"/>
          <w:szCs w:val="30"/>
          <w:highlight w:val="none"/>
        </w:rPr>
        <w:t>联系电话：</w:t>
      </w:r>
      <w:bookmarkEnd w:id="47"/>
      <w:bookmarkEnd w:id="48"/>
      <w:bookmarkEnd w:id="49"/>
    </w:p>
    <w:p>
      <w:pPr>
        <w:widowControl/>
        <w:spacing w:line="360" w:lineRule="auto"/>
        <w:ind w:firstLine="600"/>
        <w:outlineLvl w:val="0"/>
        <w:rPr>
          <w:rFonts w:cs="宋体"/>
          <w:color w:val="auto"/>
          <w:kern w:val="0"/>
          <w:sz w:val="30"/>
          <w:szCs w:val="30"/>
          <w:highlight w:val="none"/>
        </w:rPr>
      </w:pPr>
      <w:bookmarkStart w:id="50" w:name="_Toc22269"/>
      <w:bookmarkStart w:id="51" w:name="_Toc14663"/>
      <w:bookmarkStart w:id="52" w:name="_Toc10312"/>
      <w:r>
        <w:rPr>
          <w:rFonts w:ascii="宋体" w:hAnsi="宋体" w:cs="宋体"/>
          <w:color w:val="auto"/>
          <w:kern w:val="0"/>
          <w:sz w:val="30"/>
          <w:szCs w:val="30"/>
          <w:highlight w:val="none"/>
        </w:rPr>
        <w:t>联系邮箱：</w:t>
      </w:r>
      <w:bookmarkEnd w:id="50"/>
      <w:bookmarkEnd w:id="51"/>
      <w:bookmarkEnd w:id="52"/>
    </w:p>
    <w:p>
      <w:pPr>
        <w:widowControl/>
        <w:spacing w:line="360" w:lineRule="auto"/>
        <w:ind w:firstLine="600"/>
        <w:outlineLvl w:val="0"/>
        <w:rPr>
          <w:rFonts w:cs="宋体"/>
          <w:color w:val="auto"/>
          <w:kern w:val="0"/>
          <w:sz w:val="30"/>
          <w:szCs w:val="30"/>
          <w:highlight w:val="none"/>
        </w:rPr>
      </w:pPr>
      <w:bookmarkStart w:id="53" w:name="_Toc8651"/>
      <w:bookmarkStart w:id="54" w:name="_Toc29510"/>
      <w:bookmarkStart w:id="55" w:name="_Toc492"/>
      <w:r>
        <w:rPr>
          <w:rFonts w:ascii="宋体" w:hAnsi="宋体" w:cs="宋体"/>
          <w:color w:val="auto"/>
          <w:kern w:val="0"/>
          <w:sz w:val="30"/>
          <w:szCs w:val="30"/>
          <w:highlight w:val="none"/>
        </w:rPr>
        <w:t>日    期：</w:t>
      </w:r>
      <w:bookmarkEnd w:id="53"/>
      <w:bookmarkEnd w:id="54"/>
      <w:bookmarkEnd w:id="55"/>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9"/>
        <w:rPr>
          <w:rFonts w:ascii="仿宋" w:hAnsi="仿宋" w:eastAsia="仿宋" w:cs="宋体"/>
          <w:b/>
          <w:kern w:val="0"/>
          <w:sz w:val="24"/>
          <w:szCs w:val="32"/>
        </w:rPr>
      </w:pPr>
    </w:p>
    <w:p>
      <w:pPr>
        <w:numPr>
          <w:ilvl w:val="0"/>
          <w:numId w:val="0"/>
        </w:numPr>
        <w:jc w:val="center"/>
        <w:outlineLvl w:val="9"/>
        <w:rPr>
          <w:rFonts w:hint="eastAsia" w:ascii="Times New Roman" w:hAnsi="Times New Roman" w:eastAsia="宋体" w:cs="Times New Roman"/>
          <w:b/>
          <w:bCs/>
          <w:kern w:val="0"/>
          <w:sz w:val="32"/>
          <w:szCs w:val="36"/>
        </w:rPr>
      </w:pPr>
      <w:bookmarkStart w:id="56" w:name="_Toc28104"/>
      <w:bookmarkStart w:id="57" w:name="_Toc40776118"/>
      <w:bookmarkStart w:id="58" w:name="_Toc40346223"/>
      <w:bookmarkStart w:id="59" w:name="_Toc25511"/>
      <w:bookmarkStart w:id="60" w:name="_Toc40346382"/>
      <w:bookmarkStart w:id="61" w:name="_Toc6690"/>
      <w:bookmarkStart w:id="62" w:name="_Toc91499297"/>
      <w:bookmarkStart w:id="63" w:name="_Toc91515626"/>
    </w:p>
    <w:p>
      <w:pPr>
        <w:numPr>
          <w:ilvl w:val="0"/>
          <w:numId w:val="0"/>
        </w:numPr>
        <w:jc w:val="center"/>
        <w:outlineLvl w:val="0"/>
        <w:rPr>
          <w:rFonts w:hint="eastAsia" w:ascii="Times New Roman" w:hAnsi="Times New Roman" w:eastAsia="宋体" w:cs="Times New Roman"/>
          <w:b/>
          <w:bCs/>
          <w:kern w:val="0"/>
          <w:sz w:val="32"/>
          <w:szCs w:val="36"/>
        </w:rPr>
      </w:pPr>
      <w:bookmarkStart w:id="64" w:name="_Toc14353"/>
      <w:r>
        <w:rPr>
          <w:rFonts w:hint="eastAsia" w:ascii="Times New Roman" w:hAnsi="Times New Roman" w:eastAsia="宋体" w:cs="Times New Roman"/>
          <w:b/>
          <w:bCs/>
          <w:kern w:val="0"/>
          <w:sz w:val="32"/>
          <w:szCs w:val="36"/>
        </w:rPr>
        <w:t>目  录</w:t>
      </w:r>
      <w:bookmarkEnd w:id="56"/>
      <w:bookmarkEnd w:id="57"/>
      <w:bookmarkEnd w:id="58"/>
      <w:bookmarkEnd w:id="59"/>
      <w:bookmarkEnd w:id="60"/>
      <w:bookmarkEnd w:id="61"/>
      <w:bookmarkEnd w:id="64"/>
    </w:p>
    <w:tbl>
      <w:tblPr>
        <w:tblStyle w:val="18"/>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rPr>
            </w:pPr>
            <w:r>
              <w:rPr>
                <w:rFonts w:hint="eastAsia" w:ascii="宋体" w:hAnsi="宋体" w:cs="宋体"/>
                <w:b/>
                <w:bCs/>
                <w:kern w:val="0"/>
                <w:sz w:val="21"/>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lang w:eastAsia="zh-CN"/>
              </w:rPr>
              <w:t>评分自查表</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bCs/>
                <w:sz w:val="21"/>
                <w:szCs w:val="21"/>
                <w:lang w:val="en-US"/>
              </w:rPr>
            </w:pPr>
            <w:r>
              <w:rPr>
                <w:rFonts w:hint="eastAsia" w:ascii="宋体" w:hAnsi="宋体" w:eastAsia="宋体" w:cs="宋体"/>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9</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eastAsia="宋体" w:cs="宋体"/>
                <w:sz w:val="21"/>
                <w:szCs w:val="21"/>
              </w:rPr>
              <w:t>如参与者为代理经销商且代理产品为进口产品，须提供从制造厂商到代理经销商对所投产品的合法有效授权证明文件。</w:t>
            </w:r>
            <w:r>
              <w:rPr>
                <w:rFonts w:hint="eastAsia" w:ascii="宋体" w:hAnsi="宋体" w:eastAsia="宋体" w:cs="宋体"/>
                <w:sz w:val="21"/>
                <w:szCs w:val="21"/>
                <w:lang w:eastAsia="zh-CN"/>
              </w:rPr>
              <w:t>（需提供相关证明材料并加盖供应商公章</w:t>
            </w:r>
            <w:r>
              <w:rPr>
                <w:rFonts w:hint="eastAsia" w:ascii="宋体" w:hAnsi="宋体" w:eastAsia="宋体" w:cs="宋体"/>
                <w:sz w:val="21"/>
                <w:szCs w:val="21"/>
                <w:lang w:val="en-US" w:eastAsia="zh-CN"/>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无专机专用耗材保证函</w:t>
            </w:r>
            <w:r>
              <w:rPr>
                <w:rFonts w:hint="eastAsia" w:ascii="宋体" w:hAnsi="宋体"/>
                <w:bCs/>
                <w:sz w:val="21"/>
                <w:szCs w:val="21"/>
                <w:lang w:eastAsia="zh-CN"/>
              </w:rPr>
              <w:t>原件并加盖供应商公章</w:t>
            </w:r>
            <w:r>
              <w:rPr>
                <w:rFonts w:hint="eastAsia" w:ascii="宋体" w:hAnsi="宋体"/>
                <w:bCs/>
                <w:sz w:val="21"/>
                <w:szCs w:val="21"/>
              </w:rPr>
              <w:t>(如为无专机专用耗材设备)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b w:val="0"/>
                <w:bCs/>
                <w:kern w:val="0"/>
                <w:sz w:val="21"/>
                <w:szCs w:val="21"/>
              </w:rPr>
              <w:t>具有良好的商业信誉和健全的财务会计制度：提供承诺函，格式自拟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具有履行合同所必需的设备和专业技术能力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bCs/>
                <w:sz w:val="21"/>
                <w:szCs w:val="21"/>
              </w:rPr>
            </w:pP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14</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Cs/>
                <w:sz w:val="21"/>
                <w:szCs w:val="21"/>
              </w:rPr>
            </w:pPr>
            <w:r>
              <w:rPr>
                <w:rFonts w:hint="eastAsia" w:ascii="宋体" w:hAnsi="宋体" w:eastAsia="宋体" w:cs="宋体"/>
                <w:kern w:val="0"/>
                <w:sz w:val="21"/>
                <w:szCs w:val="21"/>
                <w:lang w:val="en-US" w:eastAsia="zh-CN"/>
              </w:rPr>
              <w:t xml:space="preserve"> 2020年10月1日以来企业及其法定代表人未被人民法院列入“失信被执行人名单”；要求提供“信用中国”网站或全国法院被执行人信息查询的网页截图；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15</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2020年10月1日以来参加政府采购经营活动中没有重大违法记录；提供承诺函，格式自拟；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16</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17</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18</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Theme="minorEastAsia" w:hAnsiTheme="minorEastAsia" w:eastAsiaTheme="minorEastAsia"/>
                <w:sz w:val="21"/>
                <w:szCs w:val="21"/>
              </w:rPr>
              <w:t>同型号产品</w:t>
            </w:r>
            <w:r>
              <w:rPr>
                <w:rFonts w:hint="eastAsia" w:asciiTheme="minorEastAsia" w:hAnsiTheme="minorEastAsia" w:eastAsiaTheme="minorEastAsia"/>
                <w:sz w:val="21"/>
                <w:szCs w:val="21"/>
                <w:lang w:val="en-US" w:eastAsia="zh-CN"/>
              </w:rPr>
              <w:t>2020</w:t>
            </w:r>
            <w:r>
              <w:rPr>
                <w:rFonts w:hint="eastAsia" w:asciiTheme="minorEastAsia" w:hAnsiTheme="minorEastAsia" w:eastAsiaTheme="minorEastAsia"/>
                <w:sz w:val="21"/>
                <w:szCs w:val="21"/>
              </w:rPr>
              <w:t>年1月1日以来业绩清单</w:t>
            </w:r>
            <w:r>
              <w:rPr>
                <w:rFonts w:hint="eastAsia" w:ascii="宋体" w:hAnsi="宋体"/>
                <w:bCs/>
                <w:sz w:val="21"/>
                <w:szCs w:val="21"/>
              </w:rPr>
              <w:t>（详见相关格式文件，需提供中标通知书、合同、发票其中一种，须自行提供业绩清</w:t>
            </w:r>
            <w:r>
              <w:rPr>
                <w:rFonts w:hint="eastAsia" w:ascii="宋体" w:hAnsi="宋体" w:eastAsia="宋体" w:cs="Times New Roman"/>
                <w:bCs/>
                <w:sz w:val="21"/>
                <w:szCs w:val="21"/>
              </w:rPr>
              <w:t>单中证明</w:t>
            </w:r>
            <w:r>
              <w:rPr>
                <w:rFonts w:hint="eastAsia" w:ascii="宋体" w:hAnsi="宋体" w:eastAsia="宋体" w:cs="Times New Roman"/>
                <w:bCs/>
                <w:sz w:val="21"/>
                <w:szCs w:val="21"/>
                <w:lang w:eastAsia="zh-CN"/>
              </w:rPr>
              <w:t>材料</w:t>
            </w:r>
            <w:r>
              <w:rPr>
                <w:rFonts w:hint="eastAsia" w:ascii="宋体" w:hAnsi="宋体" w:eastAsia="宋体" w:cs="Times New Roman"/>
                <w:bCs/>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sz w:val="21"/>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20</w:t>
            </w:r>
          </w:p>
        </w:tc>
        <w:tc>
          <w:tcPr>
            <w:tcW w:w="6944"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eastAsia="宋体" w:cs="Times New Roman"/>
                <w:bCs/>
                <w:kern w:val="2"/>
                <w:sz w:val="21"/>
                <w:szCs w:val="21"/>
                <w:lang w:val="en-US" w:eastAsia="zh-CN" w:bidi="ar-SA"/>
              </w:rPr>
            </w:pPr>
            <w:r>
              <w:rPr>
                <w:rFonts w:hint="eastAsia" w:ascii="宋体" w:hAnsi="宋体"/>
                <w:bCs/>
                <w:sz w:val="21"/>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Cs/>
                <w:sz w:val="21"/>
                <w:szCs w:val="21"/>
                <w:lang w:eastAsia="zh-CN"/>
              </w:rPr>
            </w:pPr>
            <w:r>
              <w:rPr>
                <w:rFonts w:hint="eastAsia" w:ascii="宋体" w:hAnsi="宋体"/>
                <w:bCs/>
                <w:sz w:val="21"/>
                <w:szCs w:val="21"/>
                <w:lang w:eastAsia="zh-CN"/>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22</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lang w:eastAsia="zh-CN"/>
              </w:rPr>
              <w:t>售后服务方案</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694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Cs/>
                <w:sz w:val="21"/>
                <w:szCs w:val="21"/>
              </w:rPr>
            </w:pPr>
            <w:r>
              <w:rPr>
                <w:rFonts w:hint="eastAsia" w:ascii="宋体" w:hAnsi="宋体"/>
                <w:bCs/>
                <w:sz w:val="21"/>
                <w:szCs w:val="21"/>
              </w:rPr>
              <w:t>公平竞争承诺书</w:t>
            </w:r>
            <w:r>
              <w:rPr>
                <w:rFonts w:ascii="宋体" w:hAnsi="宋体"/>
                <w:sz w:val="21"/>
                <w:szCs w:val="21"/>
              </w:rPr>
              <w:t>（详见</w:t>
            </w:r>
            <w:r>
              <w:rPr>
                <w:rFonts w:hint="eastAsia" w:ascii="宋体" w:hAnsi="宋体"/>
                <w:sz w:val="21"/>
                <w:szCs w:val="21"/>
              </w:rPr>
              <w:t>相关</w:t>
            </w:r>
            <w:r>
              <w:rPr>
                <w:rFonts w:ascii="宋体" w:hAnsi="宋体"/>
                <w:sz w:val="21"/>
                <w:szCs w:val="21"/>
              </w:rPr>
              <w:t>格式</w:t>
            </w:r>
            <w:r>
              <w:rPr>
                <w:rFonts w:hint="eastAsia" w:ascii="宋体" w:hAnsi="宋体"/>
                <w:sz w:val="21"/>
                <w:szCs w:val="21"/>
              </w:rPr>
              <w:t>文件</w:t>
            </w:r>
            <w:r>
              <w:rPr>
                <w:rFonts w:ascii="宋体" w:hAnsi="宋体"/>
                <w:sz w:val="21"/>
                <w:szCs w:val="21"/>
              </w:rPr>
              <w:t>）</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cs="宋体"/>
                <w:kern w:val="0"/>
                <w:sz w:val="21"/>
                <w:szCs w:val="21"/>
              </w:rPr>
            </w:pPr>
            <w:r>
              <w:rPr>
                <w:rFonts w:hint="eastAsia" w:ascii="宋体" w:hAnsi="宋体"/>
                <w:color w:val="auto"/>
                <w:sz w:val="21"/>
                <w:szCs w:val="21"/>
                <w:highlight w:val="none"/>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6944" w:type="dxa"/>
            <w:tcBorders>
              <w:top w:val="nil"/>
              <w:left w:val="nil"/>
              <w:bottom w:val="single" w:color="auto" w:sz="4" w:space="0"/>
              <w:right w:val="single" w:color="auto" w:sz="4" w:space="0"/>
            </w:tcBorders>
            <w:shd w:val="clear" w:color="auto" w:fill="auto"/>
            <w:vAlign w:val="center"/>
          </w:tcPr>
          <w:p>
            <w:pPr>
              <w:pStyle w:val="26"/>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宋体" w:hAnsi="宋体"/>
                <w:bCs/>
                <w:sz w:val="21"/>
                <w:szCs w:val="21"/>
              </w:rPr>
            </w:pPr>
            <w:r>
              <w:rPr>
                <w:rFonts w:hint="eastAsia" w:ascii="宋体" w:hAnsi="宋体"/>
                <w:color w:val="auto"/>
                <w:sz w:val="21"/>
                <w:szCs w:val="21"/>
                <w:highlight w:val="none"/>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b/>
                <w:bCs/>
                <w:kern w:val="0"/>
                <w:sz w:val="21"/>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kern w:val="0"/>
                <w:sz w:val="21"/>
                <w:szCs w:val="21"/>
              </w:rPr>
            </w:pPr>
            <w:bookmarkStart w:id="65" w:name="_Toc15555"/>
            <w:bookmarkStart w:id="66" w:name="_Toc15717"/>
            <w:bookmarkStart w:id="67" w:name="_Toc28828"/>
            <w:r>
              <w:rPr>
                <w:rFonts w:hint="eastAsia" w:ascii="宋体" w:hAnsi="宋体" w:eastAsia="宋体" w:cs="宋体"/>
                <w:kern w:val="0"/>
                <w:sz w:val="21"/>
                <w:szCs w:val="21"/>
              </w:rPr>
              <w:t>维修报价表：名称、规格/型号、市场报价、优惠价。（提供销售设备主要零配件的发票复印件，如无法提供发票复印件，请提供厂家出具说明函。）</w:t>
            </w:r>
            <w:bookmarkEnd w:id="65"/>
            <w:bookmarkEnd w:id="66"/>
            <w:bookmarkEnd w:id="67"/>
          </w:p>
        </w:tc>
        <w:tc>
          <w:tcPr>
            <w:tcW w:w="19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outlineLvl w:val="0"/>
              <w:rPr>
                <w:rFonts w:hint="eastAsia" w:ascii="宋体" w:hAnsi="宋体" w:eastAsia="宋体" w:cs="宋体"/>
                <w:kern w:val="0"/>
                <w:sz w:val="21"/>
                <w:szCs w:val="21"/>
              </w:rPr>
            </w:pPr>
            <w:bookmarkStart w:id="68" w:name="_Toc4797"/>
            <w:bookmarkStart w:id="69" w:name="_Toc30358"/>
            <w:r>
              <w:rPr>
                <w:rFonts w:hint="eastAsia" w:ascii="宋体" w:hAnsi="宋体" w:eastAsia="宋体" w:cs="宋体"/>
                <w:kern w:val="0"/>
                <w:sz w:val="21"/>
                <w:szCs w:val="21"/>
              </w:rPr>
              <w:t>第(   ～   )页</w:t>
            </w:r>
            <w:bookmarkEnd w:id="68"/>
            <w:bookmarkEnd w:id="69"/>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2</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1"/>
                <w:szCs w:val="21"/>
              </w:rPr>
            </w:pPr>
            <w:r>
              <w:rPr>
                <w:rFonts w:hint="eastAsia" w:ascii="宋体" w:hAnsi="宋体" w:cs="宋体"/>
                <w:kern w:val="0"/>
                <w:sz w:val="21"/>
                <w:szCs w:val="21"/>
              </w:rPr>
              <w:t>3</w:t>
            </w:r>
          </w:p>
        </w:tc>
        <w:tc>
          <w:tcPr>
            <w:tcW w:w="69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1"/>
                <w:szCs w:val="21"/>
              </w:rPr>
            </w:pPr>
            <w:r>
              <w:rPr>
                <w:rFonts w:hint="eastAsia" w:ascii="宋体" w:hAnsi="宋体" w:cs="宋体"/>
                <w:kern w:val="0"/>
                <w:sz w:val="21"/>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33"/>
    <w:bookmarkEnd w:id="34"/>
    <w:bookmarkEnd w:id="35"/>
    <w:bookmarkEnd w:id="36"/>
    <w:bookmarkEnd w:id="37"/>
    <w:bookmarkEnd w:id="62"/>
    <w:bookmarkEnd w:id="63"/>
    <w:p>
      <w:pPr>
        <w:jc w:val="center"/>
        <w:rPr>
          <w:rFonts w:hint="eastAsia" w:ascii="黑体" w:hAnsi="黑体" w:eastAsia="黑体"/>
          <w:sz w:val="32"/>
          <w:szCs w:val="32"/>
        </w:rPr>
      </w:pPr>
      <w:bookmarkStart w:id="70" w:name="_Toc6169"/>
      <w:bookmarkStart w:id="71" w:name="_Toc17997"/>
      <w:bookmarkStart w:id="72" w:name="_Toc2728"/>
      <w:bookmarkStart w:id="73" w:name="_Toc18394"/>
      <w:bookmarkStart w:id="74" w:name="_Toc2130"/>
      <w:bookmarkStart w:id="75" w:name="_Toc7117"/>
      <w:bookmarkStart w:id="76" w:name="_Toc2890"/>
      <w:bookmarkStart w:id="77" w:name="_Toc11551"/>
      <w:bookmarkStart w:id="78" w:name="_Toc40776120"/>
      <w:bookmarkStart w:id="79" w:name="_Toc21582"/>
      <w:bookmarkStart w:id="80" w:name="_Toc23070"/>
      <w:bookmarkStart w:id="81" w:name="_Toc32603"/>
      <w:bookmarkStart w:id="82" w:name="_Toc2653"/>
      <w:bookmarkStart w:id="83" w:name="_Toc27269"/>
      <w:bookmarkStart w:id="84" w:name="_Toc6149"/>
      <w:bookmarkStart w:id="85" w:name="_Toc14500"/>
      <w:bookmarkStart w:id="86" w:name="_Toc24209"/>
      <w:bookmarkStart w:id="87" w:name="_Toc24236"/>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8"/>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p>
    <w:p>
      <w:pPr>
        <w:spacing w:line="360" w:lineRule="auto"/>
        <w:jc w:val="center"/>
        <w:rPr>
          <w:rFonts w:hint="eastAsia" w:ascii="宋体" w:hAnsi="宋体" w:eastAsia="宋体" w:cs="宋体"/>
          <w:b/>
          <w:bCs/>
          <w:sz w:val="28"/>
          <w:szCs w:val="32"/>
        </w:rPr>
      </w:pPr>
      <w:r>
        <w:rPr>
          <w:rFonts w:hint="eastAsia" w:ascii="宋体" w:hAnsi="宋体" w:eastAsia="宋体" w:cs="宋体"/>
          <w:b/>
          <w:bCs/>
          <w:sz w:val="28"/>
          <w:szCs w:val="32"/>
        </w:rPr>
        <w:t>用户需求偏离表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一、技术</w:t>
      </w:r>
      <w:r>
        <w:rPr>
          <w:rFonts w:hint="eastAsia" w:ascii="宋体" w:hAnsi="宋体"/>
          <w:b/>
          <w:sz w:val="21"/>
          <w:szCs w:val="21"/>
        </w:rPr>
        <w:t>参数</w:t>
      </w:r>
      <w:r>
        <w:rPr>
          <w:rFonts w:hint="eastAsia" w:ascii="宋体" w:hAnsi="宋体"/>
          <w:b/>
          <w:sz w:val="21"/>
          <w:szCs w:val="21"/>
          <w:lang w:eastAsia="zh-CN"/>
        </w:rPr>
        <w:t>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宋体" w:hAnsi="宋体"/>
          <w:b/>
          <w:sz w:val="21"/>
          <w:szCs w:val="21"/>
          <w:lang w:eastAsia="zh-CN"/>
        </w:rPr>
        <w:t>二、商务参数要求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r>
        <w:rPr>
          <w:rFonts w:hint="eastAsia" w:ascii="宋体" w:hAnsi="宋体"/>
          <w:b/>
          <w:sz w:val="21"/>
          <w:szCs w:val="21"/>
          <w:lang w:eastAsia="zh-CN"/>
        </w:rPr>
        <w:t>三</w:t>
      </w:r>
      <w:r>
        <w:rPr>
          <w:rFonts w:hint="eastAsia" w:ascii="宋体" w:hAnsi="宋体"/>
          <w:b/>
          <w:sz w:val="21"/>
          <w:szCs w:val="21"/>
        </w:rPr>
        <w:t>、合同条款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4"/>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Pr>
        <w:pStyle w:val="27"/>
        <w:tabs>
          <w:tab w:val="left" w:pos="1050"/>
          <w:tab w:val="center" w:pos="4535"/>
        </w:tabs>
        <w:spacing w:line="360" w:lineRule="auto"/>
        <w:jc w:val="center"/>
        <w:outlineLvl w:val="9"/>
        <w:rPr>
          <w:rFonts w:hint="eastAsia"/>
          <w:b/>
          <w:bCs/>
          <w:color w:val="auto"/>
          <w:sz w:val="32"/>
          <w:szCs w:val="32"/>
          <w:highlight w:val="none"/>
        </w:rPr>
      </w:pPr>
      <w:bookmarkStart w:id="88" w:name="_Toc31077"/>
      <w:bookmarkStart w:id="89" w:name="_Toc21213"/>
      <w:bookmarkStart w:id="90" w:name="_Toc6214"/>
      <w:bookmarkStart w:id="91" w:name="_Toc28851"/>
      <w:bookmarkStart w:id="92" w:name="_Toc3593"/>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pStyle w:val="27"/>
        <w:tabs>
          <w:tab w:val="left" w:pos="1050"/>
          <w:tab w:val="center" w:pos="4535"/>
        </w:tabs>
        <w:spacing w:line="360" w:lineRule="auto"/>
        <w:jc w:val="center"/>
        <w:outlineLvl w:val="9"/>
        <w:rPr>
          <w:rFonts w:hint="eastAsia"/>
          <w:b/>
          <w:bCs/>
          <w:color w:val="auto"/>
          <w:sz w:val="32"/>
          <w:szCs w:val="32"/>
          <w:highlight w:val="none"/>
        </w:rPr>
      </w:pPr>
    </w:p>
    <w:p>
      <w:pPr>
        <w:tabs>
          <w:tab w:val="left" w:pos="3656"/>
        </w:tabs>
        <w:jc w:val="center"/>
        <w:rPr>
          <w:rFonts w:hint="eastAsia"/>
          <w:b/>
          <w:sz w:val="24"/>
          <w:szCs w:val="24"/>
        </w:rPr>
      </w:pPr>
    </w:p>
    <w:p>
      <w:pPr>
        <w:tabs>
          <w:tab w:val="left" w:pos="3656"/>
        </w:tabs>
        <w:jc w:val="center"/>
        <w:rPr>
          <w:rFonts w:hint="eastAsia"/>
          <w:b/>
          <w:sz w:val="24"/>
          <w:szCs w:val="24"/>
        </w:rPr>
      </w:pPr>
    </w:p>
    <w:p>
      <w:pPr>
        <w:tabs>
          <w:tab w:val="left" w:pos="3656"/>
        </w:tabs>
        <w:jc w:val="center"/>
        <w:rPr>
          <w:rFonts w:hint="eastAsia"/>
          <w:b/>
          <w:sz w:val="24"/>
          <w:szCs w:val="24"/>
        </w:rPr>
      </w:pPr>
    </w:p>
    <w:p>
      <w:pPr>
        <w:tabs>
          <w:tab w:val="left" w:pos="3656"/>
        </w:tabs>
        <w:jc w:val="center"/>
        <w:rPr>
          <w:rFonts w:hint="eastAsia"/>
          <w:b/>
          <w:sz w:val="24"/>
          <w:szCs w:val="24"/>
        </w:rPr>
      </w:pPr>
      <w:r>
        <w:rPr>
          <w:rFonts w:hint="eastAsia"/>
          <w:b/>
          <w:sz w:val="24"/>
          <w:szCs w:val="24"/>
        </w:rPr>
        <w:t>南方医科大学第五附属医院院内采购医疗设备</w:t>
      </w:r>
      <w:r>
        <w:rPr>
          <w:rFonts w:hint="eastAsia"/>
          <w:b/>
          <w:sz w:val="24"/>
          <w:szCs w:val="24"/>
          <w:lang w:eastAsia="zh-CN"/>
        </w:rPr>
        <w:t>（手术床）</w:t>
      </w:r>
      <w:r>
        <w:rPr>
          <w:rFonts w:hint="eastAsia"/>
          <w:b/>
          <w:sz w:val="24"/>
          <w:szCs w:val="24"/>
        </w:rPr>
        <w:t>项目评分</w:t>
      </w:r>
      <w:r>
        <w:rPr>
          <w:rFonts w:hint="eastAsia"/>
          <w:b/>
          <w:sz w:val="24"/>
          <w:szCs w:val="24"/>
          <w:lang w:eastAsia="zh-CN"/>
        </w:rPr>
        <w:t>自查</w:t>
      </w:r>
      <w:r>
        <w:rPr>
          <w:rFonts w:hint="eastAsia"/>
          <w:b/>
          <w:sz w:val="24"/>
          <w:szCs w:val="24"/>
        </w:rPr>
        <w:t>表</w:t>
      </w:r>
    </w:p>
    <w:p>
      <w:pPr>
        <w:tabs>
          <w:tab w:val="left" w:pos="3656"/>
        </w:tabs>
        <w:jc w:val="right"/>
        <w:rPr>
          <w:rFonts w:hint="eastAsia"/>
          <w:b/>
          <w:sz w:val="21"/>
          <w:szCs w:val="21"/>
        </w:rPr>
      </w:pPr>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539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72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756"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自评得分</w:t>
            </w:r>
          </w:p>
        </w:tc>
        <w:tc>
          <w:tcPr>
            <w:tcW w:w="1011" w:type="dxa"/>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页码</w:t>
            </w:r>
            <w:r>
              <w:rPr>
                <w:rFonts w:hint="eastAsia" w:ascii="宋体" w:hAnsi="宋体" w:cs="宋体"/>
                <w:b/>
                <w:bCs/>
                <w:kern w:val="0"/>
                <w:szCs w:val="21"/>
                <w:lang w:eastAsia="zh-CN"/>
              </w:rPr>
              <w:br w:type="textWrapping"/>
            </w:r>
            <w:r>
              <w:rPr>
                <w:rFonts w:hint="eastAsia" w:ascii="宋体" w:hAnsi="宋体" w:cs="宋体"/>
                <w:b/>
                <w:bCs/>
                <w:kern w:val="0"/>
                <w:szCs w:val="21"/>
                <w:lang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39.5</w:t>
            </w:r>
            <w:r>
              <w:rPr>
                <w:rFonts w:hint="eastAsia" w:asciiTheme="minorEastAsia" w:hAnsiTheme="minorEastAsia" w:eastAsiaTheme="minorEastAsia"/>
                <w:b/>
                <w:bCs/>
                <w:szCs w:val="21"/>
              </w:rPr>
              <w:t>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w:t>
            </w:r>
            <w:r>
              <w:rPr>
                <w:rFonts w:hint="eastAsia" w:asciiTheme="minorEastAsia" w:hAnsiTheme="minorEastAsia" w:eastAsiaTheme="minorEastAsia"/>
                <w:b/>
                <w:szCs w:val="21"/>
                <w:lang w:val="en-US" w:eastAsia="zh-CN"/>
              </w:rPr>
              <w:t>39.5</w:t>
            </w:r>
            <w:r>
              <w:rPr>
                <w:rFonts w:hint="eastAsia" w:asciiTheme="minorEastAsia" w:hAnsiTheme="minorEastAsia" w:eastAsiaTheme="minorEastAsia"/>
                <w:b/>
                <w:szCs w:val="21"/>
              </w:rPr>
              <w:t>分。</w:t>
            </w:r>
          </w:p>
          <w:p>
            <w:pPr>
              <w:pStyle w:val="26"/>
              <w:numPr>
                <w:ilvl w:val="0"/>
                <w:numId w:val="0"/>
              </w:numPr>
              <w:ind w:leftChars="0"/>
              <w:rPr>
                <w:rFonts w:asciiTheme="minorEastAsia" w:hAnsiTheme="minorEastAsia" w:eastAsiaTheme="minorEastAsia"/>
                <w:b/>
                <w:szCs w:val="21"/>
              </w:rPr>
            </w:pP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对用户需求中技术要求响应情况：</w:t>
            </w:r>
          </w:p>
          <w:p>
            <w:pPr>
              <w:pStyle w:val="26"/>
              <w:numPr>
                <w:ilvl w:val="0"/>
                <w:numId w:val="0"/>
              </w:numPr>
              <w:ind w:leftChars="0"/>
              <w:rPr>
                <w:rFonts w:asciiTheme="minorEastAsia" w:hAnsiTheme="minorEastAsia" w:eastAsiaTheme="minorEastAsia"/>
                <w:szCs w:val="21"/>
              </w:rPr>
            </w:pPr>
            <w:r>
              <w:rPr>
                <w:rFonts w:hint="eastAsia" w:asciiTheme="minorEastAsia" w:hAnsiTheme="minorEastAsia" w:eastAsiaTheme="minorEastAsia"/>
                <w:szCs w:val="21"/>
                <w:lang w:eastAsia="zh-CN"/>
              </w:rPr>
              <w:t>①</w:t>
            </w:r>
            <w:r>
              <w:rPr>
                <w:rFonts w:hint="eastAsia" w:asciiTheme="minorEastAsia" w:hAnsiTheme="minorEastAsia" w:eastAsiaTheme="minorEastAsia"/>
                <w:szCs w:val="21"/>
              </w:rPr>
              <w:t>不满足带▲号的重要技术参数的，一项扣</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r>
              <w:rPr>
                <w:rFonts w:hint="eastAsia" w:ascii="仿宋" w:hAnsi="仿宋" w:eastAsia="仿宋"/>
                <w:szCs w:val="21"/>
              </w:rPr>
              <w:t>②</w:t>
            </w:r>
            <w:r>
              <w:rPr>
                <w:rFonts w:hint="eastAsia" w:asciiTheme="minorEastAsia" w:hAnsiTheme="minorEastAsia" w:eastAsiaTheme="minorEastAsia"/>
                <w:szCs w:val="21"/>
              </w:rPr>
              <w:t>不满足不带▲号的一般技术参数的，一项扣1分。</w:t>
            </w:r>
          </w:p>
          <w:p>
            <w:pPr>
              <w:rPr>
                <w:rFonts w:asciiTheme="minorEastAsia" w:hAnsiTheme="minorEastAsia" w:eastAsiaTheme="minorEastAsia"/>
                <w:b/>
                <w:szCs w:val="21"/>
              </w:rPr>
            </w:pPr>
            <w:r>
              <w:rPr>
                <w:rFonts w:hint="eastAsia" w:asciiTheme="minorEastAsia" w:hAnsiTheme="minorEastAsia" w:eastAsiaTheme="minorEastAsia"/>
                <w:b/>
                <w:szCs w:val="21"/>
              </w:rPr>
              <w:t>备注：如采购需求中有明确要求提供证明材料的，则以采购需求要求的为准；如采购需求中无明确要求证明材料的，则投标人须提供投标产品的产品彩页或产品使用说明书（如为英文版，请同时提供中文版加盖供应商公章）或第三方检测机构出具的检测报告复印件或盖有厂家公章的技术参数（中文版）确认函作为技术证明文件。凡不符合上述要求的，将视为无效技术支持资料。</w:t>
            </w:r>
          </w:p>
          <w:p>
            <w:pPr>
              <w:rPr>
                <w:rFonts w:asciiTheme="minorEastAsia" w:hAnsiTheme="minorEastAsia" w:eastAsiaTheme="minorEastAsia"/>
                <w:szCs w:val="21"/>
              </w:rPr>
            </w:pPr>
            <w:r>
              <w:rPr>
                <w:rFonts w:hint="eastAsia" w:asciiTheme="minorEastAsia" w:hAnsiTheme="minorEastAsia" w:eastAsiaTheme="minorEastAsia"/>
                <w:b/>
                <w:szCs w:val="21"/>
              </w:rPr>
              <w:t>（2）对用户需求中商务要求响应情况：</w:t>
            </w:r>
            <w:r>
              <w:rPr>
                <w:rFonts w:asciiTheme="minorEastAsia" w:hAnsiTheme="minorEastAsia" w:eastAsiaTheme="minorEastAsia"/>
                <w:szCs w:val="21"/>
              </w:rPr>
              <w:t xml:space="preserve"> </w:t>
            </w:r>
            <w:r>
              <w:rPr>
                <w:rFonts w:hint="eastAsia" w:asciiTheme="minorEastAsia" w:hAnsiTheme="minorEastAsia" w:eastAsiaTheme="minorEastAsia"/>
                <w:szCs w:val="21"/>
              </w:rPr>
              <w:t>一项不满足的，扣</w:t>
            </w:r>
            <w:r>
              <w:rPr>
                <w:rFonts w:hint="eastAsia" w:asciiTheme="minorEastAsia" w:hAnsiTheme="minorEastAsia" w:eastAsiaTheme="minorEastAsia"/>
                <w:szCs w:val="21"/>
                <w:lang w:val="en-US" w:eastAsia="zh-CN"/>
              </w:rPr>
              <w:t>0.5</w:t>
            </w:r>
            <w:r>
              <w:rPr>
                <w:rFonts w:hint="eastAsia" w:asciiTheme="minorEastAsia" w:hAnsiTheme="minorEastAsia" w:eastAsiaTheme="minorEastAsia"/>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备注：以供应商响应文件中的《用户需求偏离表》中填写内容为准，未填写的或不响应的视为负偏离，不得分。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39.5</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2020年1月1日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lang w:val="en-US" w:eastAsia="zh-CN"/>
              </w:rPr>
              <w:t>6</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720" w:type="dxa"/>
            <w:shd w:val="clear" w:color="auto" w:fill="auto"/>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15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w:t>
            </w:r>
            <w:r>
              <w:rPr>
                <w:rFonts w:hint="eastAsia" w:asciiTheme="minorEastAsia" w:hAnsiTheme="minorEastAsia" w:eastAsiaTheme="minorEastAsia"/>
                <w:b/>
                <w:bCs/>
                <w:szCs w:val="21"/>
                <w:lang w:val="en-US" w:eastAsia="zh-CN"/>
              </w:rPr>
              <w:t>9.5</w:t>
            </w:r>
            <w:r>
              <w:rPr>
                <w:rFonts w:hint="eastAsia" w:asciiTheme="minorEastAsia" w:hAnsiTheme="minorEastAsia" w:eastAsiaTheme="minorEastAsia"/>
                <w:b/>
                <w:bCs/>
                <w:szCs w:val="21"/>
              </w:rPr>
              <w:t>分）</w:t>
            </w:r>
          </w:p>
        </w:tc>
        <w:tc>
          <w:tcPr>
            <w:tcW w:w="5391"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（1）设备包装及安装运输方案合理、详细，优于采购需求，得</w:t>
            </w:r>
            <w:r>
              <w:rPr>
                <w:rFonts w:hint="eastAsia" w:asciiTheme="minorEastAsia" w:hAnsiTheme="minorEastAsia" w:eastAsiaTheme="minorEastAsia"/>
                <w:szCs w:val="21"/>
                <w:lang w:val="en-US" w:eastAsia="zh-CN"/>
              </w:rPr>
              <w:t>9.5</w:t>
            </w:r>
            <w:r>
              <w:rPr>
                <w:rFonts w:hint="eastAsia" w:asciiTheme="minorEastAsia" w:hAnsiTheme="minorEastAsia" w:eastAsiaTheme="minorEastAsia"/>
                <w:szCs w:val="21"/>
              </w:rPr>
              <w:t xml:space="preserve">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（2）设备包装及安装运输方案合理、详细，能满足要求，得6分；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9.5</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15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（10分）</w:t>
            </w:r>
          </w:p>
        </w:tc>
        <w:tc>
          <w:tcPr>
            <w:tcW w:w="5391"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（1）售后服务方案合理、详细，响应速度快，应急处理快，优于采购需求，得10分；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（2）售后服务方案较合理，响应速度较快，应急处理较快，满足采购需求，得6分；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720"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eastAsia="zh-CN"/>
              </w:rPr>
              <w:t>分</w:t>
            </w:r>
          </w:p>
        </w:tc>
        <w:tc>
          <w:tcPr>
            <w:tcW w:w="756" w:type="dxa"/>
            <w:shd w:val="clear" w:color="auto" w:fill="auto"/>
            <w:vAlign w:val="center"/>
          </w:tcPr>
          <w:p>
            <w:pPr>
              <w:jc w:val="center"/>
              <w:rPr>
                <w:rFonts w:hint="eastAsia" w:asciiTheme="minorEastAsia" w:hAnsiTheme="minorEastAsia" w:eastAsiaTheme="minorEastAsia"/>
                <w:szCs w:val="21"/>
              </w:rPr>
            </w:pPr>
          </w:p>
        </w:tc>
        <w:tc>
          <w:tcPr>
            <w:tcW w:w="1011"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15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（35分）</w:t>
            </w:r>
          </w:p>
        </w:tc>
        <w:tc>
          <w:tcPr>
            <w:tcW w:w="5391" w:type="dxa"/>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720" w:type="dxa"/>
            <w:shd w:val="clear" w:color="auto" w:fill="auto"/>
            <w:vAlign w:val="center"/>
          </w:tcPr>
          <w:p>
            <w:pPr>
              <w:widowControl/>
              <w:jc w:val="center"/>
              <w:rPr>
                <w:rFonts w:hint="eastAsia" w:ascii="宋体" w:hAnsi="宋体" w:eastAsia="宋体" w:cs="宋体"/>
                <w:strike/>
                <w:kern w:val="0"/>
                <w:szCs w:val="21"/>
                <w:lang w:eastAsia="zh-CN"/>
              </w:rPr>
            </w:pPr>
            <w:r>
              <w:rPr>
                <w:rFonts w:hint="eastAsia" w:ascii="宋体" w:hAnsi="宋体" w:cs="宋体"/>
                <w:kern w:val="0"/>
                <w:szCs w:val="21"/>
              </w:rPr>
              <w:t>35</w:t>
            </w:r>
            <w:r>
              <w:rPr>
                <w:rFonts w:hint="eastAsia" w:ascii="宋体" w:hAnsi="宋体" w:cs="宋体"/>
                <w:kern w:val="0"/>
                <w:szCs w:val="21"/>
                <w:lang w:eastAsia="zh-CN"/>
              </w:rPr>
              <w:t>分</w:t>
            </w:r>
          </w:p>
        </w:tc>
        <w:tc>
          <w:tcPr>
            <w:tcW w:w="756" w:type="dxa"/>
            <w:shd w:val="clear" w:color="auto" w:fill="auto"/>
            <w:vAlign w:val="center"/>
          </w:tcPr>
          <w:p>
            <w:pPr>
              <w:widowControl/>
              <w:jc w:val="center"/>
              <w:rPr>
                <w:rFonts w:hint="eastAsia" w:ascii="宋体" w:hAnsi="宋体" w:cs="宋体"/>
                <w:kern w:val="0"/>
                <w:szCs w:val="21"/>
              </w:rPr>
            </w:pPr>
          </w:p>
        </w:tc>
        <w:tc>
          <w:tcPr>
            <w:tcW w:w="1011" w:type="dxa"/>
            <w:shd w:val="clear" w:color="auto" w:fill="auto"/>
            <w:vAlign w:val="center"/>
          </w:tcPr>
          <w:p>
            <w:pPr>
              <w:widowControl/>
              <w:jc w:val="center"/>
              <w:rPr>
                <w:rFonts w:hint="eastAsia" w:ascii="宋体" w:hAnsi="宋体" w:cs="宋体"/>
                <w:kern w:val="0"/>
                <w:szCs w:val="21"/>
              </w:rPr>
            </w:pPr>
            <w:r>
              <w:rPr>
                <w:rFonts w:hint="eastAsia" w:asciiTheme="minorEastAsia" w:hAnsiTheme="minorEastAsia" w:eastAsiaTheme="minorEastAsia"/>
                <w:szCs w:val="21"/>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计</w:t>
            </w:r>
          </w:p>
        </w:tc>
        <w:tc>
          <w:tcPr>
            <w:tcW w:w="720" w:type="dxa"/>
            <w:shd w:val="clear" w:color="auto" w:fill="auto"/>
            <w:noWrap/>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100</w:t>
            </w:r>
            <w:r>
              <w:rPr>
                <w:rFonts w:hint="eastAsia" w:ascii="宋体" w:hAnsi="宋体" w:cs="宋体"/>
                <w:color w:val="000000"/>
                <w:kern w:val="0"/>
                <w:szCs w:val="21"/>
                <w:lang w:eastAsia="zh-CN"/>
              </w:rPr>
              <w:t>分</w:t>
            </w:r>
          </w:p>
        </w:tc>
        <w:tc>
          <w:tcPr>
            <w:tcW w:w="756" w:type="dxa"/>
            <w:shd w:val="clear" w:color="auto" w:fill="auto"/>
            <w:noWrap/>
            <w:vAlign w:val="center"/>
          </w:tcPr>
          <w:p>
            <w:pPr>
              <w:widowControl/>
              <w:jc w:val="center"/>
              <w:rPr>
                <w:rFonts w:hint="eastAsia" w:ascii="宋体" w:hAnsi="宋体" w:cs="宋体"/>
                <w:color w:val="000000"/>
                <w:kern w:val="0"/>
                <w:szCs w:val="21"/>
              </w:rPr>
            </w:pPr>
          </w:p>
        </w:tc>
        <w:tc>
          <w:tcPr>
            <w:tcW w:w="1011" w:type="dxa"/>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bl>
    <w:p>
      <w:pPr>
        <w:pStyle w:val="27"/>
        <w:tabs>
          <w:tab w:val="left" w:pos="1050"/>
          <w:tab w:val="center" w:pos="4535"/>
        </w:tabs>
        <w:spacing w:line="360" w:lineRule="auto"/>
        <w:jc w:val="center"/>
        <w:outlineLvl w:val="0"/>
        <w:rPr>
          <w:b/>
          <w:bCs/>
          <w:color w:val="auto"/>
          <w:sz w:val="32"/>
          <w:szCs w:val="32"/>
          <w:highlight w:val="none"/>
        </w:rPr>
      </w:pPr>
      <w:bookmarkStart w:id="93" w:name="_Toc365"/>
      <w:bookmarkStart w:id="94" w:name="_Toc12491"/>
      <w:r>
        <w:rPr>
          <w:rFonts w:hint="eastAsia"/>
          <w:b/>
          <w:bCs/>
          <w:color w:val="auto"/>
          <w:sz w:val="32"/>
          <w:szCs w:val="32"/>
          <w:highlight w:val="none"/>
        </w:rPr>
        <w:t>法定代表人资格证明书</w:t>
      </w:r>
      <w:bookmarkEnd w:id="88"/>
      <w:bookmarkEnd w:id="89"/>
      <w:bookmarkEnd w:id="90"/>
      <w:bookmarkEnd w:id="91"/>
      <w:bookmarkEnd w:id="92"/>
      <w:bookmarkEnd w:id="93"/>
      <w:bookmarkEnd w:id="94"/>
    </w:p>
    <w:p>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pPr>
        <w:pStyle w:val="27"/>
        <w:spacing w:line="360" w:lineRule="auto"/>
        <w:ind w:firstLine="560"/>
        <w:rPr>
          <w:color w:val="auto"/>
          <w:highlight w:val="none"/>
        </w:rPr>
      </w:pPr>
    </w:p>
    <w:p>
      <w:pPr>
        <w:pStyle w:val="27"/>
        <w:spacing w:line="360" w:lineRule="auto"/>
        <w:ind w:firstLine="560"/>
        <w:rPr>
          <w:color w:val="auto"/>
          <w:highlight w:val="none"/>
          <w:u w:val="single"/>
        </w:rPr>
      </w:pPr>
      <w:r>
        <w:rPr>
          <w:rFonts w:hint="eastAsia"/>
          <w:color w:val="auto"/>
          <w:highlight w:val="none"/>
          <w:lang w:eastAsia="zh-CN"/>
        </w:rPr>
        <w:t>公司</w:t>
      </w:r>
      <w:r>
        <w:rPr>
          <w:rFonts w:hint="eastAsia"/>
          <w:color w:val="auto"/>
          <w:highlight w:val="none"/>
        </w:rPr>
        <w:t>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9"/>
        <w:rPr>
          <w:b/>
          <w:bCs/>
          <w:color w:val="auto"/>
          <w:sz w:val="32"/>
          <w:szCs w:val="32"/>
          <w:highlight w:val="none"/>
        </w:rPr>
      </w:pPr>
      <w:bookmarkStart w:id="95" w:name="_Toc23685"/>
      <w:bookmarkStart w:id="96" w:name="_Toc15050"/>
      <w:bookmarkStart w:id="97" w:name="_Toc14853"/>
      <w:bookmarkStart w:id="98" w:name="_Toc3241"/>
      <w:bookmarkStart w:id="99" w:name="_Toc22175"/>
      <w:bookmarkStart w:id="100" w:name="_Toc28957"/>
      <w:bookmarkStart w:id="101" w:name="_Toc7276"/>
      <w:bookmarkStart w:id="102" w:name="_Toc18443"/>
      <w:bookmarkStart w:id="103" w:name="_Toc3758"/>
      <w:bookmarkStart w:id="104" w:name="_Toc14591"/>
      <w:bookmarkStart w:id="105" w:name="_Toc14020"/>
    </w:p>
    <w:p>
      <w:pPr>
        <w:pStyle w:val="27"/>
        <w:spacing w:line="360" w:lineRule="auto"/>
        <w:jc w:val="center"/>
        <w:outlineLvl w:val="9"/>
        <w:rPr>
          <w:b/>
          <w:bCs/>
          <w:color w:val="auto"/>
          <w:sz w:val="32"/>
          <w:szCs w:val="32"/>
          <w:highlight w:val="none"/>
        </w:rPr>
      </w:pPr>
    </w:p>
    <w:p>
      <w:pPr>
        <w:pStyle w:val="27"/>
        <w:spacing w:line="360" w:lineRule="auto"/>
        <w:jc w:val="center"/>
        <w:outlineLvl w:val="9"/>
        <w:rPr>
          <w:b/>
          <w:bCs/>
          <w:color w:val="auto"/>
          <w:sz w:val="32"/>
          <w:szCs w:val="32"/>
          <w:highlight w:val="none"/>
        </w:rPr>
      </w:pPr>
    </w:p>
    <w:p>
      <w:pPr>
        <w:pStyle w:val="27"/>
        <w:spacing w:line="360" w:lineRule="auto"/>
        <w:jc w:val="center"/>
        <w:outlineLvl w:val="9"/>
        <w:rPr>
          <w:b/>
          <w:bCs/>
          <w:color w:val="auto"/>
          <w:sz w:val="32"/>
          <w:szCs w:val="32"/>
          <w:highlight w:val="none"/>
        </w:rPr>
      </w:pPr>
    </w:p>
    <w:p>
      <w:pPr>
        <w:pStyle w:val="27"/>
        <w:spacing w:line="360" w:lineRule="auto"/>
        <w:jc w:val="center"/>
        <w:outlineLvl w:val="0"/>
        <w:rPr>
          <w:b/>
          <w:bCs/>
          <w:color w:val="auto"/>
          <w:sz w:val="32"/>
          <w:szCs w:val="32"/>
          <w:highlight w:val="none"/>
        </w:rPr>
      </w:pPr>
      <w:bookmarkStart w:id="106" w:name="_Toc15848"/>
      <w:bookmarkStart w:id="107" w:name="_Toc26085"/>
      <w:bookmarkStart w:id="108" w:name="_Toc19701"/>
      <w:r>
        <w:rPr>
          <w:rFonts w:hint="eastAsia"/>
          <w:b/>
          <w:bCs/>
          <w:color w:val="auto"/>
          <w:sz w:val="32"/>
          <w:szCs w:val="32"/>
          <w:highlight w:val="none"/>
        </w:rPr>
        <w:t>法定代表人授权委托书</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w:t>
      </w:r>
      <w:r>
        <w:rPr>
          <w:rFonts w:hint="eastAsia"/>
          <w:color w:val="auto"/>
          <w:highlight w:val="none"/>
          <w:lang w:eastAsia="zh-CN"/>
        </w:rPr>
        <w:t>一切与之相关的</w:t>
      </w:r>
      <w:r>
        <w:rPr>
          <w:rFonts w:hint="eastAsia"/>
          <w:color w:val="auto"/>
          <w:highlight w:val="none"/>
        </w:rPr>
        <w:t>事宜。</w:t>
      </w:r>
    </w:p>
    <w:p>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pPr>
        <w:pStyle w:val="27"/>
        <w:spacing w:line="360" w:lineRule="auto"/>
        <w:ind w:firstLine="560"/>
        <w:rPr>
          <w:color w:val="auto"/>
          <w:highlight w:val="none"/>
        </w:rPr>
      </w:pPr>
      <w:r>
        <w:rPr>
          <w:rFonts w:hint="eastAsia"/>
          <w:color w:val="auto"/>
          <w:highlight w:val="none"/>
        </w:rPr>
        <w:t>本授权书在签字盖章后生效，特此声明。</w:t>
      </w:r>
    </w:p>
    <w:p>
      <w:pPr>
        <w:pStyle w:val="27"/>
        <w:spacing w:line="360" w:lineRule="auto"/>
        <w:ind w:firstLine="560"/>
        <w:rPr>
          <w:color w:val="auto"/>
          <w:highlight w:val="none"/>
          <w:u w:val="single"/>
        </w:rPr>
      </w:pPr>
      <w:r>
        <w:rPr>
          <w:rFonts w:hint="eastAsia"/>
          <w:color w:val="auto"/>
          <w:highlight w:val="none"/>
          <w:lang w:eastAsia="zh-CN"/>
        </w:rPr>
        <w:t>公司</w:t>
      </w:r>
      <w:r>
        <w:rPr>
          <w:rFonts w:hint="eastAsia"/>
          <w:color w:val="auto"/>
          <w:highlight w:val="none"/>
        </w:rPr>
        <w:t>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7"/>
        <w:spacing w:line="360" w:lineRule="auto"/>
        <w:ind w:firstLine="360" w:firstLineChars="150"/>
      </w:pPr>
    </w:p>
    <w:p>
      <w:pPr>
        <w:pStyle w:val="27"/>
        <w:spacing w:line="360" w:lineRule="auto"/>
        <w:ind w:firstLine="360" w:firstLineChars="150"/>
      </w:pPr>
    </w:p>
    <w:p>
      <w:pPr>
        <w:pStyle w:val="27"/>
        <w:spacing w:line="360" w:lineRule="auto"/>
        <w:ind w:firstLine="360" w:firstLineChars="150"/>
      </w:pPr>
    </w:p>
    <w:p>
      <w:pPr>
        <w:pStyle w:val="27"/>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年1月1日以来同型号产品业绩清单</w:t>
      </w:r>
    </w:p>
    <w:tbl>
      <w:tblPr>
        <w:tblStyle w:val="1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09" w:name="_Hlt10548694"/>
      <w:r>
        <w:rPr>
          <w:rFonts w:hint="eastAsia" w:ascii="宋体" w:hAnsi="宋体"/>
          <w:b/>
          <w:sz w:val="24"/>
        </w:rPr>
        <w:t>注：</w:t>
      </w:r>
      <w:bookmarkEnd w:id="109"/>
      <w:r>
        <w:rPr>
          <w:rFonts w:hint="eastAsia" w:ascii="宋体" w:hAnsi="宋体"/>
          <w:b/>
          <w:sz w:val="24"/>
        </w:rPr>
        <w:t>1.需提供完整合同、中标通知书、发票其中一种作为附件。</w:t>
      </w:r>
    </w:p>
    <w:p>
      <w:pPr>
        <w:spacing w:line="360" w:lineRule="auto"/>
        <w:ind w:left="525" w:leftChars="150" w:hanging="210" w:hangingChars="100"/>
        <w:sectPr>
          <w:footerReference r:id="rId5" w:type="default"/>
          <w:pgSz w:w="11906" w:h="16838"/>
          <w:pgMar w:top="1134" w:right="1417" w:bottom="1134" w:left="1417" w:header="851" w:footer="992" w:gutter="0"/>
          <w:pgNumType w:fmt="decimal" w:start="1"/>
          <w:cols w:space="425" w:num="1"/>
          <w:docGrid w:linePitch="312" w:charSpace="0"/>
        </w:sectPr>
      </w:pPr>
      <w:r>
        <w:rPr>
          <w:rFonts w:hint="eastAsia"/>
        </w:rPr>
        <w:t xml:space="preserve">     </w:t>
      </w:r>
      <w:r>
        <w:rPr>
          <w:rFonts w:hint="eastAsia" w:ascii="宋体" w:hAnsi="宋体"/>
          <w:b/>
          <w:sz w:val="24"/>
        </w:rPr>
        <w:t>2. 须自行提供业绩清单中证明</w:t>
      </w:r>
      <w:r>
        <w:rPr>
          <w:rFonts w:hint="eastAsia" w:ascii="宋体" w:hAnsi="宋体"/>
          <w:b/>
          <w:sz w:val="24"/>
          <w:lang w:eastAsia="zh-CN"/>
        </w:rPr>
        <w:t>材料</w:t>
      </w:r>
      <w:r>
        <w:rPr>
          <w:rFonts w:hint="eastAsia" w:ascii="宋体" w:hAnsi="宋体"/>
          <w:b/>
          <w:sz w:val="24"/>
        </w:rPr>
        <w:t>。</w:t>
      </w: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480" w:firstLineChars="200"/>
        <w:rPr>
          <w:sz w:val="28"/>
          <w:szCs w:val="28"/>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9"/>
        <w:adjustRightInd w:val="0"/>
        <w:snapToGrid w:val="0"/>
        <w:rPr>
          <w:rFonts w:hAnsi="宋体" w:cs="Times New Roman"/>
          <w:b/>
        </w:rPr>
      </w:pPr>
    </w:p>
    <w:p>
      <w:pPr>
        <w:widowControl/>
        <w:spacing w:line="500" w:lineRule="atLeast"/>
        <w:outlineLvl w:val="0"/>
        <w:rPr>
          <w:rFonts w:ascii="宋体" w:hAnsi="宋体"/>
          <w:b/>
          <w:spacing w:val="4"/>
          <w:kern w:val="0"/>
          <w:szCs w:val="21"/>
        </w:rPr>
      </w:pPr>
      <w:bookmarkStart w:id="110" w:name="_Toc19080"/>
      <w:bookmarkStart w:id="111" w:name="_Toc28881"/>
      <w:bookmarkStart w:id="112" w:name="_Toc5541"/>
      <w:r>
        <w:rPr>
          <w:rFonts w:hint="eastAsia" w:ascii="仿宋" w:hAnsi="仿宋" w:eastAsia="仿宋" w:cs="宋体"/>
          <w:b/>
          <w:kern w:val="0"/>
          <w:sz w:val="24"/>
          <w:szCs w:val="32"/>
        </w:rPr>
        <w:t>无专机专用耗材保证函(无专机专用耗材设备)</w:t>
      </w:r>
      <w:bookmarkEnd w:id="110"/>
      <w:bookmarkEnd w:id="111"/>
      <w:bookmarkEnd w:id="112"/>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9"/>
        <w:adjustRightInd w:val="0"/>
        <w:snapToGrid w:val="0"/>
        <w:rPr>
          <w:rFonts w:hAnsi="宋体" w:cs="Times New Roman"/>
          <w:b/>
        </w:rPr>
      </w:pPr>
    </w:p>
    <w:p>
      <w:pPr>
        <w:pStyle w:val="27"/>
        <w:spacing w:line="360" w:lineRule="auto"/>
        <w:jc w:val="center"/>
        <w:outlineLvl w:val="0"/>
        <w:rPr>
          <w:b/>
          <w:bCs/>
          <w:color w:val="auto"/>
          <w:sz w:val="32"/>
          <w:szCs w:val="32"/>
          <w:highlight w:val="none"/>
        </w:rPr>
      </w:pPr>
      <w:bookmarkStart w:id="113" w:name="_Toc29986"/>
      <w:bookmarkStart w:id="114" w:name="_Toc2372"/>
      <w:bookmarkStart w:id="115" w:name="_Toc8464"/>
      <w:bookmarkStart w:id="116" w:name="_Toc4538"/>
      <w:bookmarkStart w:id="117" w:name="_Toc6773"/>
      <w:bookmarkStart w:id="118" w:name="_Toc1097"/>
      <w:bookmarkStart w:id="119" w:name="_Toc5237"/>
      <w:bookmarkStart w:id="120" w:name="_Toc9813"/>
      <w:bookmarkStart w:id="121" w:name="_Toc12567"/>
      <w:bookmarkStart w:id="122" w:name="_Toc22349"/>
      <w:bookmarkStart w:id="123" w:name="_Toc9308"/>
      <w:bookmarkStart w:id="124" w:name="_Toc20949"/>
      <w:bookmarkStart w:id="125" w:name="_Toc12986"/>
      <w:bookmarkStart w:id="126" w:name="_Toc9085"/>
      <w:r>
        <w:rPr>
          <w:rFonts w:hint="eastAsia"/>
          <w:b/>
          <w:bCs/>
          <w:color w:val="auto"/>
          <w:sz w:val="32"/>
          <w:szCs w:val="32"/>
          <w:highlight w:val="none"/>
        </w:rPr>
        <w:t>关于资格和响应文件的声明函</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法定代表人（或法定代表人授权代表）（签字或盖章）：</w:t>
      </w:r>
    </w:p>
    <w:p>
      <w:pPr>
        <w:pStyle w:val="2"/>
        <w:jc w:val="left"/>
        <w:rPr>
          <w:color w:val="auto"/>
          <w:highlight w:val="none"/>
        </w:rPr>
      </w:pPr>
    </w:p>
    <w:p>
      <w:pPr>
        <w:spacing w:line="360" w:lineRule="auto"/>
        <w:jc w:val="left"/>
        <w:rPr>
          <w:rFonts w:hint="eastAsia"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numPr>
          <w:ilvl w:val="0"/>
          <w:numId w:val="0"/>
        </w:numPr>
        <w:jc w:val="center"/>
        <w:outlineLvl w:val="0"/>
        <w:rPr>
          <w:b/>
          <w:bCs/>
          <w:kern w:val="0"/>
          <w:sz w:val="32"/>
          <w:szCs w:val="36"/>
        </w:rPr>
      </w:pPr>
      <w:bookmarkStart w:id="127" w:name="_Toc1419"/>
      <w:bookmarkStart w:id="128" w:name="_Toc11483"/>
      <w:r>
        <w:rPr>
          <w:rFonts w:hint="eastAsia"/>
          <w:b/>
          <w:bCs/>
          <w:kern w:val="0"/>
          <w:sz w:val="32"/>
          <w:szCs w:val="36"/>
          <w:lang w:eastAsia="zh-CN"/>
        </w:rPr>
        <w:t>第六部分</w:t>
      </w:r>
      <w:r>
        <w:rPr>
          <w:rFonts w:hint="eastAsia"/>
          <w:b/>
          <w:bCs/>
          <w:kern w:val="0"/>
          <w:sz w:val="32"/>
          <w:szCs w:val="36"/>
        </w:rPr>
        <w:t xml:space="preserve">  </w:t>
      </w:r>
      <w:bookmarkStart w:id="129" w:name="_Toc91515614"/>
      <w:r>
        <w:rPr>
          <w:rFonts w:hint="eastAsia"/>
          <w:b/>
          <w:bCs/>
          <w:kern w:val="0"/>
          <w:sz w:val="32"/>
          <w:szCs w:val="36"/>
        </w:rPr>
        <w:t>合同模板</w:t>
      </w:r>
      <w:bookmarkEnd w:id="127"/>
      <w:bookmarkEnd w:id="128"/>
      <w:bookmarkEnd w:id="129"/>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30" w:name="EB96da972056de4385935c5eeed9aedf73"/>
    </w:p>
    <w:bookmarkEnd w:id="130"/>
    <w:p>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hint="eastAsia" w:ascii="黑体" w:hAnsi="黑体" w:eastAsia="黑体" w:cs="黑体"/>
          <w:b/>
          <w:bCs/>
          <w:sz w:val="44"/>
          <w:szCs w:val="44"/>
        </w:rPr>
      </w:pPr>
      <w:r>
        <w:rPr>
          <w:rFonts w:hint="eastAsia" w:ascii="黑体" w:hAnsi="黑体" w:eastAsia="黑体" w:cs="黑体"/>
          <w:b/>
          <w:bCs/>
          <w:color w:val="0000FF"/>
          <w:sz w:val="44"/>
          <w:szCs w:val="44"/>
          <w:lang w:val="en-US" w:eastAsia="zh-CN"/>
        </w:rPr>
        <w:t>****项目</w:t>
      </w:r>
      <w:r>
        <w:rPr>
          <w:rFonts w:hint="eastAsia" w:ascii="黑体" w:hAnsi="黑体" w:eastAsia="黑体" w:cs="黑体"/>
          <w:b/>
          <w:bCs/>
          <w:sz w:val="44"/>
          <w:szCs w:val="44"/>
        </w:rPr>
        <w:t>采购合同</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b/>
          <w:bCs/>
          <w:sz w:val="24"/>
          <w:szCs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adjustRightInd w:val="0"/>
        <w:snapToGrid w:val="0"/>
        <w:spacing w:line="360" w:lineRule="auto"/>
        <w:ind w:firstLine="301" w:firstLineChars="100"/>
        <w:rPr>
          <w:rFonts w:ascii="宋体" w:hAnsi="宋体" w:eastAsia="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highlight w:val="none"/>
        </w:rPr>
      </w:pPr>
      <w:r>
        <w:rPr>
          <w:rFonts w:ascii="宋体" w:hAnsi="宋体" w:cs="宋体"/>
          <w:b/>
          <w:sz w:val="30"/>
          <w:szCs w:val="30"/>
          <w:highlight w:val="none"/>
        </w:rPr>
        <w:t>乙方：</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pPr>
        <w:jc w:val="center"/>
        <w:rPr>
          <w:rFonts w:ascii="宋体" w:hAnsi="Times New Roman" w:eastAsia="宋体" w:cs="Times New Roman"/>
          <w:b/>
          <w:sz w:val="28"/>
        </w:rPr>
      </w:pPr>
    </w:p>
    <w:p>
      <w:pPr>
        <w:jc w:val="center"/>
        <w:rPr>
          <w:b/>
          <w:sz w:val="28"/>
        </w:rPr>
      </w:pPr>
    </w:p>
    <w:p>
      <w:pPr>
        <w:jc w:val="center"/>
      </w:pPr>
      <w:r>
        <w:rPr>
          <w:b/>
          <w:sz w:val="28"/>
        </w:rPr>
        <w:t>南方医科大学第五附属医院</w:t>
      </w:r>
    </w:p>
    <w:p>
      <w:pPr>
        <w:jc w:val="center"/>
      </w:pPr>
      <w:r>
        <w:rPr>
          <w:rFonts w:hint="eastAsia"/>
          <w:b/>
          <w:color w:val="0000FF"/>
          <w:sz w:val="28"/>
          <w:lang w:val="en-US" w:eastAsia="zh-CN"/>
        </w:rPr>
        <w:t>***项目</w:t>
      </w:r>
      <w:r>
        <w:rPr>
          <w:b/>
          <w:sz w:val="28"/>
        </w:rPr>
        <w:t>采购合同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sz w:val="21"/>
          <w:szCs w:val="21"/>
        </w:rPr>
        <w:t>南方医科大学第五附属医院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根据南方医科大学第五附属医院</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项目(项目编号：</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）的采购结果，按照《中华人民共和国民法典》合同编相关规定，甲、乙双方在平等互利的基础上，经协商一致确定，甲方向乙方</w:t>
      </w:r>
      <w:r>
        <w:rPr>
          <w:rFonts w:hint="eastAsia" w:asciiTheme="minorEastAsia" w:hAnsiTheme="minorEastAsia" w:eastAsiaTheme="minorEastAsia" w:cstheme="minorEastAsia"/>
          <w:color w:val="0000FF"/>
          <w:sz w:val="21"/>
          <w:szCs w:val="21"/>
        </w:rPr>
        <w:t>订购</w:t>
      </w:r>
      <w:r>
        <w:rPr>
          <w:rFonts w:hint="eastAsia" w:asciiTheme="minorEastAsia" w:hAnsiTheme="minorEastAsia" w:eastAsiaTheme="minorEastAsia" w:cstheme="minorEastAsia"/>
          <w:color w:val="0000FF"/>
          <w:sz w:val="21"/>
          <w:szCs w:val="21"/>
          <w:lang w:val="en-US" w:eastAsia="zh-CN"/>
        </w:rPr>
        <w:t>*****</w:t>
      </w:r>
      <w:r>
        <w:rPr>
          <w:rFonts w:hint="eastAsia" w:asciiTheme="minorEastAsia" w:hAnsiTheme="minorEastAsia" w:eastAsiaTheme="minorEastAsia" w:cstheme="minorEastAsia"/>
          <w:sz w:val="21"/>
          <w:szCs w:val="21"/>
        </w:rPr>
        <w:t>，为明确双方的权利和义务，特签订本合同，共同遵守。具体条款如下：</w:t>
      </w:r>
    </w:p>
    <w:p>
      <w:pPr>
        <w:keepNext w:val="0"/>
        <w:keepLines w:val="0"/>
        <w:pageBreakBefore w:val="0"/>
        <w:widowControl w:val="0"/>
        <w:kinsoku/>
        <w:wordWrap/>
        <w:overflowPunct/>
        <w:topLinePunct w:val="0"/>
        <w:autoSpaceDE/>
        <w:autoSpaceDN/>
        <w:bidi w:val="0"/>
        <w:adjustRightInd/>
        <w:snapToGrid/>
        <w:spacing w:line="400" w:lineRule="exact"/>
        <w:ind w:firstLine="4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 合同采购的设备</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eastAsiaTheme="minorEastAsia" w:cstheme="minorEastAsia"/>
          <w:sz w:val="21"/>
          <w:szCs w:val="21"/>
        </w:rPr>
        <w:t>乙方负责向甲方供应下表中所列设备及负责安装调试。</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918"/>
        <w:gridCol w:w="772"/>
        <w:gridCol w:w="641"/>
        <w:gridCol w:w="699"/>
        <w:gridCol w:w="699"/>
        <w:gridCol w:w="772"/>
        <w:gridCol w:w="1535"/>
        <w:gridCol w:w="16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品名</w:t>
            </w:r>
          </w:p>
        </w:tc>
        <w:tc>
          <w:tcPr>
            <w:tcW w:w="9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注册证名称</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品牌型号</w:t>
            </w:r>
          </w:p>
        </w:tc>
        <w:tc>
          <w:tcPr>
            <w:tcW w:w="641"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产地</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厂家</w:t>
            </w:r>
          </w:p>
        </w:tc>
        <w:tc>
          <w:tcPr>
            <w:tcW w:w="699"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c>
          <w:tcPr>
            <w:tcW w:w="77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53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单价(元)</w:t>
            </w:r>
          </w:p>
        </w:tc>
        <w:tc>
          <w:tcPr>
            <w:tcW w:w="165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918"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41"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699"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772"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535"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highlight w:val="yellow"/>
              </w:rPr>
            </w:pPr>
          </w:p>
        </w:tc>
        <w:tc>
          <w:tcPr>
            <w:tcW w:w="1650" w:type="dxa"/>
            <w:tcBorders>
              <w:top w:val="nil"/>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详见附件1《配置清单》</w:t>
            </w:r>
          </w:p>
        </w:tc>
      </w:tr>
    </w:tbl>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 合同总价</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总价为</w:t>
      </w:r>
      <w:r>
        <w:rPr>
          <w:rFonts w:hint="eastAsia" w:asciiTheme="minorEastAsia" w:hAnsiTheme="minorEastAsia" w:eastAsiaTheme="minorEastAsia" w:cstheme="minorEastAsia"/>
          <w:sz w:val="21"/>
          <w:szCs w:val="21"/>
          <w:highlight w:val="none"/>
        </w:rPr>
        <w:t>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      ），该合</w:t>
      </w:r>
      <w:r>
        <w:rPr>
          <w:rFonts w:hint="eastAsia" w:asciiTheme="minorEastAsia" w:hAnsiTheme="minorEastAsia" w:eastAsiaTheme="minorEastAsia" w:cstheme="minorEastAsia"/>
          <w:sz w:val="21"/>
          <w:szCs w:val="21"/>
        </w:rPr>
        <w:t>同总金额包括但不限于设计、设备制造、包装、仓储、运输、安装及验收合格之前及保修期间包括备品备件发生的所有含税费用。本合同履行期间合同总金额不变。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第三条 合同组成</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1.本合同所有附件、采购文件、响应文件、报价文件、会议纪要等均为合同的有效组成部分，与本合同具有同等法律效力。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2.在协商和执行本合同的过程中，所有经双方签署确认的文件（包括补充协议、往来信函）也可成为本合同的有效组成部分。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3.以上若不同文件之间有冲突的，适用有利于甲方的条款。</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 技术要求</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乙方所提供设备，必须符合国家有关规范和环保要求及甲方的技术要求。</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 合同设备包装、交货、安装及验收</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1.合同设备的包装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2.合同设备的交货</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2.1乙方交货时间：签</w:t>
      </w:r>
      <w:r>
        <w:rPr>
          <w:rFonts w:hint="eastAsia" w:asciiTheme="minorEastAsia" w:hAnsiTheme="minorEastAsia" w:eastAsiaTheme="minorEastAsia" w:cstheme="minorEastAsia"/>
          <w:sz w:val="21"/>
          <w:szCs w:val="21"/>
          <w:highlight w:val="none"/>
        </w:rPr>
        <w:t>订合同后</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天内完</w:t>
      </w:r>
      <w:r>
        <w:rPr>
          <w:rFonts w:hint="eastAsia" w:asciiTheme="minorEastAsia" w:hAnsiTheme="minorEastAsia" w:eastAsiaTheme="minorEastAsia" w:cstheme="minorEastAsia"/>
          <w:sz w:val="21"/>
          <w:szCs w:val="21"/>
        </w:rPr>
        <w:t>成供货。</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2.2乙方交货地点：运输及交货至甲方指定地点。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3.合同设备的安装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3.1乙方负责合同项下所有采购设备的安装，一切费用由乙方负责。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3.2乙方安装时须对各安装场地内的其他设备、设施有良好保护措施。</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设备的验收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4.1合同采购的设备全部安装完成后设备全部安装完成后投入正常使用20个工作日后验收，验收在使用科室、设备器材科和经销商三方共同参加下进行。</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4.3如果合同设备运输和安装过程中因事故造成货物短缺、损坏，乙方应及时安排换装，以保证合同设备安装的按期成功完成，换货的时间包含在验收时间中不予延期，换货的相关费用由乙方承担。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第六条 质量保证及售后服务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1.乙方保证合同设备是全新、未曾使用过的，其质量、规格及技术特征符合合同附件的要求。</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2.保修期：合同设备整机保修期为本项目有关部门验收合格签</w:t>
      </w:r>
      <w:r>
        <w:rPr>
          <w:rFonts w:hint="eastAsia" w:asciiTheme="minorEastAsia" w:hAnsiTheme="minorEastAsia" w:eastAsiaTheme="minorEastAsia" w:cstheme="minorEastAsia"/>
          <w:sz w:val="21"/>
          <w:szCs w:val="21"/>
          <w:highlight w:val="none"/>
        </w:rPr>
        <w:t>字之日起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年，</w:t>
      </w:r>
      <w:r>
        <w:rPr>
          <w:rFonts w:hint="eastAsia" w:asciiTheme="minorEastAsia" w:hAnsiTheme="minorEastAsia" w:eastAsiaTheme="minorEastAsia" w:cstheme="minorEastAsia"/>
          <w:sz w:val="21"/>
          <w:szCs w:val="21"/>
        </w:rPr>
        <w:t>保修期内，每半年一次常规维护保养。免费维修和更换零配件，保修期过后终身维修，仅收取零件费用。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3.保质保用期内非因甲方的人为原因而出现产品质量及安装问题，由乙方负责包修、包换或包退，并承担因此而产生的一切费用。设备发生故障后，乙方故障维修响应</w:t>
      </w:r>
      <w:r>
        <w:rPr>
          <w:rFonts w:hint="eastAsia" w:asciiTheme="minorEastAsia" w:hAnsiTheme="minorEastAsia" w:eastAsiaTheme="minorEastAsia" w:cstheme="minorEastAsia"/>
          <w:sz w:val="21"/>
          <w:szCs w:val="21"/>
          <w:highlight w:val="none"/>
        </w:rPr>
        <w:t>时间为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时内工程师能到达现场，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小时内修复，如不能修复，乙方保证提供同型号设备备用机于甲方使用。</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下列情况乙方不负责免费保修：</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（1）甲方不按照乙方提供的正确使用方法使用而引致设备发生故障损坏；</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（2）甲方擅自改装设备；</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4.因设备的质量问题而发生争议，由广东省质检部门进行质量鉴定。设备符合质量标准的，鉴定费用由甲方承担；设备不符合质量标准的，鉴定费用由乙方承担。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5.乙方履行本合同的指定联系人及授权代表为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；身份证件号码：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联系电话：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第七条 付款办法</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1.本合同的每笔款项以人民币方式支付，支付的时间和金额如下：</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合同设备全部到指定地点交付并完成安装及验收合格后，凭收货证明、正式全额发票、验收合格证明，收取货款，由甲方审核后在3个月内向乙方支付合同总金额的100%，即人民币大写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第八条 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乙方在签订合同前5个工作日内需向甲方支付合同金额5%履约保证金，即人民币大写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）。甲方确认乙方全部义务履行完毕且无违约责任后30个工作日内无息退回。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第九条 技术服务</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1.乙方应派员到甲方指定地点配合工作。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2.乙方按甲方提供的合同执行进度计划，再配合甲方及有关单位，以此做好合同执行进度上的配合工作。</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第十条 不可抗力</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第十一条 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1.甲方如对乙方供应的设备质量或安装质量有异议，甲方有权根据有关政府部门的检验结果向乙方提出索赔。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在合同履行期间，如果乙方对甲方提出的索赔和差异负有责任，乙方应按照甲方同意的下列一种或多种方式解决索赔事宜：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2.1乙方同意退货，并按合同规定的同种货币将货款退还给甲方，并赔偿甲方由此发生的一切损失和费用。</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2.2根据货物低劣程度、损坏程度以及甲方所遭受损失的数额甲乙双方商定降低货物的价格。</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2.3用符合规格、质量和性能要求的新零件、部件或货物来更换有缺陷的部分或修补缺陷的部分，乙方应承担一切费用和风险并负担甲方所发生的一切直接费用。同时，相应延长质量保证期。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第十二条  违约与处罚</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1.甲方应依合同规定时间内，向乙方支付货款，每拖延一天乙方可向甲方加收应付款项3‰的违约金，违约金累计不超过欠付费用的3%。</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3.乙方交付的货物不符合合同约定的，甲方有权拒收，乙方向甲方支付合同金额的5%的违约金。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4.甲方无正当理由拒收货物的，甲方向乙方支付合同金额5%的违约金。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5.乙方未能交付货物，则向甲方支付合同金额7.5%的违约金。造成甲方损失的，还应予以赔偿。</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6.本合同生效后，如任何一方违约，守约方为维护权益，向违约方追偿的一切费用包括但不限于律师费、诉讼费、保全费、鉴定费、差旅费由违约方承担。</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第十三条 合同解除</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如果一方严重违反合同，并在收到对方违约通知书后在30天内仍未能改正违约的另一方可立即解除本合同。</w:t>
      </w:r>
    </w:p>
    <w:p>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第十四条 纠纷的解决方式</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签约双方在履约中发生争执和分歧，双方应通过友好协商解决，若经协商不能达成协议时，则由甲方所在地人民法院管辖。受理期间，双方应继续执行合同其余部分。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第十五条 其他</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1.如一方地址、电话有变更，应在变更当日内书面通知对方，否则，应承担相应责任。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2.本合同未尽事宜，由双方协商处理,另行签订《补充协议》。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第十</w:t>
      </w: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条</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合同生效</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1.本合同在甲乙双方法定代表人或其授权代表签字并加盖公章后生效。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2.本合同一式</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份，甲方执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份，乙方执</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份。各份</w:t>
      </w:r>
      <w:r>
        <w:rPr>
          <w:rFonts w:hint="eastAsia" w:asciiTheme="minorEastAsia" w:hAnsiTheme="minorEastAsia" w:eastAsiaTheme="minorEastAsia" w:cstheme="minorEastAsia"/>
          <w:sz w:val="21"/>
          <w:szCs w:val="21"/>
        </w:rPr>
        <w:t>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(以下无正文)</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附件：配置清单</w:t>
      </w: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签署页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甲方：</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b/>
          <w:sz w:val="21"/>
          <w:szCs w:val="21"/>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日期：  年  月  日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日期：  年  月  日</w:t>
      </w: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widowControl/>
        <w:jc w:val="left"/>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14"/>
        <w:outlineLvl w:val="0"/>
        <w:rPr>
          <w:rFonts w:asciiTheme="minorEastAsia" w:hAnsiTheme="minorEastAsia" w:eastAsiaTheme="minorEastAsia"/>
          <w:b/>
          <w:sz w:val="24"/>
        </w:rPr>
      </w:pPr>
      <w:bookmarkStart w:id="131" w:name="_Toc3458"/>
      <w:bookmarkStart w:id="132" w:name="_Toc27318"/>
      <w:bookmarkStart w:id="133" w:name="_Toc25701"/>
      <w:r>
        <w:rPr>
          <w:rFonts w:hint="eastAsia" w:asciiTheme="minorEastAsia" w:hAnsiTheme="minorEastAsia" w:eastAsiaTheme="minorEastAsia"/>
          <w:b/>
          <w:sz w:val="24"/>
        </w:rPr>
        <w:t>附件1</w:t>
      </w:r>
      <w:bookmarkEnd w:id="131"/>
      <w:bookmarkEnd w:id="132"/>
      <w:bookmarkEnd w:id="133"/>
    </w:p>
    <w:p>
      <w:pPr>
        <w:widowControl/>
        <w:jc w:val="center"/>
        <w:rPr>
          <w:rFonts w:ascii="宋体" w:hAnsi="宋体"/>
          <w:b/>
          <w:bCs/>
          <w:sz w:val="24"/>
        </w:rPr>
      </w:pPr>
      <w:r>
        <w:rPr>
          <w:rFonts w:ascii="宋体" w:hAnsi="宋体"/>
          <w:b/>
          <w:bCs/>
          <w:sz w:val="24"/>
        </w:rPr>
        <w:t>配置清单(单台/单套)</w:t>
      </w:r>
    </w:p>
    <w:tbl>
      <w:tblPr>
        <w:tblStyle w:val="18"/>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
        <w:rPr>
          <w:szCs w:val="20"/>
        </w:rPr>
      </w:pPr>
    </w:p>
    <w:p>
      <w:pPr>
        <w:pStyle w:val="2"/>
        <w:rPr>
          <w:szCs w:val="20"/>
        </w:rPr>
      </w:pPr>
    </w:p>
    <w:p>
      <w:pPr>
        <w:pStyle w:val="2"/>
        <w:rPr>
          <w:szCs w:val="20"/>
        </w:rPr>
      </w:pPr>
    </w:p>
    <w:p>
      <w:pPr>
        <w:pStyle w:val="2"/>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62116A68"/>
    <w:multiLevelType w:val="multilevel"/>
    <w:tmpl w:val="62116A6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3D10CA"/>
    <w:multiLevelType w:val="multilevel"/>
    <w:tmpl w:val="663D10CA"/>
    <w:lvl w:ilvl="0" w:tentative="0">
      <w:start w:val="1"/>
      <w:numFmt w:val="decimalEnclosedCircle"/>
      <w:lvlText w:val="%1"/>
      <w:lvlJc w:val="left"/>
      <w:pPr>
        <w:ind w:left="360" w:hanging="36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8F4759"/>
    <w:rsid w:val="02F34145"/>
    <w:rsid w:val="03766311"/>
    <w:rsid w:val="03B23DD3"/>
    <w:rsid w:val="067C2431"/>
    <w:rsid w:val="06D53D90"/>
    <w:rsid w:val="071B55C3"/>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100C6724"/>
    <w:rsid w:val="107C5DD0"/>
    <w:rsid w:val="10F93609"/>
    <w:rsid w:val="11B5417B"/>
    <w:rsid w:val="12D44A81"/>
    <w:rsid w:val="13A07EA8"/>
    <w:rsid w:val="13C0284D"/>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1DFC6799"/>
    <w:rsid w:val="20883077"/>
    <w:rsid w:val="21614A2B"/>
    <w:rsid w:val="21A7260E"/>
    <w:rsid w:val="23224138"/>
    <w:rsid w:val="237A44F5"/>
    <w:rsid w:val="24782FDE"/>
    <w:rsid w:val="248D7E61"/>
    <w:rsid w:val="26565926"/>
    <w:rsid w:val="26B46E17"/>
    <w:rsid w:val="26E25288"/>
    <w:rsid w:val="27555203"/>
    <w:rsid w:val="27B0758A"/>
    <w:rsid w:val="2813078C"/>
    <w:rsid w:val="28716EFA"/>
    <w:rsid w:val="28F05BE9"/>
    <w:rsid w:val="28FA298C"/>
    <w:rsid w:val="291658E9"/>
    <w:rsid w:val="292E7041"/>
    <w:rsid w:val="296F2D34"/>
    <w:rsid w:val="29DE75C4"/>
    <w:rsid w:val="29F7222B"/>
    <w:rsid w:val="2A85242B"/>
    <w:rsid w:val="2B694EC9"/>
    <w:rsid w:val="2C7F4488"/>
    <w:rsid w:val="2D22434F"/>
    <w:rsid w:val="2D247BFB"/>
    <w:rsid w:val="2DAD7DFD"/>
    <w:rsid w:val="2DBE4A99"/>
    <w:rsid w:val="2E46739B"/>
    <w:rsid w:val="2E563044"/>
    <w:rsid w:val="2EB65903"/>
    <w:rsid w:val="2F2B6123"/>
    <w:rsid w:val="30CF1B3A"/>
    <w:rsid w:val="31927F10"/>
    <w:rsid w:val="33497717"/>
    <w:rsid w:val="34D6158E"/>
    <w:rsid w:val="351B0104"/>
    <w:rsid w:val="355B0E0A"/>
    <w:rsid w:val="35742812"/>
    <w:rsid w:val="35F12D98"/>
    <w:rsid w:val="38183C99"/>
    <w:rsid w:val="38935A50"/>
    <w:rsid w:val="38AC7253"/>
    <w:rsid w:val="38E86458"/>
    <w:rsid w:val="39326269"/>
    <w:rsid w:val="39573D91"/>
    <w:rsid w:val="39E207BF"/>
    <w:rsid w:val="3A0410CF"/>
    <w:rsid w:val="3AA649D4"/>
    <w:rsid w:val="3AB91D2C"/>
    <w:rsid w:val="3AF37D8C"/>
    <w:rsid w:val="3BF9256D"/>
    <w:rsid w:val="3C0A2744"/>
    <w:rsid w:val="3C52785C"/>
    <w:rsid w:val="3ED7163A"/>
    <w:rsid w:val="3F787C67"/>
    <w:rsid w:val="3FC858DC"/>
    <w:rsid w:val="3FEB602E"/>
    <w:rsid w:val="40A95E96"/>
    <w:rsid w:val="4121517C"/>
    <w:rsid w:val="413E130B"/>
    <w:rsid w:val="42610076"/>
    <w:rsid w:val="42F736CA"/>
    <w:rsid w:val="432E501B"/>
    <w:rsid w:val="43F54F5F"/>
    <w:rsid w:val="44546201"/>
    <w:rsid w:val="445F5435"/>
    <w:rsid w:val="44A97AE4"/>
    <w:rsid w:val="44B4176F"/>
    <w:rsid w:val="44BB561C"/>
    <w:rsid w:val="473A6662"/>
    <w:rsid w:val="4750593E"/>
    <w:rsid w:val="47C92F7B"/>
    <w:rsid w:val="47E6500A"/>
    <w:rsid w:val="493C3F49"/>
    <w:rsid w:val="494516EF"/>
    <w:rsid w:val="4A77668A"/>
    <w:rsid w:val="4A7B1730"/>
    <w:rsid w:val="4B78393E"/>
    <w:rsid w:val="4C5B5CAE"/>
    <w:rsid w:val="4CB709E2"/>
    <w:rsid w:val="4D4A5495"/>
    <w:rsid w:val="4E5E5E11"/>
    <w:rsid w:val="4EC01691"/>
    <w:rsid w:val="4F3767B4"/>
    <w:rsid w:val="4F771DC3"/>
    <w:rsid w:val="4FC56AF0"/>
    <w:rsid w:val="50520ABE"/>
    <w:rsid w:val="50D43B78"/>
    <w:rsid w:val="50DE4FD7"/>
    <w:rsid w:val="525940CF"/>
    <w:rsid w:val="53432B32"/>
    <w:rsid w:val="53773B61"/>
    <w:rsid w:val="54794E03"/>
    <w:rsid w:val="568A3B26"/>
    <w:rsid w:val="5699320F"/>
    <w:rsid w:val="57513563"/>
    <w:rsid w:val="57EF2F07"/>
    <w:rsid w:val="589725A1"/>
    <w:rsid w:val="5922540F"/>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6A34226"/>
    <w:rsid w:val="685D273E"/>
    <w:rsid w:val="68E933F7"/>
    <w:rsid w:val="69660446"/>
    <w:rsid w:val="69E53D98"/>
    <w:rsid w:val="69ED4F00"/>
    <w:rsid w:val="6A1E198E"/>
    <w:rsid w:val="6A4C0196"/>
    <w:rsid w:val="6AC52C01"/>
    <w:rsid w:val="6B907B50"/>
    <w:rsid w:val="6C063B86"/>
    <w:rsid w:val="6CF00C27"/>
    <w:rsid w:val="6D616D7B"/>
    <w:rsid w:val="6D971A88"/>
    <w:rsid w:val="6E122C37"/>
    <w:rsid w:val="6E4F3F34"/>
    <w:rsid w:val="6F125E32"/>
    <w:rsid w:val="6F6513F8"/>
    <w:rsid w:val="6F6F2711"/>
    <w:rsid w:val="705E55CD"/>
    <w:rsid w:val="70E265CD"/>
    <w:rsid w:val="70F2261F"/>
    <w:rsid w:val="72113DDC"/>
    <w:rsid w:val="73350423"/>
    <w:rsid w:val="74A50AEE"/>
    <w:rsid w:val="75996CCD"/>
    <w:rsid w:val="765021A6"/>
    <w:rsid w:val="766729D8"/>
    <w:rsid w:val="768A637D"/>
    <w:rsid w:val="76C306EB"/>
    <w:rsid w:val="775F306F"/>
    <w:rsid w:val="77EA3963"/>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autoRedefine/>
    <w:qFormat/>
    <w:uiPriority w:val="0"/>
    <w:pPr>
      <w:ind w:firstLine="420"/>
    </w:pPr>
  </w:style>
  <w:style w:type="paragraph" w:styleId="6">
    <w:name w:val="annotation text"/>
    <w:basedOn w:val="1"/>
    <w:link w:val="37"/>
    <w:autoRedefine/>
    <w:unhideWhenUsed/>
    <w:qFormat/>
    <w:uiPriority w:val="99"/>
    <w:pPr>
      <w:jc w:val="left"/>
    </w:pPr>
  </w:style>
  <w:style w:type="paragraph" w:styleId="7">
    <w:name w:val="Body Text"/>
    <w:basedOn w:val="1"/>
    <w:autoRedefine/>
    <w:qFormat/>
    <w:uiPriority w:val="0"/>
    <w:pPr>
      <w:spacing w:after="120"/>
    </w:pPr>
    <w:rPr>
      <w:kern w:val="0"/>
      <w:sz w:val="20"/>
    </w:rPr>
  </w:style>
  <w:style w:type="paragraph" w:styleId="8">
    <w:name w:val="Body Text Indent"/>
    <w:basedOn w:val="1"/>
    <w:link w:val="38"/>
    <w:autoRedefine/>
    <w:qFormat/>
    <w:uiPriority w:val="0"/>
    <w:pPr>
      <w:ind w:firstLine="830" w:firstLineChars="352"/>
    </w:pPr>
    <w:rPr>
      <w:rFonts w:ascii="仿宋_GB2312" w:eastAsia="仿宋_GB2312"/>
      <w:sz w:val="32"/>
    </w:rPr>
  </w:style>
  <w:style w:type="paragraph" w:styleId="9">
    <w:name w:val="Plain Text"/>
    <w:basedOn w:val="1"/>
    <w:link w:val="39"/>
    <w:autoRedefine/>
    <w:qFormat/>
    <w:uiPriority w:val="0"/>
    <w:rPr>
      <w:rFonts w:ascii="宋体" w:hAnsi="Courier New" w:cs="Courier New"/>
      <w:szCs w:val="21"/>
    </w:rPr>
  </w:style>
  <w:style w:type="paragraph" w:styleId="10">
    <w:name w:val="Balloon Text"/>
    <w:basedOn w:val="1"/>
    <w:link w:val="32"/>
    <w:autoRedefine/>
    <w:qFormat/>
    <w:uiPriority w:val="0"/>
    <w:rPr>
      <w:sz w:val="18"/>
      <w:szCs w:val="18"/>
    </w:rPr>
  </w:style>
  <w:style w:type="paragraph" w:styleId="11">
    <w:name w:val="footer"/>
    <w:basedOn w:val="1"/>
    <w:link w:val="36"/>
    <w:autoRedefine/>
    <w:qFormat/>
    <w:uiPriority w:val="99"/>
    <w:pPr>
      <w:tabs>
        <w:tab w:val="center" w:pos="4153"/>
        <w:tab w:val="right" w:pos="8306"/>
      </w:tabs>
      <w:snapToGrid w:val="0"/>
      <w:jc w:val="left"/>
    </w:pPr>
    <w:rPr>
      <w:sz w:val="18"/>
      <w:szCs w:val="18"/>
    </w:rPr>
  </w:style>
  <w:style w:type="paragraph" w:styleId="12">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Body Text Indent 3"/>
    <w:basedOn w:val="1"/>
    <w:link w:val="44"/>
    <w:autoRedefine/>
    <w:qFormat/>
    <w:uiPriority w:val="0"/>
    <w:pPr>
      <w:spacing w:after="120"/>
      <w:ind w:left="420" w:leftChars="200"/>
    </w:pPr>
    <w:rPr>
      <w:sz w:val="16"/>
      <w:szCs w:val="16"/>
    </w:rPr>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w:basedOn w:val="7"/>
    <w:autoRedefine/>
    <w:qFormat/>
    <w:uiPriority w:val="0"/>
    <w:pPr>
      <w:ind w:firstLine="420"/>
    </w:pPr>
    <w:rPr>
      <w:rFonts w:ascii="Calibri" w:hAnsi="Calibri" w:eastAsia="仿宋_GB2312"/>
      <w:b/>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_Style 3"/>
    <w:next w:val="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20"/>
    <w:link w:val="10"/>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20"/>
    <w:link w:val="11"/>
    <w:autoRedefine/>
    <w:qFormat/>
    <w:uiPriority w:val="99"/>
    <w:rPr>
      <w:kern w:val="2"/>
      <w:sz w:val="18"/>
      <w:szCs w:val="18"/>
    </w:rPr>
  </w:style>
  <w:style w:type="character" w:customStyle="1" w:styleId="37">
    <w:name w:val="批注文字 Char"/>
    <w:basedOn w:val="20"/>
    <w:link w:val="6"/>
    <w:autoRedefine/>
    <w:qFormat/>
    <w:uiPriority w:val="99"/>
    <w:rPr>
      <w:kern w:val="2"/>
      <w:sz w:val="21"/>
      <w:szCs w:val="24"/>
    </w:rPr>
  </w:style>
  <w:style w:type="character" w:customStyle="1" w:styleId="38">
    <w:name w:val="正文文本缩进 Char"/>
    <w:basedOn w:val="20"/>
    <w:link w:val="8"/>
    <w:autoRedefine/>
    <w:qFormat/>
    <w:uiPriority w:val="0"/>
    <w:rPr>
      <w:rFonts w:ascii="仿宋_GB2312" w:eastAsia="仿宋_GB2312"/>
      <w:kern w:val="2"/>
      <w:sz w:val="32"/>
      <w:szCs w:val="24"/>
    </w:rPr>
  </w:style>
  <w:style w:type="character" w:customStyle="1" w:styleId="39">
    <w:name w:val="纯文本 Char"/>
    <w:link w:val="9"/>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2"/>
    <w:autoRedefine/>
    <w:qFormat/>
    <w:uiPriority w:val="0"/>
    <w:rPr>
      <w:kern w:val="2"/>
      <w:sz w:val="18"/>
      <w:szCs w:val="18"/>
    </w:rPr>
  </w:style>
  <w:style w:type="character" w:customStyle="1" w:styleId="44">
    <w:name w:val="正文文本缩进 3 Char"/>
    <w:link w:val="14"/>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1E725-B1CD-434C-8B28-1AFC3EF018B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36</Pages>
  <Words>2582</Words>
  <Characters>14719</Characters>
  <Lines>122</Lines>
  <Paragraphs>34</Paragraphs>
  <TotalTime>0</TotalTime>
  <ScaleCrop>false</ScaleCrop>
  <LinksUpToDate>false</LinksUpToDate>
  <CharactersWithSpaces>17267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2023-12-18T11:52:00Z</cp:lastPrinted>
  <dcterms:modified xsi:type="dcterms:W3CDTF">2023-12-19T08:14:36Z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47429C040DC449BB8D491E4A4BA5268A</vt:lpwstr>
  </property>
</Properties>
</file>