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48"/>
          <w:szCs w:val="48"/>
        </w:rPr>
      </w:pPr>
    </w:p>
    <w:p>
      <w:pPr>
        <w:jc w:val="center"/>
        <w:rPr>
          <w:rFonts w:ascii="宋体" w:hAnsi="宋体"/>
          <w:b/>
          <w:color w:val="auto"/>
          <w:kern w:val="0"/>
          <w:sz w:val="48"/>
          <w:szCs w:val="48"/>
        </w:rPr>
      </w:pPr>
    </w:p>
    <w:p>
      <w:pPr>
        <w:jc w:val="center"/>
        <w:rPr>
          <w:rFonts w:ascii="宋体" w:hAnsi="宋体"/>
          <w:b/>
          <w:color w:val="auto"/>
          <w:kern w:val="0"/>
          <w:sz w:val="48"/>
          <w:szCs w:val="48"/>
        </w:rPr>
      </w:pPr>
    </w:p>
    <w:p>
      <w:pPr>
        <w:jc w:val="center"/>
        <w:rPr>
          <w:rFonts w:ascii="宋体" w:hAnsi="宋体"/>
          <w:b/>
          <w:color w:val="auto"/>
          <w:kern w:val="0"/>
          <w:sz w:val="44"/>
          <w:szCs w:val="44"/>
        </w:rPr>
      </w:pPr>
      <w:r>
        <w:rPr>
          <w:rFonts w:hint="eastAsia" w:ascii="宋体" w:hAnsi="宋体"/>
          <w:b/>
          <w:color w:val="auto"/>
          <w:kern w:val="0"/>
          <w:sz w:val="44"/>
          <w:szCs w:val="44"/>
        </w:rPr>
        <w:t>南方医科大学第五附属医院</w:t>
      </w:r>
    </w:p>
    <w:p>
      <w:pPr>
        <w:jc w:val="center"/>
        <w:rPr>
          <w:rFonts w:ascii="宋体" w:hAnsi="宋体"/>
          <w:b/>
          <w:color w:val="auto"/>
          <w:kern w:val="0"/>
          <w:sz w:val="44"/>
          <w:szCs w:val="44"/>
        </w:rPr>
      </w:pPr>
    </w:p>
    <w:p>
      <w:pPr>
        <w:spacing w:line="480" w:lineRule="auto"/>
        <w:jc w:val="center"/>
        <w:rPr>
          <w:rFonts w:ascii="宋体" w:hAnsi="宋体"/>
          <w:b/>
          <w:bCs/>
          <w:color w:val="auto"/>
          <w:sz w:val="72"/>
          <w:szCs w:val="72"/>
        </w:rPr>
      </w:pPr>
      <w:r>
        <w:rPr>
          <w:rFonts w:hint="eastAsia" w:ascii="宋体" w:hAnsi="宋体"/>
          <w:b/>
          <w:color w:val="auto"/>
          <w:kern w:val="0"/>
          <w:sz w:val="44"/>
          <w:szCs w:val="44"/>
        </w:rPr>
        <w:t>消防系统维护保养服务项目</w:t>
      </w:r>
    </w:p>
    <w:p>
      <w:pPr>
        <w:spacing w:line="480" w:lineRule="auto"/>
        <w:jc w:val="center"/>
        <w:rPr>
          <w:rFonts w:ascii="宋体" w:hAnsi="宋体"/>
          <w:b/>
          <w:bCs/>
          <w:color w:val="auto"/>
          <w:sz w:val="72"/>
          <w:szCs w:val="72"/>
        </w:rPr>
      </w:pPr>
    </w:p>
    <w:p>
      <w:pPr>
        <w:spacing w:line="480" w:lineRule="auto"/>
        <w:jc w:val="center"/>
        <w:rPr>
          <w:rFonts w:ascii="宋体" w:hAnsi="宋体"/>
          <w:b/>
          <w:bCs/>
          <w:color w:val="auto"/>
          <w:sz w:val="72"/>
          <w:szCs w:val="72"/>
        </w:rPr>
      </w:pPr>
    </w:p>
    <w:p>
      <w:pPr>
        <w:spacing w:line="480" w:lineRule="auto"/>
        <w:jc w:val="center"/>
        <w:rPr>
          <w:rFonts w:ascii="宋体" w:hAnsi="宋体"/>
          <w:b/>
          <w:bCs/>
          <w:color w:val="auto"/>
          <w:sz w:val="72"/>
          <w:szCs w:val="72"/>
        </w:rPr>
      </w:pPr>
      <w:r>
        <w:rPr>
          <w:rFonts w:hint="eastAsia" w:ascii="宋体" w:hAnsi="宋体"/>
          <w:b/>
          <w:bCs/>
          <w:color w:val="auto"/>
          <w:sz w:val="72"/>
          <w:szCs w:val="72"/>
        </w:rPr>
        <w:t>院内采购文件</w:t>
      </w:r>
    </w:p>
    <w:p>
      <w:pPr>
        <w:spacing w:line="480" w:lineRule="auto"/>
        <w:ind w:firstLine="843" w:firstLineChars="300"/>
        <w:jc w:val="center"/>
        <w:rPr>
          <w:rFonts w:ascii="宋体" w:hAnsi="宋体"/>
          <w:b/>
          <w:bCs/>
          <w:color w:val="auto"/>
          <w:sz w:val="28"/>
          <w:szCs w:val="28"/>
        </w:rPr>
      </w:pPr>
    </w:p>
    <w:p>
      <w:pPr>
        <w:pStyle w:val="23"/>
        <w:rPr>
          <w:color w:val="auto"/>
        </w:rPr>
      </w:pPr>
    </w:p>
    <w:p>
      <w:pPr>
        <w:pStyle w:val="23"/>
        <w:spacing w:line="360" w:lineRule="auto"/>
        <w:rPr>
          <w:rFonts w:ascii="方正小标宋简体" w:hAnsi="宋体" w:eastAsia="方正小标宋简体"/>
          <w:color w:val="auto"/>
          <w:sz w:val="32"/>
        </w:rPr>
      </w:pPr>
    </w:p>
    <w:p>
      <w:pPr>
        <w:adjustRightInd w:val="0"/>
        <w:snapToGrid w:val="0"/>
        <w:spacing w:line="360" w:lineRule="auto"/>
        <w:ind w:firstLine="2530" w:firstLineChars="700"/>
        <w:rPr>
          <w:rFonts w:ascii="宋体" w:hAnsi="宋体"/>
          <w:b/>
          <w:bCs/>
          <w:color w:val="auto"/>
          <w:sz w:val="36"/>
          <w:szCs w:val="36"/>
        </w:rPr>
      </w:pPr>
      <w:r>
        <w:rPr>
          <w:rFonts w:hint="eastAsia" w:ascii="宋体" w:hAnsi="宋体"/>
          <w:b/>
          <w:bCs/>
          <w:color w:val="auto"/>
          <w:sz w:val="36"/>
          <w:szCs w:val="36"/>
        </w:rPr>
        <w:t>项目编号：NYWYF20230010</w:t>
      </w:r>
    </w:p>
    <w:p>
      <w:pPr>
        <w:pStyle w:val="23"/>
        <w:spacing w:line="360" w:lineRule="auto"/>
        <w:ind w:firstLine="2530" w:firstLineChars="700"/>
        <w:rPr>
          <w:rFonts w:ascii="宋体" w:hAnsi="宋体"/>
          <w:b/>
          <w:bCs/>
          <w:color w:val="auto"/>
          <w:sz w:val="36"/>
          <w:szCs w:val="36"/>
        </w:rPr>
      </w:pPr>
    </w:p>
    <w:p>
      <w:pPr>
        <w:widowControl/>
        <w:ind w:right="-26"/>
        <w:jc w:val="center"/>
        <w:textAlignment w:val="bottom"/>
        <w:rPr>
          <w:rFonts w:ascii="方正小标宋简体" w:hAnsi="宋体" w:eastAsia="方正小标宋简体"/>
          <w:color w:val="auto"/>
          <w:sz w:val="32"/>
        </w:rPr>
      </w:pPr>
    </w:p>
    <w:p>
      <w:pPr>
        <w:adjustRightInd w:val="0"/>
        <w:snapToGrid w:val="0"/>
        <w:spacing w:line="360" w:lineRule="auto"/>
        <w:rPr>
          <w:rFonts w:ascii="宋体" w:hAnsi="宋体"/>
          <w:b/>
          <w:bCs/>
          <w:color w:val="auto"/>
          <w:sz w:val="28"/>
          <w:szCs w:val="28"/>
        </w:rPr>
      </w:pPr>
    </w:p>
    <w:p>
      <w:pPr>
        <w:spacing w:line="360" w:lineRule="auto"/>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期：2023年8月</w:t>
      </w:r>
    </w:p>
    <w:sdt>
      <w:sdtPr>
        <w:rPr>
          <w:rFonts w:ascii="宋体" w:hAnsi="宋体"/>
          <w:color w:val="auto"/>
        </w:rPr>
        <w:id w:val="147468325"/>
        <w:docPartObj>
          <w:docPartGallery w:val="Table of Contents"/>
          <w:docPartUnique/>
        </w:docPartObj>
      </w:sdtPr>
      <w:sdtEndPr>
        <w:rPr>
          <w:rFonts w:ascii="Times New Roman" w:hAnsi="Times New Roman"/>
          <w:bCs/>
          <w:color w:val="auto"/>
          <w:kern w:val="0"/>
          <w:szCs w:val="36"/>
        </w:rPr>
      </w:sdtEndPr>
      <w:sdtContent>
        <w:p>
          <w:pPr>
            <w:jc w:val="center"/>
            <w:rPr>
              <w:b/>
              <w:bCs/>
              <w:color w:val="auto"/>
              <w:sz w:val="44"/>
              <w:szCs w:val="44"/>
            </w:rPr>
          </w:pPr>
          <w:bookmarkStart w:id="0" w:name="_Toc12670"/>
          <w:bookmarkStart w:id="1" w:name="_Toc40776106"/>
          <w:bookmarkStart w:id="2" w:name="_Toc40346211"/>
          <w:r>
            <w:rPr>
              <w:rFonts w:ascii="宋体" w:hAnsi="宋体"/>
              <w:b/>
              <w:bCs/>
              <w:color w:val="auto"/>
              <w:sz w:val="44"/>
              <w:szCs w:val="44"/>
            </w:rPr>
            <w:t>目</w:t>
          </w:r>
          <w:r>
            <w:rPr>
              <w:rFonts w:hint="eastAsia" w:ascii="宋体" w:hAnsi="宋体"/>
              <w:b/>
              <w:bCs/>
              <w:color w:val="auto"/>
              <w:sz w:val="44"/>
              <w:szCs w:val="44"/>
            </w:rPr>
            <w:t xml:space="preserve">  </w:t>
          </w:r>
          <w:r>
            <w:rPr>
              <w:rFonts w:ascii="宋体" w:hAnsi="宋体"/>
              <w:b/>
              <w:bCs/>
              <w:color w:val="auto"/>
              <w:sz w:val="44"/>
              <w:szCs w:val="44"/>
            </w:rPr>
            <w:t>录</w:t>
          </w:r>
        </w:p>
        <w:p>
          <w:pPr>
            <w:pStyle w:val="25"/>
            <w:tabs>
              <w:tab w:val="right" w:leader="dot" w:pos="9638"/>
            </w:tabs>
            <w:spacing w:line="360" w:lineRule="auto"/>
            <w:rPr>
              <w:b/>
              <w:bCs/>
              <w:color w:val="auto"/>
              <w:sz w:val="28"/>
              <w:szCs w:val="28"/>
            </w:rPr>
          </w:pPr>
        </w:p>
        <w:p>
          <w:pPr>
            <w:pStyle w:val="25"/>
            <w:tabs>
              <w:tab w:val="right" w:leader="dot" w:pos="9638"/>
            </w:tabs>
            <w:spacing w:line="360" w:lineRule="auto"/>
            <w:rPr>
              <w:b/>
              <w:color w:val="auto"/>
              <w:sz w:val="28"/>
              <w:szCs w:val="28"/>
            </w:rPr>
          </w:pPr>
          <w:r>
            <w:rPr>
              <w:b/>
              <w:bCs/>
              <w:color w:val="auto"/>
              <w:sz w:val="28"/>
              <w:szCs w:val="28"/>
            </w:rPr>
            <w:fldChar w:fldCharType="begin"/>
          </w:r>
          <w:r>
            <w:rPr>
              <w:b/>
              <w:bCs/>
              <w:color w:val="auto"/>
              <w:sz w:val="28"/>
              <w:szCs w:val="28"/>
            </w:rPr>
            <w:instrText xml:space="preserve">TOC \o "1-1" \h \u </w:instrText>
          </w:r>
          <w:r>
            <w:rPr>
              <w:b/>
              <w:bCs/>
              <w:color w:val="auto"/>
              <w:sz w:val="28"/>
              <w:szCs w:val="28"/>
            </w:rPr>
            <w:fldChar w:fldCharType="separate"/>
          </w:r>
          <w:r>
            <w:rPr>
              <w:color w:val="auto"/>
            </w:rPr>
            <w:fldChar w:fldCharType="begin"/>
          </w:r>
          <w:r>
            <w:rPr>
              <w:color w:val="auto"/>
            </w:rPr>
            <w:instrText xml:space="preserve"> HYPERLINK \l "_Toc19427" </w:instrText>
          </w:r>
          <w:r>
            <w:rPr>
              <w:color w:val="auto"/>
            </w:rPr>
            <w:fldChar w:fldCharType="separate"/>
          </w:r>
          <w:r>
            <w:rPr>
              <w:rFonts w:hint="eastAsia" w:ascii="宋体" w:hAnsi="宋体"/>
              <w:b/>
              <w:color w:val="auto"/>
              <w:sz w:val="28"/>
              <w:szCs w:val="28"/>
            </w:rPr>
            <w:t>第一部分 报名邀请函</w:t>
          </w:r>
          <w:r>
            <w:rPr>
              <w:b/>
              <w:color w:val="auto"/>
              <w:sz w:val="28"/>
              <w:szCs w:val="28"/>
            </w:rPr>
            <w:tab/>
          </w:r>
          <w:r>
            <w:rPr>
              <w:b/>
              <w:color w:val="auto"/>
              <w:sz w:val="28"/>
              <w:szCs w:val="28"/>
            </w:rPr>
            <w:fldChar w:fldCharType="begin"/>
          </w:r>
          <w:r>
            <w:rPr>
              <w:b/>
              <w:color w:val="auto"/>
              <w:sz w:val="28"/>
              <w:szCs w:val="28"/>
            </w:rPr>
            <w:instrText xml:space="preserve"> PAGEREF _Toc19427 \h </w:instrText>
          </w:r>
          <w:r>
            <w:rPr>
              <w:b/>
              <w:color w:val="auto"/>
              <w:sz w:val="28"/>
              <w:szCs w:val="28"/>
            </w:rPr>
            <w:fldChar w:fldCharType="separate"/>
          </w:r>
          <w:r>
            <w:rPr>
              <w:b/>
              <w:color w:val="auto"/>
              <w:sz w:val="28"/>
              <w:szCs w:val="28"/>
            </w:rPr>
            <w:t>1</w:t>
          </w:r>
          <w:r>
            <w:rPr>
              <w:b/>
              <w:color w:val="auto"/>
              <w:sz w:val="28"/>
              <w:szCs w:val="28"/>
            </w:rPr>
            <w:fldChar w:fldCharType="end"/>
          </w:r>
          <w:r>
            <w:rPr>
              <w:b/>
              <w:color w:val="auto"/>
              <w:sz w:val="28"/>
              <w:szCs w:val="28"/>
            </w:rPr>
            <w:fldChar w:fldCharType="end"/>
          </w:r>
        </w:p>
        <w:p>
          <w:pPr>
            <w:pStyle w:val="25"/>
            <w:tabs>
              <w:tab w:val="right" w:leader="dot" w:pos="9638"/>
            </w:tabs>
            <w:spacing w:line="360" w:lineRule="auto"/>
            <w:rPr>
              <w:b/>
              <w:color w:val="auto"/>
              <w:sz w:val="28"/>
              <w:szCs w:val="28"/>
            </w:rPr>
          </w:pPr>
          <w:r>
            <w:rPr>
              <w:color w:val="auto"/>
            </w:rPr>
            <w:fldChar w:fldCharType="begin"/>
          </w:r>
          <w:r>
            <w:rPr>
              <w:color w:val="auto"/>
            </w:rPr>
            <w:instrText xml:space="preserve"> HYPERLINK \l "_Toc27350" </w:instrText>
          </w:r>
          <w:r>
            <w:rPr>
              <w:color w:val="auto"/>
            </w:rPr>
            <w:fldChar w:fldCharType="separate"/>
          </w:r>
          <w:r>
            <w:rPr>
              <w:rFonts w:hint="eastAsia" w:ascii="宋体" w:hAnsi="宋体"/>
              <w:b/>
              <w:color w:val="auto"/>
              <w:sz w:val="28"/>
              <w:szCs w:val="28"/>
            </w:rPr>
            <w:t>第二部分 用户需求书</w:t>
          </w:r>
          <w:r>
            <w:rPr>
              <w:b/>
              <w:color w:val="auto"/>
              <w:sz w:val="28"/>
              <w:szCs w:val="28"/>
            </w:rPr>
            <w:tab/>
          </w:r>
          <w:r>
            <w:rPr>
              <w:rFonts w:hint="eastAsia"/>
              <w:b/>
              <w:color w:val="auto"/>
              <w:sz w:val="28"/>
              <w:szCs w:val="28"/>
            </w:rPr>
            <w:t>2</w:t>
          </w:r>
          <w:r>
            <w:rPr>
              <w:rFonts w:hint="eastAsia"/>
              <w:b/>
              <w:color w:val="auto"/>
              <w:sz w:val="28"/>
              <w:szCs w:val="28"/>
            </w:rPr>
            <w:fldChar w:fldCharType="end"/>
          </w:r>
        </w:p>
        <w:p>
          <w:pPr>
            <w:pStyle w:val="25"/>
            <w:tabs>
              <w:tab w:val="right" w:leader="dot" w:pos="9638"/>
            </w:tabs>
            <w:spacing w:line="360" w:lineRule="auto"/>
            <w:rPr>
              <w:b/>
              <w:color w:val="auto"/>
              <w:sz w:val="28"/>
              <w:szCs w:val="28"/>
            </w:rPr>
          </w:pPr>
          <w:r>
            <w:rPr>
              <w:color w:val="auto"/>
            </w:rPr>
            <w:fldChar w:fldCharType="begin"/>
          </w:r>
          <w:r>
            <w:rPr>
              <w:color w:val="auto"/>
            </w:rPr>
            <w:instrText xml:space="preserve"> HYPERLINK \l "_Toc11917" </w:instrText>
          </w:r>
          <w:r>
            <w:rPr>
              <w:color w:val="auto"/>
            </w:rPr>
            <w:fldChar w:fldCharType="separate"/>
          </w:r>
          <w:r>
            <w:rPr>
              <w:rFonts w:hint="eastAsia"/>
              <w:b/>
              <w:color w:val="auto"/>
              <w:sz w:val="28"/>
              <w:szCs w:val="28"/>
            </w:rPr>
            <w:t>第三部分  资料整理注意事项</w:t>
          </w:r>
          <w:r>
            <w:rPr>
              <w:b/>
              <w:color w:val="auto"/>
              <w:sz w:val="28"/>
              <w:szCs w:val="28"/>
            </w:rPr>
            <w:tab/>
          </w:r>
          <w:r>
            <w:rPr>
              <w:rFonts w:hint="eastAsia"/>
              <w:b/>
              <w:color w:val="auto"/>
              <w:sz w:val="28"/>
              <w:szCs w:val="28"/>
            </w:rPr>
            <w:t>1</w:t>
          </w:r>
          <w:r>
            <w:rPr>
              <w:rFonts w:hint="eastAsia"/>
              <w:b/>
              <w:color w:val="auto"/>
              <w:sz w:val="28"/>
              <w:szCs w:val="28"/>
            </w:rPr>
            <w:fldChar w:fldCharType="end"/>
          </w:r>
          <w:r>
            <w:rPr>
              <w:rFonts w:hint="eastAsia"/>
              <w:b/>
              <w:color w:val="auto"/>
              <w:sz w:val="28"/>
              <w:szCs w:val="28"/>
            </w:rPr>
            <w:t>2</w:t>
          </w:r>
        </w:p>
        <w:p>
          <w:pPr>
            <w:pStyle w:val="25"/>
            <w:tabs>
              <w:tab w:val="right" w:leader="dot" w:pos="9638"/>
            </w:tabs>
            <w:spacing w:line="360" w:lineRule="auto"/>
            <w:rPr>
              <w:b/>
              <w:color w:val="auto"/>
              <w:sz w:val="28"/>
              <w:szCs w:val="28"/>
            </w:rPr>
          </w:pPr>
          <w:r>
            <w:rPr>
              <w:color w:val="auto"/>
            </w:rPr>
            <w:fldChar w:fldCharType="begin"/>
          </w:r>
          <w:r>
            <w:rPr>
              <w:color w:val="auto"/>
            </w:rPr>
            <w:instrText xml:space="preserve"> HYPERLINK \l "_Toc32228" </w:instrText>
          </w:r>
          <w:r>
            <w:rPr>
              <w:color w:val="auto"/>
            </w:rPr>
            <w:fldChar w:fldCharType="separate"/>
          </w:r>
          <w:r>
            <w:rPr>
              <w:rFonts w:hint="eastAsia" w:ascii="宋体" w:hAnsi="宋体"/>
              <w:b/>
              <w:color w:val="auto"/>
              <w:sz w:val="28"/>
              <w:szCs w:val="28"/>
            </w:rPr>
            <w:t>第四部分  相关格式文件</w:t>
          </w:r>
          <w:r>
            <w:rPr>
              <w:b/>
              <w:color w:val="auto"/>
              <w:sz w:val="28"/>
              <w:szCs w:val="28"/>
            </w:rPr>
            <w:tab/>
          </w:r>
          <w:r>
            <w:rPr>
              <w:rFonts w:hint="eastAsia"/>
              <w:b/>
              <w:color w:val="auto"/>
              <w:sz w:val="28"/>
              <w:szCs w:val="28"/>
            </w:rPr>
            <w:t>1</w:t>
          </w:r>
          <w:r>
            <w:rPr>
              <w:rFonts w:hint="eastAsia"/>
              <w:b/>
              <w:color w:val="auto"/>
              <w:sz w:val="28"/>
              <w:szCs w:val="28"/>
            </w:rPr>
            <w:fldChar w:fldCharType="end"/>
          </w:r>
          <w:r>
            <w:rPr>
              <w:rFonts w:hint="eastAsia"/>
              <w:b/>
              <w:color w:val="auto"/>
              <w:sz w:val="28"/>
              <w:szCs w:val="28"/>
            </w:rPr>
            <w:t>3</w:t>
          </w:r>
        </w:p>
        <w:p>
          <w:pPr>
            <w:pStyle w:val="25"/>
            <w:tabs>
              <w:tab w:val="right" w:leader="dot" w:pos="9638"/>
            </w:tabs>
            <w:spacing w:line="360" w:lineRule="auto"/>
            <w:rPr>
              <w:b/>
              <w:color w:val="auto"/>
              <w:sz w:val="28"/>
              <w:szCs w:val="28"/>
            </w:rPr>
          </w:pPr>
          <w:r>
            <w:rPr>
              <w:color w:val="auto"/>
            </w:rPr>
            <w:fldChar w:fldCharType="begin"/>
          </w:r>
          <w:r>
            <w:rPr>
              <w:color w:val="auto"/>
            </w:rPr>
            <w:instrText xml:space="preserve"> HYPERLINK \l "_Toc17933" </w:instrText>
          </w:r>
          <w:r>
            <w:rPr>
              <w:color w:val="auto"/>
            </w:rPr>
            <w:fldChar w:fldCharType="separate"/>
          </w:r>
          <w:r>
            <w:rPr>
              <w:rFonts w:hint="eastAsia" w:ascii="宋体" w:hAnsi="宋体"/>
              <w:b/>
              <w:color w:val="auto"/>
              <w:sz w:val="28"/>
              <w:szCs w:val="28"/>
            </w:rPr>
            <w:t>第五部分 合同模板（报名成功后获取）</w:t>
          </w:r>
          <w:r>
            <w:rPr>
              <w:b/>
              <w:color w:val="auto"/>
              <w:sz w:val="28"/>
              <w:szCs w:val="28"/>
            </w:rPr>
            <w:tab/>
          </w:r>
          <w:r>
            <w:rPr>
              <w:rFonts w:hint="eastAsia"/>
              <w:b/>
              <w:color w:val="auto"/>
              <w:sz w:val="28"/>
              <w:szCs w:val="28"/>
            </w:rPr>
            <w:t>2</w:t>
          </w:r>
          <w:r>
            <w:rPr>
              <w:rFonts w:hint="eastAsia"/>
              <w:b/>
              <w:color w:val="auto"/>
              <w:sz w:val="28"/>
              <w:szCs w:val="28"/>
            </w:rPr>
            <w:fldChar w:fldCharType="end"/>
          </w:r>
          <w:r>
            <w:rPr>
              <w:rFonts w:hint="eastAsia"/>
              <w:b/>
              <w:color w:val="auto"/>
              <w:sz w:val="28"/>
              <w:szCs w:val="28"/>
            </w:rPr>
            <w:t>3</w:t>
          </w:r>
        </w:p>
        <w:p>
          <w:pPr>
            <w:pStyle w:val="25"/>
            <w:tabs>
              <w:tab w:val="right" w:leader="dot" w:pos="9638"/>
            </w:tabs>
            <w:spacing w:line="360" w:lineRule="auto"/>
            <w:rPr>
              <w:b/>
              <w:color w:val="auto"/>
              <w:sz w:val="28"/>
              <w:szCs w:val="28"/>
              <w:highlight w:val="yellow"/>
            </w:rPr>
          </w:pPr>
        </w:p>
        <w:p>
          <w:pPr>
            <w:pStyle w:val="25"/>
            <w:tabs>
              <w:tab w:val="right" w:leader="dot" w:pos="9638"/>
            </w:tabs>
            <w:rPr>
              <w:color w:val="auto"/>
              <w:sz w:val="28"/>
              <w:szCs w:val="28"/>
            </w:rPr>
          </w:pPr>
        </w:p>
        <w:p>
          <w:pPr>
            <w:jc w:val="center"/>
            <w:rPr>
              <w:b/>
              <w:bCs/>
              <w:color w:val="auto"/>
              <w:kern w:val="0"/>
              <w:sz w:val="28"/>
              <w:szCs w:val="36"/>
            </w:rPr>
          </w:pPr>
          <w:r>
            <w:rPr>
              <w:bCs/>
              <w:color w:val="auto"/>
              <w:kern w:val="0"/>
              <w:sz w:val="28"/>
              <w:szCs w:val="28"/>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tabs>
          <w:tab w:val="left" w:pos="8261"/>
        </w:tabs>
        <w:jc w:val="left"/>
        <w:rPr>
          <w:b/>
          <w:bCs/>
          <w:color w:val="auto"/>
          <w:kern w:val="0"/>
          <w:sz w:val="28"/>
          <w:szCs w:val="36"/>
        </w:rPr>
      </w:pPr>
      <w:r>
        <w:rPr>
          <w:rFonts w:hint="eastAsia"/>
          <w:b/>
          <w:bCs/>
          <w:color w:val="auto"/>
          <w:kern w:val="0"/>
          <w:sz w:val="28"/>
          <w:szCs w:val="36"/>
        </w:rPr>
        <w:tab/>
      </w:r>
    </w:p>
    <w:p>
      <w:pPr>
        <w:tabs>
          <w:tab w:val="left" w:pos="7411"/>
        </w:tabs>
        <w:jc w:val="left"/>
        <w:rPr>
          <w:b/>
          <w:bCs/>
          <w:color w:val="auto"/>
          <w:kern w:val="0"/>
          <w:sz w:val="28"/>
          <w:szCs w:val="36"/>
        </w:rPr>
      </w:pPr>
      <w:r>
        <w:rPr>
          <w:rFonts w:hint="eastAsia"/>
          <w:b/>
          <w:bCs/>
          <w:color w:val="auto"/>
          <w:kern w:val="0"/>
          <w:sz w:val="28"/>
          <w:szCs w:val="36"/>
        </w:rPr>
        <w:tab/>
      </w: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bookmarkEnd w:id="0"/>
    <w:p>
      <w:pPr>
        <w:spacing w:line="360" w:lineRule="auto"/>
        <w:jc w:val="center"/>
        <w:outlineLvl w:val="0"/>
        <w:rPr>
          <w:rFonts w:ascii="宋体" w:hAnsi="宋体"/>
          <w:b/>
          <w:bCs/>
          <w:color w:val="auto"/>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pPr>
        <w:spacing w:line="360" w:lineRule="auto"/>
        <w:jc w:val="center"/>
        <w:outlineLvl w:val="0"/>
        <w:rPr>
          <w:rFonts w:ascii="仿宋" w:hAnsi="仿宋" w:eastAsia="仿宋" w:cs="Helvetica"/>
          <w:color w:val="auto"/>
          <w:sz w:val="30"/>
          <w:szCs w:val="30"/>
        </w:rPr>
      </w:pPr>
      <w:r>
        <w:rPr>
          <w:color w:val="auto"/>
        </w:rPr>
        <w:fldChar w:fldCharType="begin"/>
      </w:r>
      <w:r>
        <w:rPr>
          <w:color w:val="auto"/>
        </w:rPr>
        <w:instrText xml:space="preserve"> HYPERLINK \l "_Toc17950" </w:instrText>
      </w:r>
      <w:r>
        <w:rPr>
          <w:color w:val="auto"/>
        </w:rPr>
        <w:fldChar w:fldCharType="separate"/>
      </w:r>
      <w:r>
        <w:rPr>
          <w:rFonts w:hint="eastAsia" w:ascii="宋体" w:hAnsi="宋体"/>
          <w:b/>
          <w:bCs/>
          <w:color w:val="auto"/>
          <w:sz w:val="30"/>
          <w:szCs w:val="30"/>
        </w:rPr>
        <w:t>第一部分 报名邀请函</w:t>
      </w:r>
      <w:r>
        <w:rPr>
          <w:rFonts w:hint="eastAsia" w:ascii="宋体" w:hAnsi="宋体"/>
          <w:b/>
          <w:bCs/>
          <w:color w:val="auto"/>
          <w:sz w:val="30"/>
          <w:szCs w:val="30"/>
        </w:rPr>
        <w:fldChar w:fldCharType="end"/>
      </w:r>
      <w:bookmarkEnd w:id="3"/>
    </w:p>
    <w:p>
      <w:pPr>
        <w:spacing w:line="320" w:lineRule="exact"/>
        <w:ind w:firstLine="420" w:firstLineChars="200"/>
        <w:contextualSpacing/>
        <w:rPr>
          <w:rFonts w:ascii="宋体" w:hAnsi="宋体" w:cs="宋体"/>
          <w:color w:val="auto"/>
          <w:szCs w:val="21"/>
        </w:rPr>
      </w:pPr>
      <w:r>
        <w:rPr>
          <w:rFonts w:hint="eastAsia" w:ascii="宋体" w:hAnsi="宋体" w:cs="宋体"/>
          <w:color w:val="auto"/>
          <w:szCs w:val="21"/>
        </w:rPr>
        <w:t>根据我院业务发展需要，拟对医院消防系统维护保养服务进行采购，现根据相关规定特此公告，欢迎符合条件的供应商参加。</w:t>
      </w:r>
    </w:p>
    <w:p>
      <w:pPr>
        <w:spacing w:line="320" w:lineRule="exact"/>
        <w:ind w:firstLine="422" w:firstLineChars="200"/>
        <w:contextualSpacing/>
        <w:rPr>
          <w:rFonts w:ascii="宋体" w:hAnsi="宋体" w:cs="宋体"/>
          <w:b/>
          <w:bCs/>
          <w:color w:val="auto"/>
          <w:szCs w:val="21"/>
        </w:rPr>
      </w:pPr>
      <w:r>
        <w:rPr>
          <w:rFonts w:hint="eastAsia" w:ascii="宋体" w:hAnsi="宋体" w:cs="宋体"/>
          <w:b/>
          <w:bCs/>
          <w:color w:val="auto"/>
          <w:szCs w:val="21"/>
        </w:rPr>
        <w:t>一、采购需求</w:t>
      </w:r>
    </w:p>
    <w:p>
      <w:pPr>
        <w:spacing w:line="320" w:lineRule="exact"/>
        <w:ind w:firstLine="422" w:firstLineChars="200"/>
        <w:rPr>
          <w:rFonts w:ascii="宋体" w:hAnsi="宋体" w:cs="宋体"/>
          <w:color w:val="auto"/>
          <w:szCs w:val="21"/>
        </w:rPr>
      </w:pPr>
      <w:r>
        <w:rPr>
          <w:rFonts w:hint="eastAsia" w:ascii="宋体" w:hAnsi="宋体" w:cs="宋体"/>
          <w:b/>
          <w:bCs/>
          <w:color w:val="auto"/>
          <w:szCs w:val="21"/>
        </w:rPr>
        <w:t>（一）项目编号：</w:t>
      </w:r>
      <w:r>
        <w:rPr>
          <w:rFonts w:hint="eastAsia" w:ascii="宋体" w:hAnsi="宋体" w:cs="宋体"/>
          <w:color w:val="auto"/>
          <w:szCs w:val="21"/>
        </w:rPr>
        <w:t>NYWYF20230010</w:t>
      </w:r>
    </w:p>
    <w:p>
      <w:pPr>
        <w:spacing w:line="320" w:lineRule="exact"/>
        <w:ind w:firstLine="422" w:firstLineChars="200"/>
        <w:rPr>
          <w:rFonts w:ascii="宋体" w:hAnsi="宋体" w:cs="宋体"/>
          <w:color w:val="auto"/>
          <w:szCs w:val="21"/>
        </w:rPr>
      </w:pPr>
      <w:r>
        <w:rPr>
          <w:rFonts w:hint="eastAsia" w:ascii="宋体" w:hAnsi="宋体" w:cs="宋体"/>
          <w:b/>
          <w:bCs/>
          <w:color w:val="auto"/>
          <w:szCs w:val="21"/>
        </w:rPr>
        <w:t>（二）项目名称：</w:t>
      </w:r>
      <w:r>
        <w:rPr>
          <w:rFonts w:hint="eastAsia" w:ascii="宋体" w:hAnsi="宋体" w:cs="宋体"/>
          <w:color w:val="auto"/>
          <w:szCs w:val="21"/>
        </w:rPr>
        <w:t>南方医科大学第五附属医院消防系统维护保养服务项目</w:t>
      </w:r>
    </w:p>
    <w:p>
      <w:pPr>
        <w:spacing w:line="320" w:lineRule="exact"/>
        <w:ind w:firstLine="422" w:firstLineChars="200"/>
        <w:rPr>
          <w:rFonts w:ascii="宋体" w:hAnsi="宋体" w:cs="宋体"/>
          <w:color w:val="auto"/>
          <w:szCs w:val="21"/>
        </w:rPr>
      </w:pPr>
      <w:r>
        <w:rPr>
          <w:rFonts w:hint="eastAsia" w:ascii="宋体" w:hAnsi="宋体" w:cs="宋体"/>
          <w:b/>
          <w:bCs/>
          <w:color w:val="auto"/>
          <w:szCs w:val="21"/>
        </w:rPr>
        <w:t>（三）项目限价:</w:t>
      </w:r>
      <w:r>
        <w:rPr>
          <w:rFonts w:hint="eastAsia" w:ascii="宋体" w:hAnsi="宋体" w:cs="宋体"/>
          <w:color w:val="auto"/>
          <w:szCs w:val="21"/>
        </w:rPr>
        <w:t>9.6万元/年，19.2万元/两年</w:t>
      </w:r>
    </w:p>
    <w:p>
      <w:pPr>
        <w:spacing w:line="320" w:lineRule="exact"/>
        <w:ind w:firstLine="422" w:firstLineChars="200"/>
        <w:rPr>
          <w:rFonts w:ascii="宋体" w:hAnsi="宋体" w:cs="宋体"/>
          <w:color w:val="auto"/>
          <w:szCs w:val="21"/>
        </w:rPr>
      </w:pPr>
      <w:r>
        <w:rPr>
          <w:rFonts w:hint="eastAsia" w:ascii="宋体" w:hAnsi="宋体" w:cs="宋体"/>
          <w:b/>
          <w:bCs/>
          <w:color w:val="auto"/>
          <w:szCs w:val="21"/>
        </w:rPr>
        <w:t>（四）采购内容及要求：</w:t>
      </w:r>
      <w:r>
        <w:rPr>
          <w:rFonts w:hint="eastAsia" w:ascii="宋体" w:hAnsi="宋体" w:cs="宋体"/>
          <w:color w:val="auto"/>
          <w:szCs w:val="21"/>
        </w:rPr>
        <w:t>详见第二部分用户需求书</w:t>
      </w:r>
    </w:p>
    <w:p>
      <w:pPr>
        <w:widowControl/>
        <w:spacing w:line="32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二、提供资料相关事项</w:t>
      </w:r>
    </w:p>
    <w:p>
      <w:pPr>
        <w:adjustRightInd w:val="0"/>
        <w:snapToGrid w:val="0"/>
        <w:spacing w:line="320" w:lineRule="exact"/>
        <w:ind w:firstLine="422" w:firstLineChars="200"/>
        <w:rPr>
          <w:rFonts w:ascii="宋体" w:hAnsi="宋体" w:cs="宋体"/>
          <w:color w:val="auto"/>
          <w:szCs w:val="21"/>
        </w:rPr>
      </w:pPr>
      <w:r>
        <w:rPr>
          <w:rFonts w:hint="eastAsia" w:ascii="宋体" w:hAnsi="宋体" w:cs="宋体"/>
          <w:b/>
          <w:bCs/>
          <w:color w:val="auto"/>
          <w:szCs w:val="21"/>
        </w:rPr>
        <w:t>（一）报名截止时间：</w:t>
      </w:r>
      <w:r>
        <w:rPr>
          <w:rFonts w:hint="eastAsia" w:ascii="宋体" w:hAnsi="宋体" w:cs="宋体"/>
          <w:color w:val="auto"/>
          <w:szCs w:val="21"/>
        </w:rPr>
        <w:t>2023年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4</w:t>
      </w:r>
      <w:r>
        <w:rPr>
          <w:rFonts w:hint="eastAsia" w:ascii="宋体" w:hAnsi="宋体" w:cs="宋体"/>
          <w:color w:val="auto"/>
          <w:szCs w:val="21"/>
        </w:rPr>
        <w:t>日下午17点30分</w:t>
      </w:r>
    </w:p>
    <w:p>
      <w:pPr>
        <w:adjustRightInd w:val="0"/>
        <w:snapToGrid w:val="0"/>
        <w:spacing w:line="320" w:lineRule="exact"/>
        <w:ind w:firstLine="422" w:firstLineChars="200"/>
        <w:rPr>
          <w:rFonts w:ascii="宋体" w:hAnsi="宋体" w:cs="宋体"/>
          <w:color w:val="auto"/>
          <w:szCs w:val="21"/>
        </w:rPr>
      </w:pPr>
      <w:r>
        <w:rPr>
          <w:rFonts w:hint="eastAsia" w:ascii="宋体" w:hAnsi="宋体" w:cs="宋体"/>
          <w:b/>
          <w:bCs/>
          <w:color w:val="auto"/>
          <w:szCs w:val="21"/>
        </w:rPr>
        <w:t>（二）报名方式：</w:t>
      </w:r>
      <w:r>
        <w:rPr>
          <w:rFonts w:hint="eastAsia" w:ascii="宋体" w:hAnsi="宋体" w:cs="宋体"/>
          <w:color w:val="auto"/>
          <w:szCs w:val="21"/>
        </w:rPr>
        <w:t>电子邮件报名</w:t>
      </w:r>
    </w:p>
    <w:p>
      <w:pPr>
        <w:adjustRightInd w:val="0"/>
        <w:snapToGrid w:val="0"/>
        <w:spacing w:line="320" w:lineRule="exact"/>
        <w:ind w:firstLine="422" w:firstLineChars="200"/>
        <w:rPr>
          <w:rFonts w:ascii="宋体" w:hAnsi="宋体" w:cs="宋体"/>
          <w:color w:val="auto"/>
          <w:szCs w:val="21"/>
        </w:rPr>
      </w:pPr>
      <w:r>
        <w:rPr>
          <w:rFonts w:hint="eastAsia" w:ascii="宋体" w:hAnsi="宋体" w:cs="宋体"/>
          <w:b/>
          <w:color w:val="auto"/>
          <w:szCs w:val="21"/>
        </w:rPr>
        <w:t>（三）报名所需提供资料及要求</w:t>
      </w:r>
      <w:r>
        <w:rPr>
          <w:rFonts w:hint="eastAsia" w:ascii="宋体" w:hAnsi="宋体" w:cs="宋体"/>
          <w:color w:val="auto"/>
          <w:szCs w:val="21"/>
        </w:rPr>
        <w:t>：详见公告附件3报名资料</w:t>
      </w:r>
    </w:p>
    <w:p>
      <w:pPr>
        <w:spacing w:line="320" w:lineRule="exact"/>
        <w:ind w:firstLine="422" w:firstLineChars="200"/>
        <w:contextualSpacing/>
        <w:rPr>
          <w:rFonts w:ascii="宋体" w:hAnsi="宋体" w:cs="宋体"/>
          <w:b/>
          <w:bCs/>
          <w:color w:val="auto"/>
          <w:szCs w:val="21"/>
        </w:rPr>
      </w:pPr>
      <w:r>
        <w:rPr>
          <w:rFonts w:hint="eastAsia" w:ascii="宋体" w:hAnsi="宋体" w:cs="宋体"/>
          <w:b/>
          <w:bCs/>
          <w:color w:val="auto"/>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320" w:lineRule="exact"/>
        <w:ind w:firstLine="422" w:firstLineChars="200"/>
        <w:rPr>
          <w:rFonts w:ascii="宋体" w:hAnsi="宋体" w:cs="宋体"/>
          <w:color w:val="auto"/>
          <w:szCs w:val="21"/>
        </w:rPr>
      </w:pPr>
      <w:r>
        <w:rPr>
          <w:rFonts w:hint="eastAsia" w:ascii="宋体" w:hAnsi="宋体" w:cs="宋体"/>
          <w:b/>
          <w:bCs/>
          <w:color w:val="auto"/>
          <w:szCs w:val="21"/>
        </w:rPr>
        <w:t>（四）评审时间及地点：</w:t>
      </w:r>
      <w:r>
        <w:rPr>
          <w:rFonts w:hint="eastAsia" w:ascii="宋体" w:hAnsi="宋体" w:cs="宋体"/>
          <w:color w:val="auto"/>
          <w:szCs w:val="21"/>
        </w:rPr>
        <w:t>待定（根据医院工作安排通知符合要求报名公司）</w:t>
      </w:r>
    </w:p>
    <w:p>
      <w:pPr>
        <w:spacing w:line="320" w:lineRule="exact"/>
        <w:ind w:firstLine="422" w:firstLineChars="200"/>
        <w:rPr>
          <w:rFonts w:ascii="宋体" w:hAnsi="宋体" w:cs="宋体"/>
          <w:color w:val="auto"/>
          <w:szCs w:val="21"/>
          <w:lang w:val="zh-CN"/>
        </w:rPr>
      </w:pPr>
      <w:r>
        <w:rPr>
          <w:rFonts w:hint="eastAsia" w:ascii="宋体" w:hAnsi="宋体" w:cs="宋体"/>
          <w:b/>
          <w:bCs/>
          <w:color w:val="auto"/>
          <w:szCs w:val="21"/>
          <w:lang w:val="zh-CN"/>
        </w:rPr>
        <w:t>三、供应商资格要求</w:t>
      </w:r>
    </w:p>
    <w:p>
      <w:pPr>
        <w:spacing w:line="320" w:lineRule="exact"/>
        <w:ind w:firstLine="422" w:firstLineChars="200"/>
        <w:rPr>
          <w:rFonts w:ascii="宋体" w:hAnsi="宋体" w:cs="宋体"/>
          <w:color w:val="auto"/>
          <w:szCs w:val="21"/>
        </w:rPr>
      </w:pPr>
      <w:bookmarkStart w:id="4" w:name="_Toc28359004"/>
      <w:bookmarkEnd w:id="4"/>
      <w:r>
        <w:rPr>
          <w:rFonts w:hint="eastAsia" w:ascii="宋体" w:hAnsi="宋体" w:cs="宋体"/>
          <w:b/>
          <w:bCs/>
          <w:color w:val="auto"/>
          <w:szCs w:val="21"/>
        </w:rPr>
        <w:t>（一）</w:t>
      </w:r>
      <w:r>
        <w:rPr>
          <w:rFonts w:hint="eastAsia" w:ascii="宋体" w:hAnsi="宋体" w:cs="宋体"/>
          <w:color w:val="auto"/>
          <w:szCs w:val="21"/>
        </w:rPr>
        <w:t>供应商必须是具有独立承担民事责任的能力：提供在中华人民共和国境内注册的法人或其他组织的营业执照或事业单位法人证书或社会团体法人登记证书复印件并加盖供应商公章，如为自然人的提供自然人身份证明复印件并加盖供应商公章；如国家另有规定的，则从其规定。</w:t>
      </w:r>
    </w:p>
    <w:p>
      <w:pPr>
        <w:spacing w:line="320" w:lineRule="exact"/>
        <w:ind w:firstLine="422" w:firstLineChars="200"/>
        <w:rPr>
          <w:rFonts w:ascii="宋体" w:hAnsi="宋体" w:cs="宋体"/>
          <w:color w:val="auto"/>
          <w:szCs w:val="21"/>
        </w:rPr>
      </w:pPr>
      <w:r>
        <w:rPr>
          <w:rFonts w:hint="eastAsia" w:ascii="宋体" w:hAnsi="宋体" w:cs="宋体"/>
          <w:b/>
          <w:bCs/>
          <w:color w:val="auto"/>
          <w:szCs w:val="21"/>
        </w:rPr>
        <w:t>（二）</w:t>
      </w:r>
      <w:r>
        <w:rPr>
          <w:rFonts w:hint="eastAsia" w:ascii="宋体" w:hAnsi="宋体" w:cs="宋体"/>
          <w:color w:val="auto"/>
          <w:szCs w:val="21"/>
        </w:rPr>
        <w:t>单位负责人为同一人或者存在直接控股、管理关系的不同供应商，不得同时参加本采购项目报价。提供书面声明并加盖供应商公章。</w:t>
      </w:r>
    </w:p>
    <w:p>
      <w:pPr>
        <w:spacing w:line="320" w:lineRule="exact"/>
        <w:ind w:firstLine="422" w:firstLineChars="200"/>
        <w:rPr>
          <w:rFonts w:ascii="宋体" w:hAnsi="宋体" w:cs="宋体"/>
          <w:color w:val="auto"/>
          <w:szCs w:val="21"/>
        </w:rPr>
      </w:pPr>
      <w:r>
        <w:rPr>
          <w:rFonts w:hint="eastAsia" w:ascii="宋体" w:hAnsi="宋体" w:cs="宋体"/>
          <w:b/>
          <w:bCs/>
          <w:color w:val="auto"/>
          <w:szCs w:val="21"/>
        </w:rPr>
        <w:t>（三）</w:t>
      </w:r>
      <w:r>
        <w:rPr>
          <w:rFonts w:hint="eastAsia" w:ascii="宋体" w:hAnsi="宋体" w:cs="宋体"/>
          <w:color w:val="auto"/>
          <w:szCs w:val="21"/>
        </w:rPr>
        <w:t>供应商必须在国家社会消防技术服务信息系统入库备案并提供相关备案截图（https://shhxf.119.gov.cn/templet/index_7.jsp）。提供相关证明材料，并加盖供应商公章。</w:t>
      </w:r>
    </w:p>
    <w:p>
      <w:pPr>
        <w:spacing w:line="320" w:lineRule="exact"/>
        <w:ind w:firstLine="422" w:firstLineChars="200"/>
        <w:rPr>
          <w:rFonts w:ascii="宋体" w:hAnsi="宋体" w:cs="宋体"/>
          <w:color w:val="auto"/>
          <w:szCs w:val="21"/>
        </w:rPr>
      </w:pPr>
      <w:r>
        <w:rPr>
          <w:rFonts w:hint="eastAsia" w:ascii="宋体" w:hAnsi="宋体" w:cs="宋体"/>
          <w:b/>
          <w:bCs/>
          <w:color w:val="auto"/>
          <w:szCs w:val="21"/>
        </w:rPr>
        <w:t>（四）</w:t>
      </w:r>
      <w:r>
        <w:rPr>
          <w:rFonts w:hint="eastAsia" w:ascii="宋体" w:hAnsi="宋体" w:cs="宋体"/>
          <w:color w:val="auto"/>
          <w:szCs w:val="21"/>
        </w:rPr>
        <w:t>本项目不接受联合体投标；不允许分包、转包。需提供书面承诺，内容必须包含相关文字内容，格式自拟，并加盖供应商公章。</w:t>
      </w:r>
    </w:p>
    <w:p>
      <w:pPr>
        <w:autoSpaceDE w:val="0"/>
        <w:autoSpaceDN w:val="0"/>
        <w:spacing w:line="320" w:lineRule="exact"/>
        <w:ind w:firstLine="422" w:firstLineChars="200"/>
        <w:rPr>
          <w:rFonts w:ascii="宋体" w:hAnsi="宋体" w:cs="宋体"/>
          <w:color w:val="auto"/>
          <w:szCs w:val="21"/>
        </w:rPr>
      </w:pPr>
      <w:r>
        <w:rPr>
          <w:rFonts w:hint="eastAsia" w:ascii="宋体" w:hAnsi="宋体" w:cs="宋体"/>
          <w:b/>
          <w:bCs/>
          <w:color w:val="auto"/>
          <w:szCs w:val="21"/>
          <w:shd w:val="clear" w:color="auto" w:fill="FFFFFF"/>
        </w:rPr>
        <w:t>注：供应商若不能同时满足以上条件则视为投标参与无效。</w:t>
      </w:r>
      <w:r>
        <w:rPr>
          <w:rFonts w:hint="eastAsia" w:ascii="宋体" w:hAnsi="宋体" w:cs="宋体"/>
          <w:color w:val="auto"/>
          <w:szCs w:val="21"/>
        </w:rPr>
        <w:t>（如发现提供虚假材料者，取消其参加评审资格和成交资格）</w:t>
      </w:r>
    </w:p>
    <w:p>
      <w:pPr>
        <w:widowControl/>
        <w:spacing w:line="32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四、联系方式。</w:t>
      </w:r>
    </w:p>
    <w:p>
      <w:pPr>
        <w:widowControl/>
        <w:spacing w:line="32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冯老师：020-61780580（采购业务咨询）  邮箱：nywycgb@126.com</w:t>
      </w:r>
    </w:p>
    <w:p>
      <w:pPr>
        <w:widowControl/>
        <w:spacing w:line="320" w:lineRule="exact"/>
        <w:ind w:firstLine="315" w:firstLineChars="150"/>
        <w:jc w:val="left"/>
        <w:rPr>
          <w:rFonts w:ascii="宋体" w:hAnsi="宋体" w:cs="宋体"/>
          <w:color w:val="auto"/>
          <w:kern w:val="0"/>
          <w:szCs w:val="21"/>
        </w:rPr>
      </w:pPr>
      <w:r>
        <w:rPr>
          <w:rFonts w:hint="eastAsia" w:ascii="宋体" w:hAnsi="宋体" w:cs="宋体"/>
          <w:color w:val="auto"/>
          <w:szCs w:val="21"/>
        </w:rPr>
        <w:t>张老师：020-61780305（项目需求咨询）</w:t>
      </w:r>
    </w:p>
    <w:p>
      <w:pPr>
        <w:widowControl/>
        <w:spacing w:line="32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刘老师：020-61780096（投诉举报电话）</w:t>
      </w:r>
    </w:p>
    <w:p>
      <w:pPr>
        <w:widowControl/>
        <w:spacing w:line="32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联系时间（工作日）：上午 8:30-12:00，下午14:30-17:30</w:t>
      </w:r>
    </w:p>
    <w:p>
      <w:pPr>
        <w:widowControl/>
        <w:spacing w:line="32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 xml:space="preserve">     </w:t>
      </w:r>
    </w:p>
    <w:p>
      <w:pPr>
        <w:widowControl/>
        <w:spacing w:line="300" w:lineRule="exact"/>
        <w:jc w:val="right"/>
        <w:rPr>
          <w:rFonts w:ascii="宋体" w:hAnsi="宋体" w:cs="宋体"/>
          <w:color w:val="auto"/>
          <w:kern w:val="0"/>
          <w:szCs w:val="21"/>
        </w:rPr>
      </w:pPr>
    </w:p>
    <w:p>
      <w:pPr>
        <w:widowControl/>
        <w:spacing w:line="300" w:lineRule="exact"/>
        <w:jc w:val="right"/>
        <w:rPr>
          <w:rFonts w:ascii="宋体" w:hAnsi="宋体" w:cs="宋体"/>
          <w:color w:val="auto"/>
          <w:kern w:val="0"/>
          <w:szCs w:val="21"/>
        </w:rPr>
      </w:pPr>
    </w:p>
    <w:p>
      <w:pPr>
        <w:widowControl/>
        <w:spacing w:line="300" w:lineRule="exact"/>
        <w:jc w:val="right"/>
        <w:rPr>
          <w:rFonts w:ascii="宋体" w:hAnsi="宋体" w:cs="宋体"/>
          <w:color w:val="auto"/>
          <w:kern w:val="0"/>
          <w:szCs w:val="21"/>
        </w:rPr>
      </w:pPr>
    </w:p>
    <w:p>
      <w:pPr>
        <w:widowControl/>
        <w:spacing w:line="300" w:lineRule="exact"/>
        <w:jc w:val="right"/>
        <w:rPr>
          <w:rFonts w:ascii="宋体" w:hAnsi="宋体" w:cs="宋体"/>
          <w:color w:val="auto"/>
          <w:kern w:val="0"/>
          <w:szCs w:val="21"/>
        </w:rPr>
      </w:pPr>
      <w:r>
        <w:rPr>
          <w:rFonts w:hint="eastAsia" w:ascii="宋体" w:hAnsi="宋体" w:cs="宋体"/>
          <w:color w:val="auto"/>
          <w:kern w:val="0"/>
          <w:szCs w:val="21"/>
        </w:rPr>
        <w:t>南方医科大学第五附属医院</w:t>
      </w:r>
    </w:p>
    <w:p>
      <w:pPr>
        <w:tabs>
          <w:tab w:val="left" w:pos="6645"/>
        </w:tabs>
        <w:spacing w:line="300" w:lineRule="exact"/>
        <w:jc w:val="right"/>
        <w:rPr>
          <w:rFonts w:ascii="宋体" w:hAnsi="宋体" w:cs="宋体"/>
          <w:color w:val="auto"/>
          <w:szCs w:val="21"/>
        </w:rPr>
      </w:pPr>
      <w:r>
        <w:rPr>
          <w:rFonts w:hint="eastAsia" w:ascii="宋体" w:hAnsi="宋体" w:cs="宋体"/>
          <w:color w:val="auto"/>
          <w:kern w:val="0"/>
          <w:szCs w:val="21"/>
        </w:rPr>
        <w:t>2023年</w:t>
      </w:r>
      <w:r>
        <w:rPr>
          <w:rFonts w:hint="eastAsia" w:ascii="宋体" w:hAnsi="宋体" w:cs="宋体"/>
          <w:color w:val="auto"/>
          <w:szCs w:val="21"/>
          <w:shd w:val="clear" w:color="auto" w:fill="FFFFFF"/>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30</w:t>
      </w:r>
      <w:r>
        <w:rPr>
          <w:rFonts w:hint="eastAsia" w:ascii="宋体" w:hAnsi="宋体" w:cs="宋体"/>
          <w:color w:val="auto"/>
          <w:kern w:val="0"/>
          <w:szCs w:val="21"/>
        </w:rPr>
        <w:t>日</w:t>
      </w: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numPr>
          <w:ilvl w:val="0"/>
          <w:numId w:val="2"/>
        </w:numPr>
        <w:spacing w:line="360" w:lineRule="auto"/>
        <w:jc w:val="center"/>
        <w:outlineLvl w:val="0"/>
        <w:rPr>
          <w:rFonts w:ascii="宋体" w:hAnsi="宋体"/>
          <w:b/>
          <w:bCs/>
          <w:color w:val="auto"/>
          <w:sz w:val="30"/>
          <w:szCs w:val="30"/>
        </w:rPr>
      </w:pPr>
      <w:bookmarkStart w:id="5" w:name="_Toc25861"/>
      <w:bookmarkStart w:id="6" w:name="_Toc27350"/>
      <w:r>
        <w:rPr>
          <w:rFonts w:hint="eastAsia" w:ascii="宋体" w:hAnsi="宋体"/>
          <w:b/>
          <w:bCs/>
          <w:color w:val="auto"/>
          <w:sz w:val="30"/>
          <w:szCs w:val="30"/>
        </w:rPr>
        <w:t>用户需求书</w:t>
      </w:r>
      <w:bookmarkEnd w:id="5"/>
      <w:bookmarkEnd w:id="6"/>
    </w:p>
    <w:p>
      <w:pPr>
        <w:ind w:firstLine="422" w:firstLineChars="200"/>
        <w:outlineLvl w:val="0"/>
        <w:rPr>
          <w:rFonts w:ascii="宋体" w:hAnsi="宋体" w:cs="宋体"/>
          <w:b/>
          <w:color w:val="auto"/>
          <w:szCs w:val="21"/>
        </w:rPr>
      </w:pPr>
      <w:bookmarkStart w:id="7" w:name="_Toc20762"/>
      <w:bookmarkStart w:id="8" w:name="_Toc6416"/>
      <w:bookmarkStart w:id="9" w:name="_Toc27614"/>
      <w:bookmarkStart w:id="10" w:name="_Toc8122"/>
      <w:bookmarkStart w:id="11" w:name="_Toc26796"/>
      <w:bookmarkStart w:id="12" w:name="_Toc28850"/>
      <w:bookmarkStart w:id="13" w:name="_Toc20606"/>
      <w:r>
        <w:rPr>
          <w:rFonts w:ascii="宋体" w:hAnsi="宋体"/>
          <w:b/>
          <w:color w:val="auto"/>
          <w:szCs w:val="21"/>
        </w:rPr>
        <w:t>一、项目概述</w:t>
      </w:r>
    </w:p>
    <w:p>
      <w:pPr>
        <w:spacing w:line="400" w:lineRule="exact"/>
        <w:ind w:firstLine="422" w:firstLineChars="200"/>
        <w:rPr>
          <w:color w:val="auto"/>
        </w:rPr>
      </w:pPr>
      <w:r>
        <w:rPr>
          <w:rFonts w:hint="eastAsia" w:ascii="宋体" w:hAnsi="宋体" w:cs="宋体"/>
          <w:b/>
          <w:bCs/>
          <w:color w:val="auto"/>
          <w:szCs w:val="21"/>
        </w:rPr>
        <w:t>（一）项目名称：</w:t>
      </w:r>
      <w:r>
        <w:rPr>
          <w:rFonts w:hint="eastAsia" w:ascii="宋体" w:hAnsi="宋体" w:cs="宋体"/>
          <w:color w:val="auto"/>
          <w:szCs w:val="21"/>
        </w:rPr>
        <w:t>南方医科大</w:t>
      </w:r>
      <w:r>
        <w:rPr>
          <w:rFonts w:hint="eastAsia"/>
          <w:color w:val="auto"/>
        </w:rPr>
        <w:t>学第五附属医院消防系统维护保养服务项</w:t>
      </w:r>
    </w:p>
    <w:p>
      <w:pPr>
        <w:spacing w:line="400" w:lineRule="exact"/>
        <w:ind w:firstLine="422" w:firstLineChars="200"/>
        <w:rPr>
          <w:color w:val="auto"/>
        </w:rPr>
      </w:pPr>
      <w:r>
        <w:rPr>
          <w:rFonts w:hint="eastAsia" w:ascii="宋体" w:hAnsi="宋体" w:cs="宋体"/>
          <w:b/>
          <w:bCs/>
          <w:color w:val="auto"/>
          <w:szCs w:val="21"/>
        </w:rPr>
        <w:t>（二）项目限价：</w:t>
      </w:r>
      <w:r>
        <w:rPr>
          <w:rFonts w:hint="eastAsia"/>
          <w:color w:val="auto"/>
        </w:rPr>
        <w:t>9.6万元/年，19.2万元/两年。</w:t>
      </w:r>
    </w:p>
    <w:p>
      <w:pPr>
        <w:spacing w:line="400" w:lineRule="exact"/>
        <w:ind w:firstLine="422" w:firstLineChars="200"/>
        <w:rPr>
          <w:color w:val="auto"/>
        </w:rPr>
      </w:pPr>
      <w:r>
        <w:rPr>
          <w:rFonts w:hint="eastAsia" w:ascii="宋体" w:hAnsi="宋体" w:cs="宋体"/>
          <w:b/>
          <w:bCs/>
          <w:color w:val="auto"/>
          <w:szCs w:val="21"/>
        </w:rPr>
        <w:t>（三）保养面积：</w:t>
      </w:r>
      <w:r>
        <w:rPr>
          <w:color w:val="auto"/>
        </w:rPr>
        <w:t>建筑面积约</w:t>
      </w:r>
      <w:r>
        <w:rPr>
          <w:rFonts w:hint="eastAsia"/>
          <w:color w:val="auto"/>
        </w:rPr>
        <w:t>130000</w:t>
      </w:r>
      <w:r>
        <w:rPr>
          <w:color w:val="auto"/>
        </w:rPr>
        <w:t>平方米(含地下室)</w:t>
      </w:r>
    </w:p>
    <w:p>
      <w:pPr>
        <w:spacing w:line="400" w:lineRule="exact"/>
        <w:ind w:firstLine="422" w:firstLineChars="200"/>
        <w:rPr>
          <w:rFonts w:ascii="宋体" w:hAnsi="宋体" w:cs="宋体"/>
          <w:color w:val="auto"/>
          <w:szCs w:val="21"/>
        </w:rPr>
      </w:pPr>
      <w:r>
        <w:rPr>
          <w:rFonts w:hint="eastAsia"/>
          <w:b/>
          <w:bCs/>
          <w:color w:val="auto"/>
        </w:rPr>
        <w:t>（四）服务范围：</w:t>
      </w:r>
      <w:r>
        <w:rPr>
          <w:rFonts w:hint="eastAsia"/>
          <w:color w:val="auto"/>
        </w:rPr>
        <w:t>南方医科大学第五附属医院的医技楼、内科楼、外科楼、妇儿楼 (含地下室)、核医学楼、云星楼、新门诊大楼和感染楼、朝阳街门诊部</w:t>
      </w:r>
      <w:r>
        <w:rPr>
          <w:rFonts w:hint="eastAsia"/>
          <w:color w:val="auto"/>
          <w:lang w:val="en-US" w:eastAsia="zh-CN"/>
        </w:rPr>
        <w:t>(搬迁前）</w:t>
      </w:r>
      <w:r>
        <w:rPr>
          <w:rFonts w:hint="eastAsia"/>
          <w:color w:val="auto"/>
        </w:rPr>
        <w:t>等的消防系统进行维护保养事宜。内容包括但不限于消防设备的日常维护、定期保养、故障修复、应用支持广</w:t>
      </w:r>
      <w:r>
        <w:rPr>
          <w:rFonts w:hint="eastAsia" w:ascii="宋体" w:hAnsi="宋体" w:cs="宋体"/>
          <w:color w:val="auto"/>
          <w:szCs w:val="21"/>
        </w:rPr>
        <w:t>东消防技术服务等保修服务。</w:t>
      </w:r>
    </w:p>
    <w:p>
      <w:pPr>
        <w:spacing w:line="400" w:lineRule="exact"/>
        <w:rPr>
          <w:rFonts w:ascii="宋体" w:hAnsi="宋体"/>
          <w:color w:val="auto"/>
          <w:szCs w:val="21"/>
        </w:rPr>
      </w:pPr>
      <w:r>
        <w:rPr>
          <w:rFonts w:hint="eastAsia" w:hAnsi="宋体"/>
          <w:color w:val="auto"/>
          <w:szCs w:val="21"/>
        </w:rPr>
        <w:t xml:space="preserve">  </w:t>
      </w:r>
      <w:r>
        <w:rPr>
          <w:rFonts w:hint="eastAsia" w:ascii="宋体" w:hAnsi="宋体" w:cs="宋体"/>
          <w:b/>
          <w:bCs/>
          <w:color w:val="auto"/>
          <w:szCs w:val="21"/>
        </w:rPr>
        <w:t xml:space="preserve">  （五）服务</w:t>
      </w:r>
      <w:r>
        <w:rPr>
          <w:rFonts w:hint="eastAsia" w:hAnsi="宋体"/>
          <w:b/>
          <w:color w:val="auto"/>
          <w:szCs w:val="21"/>
        </w:rPr>
        <w:t>期限：</w:t>
      </w:r>
      <w:r>
        <w:rPr>
          <w:rFonts w:hint="eastAsia" w:ascii="宋体" w:hAnsi="宋体"/>
          <w:color w:val="auto"/>
          <w:szCs w:val="21"/>
        </w:rPr>
        <w:t>自合同签订之日起2年</w:t>
      </w:r>
    </w:p>
    <w:p>
      <w:pPr>
        <w:spacing w:line="400" w:lineRule="exact"/>
        <w:ind w:firstLine="422" w:firstLineChars="200"/>
        <w:rPr>
          <w:color w:val="auto"/>
          <w:szCs w:val="21"/>
        </w:rPr>
      </w:pPr>
      <w:r>
        <w:rPr>
          <w:rFonts w:hint="eastAsia" w:hAnsi="宋体"/>
          <w:b/>
          <w:bCs/>
          <w:color w:val="auto"/>
          <w:szCs w:val="21"/>
        </w:rPr>
        <w:t>（六）</w:t>
      </w:r>
      <w:r>
        <w:rPr>
          <w:rFonts w:hint="eastAsia" w:ascii="宋体" w:hAnsi="宋体"/>
          <w:b/>
          <w:bCs/>
          <w:color w:val="auto"/>
          <w:szCs w:val="21"/>
        </w:rPr>
        <w:t>服务</w:t>
      </w:r>
      <w:r>
        <w:rPr>
          <w:rFonts w:ascii="宋体" w:hAnsi="宋体"/>
          <w:b/>
          <w:bCs/>
          <w:color w:val="auto"/>
          <w:szCs w:val="21"/>
        </w:rPr>
        <w:t>地址：</w:t>
      </w:r>
      <w:r>
        <w:rPr>
          <w:rFonts w:ascii="宋体" w:hAnsi="宋体"/>
          <w:color w:val="auto"/>
          <w:szCs w:val="21"/>
        </w:rPr>
        <w:t>广州市从化区从城大道566号</w:t>
      </w:r>
      <w:r>
        <w:rPr>
          <w:rFonts w:hint="eastAsia" w:ascii="宋体" w:hAnsi="宋体"/>
          <w:color w:val="auto"/>
          <w:szCs w:val="21"/>
        </w:rPr>
        <w:t>和朝阳街1号</w:t>
      </w:r>
      <w:bookmarkStart w:id="250" w:name="_GoBack"/>
      <w:bookmarkEnd w:id="250"/>
    </w:p>
    <w:p>
      <w:pPr>
        <w:spacing w:line="400" w:lineRule="exact"/>
        <w:ind w:left="315" w:leftChars="150" w:firstLine="105" w:firstLineChars="50"/>
        <w:rPr>
          <w:b/>
          <w:color w:val="auto"/>
          <w:szCs w:val="21"/>
        </w:rPr>
      </w:pPr>
      <w:r>
        <w:rPr>
          <w:rFonts w:hint="eastAsia" w:hAnsi="宋体"/>
          <w:b/>
          <w:bCs/>
          <w:color w:val="auto"/>
          <w:szCs w:val="21"/>
        </w:rPr>
        <w:t xml:space="preserve"> 二、</w:t>
      </w:r>
      <w:r>
        <w:rPr>
          <w:rFonts w:hint="eastAsia" w:ascii="宋体" w:hAnsi="宋体"/>
          <w:b/>
          <w:color w:val="auto"/>
          <w:szCs w:val="21"/>
        </w:rPr>
        <w:t>采购内容</w:t>
      </w:r>
    </w:p>
    <w:p>
      <w:pPr>
        <w:spacing w:line="400" w:lineRule="exact"/>
        <w:ind w:firstLine="420" w:firstLineChars="200"/>
        <w:rPr>
          <w:color w:val="auto"/>
          <w:szCs w:val="21"/>
        </w:rPr>
      </w:pPr>
      <w:r>
        <w:rPr>
          <w:rFonts w:hint="eastAsia" w:ascii="宋体" w:hAnsi="宋体"/>
          <w:color w:val="auto"/>
          <w:szCs w:val="21"/>
        </w:rPr>
        <w:t xml:space="preserve">（一） </w:t>
      </w:r>
      <w:r>
        <w:rPr>
          <w:rFonts w:ascii="宋体" w:hAnsi="宋体"/>
          <w:color w:val="auto"/>
          <w:szCs w:val="21"/>
        </w:rPr>
        <w:t>消防</w:t>
      </w:r>
      <w:r>
        <w:rPr>
          <w:rFonts w:hint="eastAsia" w:ascii="宋体" w:hAnsi="宋体"/>
          <w:color w:val="auto"/>
          <w:szCs w:val="21"/>
        </w:rPr>
        <w:t>设施设备</w:t>
      </w:r>
      <w:r>
        <w:rPr>
          <w:rFonts w:ascii="宋体" w:hAnsi="宋体"/>
          <w:color w:val="auto"/>
          <w:szCs w:val="21"/>
        </w:rPr>
        <w:t>维护保养的服务费用</w:t>
      </w:r>
    </w:p>
    <w:p>
      <w:pPr>
        <w:spacing w:line="400" w:lineRule="exact"/>
        <w:ind w:firstLine="420" w:firstLineChars="200"/>
        <w:rPr>
          <w:rFonts w:ascii="宋体" w:hAnsi="宋体"/>
          <w:color w:val="auto"/>
          <w:szCs w:val="21"/>
        </w:rPr>
      </w:pPr>
      <w:r>
        <w:rPr>
          <w:rFonts w:ascii="宋体" w:hAnsi="宋体"/>
          <w:color w:val="auto"/>
          <w:szCs w:val="21"/>
        </w:rPr>
        <w:t>服务费用采取含税总价包干的形式。包括</w:t>
      </w:r>
      <w:r>
        <w:rPr>
          <w:rFonts w:hint="eastAsia" w:ascii="宋体" w:hAnsi="宋体"/>
          <w:color w:val="auto"/>
          <w:szCs w:val="21"/>
        </w:rPr>
        <w:t>但不限于各种税费、设备材料采购供应、施工、安装调试、备品配件及辅助材料费、拆卸费、人工费、</w:t>
      </w:r>
      <w:r>
        <w:rPr>
          <w:rFonts w:ascii="宋体" w:hAnsi="宋体"/>
          <w:color w:val="auto"/>
          <w:szCs w:val="21"/>
        </w:rPr>
        <w:t>员工社保费（包括养老保险、失业保险、工伤保险、医疗保险等）、</w:t>
      </w:r>
      <w:r>
        <w:rPr>
          <w:rFonts w:hint="eastAsia" w:ascii="宋体" w:hAnsi="宋体"/>
          <w:color w:val="auto"/>
          <w:szCs w:val="21"/>
        </w:rPr>
        <w:t>单件300</w:t>
      </w:r>
      <w:r>
        <w:rPr>
          <w:rFonts w:ascii="宋体" w:hAnsi="宋体"/>
          <w:color w:val="auto"/>
          <w:szCs w:val="21"/>
        </w:rPr>
        <w:t>元</w:t>
      </w:r>
      <w:r>
        <w:rPr>
          <w:rFonts w:hint="eastAsia" w:ascii="宋体" w:hAnsi="宋体"/>
          <w:color w:val="auto"/>
          <w:szCs w:val="21"/>
        </w:rPr>
        <w:t>（含）</w:t>
      </w:r>
      <w:r>
        <w:rPr>
          <w:rFonts w:ascii="宋体" w:hAnsi="宋体"/>
          <w:color w:val="auto"/>
          <w:szCs w:val="21"/>
        </w:rPr>
        <w:t>以下的零</w:t>
      </w:r>
      <w:r>
        <w:rPr>
          <w:rFonts w:hint="eastAsia" w:ascii="宋体" w:hAnsi="宋体"/>
          <w:color w:val="auto"/>
          <w:szCs w:val="21"/>
        </w:rPr>
        <w:t>配</w:t>
      </w:r>
      <w:r>
        <w:rPr>
          <w:rFonts w:ascii="宋体" w:hAnsi="宋体"/>
          <w:color w:val="auto"/>
          <w:szCs w:val="21"/>
        </w:rPr>
        <w:t>件</w:t>
      </w:r>
      <w:r>
        <w:rPr>
          <w:rFonts w:hint="eastAsia" w:ascii="宋体" w:hAnsi="宋体"/>
          <w:color w:val="auto"/>
          <w:szCs w:val="21"/>
        </w:rPr>
        <w:t>费用（部分配件清单详见表1</w:t>
      </w:r>
      <w:r>
        <w:rPr>
          <w:rFonts w:ascii="宋体" w:hAnsi="宋体"/>
          <w:color w:val="auto"/>
          <w:szCs w:val="21"/>
        </w:rPr>
        <w:t>）、行政费、工具购置及折旧费、机械费、运输费、管理费、</w:t>
      </w:r>
      <w:r>
        <w:rPr>
          <w:rFonts w:hint="eastAsia" w:ascii="宋体" w:hAnsi="宋体"/>
          <w:color w:val="auto"/>
          <w:szCs w:val="21"/>
        </w:rPr>
        <w:t>验收费用、风险包干、相关伴随服务以及售后服务等直至验收合格交付、维保服务完毕等全部所有可预见和不可预见的一切费用。</w:t>
      </w:r>
      <w:r>
        <w:rPr>
          <w:rFonts w:ascii="宋体" w:hAnsi="宋体"/>
          <w:color w:val="auto"/>
          <w:szCs w:val="21"/>
        </w:rPr>
        <w:t>合同期内不得以任何理由（包括并不限于市场价格涨落及汇率、税率变动、政府政策</w:t>
      </w:r>
      <w:r>
        <w:rPr>
          <w:rFonts w:hint="eastAsia" w:ascii="宋体" w:hAnsi="宋体"/>
          <w:color w:val="auto"/>
          <w:szCs w:val="21"/>
          <w:lang w:eastAsia="zh-CN"/>
        </w:rPr>
        <w:t>等问题</w:t>
      </w:r>
      <w:r>
        <w:rPr>
          <w:rFonts w:ascii="宋体" w:hAnsi="宋体"/>
          <w:color w:val="auto"/>
          <w:szCs w:val="21"/>
        </w:rPr>
        <w:t>）要求提高服务费的标准。</w:t>
      </w:r>
    </w:p>
    <w:p>
      <w:pPr>
        <w:spacing w:line="360" w:lineRule="auto"/>
        <w:jc w:val="center"/>
        <w:rPr>
          <w:rFonts w:ascii="宋体" w:hAnsi="宋体"/>
          <w:b/>
          <w:bCs/>
          <w:color w:val="auto"/>
          <w:szCs w:val="21"/>
        </w:rPr>
      </w:pPr>
      <w:r>
        <w:rPr>
          <w:rFonts w:hint="eastAsia" w:ascii="宋体" w:hAnsi="宋体"/>
          <w:b/>
          <w:bCs/>
          <w:color w:val="auto"/>
          <w:szCs w:val="21"/>
        </w:rPr>
        <w:t>表1  单件300元以内（含）消防维保零配件清单</w:t>
      </w:r>
    </w:p>
    <w:tbl>
      <w:tblPr>
        <w:tblStyle w:val="18"/>
        <w:tblW w:w="6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346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b/>
                <w:bCs/>
                <w:color w:val="auto"/>
                <w:szCs w:val="21"/>
              </w:rPr>
            </w:pPr>
            <w:r>
              <w:rPr>
                <w:rFonts w:hint="eastAsia" w:ascii="宋体" w:hAnsi="宋体"/>
                <w:b/>
                <w:bCs/>
                <w:color w:val="auto"/>
                <w:szCs w:val="21"/>
              </w:rPr>
              <w:t>序号</w:t>
            </w:r>
          </w:p>
        </w:tc>
        <w:tc>
          <w:tcPr>
            <w:tcW w:w="3469" w:type="dxa"/>
            <w:vAlign w:val="center"/>
          </w:tcPr>
          <w:p>
            <w:pPr>
              <w:spacing w:line="360" w:lineRule="auto"/>
              <w:jc w:val="center"/>
              <w:rPr>
                <w:rFonts w:ascii="宋体" w:hAnsi="宋体"/>
                <w:b/>
                <w:bCs/>
                <w:color w:val="auto"/>
                <w:szCs w:val="21"/>
              </w:rPr>
            </w:pPr>
            <w:r>
              <w:rPr>
                <w:rFonts w:hint="eastAsia" w:ascii="宋体" w:hAnsi="宋体"/>
                <w:b/>
                <w:bCs/>
                <w:color w:val="auto"/>
                <w:szCs w:val="21"/>
              </w:rPr>
              <w:t>名称</w:t>
            </w:r>
          </w:p>
        </w:tc>
        <w:tc>
          <w:tcPr>
            <w:tcW w:w="2085" w:type="dxa"/>
            <w:vAlign w:val="center"/>
          </w:tcPr>
          <w:p>
            <w:pPr>
              <w:spacing w:line="360" w:lineRule="auto"/>
              <w:jc w:val="center"/>
              <w:rPr>
                <w:rFonts w:ascii="宋体" w:hAnsi="宋体"/>
                <w:b/>
                <w:bCs/>
                <w:color w:val="auto"/>
                <w:szCs w:val="21"/>
              </w:rPr>
            </w:pPr>
            <w:r>
              <w:rPr>
                <w:rFonts w:hint="eastAsia" w:ascii="宋体" w:hAnsi="宋体"/>
                <w:b/>
                <w:bCs/>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感烟探测器</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感温探测器</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手动报警按钮</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输入输出模块</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多线联动模块</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输出模块</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7</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输入模块</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8</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消火栓按钮</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9</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声光报警器</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10</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内丝消防栓</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11</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喷淋头</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12</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枪咀</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13</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小型继电器</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14</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启停按钮</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ascii="宋体" w:hAnsi="宋体"/>
                <w:color w:val="auto"/>
                <w:szCs w:val="21"/>
              </w:rPr>
            </w:pPr>
            <w:r>
              <w:rPr>
                <w:rFonts w:hint="eastAsia" w:ascii="宋体" w:hAnsi="宋体"/>
                <w:color w:val="auto"/>
                <w:szCs w:val="21"/>
              </w:rPr>
              <w:t>15</w:t>
            </w:r>
          </w:p>
        </w:tc>
        <w:tc>
          <w:tcPr>
            <w:tcW w:w="3469" w:type="dxa"/>
            <w:vAlign w:val="center"/>
          </w:tcPr>
          <w:p>
            <w:pPr>
              <w:spacing w:line="360" w:lineRule="auto"/>
              <w:jc w:val="center"/>
              <w:rPr>
                <w:rFonts w:ascii="宋体" w:hAnsi="宋体"/>
                <w:color w:val="auto"/>
                <w:szCs w:val="21"/>
              </w:rPr>
            </w:pPr>
            <w:r>
              <w:rPr>
                <w:rFonts w:hint="eastAsia" w:ascii="宋体" w:hAnsi="宋体"/>
                <w:color w:val="auto"/>
                <w:szCs w:val="21"/>
              </w:rPr>
              <w:t>普通压力表</w:t>
            </w:r>
          </w:p>
        </w:tc>
        <w:tc>
          <w:tcPr>
            <w:tcW w:w="2085" w:type="dxa"/>
            <w:vAlign w:val="center"/>
          </w:tcPr>
          <w:p>
            <w:pPr>
              <w:spacing w:line="360" w:lineRule="auto"/>
              <w:jc w:val="center"/>
              <w:rPr>
                <w:rFonts w:ascii="宋体" w:hAnsi="宋体"/>
                <w:color w:val="auto"/>
                <w:szCs w:val="21"/>
              </w:rPr>
            </w:pPr>
            <w:r>
              <w:rPr>
                <w:rFonts w:hint="eastAsia" w:ascii="宋体" w:hAnsi="宋体"/>
                <w:color w:val="auto"/>
                <w:szCs w:val="21"/>
              </w:rPr>
              <w:t>个</w:t>
            </w:r>
          </w:p>
        </w:tc>
      </w:tr>
    </w:tbl>
    <w:p>
      <w:pPr>
        <w:spacing w:line="360" w:lineRule="auto"/>
        <w:ind w:firstLine="422" w:firstLineChars="200"/>
        <w:rPr>
          <w:rFonts w:ascii="宋体" w:hAnsi="宋体"/>
          <w:color w:val="auto"/>
          <w:szCs w:val="21"/>
        </w:rPr>
      </w:pPr>
      <w:r>
        <w:rPr>
          <w:rFonts w:hint="eastAsia" w:ascii="宋体" w:hAnsi="宋体"/>
          <w:b/>
          <w:bCs/>
          <w:color w:val="auto"/>
          <w:szCs w:val="21"/>
        </w:rPr>
        <w:t>备注：</w:t>
      </w:r>
      <w:r>
        <w:rPr>
          <w:rFonts w:hint="eastAsia" w:ascii="宋体" w:hAnsi="宋体"/>
          <w:color w:val="auto"/>
          <w:szCs w:val="21"/>
        </w:rPr>
        <w:t>单件300元以内（含）不限于以上零配件品名，低额五金配件均列入300元以内消防维保零配件清单内。</w:t>
      </w:r>
    </w:p>
    <w:p>
      <w:pPr>
        <w:pStyle w:val="10"/>
        <w:spacing w:line="360" w:lineRule="auto"/>
        <w:ind w:firstLine="420" w:firstLineChars="200"/>
        <w:rPr>
          <w:rFonts w:hAnsi="宋体" w:cs="Times New Roman"/>
          <w:color w:val="auto"/>
        </w:rPr>
      </w:pPr>
      <w:r>
        <w:rPr>
          <w:rFonts w:hint="eastAsia" w:hAnsi="宋体"/>
          <w:color w:val="auto"/>
        </w:rPr>
        <w:t>（二）单件300元以上（不含）的消防维保零配件费用，由采购人另行支付。</w:t>
      </w:r>
    </w:p>
    <w:p>
      <w:pPr>
        <w:pStyle w:val="10"/>
        <w:spacing w:line="360" w:lineRule="auto"/>
        <w:ind w:firstLine="420" w:firstLineChars="200"/>
        <w:rPr>
          <w:rFonts w:hAnsi="宋体" w:cs="Times New Roman"/>
          <w:color w:val="auto"/>
        </w:rPr>
      </w:pPr>
      <w:r>
        <w:rPr>
          <w:rFonts w:hint="eastAsia"/>
          <w:color w:val="auto"/>
        </w:rPr>
        <w:t>维保服务供应商</w:t>
      </w:r>
      <w:r>
        <w:rPr>
          <w:rFonts w:hAnsi="宋体"/>
          <w:color w:val="auto"/>
        </w:rPr>
        <w:t>检查发现消防系统的配件、零部件发生故障时，</w:t>
      </w:r>
      <w:r>
        <w:rPr>
          <w:rFonts w:hint="eastAsia" w:hAnsi="宋体"/>
          <w:color w:val="auto"/>
        </w:rPr>
        <w:t>维保服务供应商</w:t>
      </w:r>
      <w:r>
        <w:rPr>
          <w:rFonts w:hAnsi="宋体"/>
          <w:color w:val="auto"/>
        </w:rPr>
        <w:t>尽力修复，确实无法修复的零部件，由</w:t>
      </w:r>
      <w:r>
        <w:rPr>
          <w:rFonts w:hint="eastAsia" w:hAnsi="宋体"/>
          <w:color w:val="auto"/>
        </w:rPr>
        <w:t>维保服务供应商</w:t>
      </w:r>
      <w:r>
        <w:rPr>
          <w:rFonts w:hAnsi="宋体"/>
          <w:color w:val="auto"/>
        </w:rPr>
        <w:t>出示故障分析报告给</w:t>
      </w:r>
      <w:r>
        <w:rPr>
          <w:rFonts w:hint="eastAsia" w:hAnsi="宋体"/>
          <w:color w:val="auto"/>
        </w:rPr>
        <w:t>采购人</w:t>
      </w:r>
      <w:r>
        <w:rPr>
          <w:rFonts w:hAnsi="宋体"/>
          <w:color w:val="auto"/>
        </w:rPr>
        <w:t>，</w:t>
      </w:r>
      <w:r>
        <w:rPr>
          <w:rFonts w:hint="eastAsia" w:hAnsi="宋体"/>
          <w:color w:val="auto"/>
        </w:rPr>
        <w:t>经采购人</w:t>
      </w:r>
      <w:r>
        <w:rPr>
          <w:rFonts w:hAnsi="宋体"/>
          <w:color w:val="auto"/>
        </w:rPr>
        <w:t>确认</w:t>
      </w:r>
      <w:r>
        <w:rPr>
          <w:rFonts w:hint="eastAsia" w:hAnsi="宋体"/>
          <w:color w:val="auto"/>
        </w:rPr>
        <w:t>无误</w:t>
      </w:r>
      <w:r>
        <w:rPr>
          <w:rFonts w:hAnsi="宋体"/>
          <w:color w:val="auto"/>
        </w:rPr>
        <w:t>后</w:t>
      </w:r>
      <w:r>
        <w:rPr>
          <w:rFonts w:hint="eastAsia" w:hAnsi="宋体"/>
          <w:color w:val="auto"/>
        </w:rPr>
        <w:t>，在</w:t>
      </w:r>
      <w:r>
        <w:rPr>
          <w:rFonts w:hAnsi="宋体"/>
          <w:color w:val="auto"/>
        </w:rPr>
        <w:t>同等价格、质量的情况下可由</w:t>
      </w:r>
      <w:r>
        <w:rPr>
          <w:rFonts w:hint="eastAsia" w:hAnsi="宋体"/>
          <w:color w:val="auto"/>
        </w:rPr>
        <w:t>维保服务供应商</w:t>
      </w:r>
      <w:r>
        <w:rPr>
          <w:rFonts w:hAnsi="宋体"/>
          <w:color w:val="auto"/>
        </w:rPr>
        <w:t>代购</w:t>
      </w:r>
      <w:r>
        <w:rPr>
          <w:rFonts w:hint="eastAsia" w:hAnsi="宋体"/>
          <w:color w:val="auto"/>
        </w:rPr>
        <w:t>并免费安装，</w:t>
      </w:r>
      <w:r>
        <w:rPr>
          <w:rFonts w:hAnsi="宋体"/>
          <w:color w:val="auto"/>
        </w:rPr>
        <w:t>费用由</w:t>
      </w:r>
      <w:r>
        <w:rPr>
          <w:rFonts w:hint="eastAsia" w:hAnsi="宋体"/>
          <w:color w:val="auto"/>
        </w:rPr>
        <w:t>采购人另行</w:t>
      </w:r>
      <w:r>
        <w:rPr>
          <w:rFonts w:hAnsi="宋体"/>
          <w:color w:val="auto"/>
        </w:rPr>
        <w:t>支付</w:t>
      </w:r>
      <w:r>
        <w:rPr>
          <w:rFonts w:hint="eastAsia" w:hAnsi="宋体"/>
          <w:color w:val="auto"/>
        </w:rPr>
        <w:t>, 维保服务供应商所代购的产品质保期不少于一年。如非维保服务供应商代购的产品，也由维保服务供应商负责免费安装。</w:t>
      </w:r>
    </w:p>
    <w:p>
      <w:pPr>
        <w:pStyle w:val="10"/>
        <w:spacing w:line="360" w:lineRule="auto"/>
        <w:ind w:firstLine="420" w:firstLineChars="200"/>
        <w:rPr>
          <w:rFonts w:hAnsi="宋体" w:cs="Times New Roman"/>
          <w:color w:val="auto"/>
        </w:rPr>
      </w:pPr>
      <w:r>
        <w:rPr>
          <w:rFonts w:hint="eastAsia" w:hAnsi="宋体"/>
          <w:color w:val="auto"/>
        </w:rPr>
        <w:t>（三）维保服务供应商</w:t>
      </w:r>
      <w:r>
        <w:rPr>
          <w:rFonts w:hAnsi="宋体"/>
          <w:color w:val="auto"/>
        </w:rPr>
        <w:t>所更换的零配件</w:t>
      </w:r>
      <w:r>
        <w:rPr>
          <w:rFonts w:hint="eastAsia" w:hAnsi="宋体"/>
          <w:color w:val="auto"/>
        </w:rPr>
        <w:t>需</w:t>
      </w:r>
      <w:r>
        <w:rPr>
          <w:rFonts w:hAnsi="宋体"/>
          <w:color w:val="auto"/>
        </w:rPr>
        <w:t>与原件规格一致，并确保</w:t>
      </w:r>
      <w:r>
        <w:rPr>
          <w:rFonts w:hint="eastAsia" w:hAnsi="宋体"/>
          <w:color w:val="auto"/>
        </w:rPr>
        <w:t>为全新的</w:t>
      </w:r>
      <w:r>
        <w:rPr>
          <w:rFonts w:hAnsi="宋体"/>
          <w:color w:val="auto"/>
        </w:rPr>
        <w:t>产品，</w:t>
      </w:r>
      <w:r>
        <w:rPr>
          <w:rFonts w:hint="eastAsia" w:hAnsi="宋体" w:cs="Times New Roman"/>
          <w:color w:val="auto"/>
        </w:rPr>
        <w:t>符合国家《消防设施通用规范》（</w:t>
      </w:r>
      <w:r>
        <w:rPr>
          <w:rFonts w:hAnsi="宋体" w:cs="Times New Roman"/>
          <w:color w:val="auto"/>
        </w:rPr>
        <w:t>GB 55036-2022</w:t>
      </w:r>
      <w:r>
        <w:rPr>
          <w:rFonts w:hint="eastAsia" w:hAnsi="宋体" w:cs="Times New Roman"/>
          <w:color w:val="auto"/>
        </w:rPr>
        <w:t>）、广东省《建筑工程消防施工质量验收规范》（</w:t>
      </w:r>
      <w:r>
        <w:rPr>
          <w:rFonts w:hAnsi="宋体" w:cs="Times New Roman"/>
          <w:color w:val="auto"/>
        </w:rPr>
        <w:t>DBJ/T15-248-2022</w:t>
      </w:r>
      <w:r>
        <w:rPr>
          <w:rFonts w:hint="eastAsia" w:hAnsi="宋体" w:cs="Times New Roman"/>
          <w:color w:val="auto"/>
        </w:rPr>
        <w:t>）等相关标准（如有新标准按最新标准执行），</w:t>
      </w:r>
      <w:r>
        <w:rPr>
          <w:rFonts w:hAnsi="宋体"/>
          <w:color w:val="auto"/>
        </w:rPr>
        <w:t>若</w:t>
      </w:r>
      <w:r>
        <w:rPr>
          <w:rFonts w:hint="eastAsia" w:hAnsi="宋体"/>
          <w:color w:val="auto"/>
        </w:rPr>
        <w:t>发现维保服务供应商所提供的零配件</w:t>
      </w:r>
      <w:r>
        <w:rPr>
          <w:rFonts w:hAnsi="宋体"/>
          <w:color w:val="auto"/>
        </w:rPr>
        <w:t>存在质量缺陷或使用不当材料，</w:t>
      </w:r>
      <w:r>
        <w:rPr>
          <w:rFonts w:hint="eastAsia" w:hAnsi="宋体"/>
          <w:color w:val="auto"/>
        </w:rPr>
        <w:t>采购人</w:t>
      </w:r>
      <w:r>
        <w:rPr>
          <w:rFonts w:hAnsi="宋体"/>
          <w:color w:val="auto"/>
        </w:rPr>
        <w:t>有权要求有关部门进行检验，并可依据检验证书向维保</w:t>
      </w:r>
      <w:r>
        <w:rPr>
          <w:rFonts w:hint="eastAsia" w:hAnsi="宋体"/>
          <w:color w:val="auto"/>
        </w:rPr>
        <w:t>服务供应商</w:t>
      </w:r>
      <w:r>
        <w:rPr>
          <w:rFonts w:hAnsi="宋体"/>
          <w:color w:val="auto"/>
        </w:rPr>
        <w:t>索赔</w:t>
      </w:r>
      <w:r>
        <w:rPr>
          <w:rFonts w:hint="eastAsia" w:hAnsi="宋体"/>
          <w:color w:val="auto"/>
        </w:rPr>
        <w:t>,索赔范围包括但不限于损失、检验费等</w:t>
      </w:r>
      <w:r>
        <w:rPr>
          <w:rFonts w:hAnsi="宋体"/>
          <w:color w:val="auto"/>
        </w:rPr>
        <w:t>。</w:t>
      </w:r>
    </w:p>
    <w:p>
      <w:pPr>
        <w:spacing w:line="360" w:lineRule="auto"/>
        <w:ind w:left="118" w:leftChars="56" w:firstLine="420" w:firstLineChars="200"/>
        <w:rPr>
          <w:rFonts w:ascii="宋体" w:hAnsi="宋体"/>
          <w:b/>
          <w:color w:val="auto"/>
          <w:szCs w:val="21"/>
        </w:rPr>
      </w:pPr>
      <w:r>
        <w:rPr>
          <w:rFonts w:hint="eastAsia" w:ascii="宋体" w:hAnsi="宋体"/>
          <w:color w:val="auto"/>
          <w:szCs w:val="21"/>
        </w:rPr>
        <w:t>（四）遇到不可抗力的自然灾害损坏，如需要更换设备的零配件，应由采购人提供或维保服务供应商代购，但零配件价款由采购人支付。</w:t>
      </w:r>
      <w:bookmarkStart w:id="14" w:name="_Toc297666004"/>
    </w:p>
    <w:p>
      <w:pPr>
        <w:spacing w:line="360" w:lineRule="auto"/>
        <w:ind w:firstLine="422" w:firstLineChars="200"/>
        <w:rPr>
          <w:rFonts w:ascii="宋体" w:hAnsi="宋体"/>
          <w:b/>
          <w:color w:val="auto"/>
          <w:szCs w:val="21"/>
        </w:rPr>
      </w:pPr>
      <w:r>
        <w:rPr>
          <w:rFonts w:hint="eastAsia" w:ascii="宋体" w:hAnsi="宋体"/>
          <w:b/>
          <w:color w:val="auto"/>
          <w:szCs w:val="21"/>
        </w:rPr>
        <w:t>三</w:t>
      </w:r>
      <w:r>
        <w:rPr>
          <w:rFonts w:ascii="宋体" w:hAnsi="宋体"/>
          <w:b/>
          <w:color w:val="auto"/>
          <w:szCs w:val="21"/>
        </w:rPr>
        <w:t>、服务</w:t>
      </w:r>
      <w:bookmarkEnd w:id="14"/>
      <w:r>
        <w:rPr>
          <w:rFonts w:hint="eastAsia" w:ascii="宋体" w:hAnsi="宋体"/>
          <w:b/>
          <w:color w:val="auto"/>
          <w:szCs w:val="21"/>
        </w:rPr>
        <w:t>要求</w:t>
      </w:r>
    </w:p>
    <w:p>
      <w:pPr>
        <w:spacing w:line="360" w:lineRule="auto"/>
        <w:ind w:firstLine="422" w:firstLineChars="200"/>
        <w:rPr>
          <w:b/>
          <w:color w:val="auto"/>
          <w:szCs w:val="21"/>
        </w:rPr>
      </w:pPr>
      <w:r>
        <w:rPr>
          <w:rFonts w:ascii="宋体" w:hAnsi="宋体"/>
          <w:b/>
          <w:color w:val="auto"/>
          <w:szCs w:val="21"/>
        </w:rPr>
        <w:t>（一）设备维护保养</w:t>
      </w:r>
      <w:r>
        <w:rPr>
          <w:rFonts w:hint="eastAsia" w:ascii="宋体" w:hAnsi="宋体"/>
          <w:b/>
          <w:color w:val="auto"/>
          <w:szCs w:val="21"/>
        </w:rPr>
        <w:t>要求</w:t>
      </w:r>
    </w:p>
    <w:p>
      <w:pPr>
        <w:spacing w:line="360" w:lineRule="auto"/>
        <w:ind w:firstLine="420" w:firstLineChars="200"/>
        <w:rPr>
          <w:rFonts w:ascii="宋体" w:hAnsi="宋体"/>
          <w:color w:val="auto"/>
          <w:szCs w:val="21"/>
        </w:rPr>
      </w:pPr>
      <w:r>
        <w:rPr>
          <w:rFonts w:hint="eastAsia" w:ascii="宋体" w:hAnsi="宋体"/>
          <w:color w:val="auto"/>
          <w:szCs w:val="21"/>
        </w:rPr>
        <w:t>维保服务供应商</w:t>
      </w:r>
      <w:r>
        <w:rPr>
          <w:rFonts w:ascii="宋体" w:hAnsi="宋体"/>
          <w:color w:val="auto"/>
          <w:szCs w:val="21"/>
        </w:rPr>
        <w:t>按照国家现行的有关消防维修保养规范对消防设施进行系统、全面的维护和保养。火灾自动报警系统（含联动控制盘、消防广播、消防电话、消防电梯联动、非消防电源切换的联动）、消防电源及应急照明、疏散指示系统（含应急照明灯、疏散指示灯等）、室内外消火栓系统、自动喷水灭火系统、防排烟系统、防火门系统、防火卷帘系统、气体灭火系统等一切</w:t>
      </w:r>
      <w:r>
        <w:rPr>
          <w:rFonts w:hint="eastAsia" w:ascii="宋体" w:hAnsi="宋体"/>
          <w:color w:val="auto"/>
          <w:szCs w:val="21"/>
        </w:rPr>
        <w:t>与消防有关的设备设施</w:t>
      </w:r>
      <w:r>
        <w:rPr>
          <w:rFonts w:ascii="宋体" w:hAnsi="宋体"/>
          <w:color w:val="auto"/>
          <w:szCs w:val="21"/>
        </w:rPr>
        <w:t>。</w:t>
      </w:r>
    </w:p>
    <w:p>
      <w:pPr>
        <w:spacing w:line="360" w:lineRule="auto"/>
        <w:ind w:firstLine="422" w:firstLineChars="200"/>
        <w:rPr>
          <w:color w:val="auto"/>
          <w:szCs w:val="21"/>
        </w:rPr>
      </w:pPr>
      <w:r>
        <w:rPr>
          <w:b/>
          <w:color w:val="auto"/>
          <w:szCs w:val="21"/>
        </w:rPr>
        <w:t>保</w:t>
      </w:r>
      <w:r>
        <w:rPr>
          <w:rFonts w:ascii="宋体" w:hAnsi="宋体"/>
          <w:b/>
          <w:color w:val="auto"/>
          <w:szCs w:val="21"/>
        </w:rPr>
        <w:t>养项目范围：</w:t>
      </w:r>
      <w:r>
        <w:rPr>
          <w:rFonts w:ascii="宋体" w:hAnsi="宋体"/>
          <w:color w:val="auto"/>
          <w:szCs w:val="21"/>
        </w:rPr>
        <w:t>（维护保养包括下述所有细项，但不限于下述项目）</w:t>
      </w:r>
    </w:p>
    <w:p>
      <w:pPr>
        <w:spacing w:line="360" w:lineRule="auto"/>
        <w:ind w:firstLine="420" w:firstLineChars="200"/>
        <w:rPr>
          <w:rFonts w:ascii="宋体" w:hAnsi="宋体"/>
          <w:color w:val="auto"/>
          <w:szCs w:val="21"/>
        </w:rPr>
      </w:pPr>
      <w:r>
        <w:rPr>
          <w:rFonts w:ascii="宋体" w:hAnsi="宋体"/>
          <w:color w:val="auto"/>
          <w:szCs w:val="21"/>
        </w:rPr>
        <w:t xml:space="preserve">            1. 火灾自动报警系统(含消防中心、联动控制)</w:t>
      </w:r>
    </w:p>
    <w:p>
      <w:pPr>
        <w:spacing w:line="360" w:lineRule="auto"/>
        <w:ind w:firstLine="420" w:firstLineChars="200"/>
        <w:rPr>
          <w:color w:val="auto"/>
          <w:szCs w:val="21"/>
        </w:rPr>
      </w:pPr>
      <w:r>
        <w:rPr>
          <w:rFonts w:ascii="宋体" w:hAnsi="宋体"/>
          <w:color w:val="auto"/>
          <w:szCs w:val="21"/>
        </w:rPr>
        <w:t xml:space="preserve">            2. 自动喷水灭火系统</w:t>
      </w:r>
    </w:p>
    <w:p>
      <w:pPr>
        <w:spacing w:line="360" w:lineRule="auto"/>
        <w:ind w:firstLine="420" w:firstLineChars="200"/>
        <w:rPr>
          <w:rFonts w:ascii="宋体" w:hAnsi="宋体"/>
          <w:color w:val="auto"/>
          <w:szCs w:val="21"/>
        </w:rPr>
      </w:pPr>
      <w:r>
        <w:rPr>
          <w:rFonts w:ascii="宋体" w:hAnsi="宋体"/>
          <w:color w:val="auto"/>
          <w:szCs w:val="21"/>
        </w:rPr>
        <w:t xml:space="preserve">            3. 消火栓系统</w:t>
      </w:r>
    </w:p>
    <w:p>
      <w:pPr>
        <w:spacing w:line="360" w:lineRule="auto"/>
        <w:ind w:firstLine="420" w:firstLineChars="200"/>
        <w:rPr>
          <w:rFonts w:ascii="宋体" w:hAnsi="宋体"/>
          <w:color w:val="auto"/>
          <w:szCs w:val="21"/>
        </w:rPr>
      </w:pPr>
      <w:r>
        <w:rPr>
          <w:rFonts w:ascii="宋体" w:hAnsi="宋体"/>
          <w:color w:val="auto"/>
          <w:szCs w:val="21"/>
        </w:rPr>
        <w:t xml:space="preserve">            4.防排烟系统</w:t>
      </w:r>
    </w:p>
    <w:p>
      <w:pPr>
        <w:spacing w:line="360" w:lineRule="auto"/>
        <w:ind w:firstLine="1680" w:firstLineChars="800"/>
        <w:rPr>
          <w:rFonts w:ascii="宋体" w:hAnsi="宋体"/>
          <w:color w:val="auto"/>
          <w:szCs w:val="21"/>
        </w:rPr>
      </w:pPr>
      <w:r>
        <w:rPr>
          <w:rFonts w:hint="eastAsia" w:ascii="宋体" w:hAnsi="宋体"/>
          <w:color w:val="auto"/>
          <w:szCs w:val="21"/>
        </w:rPr>
        <w:t>5.</w:t>
      </w:r>
      <w:r>
        <w:rPr>
          <w:rFonts w:ascii="宋体" w:hAnsi="宋体"/>
          <w:color w:val="auto"/>
          <w:szCs w:val="21"/>
        </w:rPr>
        <w:t>消防广播系统</w:t>
      </w:r>
    </w:p>
    <w:p>
      <w:pPr>
        <w:spacing w:line="360" w:lineRule="auto"/>
        <w:ind w:firstLine="1680" w:firstLineChars="800"/>
        <w:rPr>
          <w:rFonts w:ascii="宋体" w:hAnsi="宋体"/>
          <w:color w:val="auto"/>
          <w:szCs w:val="21"/>
        </w:rPr>
      </w:pPr>
      <w:r>
        <w:rPr>
          <w:rFonts w:hint="eastAsia" w:ascii="宋体" w:hAnsi="宋体"/>
          <w:color w:val="auto"/>
          <w:szCs w:val="21"/>
        </w:rPr>
        <w:t>6.</w:t>
      </w:r>
      <w:r>
        <w:rPr>
          <w:rFonts w:ascii="宋体" w:hAnsi="宋体"/>
          <w:color w:val="auto"/>
          <w:szCs w:val="21"/>
        </w:rPr>
        <w:t>气体自动灭火系统</w:t>
      </w:r>
    </w:p>
    <w:p>
      <w:pPr>
        <w:spacing w:line="360" w:lineRule="auto"/>
        <w:ind w:firstLine="1680" w:firstLineChars="800"/>
        <w:rPr>
          <w:rFonts w:ascii="宋体" w:hAnsi="宋体"/>
          <w:color w:val="auto"/>
          <w:szCs w:val="21"/>
        </w:rPr>
      </w:pPr>
      <w:r>
        <w:rPr>
          <w:rFonts w:hint="eastAsia" w:ascii="宋体" w:hAnsi="宋体"/>
          <w:color w:val="auto"/>
          <w:szCs w:val="21"/>
        </w:rPr>
        <w:t>7.</w:t>
      </w:r>
      <w:r>
        <w:rPr>
          <w:rFonts w:ascii="宋体" w:hAnsi="宋体"/>
          <w:color w:val="auto"/>
          <w:szCs w:val="21"/>
        </w:rPr>
        <w:t>应急疏散指示、照明系统</w:t>
      </w:r>
    </w:p>
    <w:p>
      <w:pPr>
        <w:spacing w:line="360" w:lineRule="auto"/>
        <w:ind w:firstLine="420" w:firstLineChars="200"/>
        <w:rPr>
          <w:rFonts w:ascii="宋体" w:hAnsi="宋体"/>
          <w:color w:val="auto"/>
          <w:szCs w:val="21"/>
        </w:rPr>
      </w:pPr>
      <w:r>
        <w:rPr>
          <w:rFonts w:ascii="宋体" w:hAnsi="宋体"/>
          <w:color w:val="auto"/>
          <w:szCs w:val="21"/>
        </w:rPr>
        <w:t xml:space="preserve">            8. 消防灭火器材</w:t>
      </w:r>
    </w:p>
    <w:p>
      <w:pPr>
        <w:spacing w:line="360" w:lineRule="auto"/>
        <w:ind w:firstLine="422" w:firstLineChars="200"/>
        <w:rPr>
          <w:b/>
          <w:color w:val="auto"/>
          <w:szCs w:val="21"/>
        </w:rPr>
      </w:pPr>
      <w:r>
        <w:rPr>
          <w:rFonts w:ascii="宋体" w:hAnsi="宋体"/>
          <w:b/>
          <w:color w:val="auto"/>
          <w:szCs w:val="21"/>
        </w:rPr>
        <w:t>（二）消防系统维护保养方式</w:t>
      </w:r>
    </w:p>
    <w:p>
      <w:pPr>
        <w:spacing w:line="360" w:lineRule="auto"/>
        <w:ind w:firstLine="420" w:firstLineChars="200"/>
        <w:rPr>
          <w:rFonts w:ascii="宋体" w:hAnsi="宋体"/>
          <w:color w:val="auto"/>
          <w:szCs w:val="21"/>
        </w:rPr>
      </w:pPr>
      <w:r>
        <w:rPr>
          <w:rFonts w:hint="eastAsia" w:ascii="宋体" w:hAnsi="宋体"/>
          <w:color w:val="auto"/>
          <w:szCs w:val="21"/>
        </w:rPr>
        <w:t>维保服务供应商按照国家现行的有关消防维修保养规范对</w:t>
      </w:r>
      <w:r>
        <w:rPr>
          <w:rFonts w:hint="eastAsia" w:hAnsi="宋体"/>
          <w:color w:val="auto"/>
          <w:szCs w:val="21"/>
        </w:rPr>
        <w:t>采购人的</w:t>
      </w:r>
      <w:r>
        <w:rPr>
          <w:rFonts w:hint="eastAsia" w:ascii="宋体" w:hAnsi="宋体"/>
          <w:color w:val="auto"/>
          <w:szCs w:val="21"/>
        </w:rPr>
        <w:t>消防设施进行系统、全面的维护和保养，包含但不限于火灾自动报警系统（含联动控制盘、消防广播、消防电话、消防电梯联动、非消防电源切换的联动）、消防电源及应急照明、疏散指示系统（含应急照明灯、疏散指示灯等）、室内外消火栓系统、自动喷水灭火系统、防排烟系统、防火门系统、防火卷帘系统、气体灭火系统等一切与消防有关的设备设施，每周到</w:t>
      </w:r>
      <w:r>
        <w:rPr>
          <w:rFonts w:hint="eastAsia" w:hAnsi="宋体"/>
          <w:color w:val="auto"/>
          <w:szCs w:val="21"/>
        </w:rPr>
        <w:t>采购人院区</w:t>
      </w:r>
      <w:r>
        <w:rPr>
          <w:rFonts w:hint="eastAsia" w:ascii="宋体" w:hAnsi="宋体"/>
          <w:color w:val="auto"/>
          <w:szCs w:val="21"/>
        </w:rPr>
        <w:t>进行消防设施巡查，每月至少2次到</w:t>
      </w:r>
      <w:r>
        <w:rPr>
          <w:rFonts w:hint="eastAsia" w:hAnsi="宋体"/>
          <w:color w:val="auto"/>
          <w:szCs w:val="21"/>
        </w:rPr>
        <w:t>采购人院区</w:t>
      </w:r>
      <w:r>
        <w:rPr>
          <w:rFonts w:hint="eastAsia" w:ascii="宋体" w:hAnsi="宋体"/>
          <w:color w:val="auto"/>
          <w:szCs w:val="21"/>
        </w:rPr>
        <w:t>进行全面的消防设备维护保养。对于</w:t>
      </w:r>
      <w:r>
        <w:rPr>
          <w:rFonts w:hint="eastAsia" w:hAnsi="宋体"/>
          <w:color w:val="auto"/>
          <w:szCs w:val="21"/>
        </w:rPr>
        <w:t>采购人院区</w:t>
      </w:r>
      <w:r>
        <w:rPr>
          <w:rFonts w:hint="eastAsia" w:ascii="宋体" w:hAnsi="宋体"/>
          <w:color w:val="auto"/>
          <w:szCs w:val="21"/>
        </w:rPr>
        <w:t>平时消防设备设施故障，维保服务供应商需立即响应，在接采购人通知后60分钟内到达故障现场。</w:t>
      </w:r>
    </w:p>
    <w:p>
      <w:pPr>
        <w:spacing w:line="360" w:lineRule="auto"/>
        <w:ind w:firstLine="422" w:firstLineChars="200"/>
        <w:rPr>
          <w:rFonts w:ascii="宋体" w:hAnsi="宋体"/>
          <w:color w:val="auto"/>
          <w:szCs w:val="21"/>
        </w:rPr>
      </w:pPr>
      <w:r>
        <w:rPr>
          <w:rFonts w:ascii="宋体" w:hAnsi="宋体"/>
          <w:b/>
          <w:color w:val="auto"/>
          <w:szCs w:val="21"/>
        </w:rPr>
        <w:t>（三）消防系统维保的服务要求</w:t>
      </w:r>
    </w:p>
    <w:p>
      <w:pPr>
        <w:spacing w:line="360" w:lineRule="auto"/>
        <w:ind w:left="315" w:leftChars="150" w:firstLine="210" w:firstLineChars="100"/>
        <w:rPr>
          <w:rFonts w:ascii="宋体" w:hAnsi="宋体"/>
          <w:color w:val="auto"/>
          <w:szCs w:val="21"/>
        </w:rPr>
      </w:pPr>
      <w:r>
        <w:rPr>
          <w:rFonts w:ascii="宋体" w:hAnsi="宋体"/>
          <w:color w:val="auto"/>
          <w:szCs w:val="21"/>
        </w:rPr>
        <w:t>1. 消防系统维护保养质量的标准</w:t>
      </w:r>
    </w:p>
    <w:p>
      <w:pPr>
        <w:spacing w:line="360" w:lineRule="auto"/>
        <w:ind w:left="315" w:hanging="315" w:hangingChars="150"/>
        <w:rPr>
          <w:color w:val="auto"/>
          <w:szCs w:val="21"/>
        </w:rPr>
      </w:pPr>
      <w:r>
        <w:rPr>
          <w:color w:val="auto"/>
          <w:szCs w:val="21"/>
        </w:rPr>
        <w:tab/>
      </w:r>
      <w:r>
        <w:rPr>
          <w:rFonts w:ascii="宋体" w:hAnsi="宋体"/>
          <w:color w:val="auto"/>
          <w:szCs w:val="21"/>
        </w:rPr>
        <w:t xml:space="preserve">  维修保养工作要满足、达到及符合的规程、规范和规则包括但不限于：</w:t>
      </w:r>
    </w:p>
    <w:p>
      <w:pPr>
        <w:spacing w:line="360" w:lineRule="auto"/>
        <w:ind w:firstLine="420" w:firstLineChars="200"/>
        <w:rPr>
          <w:color w:val="auto"/>
          <w:szCs w:val="21"/>
        </w:rPr>
      </w:pPr>
      <w:r>
        <w:rPr>
          <w:rFonts w:hint="eastAsia" w:ascii="宋体" w:hAnsi="宋体"/>
          <w:color w:val="auto"/>
          <w:szCs w:val="21"/>
        </w:rPr>
        <w:t>（1）</w:t>
      </w:r>
      <w:r>
        <w:rPr>
          <w:rFonts w:ascii="宋体" w:hAnsi="宋体"/>
          <w:color w:val="auto"/>
          <w:szCs w:val="21"/>
        </w:rPr>
        <w:t>《高层民用建筑设计防火规范》最新版</w:t>
      </w:r>
    </w:p>
    <w:p>
      <w:pPr>
        <w:spacing w:line="360" w:lineRule="auto"/>
        <w:ind w:firstLine="420" w:firstLineChars="200"/>
        <w:rPr>
          <w:color w:val="auto"/>
          <w:szCs w:val="21"/>
        </w:rPr>
      </w:pPr>
      <w:r>
        <w:rPr>
          <w:rFonts w:hint="eastAsia" w:ascii="宋体" w:hAnsi="宋体"/>
          <w:color w:val="auto"/>
          <w:szCs w:val="21"/>
        </w:rPr>
        <w:t>（2）</w:t>
      </w:r>
      <w:r>
        <w:rPr>
          <w:rFonts w:ascii="宋体" w:hAnsi="宋体"/>
          <w:color w:val="auto"/>
          <w:szCs w:val="21"/>
        </w:rPr>
        <w:t>《建筑设计防火规范》最新版</w:t>
      </w:r>
    </w:p>
    <w:p>
      <w:pPr>
        <w:spacing w:line="360" w:lineRule="auto"/>
        <w:ind w:firstLine="420" w:firstLineChars="200"/>
        <w:rPr>
          <w:color w:val="auto"/>
          <w:szCs w:val="21"/>
        </w:rPr>
      </w:pPr>
      <w:r>
        <w:rPr>
          <w:rFonts w:hint="eastAsia" w:ascii="宋体" w:hAnsi="宋体"/>
          <w:color w:val="auto"/>
          <w:szCs w:val="21"/>
        </w:rPr>
        <w:t>（3）</w:t>
      </w:r>
      <w:r>
        <w:rPr>
          <w:rFonts w:ascii="宋体" w:hAnsi="宋体"/>
          <w:color w:val="auto"/>
          <w:szCs w:val="21"/>
        </w:rPr>
        <w:t>《火灾自动报警系统设计规范》最新版</w:t>
      </w:r>
    </w:p>
    <w:p>
      <w:pPr>
        <w:spacing w:line="360" w:lineRule="auto"/>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《火灾自动报警系统施工及验收规范》最新版</w:t>
      </w:r>
    </w:p>
    <w:p>
      <w:pPr>
        <w:spacing w:line="360" w:lineRule="auto"/>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《自动喷水灭火系统设计规范》最新版</w:t>
      </w:r>
    </w:p>
    <w:p>
      <w:pPr>
        <w:spacing w:line="360" w:lineRule="auto"/>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rPr>
        <w:t>《自动喷水灭火系统施工及验收规范》最新版</w:t>
      </w:r>
    </w:p>
    <w:p>
      <w:pPr>
        <w:spacing w:line="360" w:lineRule="auto"/>
        <w:ind w:firstLine="420" w:firstLineChars="200"/>
        <w:rPr>
          <w:rFonts w:ascii="宋体" w:hAnsi="宋体"/>
          <w:color w:val="auto"/>
          <w:szCs w:val="21"/>
        </w:rPr>
      </w:pPr>
      <w:r>
        <w:rPr>
          <w:rFonts w:hint="eastAsia" w:ascii="宋体" w:hAnsi="宋体"/>
          <w:color w:val="auto"/>
          <w:szCs w:val="21"/>
        </w:rPr>
        <w:t>（7）</w:t>
      </w:r>
      <w:r>
        <w:rPr>
          <w:rFonts w:ascii="宋体" w:hAnsi="宋体"/>
          <w:color w:val="auto"/>
          <w:szCs w:val="21"/>
        </w:rPr>
        <w:t>《气体灭火系统施工及验收规范》最新版</w:t>
      </w:r>
    </w:p>
    <w:p>
      <w:pPr>
        <w:spacing w:line="360" w:lineRule="auto"/>
        <w:ind w:firstLine="420" w:firstLineChars="200"/>
        <w:rPr>
          <w:rFonts w:ascii="宋体" w:hAnsi="宋体"/>
          <w:color w:val="auto"/>
          <w:szCs w:val="21"/>
        </w:rPr>
      </w:pPr>
      <w:r>
        <w:rPr>
          <w:rFonts w:hint="eastAsia" w:ascii="宋体" w:hAnsi="宋体"/>
          <w:color w:val="auto"/>
          <w:szCs w:val="21"/>
        </w:rPr>
        <w:t>（8）</w:t>
      </w:r>
      <w:r>
        <w:rPr>
          <w:rFonts w:ascii="宋体" w:hAnsi="宋体"/>
          <w:color w:val="auto"/>
          <w:szCs w:val="21"/>
        </w:rPr>
        <w:t>《建筑消防设施的维护管理》</w:t>
      </w:r>
      <w:r>
        <w:rPr>
          <w:rFonts w:hint="eastAsia" w:ascii="宋体" w:hAnsi="宋体"/>
          <w:color w:val="auto"/>
          <w:szCs w:val="21"/>
        </w:rPr>
        <w:t>最新版</w:t>
      </w:r>
    </w:p>
    <w:p>
      <w:pPr>
        <w:spacing w:line="360" w:lineRule="auto"/>
        <w:ind w:firstLine="420" w:firstLineChars="200"/>
        <w:rPr>
          <w:rFonts w:ascii="宋体" w:hAnsi="宋体"/>
          <w:color w:val="auto"/>
          <w:szCs w:val="21"/>
        </w:rPr>
      </w:pPr>
      <w:r>
        <w:rPr>
          <w:rFonts w:hint="eastAsia" w:ascii="宋体" w:hAnsi="宋体"/>
          <w:color w:val="auto"/>
          <w:szCs w:val="21"/>
        </w:rPr>
        <w:t>（9）</w:t>
      </w:r>
      <w:r>
        <w:rPr>
          <w:rFonts w:ascii="宋体" w:hAnsi="宋体"/>
          <w:color w:val="auto"/>
          <w:szCs w:val="21"/>
        </w:rPr>
        <w:t xml:space="preserve">《建筑消防设施检测技术规程》 </w:t>
      </w:r>
      <w:r>
        <w:rPr>
          <w:rFonts w:hint="eastAsia" w:ascii="宋体" w:hAnsi="宋体"/>
          <w:color w:val="auto"/>
          <w:szCs w:val="21"/>
        </w:rPr>
        <w:t>最新版</w:t>
      </w:r>
    </w:p>
    <w:p>
      <w:pPr>
        <w:spacing w:line="360" w:lineRule="auto"/>
        <w:ind w:firstLine="420" w:firstLineChars="200"/>
        <w:rPr>
          <w:rFonts w:ascii="宋体" w:hAnsi="宋体"/>
          <w:color w:val="auto"/>
          <w:szCs w:val="21"/>
        </w:rPr>
      </w:pPr>
      <w:r>
        <w:rPr>
          <w:rFonts w:hint="eastAsia" w:ascii="宋体" w:hAnsi="宋体"/>
          <w:color w:val="auto"/>
          <w:szCs w:val="21"/>
        </w:rPr>
        <w:t>（10）</w:t>
      </w:r>
      <w:r>
        <w:rPr>
          <w:rFonts w:ascii="宋体" w:hAnsi="宋体"/>
          <w:color w:val="auto"/>
          <w:szCs w:val="21"/>
        </w:rPr>
        <w:t>国家、省、市消防法律、法规及其它有关消防管理规定和采购文件约定。</w:t>
      </w:r>
    </w:p>
    <w:p>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消防设备的完好率</w:t>
      </w:r>
    </w:p>
    <w:p>
      <w:pPr>
        <w:spacing w:line="360" w:lineRule="auto"/>
        <w:ind w:firstLine="420" w:firstLineChars="200"/>
        <w:rPr>
          <w:rFonts w:ascii="宋体" w:hAnsi="宋体"/>
          <w:color w:val="auto"/>
          <w:szCs w:val="21"/>
        </w:rPr>
      </w:pPr>
      <w:r>
        <w:rPr>
          <w:rFonts w:hint="eastAsia" w:ascii="宋体" w:hAnsi="宋体"/>
          <w:color w:val="auto"/>
          <w:szCs w:val="21"/>
        </w:rPr>
        <w:t>维保服务供应商</w:t>
      </w:r>
      <w:r>
        <w:rPr>
          <w:rFonts w:ascii="宋体" w:hAnsi="宋体"/>
          <w:color w:val="auto"/>
          <w:szCs w:val="21"/>
        </w:rPr>
        <w:t>必须确保</w:t>
      </w:r>
      <w:r>
        <w:rPr>
          <w:rFonts w:hint="eastAsia" w:ascii="宋体" w:hAnsi="宋体"/>
          <w:color w:val="auto"/>
          <w:szCs w:val="21"/>
        </w:rPr>
        <w:t>采购人院区</w:t>
      </w:r>
      <w:r>
        <w:rPr>
          <w:rFonts w:ascii="宋体" w:hAnsi="宋体"/>
          <w:color w:val="auto"/>
          <w:szCs w:val="21"/>
        </w:rPr>
        <w:t>消防设备100%的完好率。</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.维护保养的工作内容</w:t>
      </w:r>
    </w:p>
    <w:p>
      <w:pPr>
        <w:spacing w:line="360" w:lineRule="auto"/>
        <w:ind w:firstLine="420" w:firstLineChars="200"/>
        <w:rPr>
          <w:rFonts w:ascii="宋体" w:hAnsi="宋体"/>
          <w:color w:val="auto"/>
          <w:szCs w:val="21"/>
        </w:rPr>
      </w:pPr>
      <w:r>
        <w:rPr>
          <w:rFonts w:hint="eastAsia" w:ascii="宋体" w:hAnsi="宋体"/>
          <w:color w:val="auto"/>
          <w:szCs w:val="21"/>
        </w:rPr>
        <w:t>维保服务供应商</w:t>
      </w:r>
      <w:r>
        <w:rPr>
          <w:rFonts w:ascii="宋体" w:hAnsi="宋体"/>
          <w:color w:val="auto"/>
          <w:szCs w:val="21"/>
        </w:rPr>
        <w:t>要在保证消防设备100%完好率的目标下，按不低于</w:t>
      </w:r>
      <w:r>
        <w:rPr>
          <w:rFonts w:hint="eastAsia" w:ascii="宋体" w:hAnsi="宋体"/>
          <w:color w:val="auto"/>
          <w:szCs w:val="21"/>
        </w:rPr>
        <w:t>采购</w:t>
      </w:r>
      <w:r>
        <w:rPr>
          <w:rFonts w:ascii="宋体" w:hAnsi="宋体"/>
          <w:color w:val="auto"/>
          <w:szCs w:val="21"/>
        </w:rPr>
        <w:t>文件</w:t>
      </w:r>
      <w:r>
        <w:rPr>
          <w:rFonts w:hint="eastAsia" w:ascii="宋体" w:hAnsi="宋体"/>
          <w:color w:val="auto"/>
          <w:szCs w:val="21"/>
        </w:rPr>
        <w:t>用户需求书</w:t>
      </w:r>
      <w:r>
        <w:rPr>
          <w:rFonts w:ascii="宋体" w:hAnsi="宋体"/>
          <w:color w:val="auto"/>
          <w:szCs w:val="21"/>
        </w:rPr>
        <w:t>中“维护保养</w:t>
      </w:r>
      <w:r>
        <w:rPr>
          <w:rFonts w:hint="eastAsia" w:ascii="宋体" w:hAnsi="宋体"/>
          <w:color w:val="auto"/>
          <w:szCs w:val="21"/>
        </w:rPr>
        <w:t>具体</w:t>
      </w:r>
      <w:r>
        <w:rPr>
          <w:rFonts w:ascii="宋体" w:hAnsi="宋体"/>
          <w:color w:val="auto"/>
          <w:szCs w:val="21"/>
        </w:rPr>
        <w:t>工作内容”</w:t>
      </w:r>
      <w:r>
        <w:rPr>
          <w:rFonts w:hint="eastAsia" w:ascii="宋体" w:hAnsi="宋体"/>
          <w:color w:val="auto"/>
          <w:szCs w:val="21"/>
        </w:rPr>
        <w:t>要求，</w:t>
      </w:r>
      <w:r>
        <w:rPr>
          <w:rFonts w:ascii="宋体" w:hAnsi="宋体"/>
          <w:color w:val="auto"/>
          <w:szCs w:val="21"/>
        </w:rPr>
        <w:t>完成</w:t>
      </w:r>
      <w:r>
        <w:rPr>
          <w:rFonts w:hint="eastAsia" w:ascii="宋体" w:hAnsi="宋体"/>
          <w:color w:val="auto"/>
          <w:szCs w:val="21"/>
        </w:rPr>
        <w:t>采购人院区</w:t>
      </w:r>
      <w:r>
        <w:rPr>
          <w:rFonts w:ascii="宋体" w:hAnsi="宋体"/>
          <w:color w:val="auto"/>
          <w:szCs w:val="21"/>
        </w:rPr>
        <w:t>消防系统维护保养工作；工作具体的标准按</w:t>
      </w:r>
      <w:r>
        <w:rPr>
          <w:rFonts w:hint="eastAsia" w:ascii="宋体" w:hAnsi="宋体"/>
          <w:color w:val="auto"/>
          <w:szCs w:val="21"/>
        </w:rPr>
        <w:t>采购人</w:t>
      </w:r>
      <w:r>
        <w:rPr>
          <w:rFonts w:ascii="宋体" w:hAnsi="宋体"/>
          <w:color w:val="auto"/>
          <w:szCs w:val="21"/>
        </w:rPr>
        <w:t>的有关要求为依据，且必须符合有关的消防规范及设备保养的要求。如</w:t>
      </w:r>
      <w:r>
        <w:rPr>
          <w:rFonts w:hint="eastAsia" w:ascii="宋体" w:hAnsi="宋体"/>
          <w:color w:val="auto"/>
          <w:szCs w:val="21"/>
        </w:rPr>
        <w:t>采购文件用户需求书</w:t>
      </w:r>
      <w:r>
        <w:rPr>
          <w:rFonts w:ascii="宋体" w:hAnsi="宋体"/>
          <w:color w:val="auto"/>
          <w:szCs w:val="21"/>
        </w:rPr>
        <w:t>中“维护保养</w:t>
      </w:r>
      <w:r>
        <w:rPr>
          <w:rFonts w:hint="eastAsia" w:ascii="宋体" w:hAnsi="宋体"/>
          <w:color w:val="auto"/>
          <w:szCs w:val="21"/>
        </w:rPr>
        <w:t>具体</w:t>
      </w:r>
      <w:r>
        <w:rPr>
          <w:rFonts w:ascii="宋体" w:hAnsi="宋体"/>
          <w:color w:val="auto"/>
          <w:szCs w:val="21"/>
        </w:rPr>
        <w:t>工作内容”中有漏项或标准</w:t>
      </w:r>
      <w:r>
        <w:rPr>
          <w:rFonts w:hint="eastAsia" w:ascii="宋体" w:hAnsi="宋体"/>
          <w:color w:val="auto"/>
          <w:szCs w:val="21"/>
        </w:rPr>
        <w:t>达不到要求</w:t>
      </w:r>
      <w:r>
        <w:rPr>
          <w:rFonts w:ascii="宋体" w:hAnsi="宋体"/>
          <w:color w:val="auto"/>
          <w:szCs w:val="21"/>
        </w:rPr>
        <w:t>的情况，</w:t>
      </w:r>
      <w:r>
        <w:rPr>
          <w:rFonts w:hint="eastAsia" w:ascii="宋体" w:hAnsi="宋体"/>
          <w:color w:val="auto"/>
          <w:szCs w:val="21"/>
        </w:rPr>
        <w:t>维保服务供应商</w:t>
      </w:r>
      <w:r>
        <w:rPr>
          <w:rFonts w:ascii="宋体" w:hAnsi="宋体"/>
          <w:color w:val="auto"/>
          <w:szCs w:val="21"/>
        </w:rPr>
        <w:t>要负责完善；合同期内，</w:t>
      </w:r>
      <w:r>
        <w:rPr>
          <w:rFonts w:hint="eastAsia" w:ascii="宋体" w:hAnsi="宋体"/>
          <w:color w:val="auto"/>
          <w:szCs w:val="21"/>
        </w:rPr>
        <w:t>维保服务供应商</w:t>
      </w:r>
      <w:r>
        <w:rPr>
          <w:rFonts w:ascii="宋体" w:hAnsi="宋体"/>
          <w:color w:val="auto"/>
          <w:szCs w:val="21"/>
        </w:rPr>
        <w:t>不能以此为理由来推卸不能保证消防设备100%完好率的责任。</w:t>
      </w:r>
    </w:p>
    <w:p>
      <w:pPr>
        <w:spacing w:line="360" w:lineRule="auto"/>
        <w:ind w:firstLine="420" w:firstLineChars="200"/>
        <w:rPr>
          <w:rFonts w:ascii="宋体" w:hAnsi="宋体"/>
          <w:color w:val="auto"/>
          <w:szCs w:val="21"/>
        </w:rPr>
      </w:pPr>
      <w:r>
        <w:rPr>
          <w:rFonts w:hint="eastAsia" w:ascii="宋体" w:hAnsi="宋体"/>
          <w:color w:val="auto"/>
          <w:szCs w:val="21"/>
        </w:rPr>
        <w:t>4.维修保养单位需设24小时应急维修热线和联系人。</w:t>
      </w:r>
    </w:p>
    <w:p>
      <w:pPr>
        <w:spacing w:line="360" w:lineRule="auto"/>
        <w:ind w:firstLine="210" w:firstLineChars="100"/>
        <w:rPr>
          <w:rFonts w:ascii="宋体" w:hAnsi="宋体"/>
          <w:color w:val="auto"/>
          <w:szCs w:val="21"/>
        </w:rPr>
      </w:pPr>
      <w:r>
        <w:rPr>
          <w:rFonts w:hint="eastAsia" w:ascii="宋体" w:hAnsi="宋体"/>
          <w:color w:val="auto"/>
          <w:szCs w:val="21"/>
        </w:rPr>
        <w:t>▲5.</w:t>
      </w:r>
      <w:r>
        <w:rPr>
          <w:rFonts w:ascii="宋体" w:hAnsi="宋体"/>
          <w:color w:val="auto"/>
          <w:szCs w:val="21"/>
        </w:rPr>
        <w:t>故障响应时间</w:t>
      </w:r>
    </w:p>
    <w:p>
      <w:pPr>
        <w:spacing w:line="360" w:lineRule="auto"/>
        <w:ind w:firstLine="420" w:firstLineChars="200"/>
        <w:rPr>
          <w:rFonts w:hint="eastAsia" w:ascii="宋体" w:hAnsi="宋体" w:eastAsia="宋体"/>
          <w:color w:val="auto"/>
          <w:szCs w:val="21"/>
          <w:lang w:val="en-US" w:eastAsia="zh-CN"/>
        </w:rPr>
      </w:pPr>
      <w:r>
        <w:rPr>
          <w:rFonts w:hint="eastAsia" w:ascii="宋体" w:hAnsi="宋体"/>
          <w:color w:val="auto"/>
          <w:szCs w:val="21"/>
          <w:lang w:val="en-US" w:eastAsia="zh-CN"/>
        </w:rPr>
        <w:t>5.1应急响应时间：遇到紧急情况时，维保服务供应商必须在接采购人通知后30分钟内响应并到达故障现场处理。</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5.2</w:t>
      </w:r>
      <w:r>
        <w:rPr>
          <w:rFonts w:ascii="宋体" w:hAnsi="宋体"/>
          <w:color w:val="auto"/>
          <w:szCs w:val="21"/>
        </w:rPr>
        <w:t>接到故障报修后，</w:t>
      </w:r>
      <w:r>
        <w:rPr>
          <w:rFonts w:hint="eastAsia" w:ascii="宋体" w:hAnsi="宋体"/>
          <w:color w:val="auto"/>
          <w:szCs w:val="21"/>
        </w:rPr>
        <w:t>维保服务供应商必须在接采购人通知后60分钟内到达故障现场处理，8小时内</w:t>
      </w:r>
      <w:r>
        <w:rPr>
          <w:rFonts w:ascii="宋体" w:hAnsi="宋体"/>
          <w:color w:val="auto"/>
          <w:szCs w:val="21"/>
        </w:rPr>
        <w:t>予以排除</w:t>
      </w:r>
      <w:r>
        <w:rPr>
          <w:rFonts w:hint="eastAsia" w:ascii="宋体" w:hAnsi="宋体"/>
          <w:color w:val="auto"/>
          <w:szCs w:val="21"/>
        </w:rPr>
        <w:t>故障。如维保服务供应商</w:t>
      </w:r>
      <w:r>
        <w:rPr>
          <w:rFonts w:ascii="宋体" w:hAnsi="宋体"/>
          <w:color w:val="auto"/>
          <w:szCs w:val="21"/>
        </w:rPr>
        <w:t>由于特殊原因而不能</w:t>
      </w:r>
      <w:r>
        <w:rPr>
          <w:rFonts w:hint="eastAsia" w:ascii="宋体" w:hAnsi="宋体"/>
          <w:color w:val="auto"/>
          <w:szCs w:val="21"/>
        </w:rPr>
        <w:t>按时处理，应立即书面告知采购人原因，并最迟在24小时内排除故障。</w:t>
      </w:r>
    </w:p>
    <w:p>
      <w:pPr>
        <w:numPr>
          <w:ilvl w:val="0"/>
          <w:numId w:val="3"/>
        </w:numPr>
        <w:spacing w:line="360" w:lineRule="auto"/>
        <w:ind w:firstLine="420" w:firstLineChars="200"/>
        <w:rPr>
          <w:rFonts w:ascii="宋体" w:hAnsi="宋体"/>
          <w:color w:val="auto"/>
          <w:szCs w:val="21"/>
        </w:rPr>
      </w:pPr>
      <w:r>
        <w:rPr>
          <w:rFonts w:ascii="宋体" w:hAnsi="宋体"/>
          <w:color w:val="auto"/>
          <w:szCs w:val="21"/>
        </w:rPr>
        <w:t>装修改造工程的消防监督管理</w:t>
      </w:r>
    </w:p>
    <w:p>
      <w:pPr>
        <w:spacing w:line="360" w:lineRule="auto"/>
        <w:ind w:firstLine="420" w:firstLineChars="200"/>
        <w:rPr>
          <w:rFonts w:ascii="宋体" w:hAnsi="宋体"/>
          <w:color w:val="auto"/>
          <w:szCs w:val="21"/>
        </w:rPr>
      </w:pPr>
      <w:r>
        <w:rPr>
          <w:rFonts w:hint="eastAsia" w:ascii="宋体" w:hAnsi="宋体"/>
          <w:color w:val="auto"/>
          <w:szCs w:val="21"/>
        </w:rPr>
        <w:t>维保服务供应商</w:t>
      </w:r>
      <w:r>
        <w:rPr>
          <w:rFonts w:ascii="宋体" w:hAnsi="宋体"/>
          <w:color w:val="auto"/>
          <w:szCs w:val="21"/>
        </w:rPr>
        <w:t>要参与</w:t>
      </w:r>
      <w:r>
        <w:rPr>
          <w:rFonts w:hint="eastAsia" w:ascii="宋体" w:hAnsi="宋体"/>
          <w:color w:val="auto"/>
          <w:szCs w:val="21"/>
        </w:rPr>
        <w:t>采购人院区</w:t>
      </w:r>
      <w:r>
        <w:rPr>
          <w:rFonts w:ascii="宋体" w:hAnsi="宋体"/>
          <w:color w:val="auto"/>
          <w:szCs w:val="21"/>
        </w:rPr>
        <w:t>涉及消防系统二次装修改造工程的监督工作，不管是否由</w:t>
      </w:r>
      <w:r>
        <w:rPr>
          <w:rFonts w:hint="eastAsia" w:ascii="宋体" w:hAnsi="宋体"/>
          <w:color w:val="auto"/>
          <w:szCs w:val="21"/>
        </w:rPr>
        <w:t>维保服务供应商</w:t>
      </w:r>
      <w:r>
        <w:rPr>
          <w:rFonts w:ascii="宋体" w:hAnsi="宋体"/>
          <w:color w:val="auto"/>
          <w:szCs w:val="21"/>
        </w:rPr>
        <w:t>施工，在二次装修工程过程中，</w:t>
      </w:r>
      <w:r>
        <w:rPr>
          <w:rFonts w:hint="eastAsia" w:ascii="宋体" w:hAnsi="宋体"/>
          <w:color w:val="auto"/>
          <w:szCs w:val="21"/>
        </w:rPr>
        <w:t>维保服务供应商</w:t>
      </w:r>
      <w:r>
        <w:rPr>
          <w:rFonts w:ascii="宋体" w:hAnsi="宋体"/>
          <w:color w:val="auto"/>
          <w:szCs w:val="21"/>
        </w:rPr>
        <w:t>都要跟进了解、协调。竣工后，</w:t>
      </w:r>
      <w:r>
        <w:rPr>
          <w:rFonts w:hint="eastAsia" w:ascii="宋体" w:hAnsi="宋体"/>
          <w:color w:val="auto"/>
          <w:szCs w:val="21"/>
        </w:rPr>
        <w:t>维保服务供应商</w:t>
      </w:r>
      <w:r>
        <w:rPr>
          <w:rFonts w:ascii="宋体" w:hAnsi="宋体"/>
          <w:color w:val="auto"/>
          <w:szCs w:val="21"/>
        </w:rPr>
        <w:t>要参与内部验收并提出专业意见，在验收报告中签名确认。如由于二次装修引起的系统故障，</w:t>
      </w:r>
      <w:r>
        <w:rPr>
          <w:rFonts w:hint="eastAsia" w:ascii="宋体" w:hAnsi="宋体"/>
          <w:color w:val="auto"/>
          <w:szCs w:val="21"/>
        </w:rPr>
        <w:t>维保服务供应商</w:t>
      </w:r>
      <w:r>
        <w:rPr>
          <w:rFonts w:ascii="宋体" w:hAnsi="宋体"/>
          <w:color w:val="auto"/>
          <w:szCs w:val="21"/>
        </w:rPr>
        <w:t>要书面报</w:t>
      </w:r>
      <w:r>
        <w:rPr>
          <w:rFonts w:hint="eastAsia" w:ascii="宋体" w:hAnsi="宋体"/>
          <w:color w:val="auto"/>
          <w:szCs w:val="21"/>
        </w:rPr>
        <w:t>采购人</w:t>
      </w:r>
      <w:r>
        <w:rPr>
          <w:rFonts w:ascii="宋体" w:hAnsi="宋体"/>
          <w:color w:val="auto"/>
          <w:szCs w:val="21"/>
        </w:rPr>
        <w:t>主管部门，并要协调施工单位进行整改。</w:t>
      </w:r>
    </w:p>
    <w:p>
      <w:pPr>
        <w:numPr>
          <w:ilvl w:val="0"/>
          <w:numId w:val="3"/>
        </w:numPr>
        <w:spacing w:line="360" w:lineRule="auto"/>
        <w:ind w:firstLine="420" w:firstLineChars="200"/>
        <w:rPr>
          <w:rFonts w:ascii="宋体" w:hAnsi="宋体"/>
          <w:color w:val="auto"/>
          <w:szCs w:val="21"/>
        </w:rPr>
      </w:pPr>
      <w:r>
        <w:rPr>
          <w:rFonts w:ascii="宋体" w:hAnsi="宋体"/>
          <w:color w:val="auto"/>
          <w:szCs w:val="21"/>
        </w:rPr>
        <w:t>维保工作的各种记录文件或表格</w:t>
      </w:r>
      <w:r>
        <w:rPr>
          <w:rFonts w:hint="eastAsia" w:ascii="宋体" w:hAnsi="宋体"/>
          <w:color w:val="auto"/>
          <w:szCs w:val="21"/>
        </w:rPr>
        <w:t>存档</w:t>
      </w:r>
    </w:p>
    <w:p>
      <w:pPr>
        <w:spacing w:line="360" w:lineRule="auto"/>
        <w:ind w:left="420" w:leftChars="200"/>
        <w:rPr>
          <w:rFonts w:ascii="宋体" w:hAnsi="宋体"/>
          <w:color w:val="auto"/>
          <w:szCs w:val="21"/>
        </w:rPr>
      </w:pPr>
      <w:r>
        <w:rPr>
          <w:rFonts w:hint="eastAsia" w:ascii="宋体" w:hAnsi="宋体"/>
          <w:color w:val="auto"/>
          <w:szCs w:val="21"/>
        </w:rPr>
        <w:t>维保服务供应商</w:t>
      </w:r>
      <w:r>
        <w:rPr>
          <w:rFonts w:ascii="宋体" w:hAnsi="宋体"/>
          <w:color w:val="auto"/>
          <w:szCs w:val="21"/>
        </w:rPr>
        <w:t>应根据</w:t>
      </w:r>
      <w:r>
        <w:rPr>
          <w:rFonts w:hint="eastAsia" w:ascii="宋体" w:hAnsi="宋体"/>
          <w:color w:val="auto"/>
          <w:szCs w:val="21"/>
        </w:rPr>
        <w:t>消防</w:t>
      </w:r>
      <w:r>
        <w:rPr>
          <w:rFonts w:ascii="宋体" w:hAnsi="宋体"/>
          <w:color w:val="auto"/>
          <w:szCs w:val="21"/>
        </w:rPr>
        <w:t>维保具体工作的需要编制巡查、保养、检测、故障排除、年度计划、月度计划、月度报告、</w:t>
      </w:r>
      <w:r>
        <w:rPr>
          <w:rFonts w:hint="eastAsia" w:ascii="宋体" w:hAnsi="宋体"/>
          <w:color w:val="auto"/>
          <w:szCs w:val="21"/>
        </w:rPr>
        <w:t>季度报告、</w:t>
      </w:r>
      <w:r>
        <w:rPr>
          <w:rFonts w:ascii="宋体" w:hAnsi="宋体"/>
          <w:color w:val="auto"/>
          <w:szCs w:val="21"/>
        </w:rPr>
        <w:t>年度报告等记录文件或表格，相关记录文件、表格要</w:t>
      </w:r>
      <w:r>
        <w:rPr>
          <w:rFonts w:hint="eastAsia" w:ascii="宋体" w:hAnsi="宋体"/>
          <w:color w:val="auto"/>
          <w:szCs w:val="21"/>
        </w:rPr>
        <w:t>按采购人</w:t>
      </w:r>
      <w:r>
        <w:rPr>
          <w:rFonts w:ascii="宋体" w:hAnsi="宋体"/>
          <w:color w:val="auto"/>
          <w:szCs w:val="21"/>
        </w:rPr>
        <w:t>规定及时上交</w:t>
      </w:r>
      <w:r>
        <w:rPr>
          <w:rFonts w:hint="eastAsia" w:ascii="宋体" w:hAnsi="宋体"/>
          <w:color w:val="auto"/>
          <w:szCs w:val="21"/>
        </w:rPr>
        <w:t>保卫科</w:t>
      </w:r>
      <w:r>
        <w:rPr>
          <w:rFonts w:ascii="宋体" w:hAnsi="宋体"/>
          <w:color w:val="auto"/>
          <w:szCs w:val="21"/>
        </w:rPr>
        <w:t>审核</w:t>
      </w:r>
      <w:r>
        <w:rPr>
          <w:rFonts w:hint="eastAsia" w:ascii="宋体" w:hAnsi="宋体"/>
          <w:color w:val="auto"/>
          <w:szCs w:val="21"/>
        </w:rPr>
        <w:t>。</w:t>
      </w:r>
    </w:p>
    <w:p>
      <w:pPr>
        <w:numPr>
          <w:ilvl w:val="0"/>
          <w:numId w:val="3"/>
        </w:numPr>
        <w:spacing w:line="360" w:lineRule="auto"/>
        <w:ind w:firstLine="420" w:firstLineChars="200"/>
        <w:rPr>
          <w:rFonts w:ascii="宋体" w:hAnsi="宋体"/>
          <w:color w:val="auto"/>
          <w:szCs w:val="21"/>
        </w:rPr>
      </w:pPr>
      <w:r>
        <w:rPr>
          <w:rFonts w:ascii="宋体" w:hAnsi="宋体"/>
          <w:color w:val="auto"/>
          <w:szCs w:val="21"/>
        </w:rPr>
        <w:t>消防监督部门的检查、检测</w:t>
      </w:r>
    </w:p>
    <w:p>
      <w:pPr>
        <w:spacing w:line="360" w:lineRule="auto"/>
        <w:ind w:firstLine="420" w:firstLineChars="200"/>
        <w:rPr>
          <w:rFonts w:ascii="宋体" w:hAnsi="宋体"/>
          <w:color w:val="auto"/>
          <w:szCs w:val="21"/>
        </w:rPr>
      </w:pPr>
      <w:r>
        <w:rPr>
          <w:rFonts w:hint="eastAsia" w:ascii="宋体" w:hAnsi="宋体"/>
          <w:color w:val="auto"/>
          <w:szCs w:val="21"/>
        </w:rPr>
        <w:t>维保服务供应商</w:t>
      </w:r>
      <w:r>
        <w:rPr>
          <w:rFonts w:ascii="宋体" w:hAnsi="宋体"/>
          <w:color w:val="auto"/>
          <w:szCs w:val="21"/>
        </w:rPr>
        <w:t>必须保证</w:t>
      </w:r>
      <w:r>
        <w:rPr>
          <w:rFonts w:hint="eastAsia" w:ascii="宋体" w:hAnsi="宋体"/>
          <w:color w:val="auto"/>
          <w:szCs w:val="21"/>
        </w:rPr>
        <w:t>采购人</w:t>
      </w:r>
      <w:r>
        <w:rPr>
          <w:rFonts w:ascii="宋体" w:hAnsi="宋体"/>
          <w:color w:val="auto"/>
          <w:szCs w:val="21"/>
        </w:rPr>
        <w:t>通过消防监督部门涉及消防系统方面的防火检查及建筑消防设施年度检测工作,如因维保</w:t>
      </w:r>
      <w:r>
        <w:rPr>
          <w:rFonts w:hint="eastAsia" w:ascii="宋体" w:hAnsi="宋体"/>
          <w:color w:val="auto"/>
          <w:szCs w:val="21"/>
        </w:rPr>
        <w:t>服务供应商人员</w:t>
      </w:r>
      <w:r>
        <w:rPr>
          <w:rFonts w:ascii="宋体" w:hAnsi="宋体"/>
          <w:color w:val="auto"/>
          <w:szCs w:val="21"/>
        </w:rPr>
        <w:t>工作原因</w:t>
      </w:r>
      <w:r>
        <w:rPr>
          <w:rFonts w:hint="eastAsia" w:ascii="宋体" w:hAnsi="宋体"/>
          <w:color w:val="auto"/>
          <w:szCs w:val="21"/>
        </w:rPr>
        <w:t>，</w:t>
      </w:r>
      <w:r>
        <w:rPr>
          <w:rFonts w:ascii="宋体" w:hAnsi="宋体"/>
          <w:color w:val="auto"/>
          <w:szCs w:val="21"/>
        </w:rPr>
        <w:t>未能通过年度消防检测及消防部门组织的防火检查，</w:t>
      </w:r>
      <w:r>
        <w:rPr>
          <w:rFonts w:hint="eastAsia" w:ascii="宋体" w:hAnsi="宋体"/>
          <w:color w:val="auto"/>
          <w:szCs w:val="21"/>
        </w:rPr>
        <w:t>维保服务供应商</w:t>
      </w:r>
      <w:r>
        <w:rPr>
          <w:rFonts w:ascii="宋体" w:hAnsi="宋体"/>
          <w:color w:val="auto"/>
          <w:szCs w:val="21"/>
        </w:rPr>
        <w:t>则必须进行整改直至通过检查或检测。</w:t>
      </w:r>
    </w:p>
    <w:p>
      <w:pPr>
        <w:numPr>
          <w:ilvl w:val="0"/>
          <w:numId w:val="3"/>
        </w:numPr>
        <w:spacing w:line="360" w:lineRule="auto"/>
        <w:ind w:firstLine="420" w:firstLineChars="200"/>
        <w:rPr>
          <w:rFonts w:ascii="宋体" w:hAnsi="宋体"/>
          <w:color w:val="auto"/>
          <w:szCs w:val="21"/>
        </w:rPr>
      </w:pPr>
      <w:r>
        <w:rPr>
          <w:rFonts w:ascii="宋体" w:hAnsi="宋体"/>
          <w:color w:val="auto"/>
          <w:szCs w:val="21"/>
        </w:rPr>
        <w:t>消防演习</w:t>
      </w:r>
    </w:p>
    <w:p>
      <w:pPr>
        <w:spacing w:line="360" w:lineRule="auto"/>
        <w:ind w:left="420" w:leftChars="200"/>
        <w:rPr>
          <w:rFonts w:ascii="宋体" w:hAnsi="宋体"/>
          <w:color w:val="auto"/>
          <w:szCs w:val="21"/>
        </w:rPr>
      </w:pPr>
      <w:r>
        <w:rPr>
          <w:rFonts w:hint="eastAsia" w:ascii="宋体" w:hAnsi="宋体"/>
          <w:color w:val="auto"/>
          <w:szCs w:val="21"/>
        </w:rPr>
        <w:t>负责编制符合采购人实际的消防培训演练方案，并要参与协助做好相关工作</w:t>
      </w:r>
      <w:r>
        <w:rPr>
          <w:rFonts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10.维保服务供应商在采购人地点工作期间，须遵守采购人管理制度，服从采购人人员管理。维保服务供应商在采购人地点工作期间，必须严格遵守采购人的各项管理规章制度，服从采购人人员管理，做到文明施工，确保安全、可靠，并保持通讯畅通。因维保服务供应商维修保养质量所引起的一切事故责任由维保服务供应商承担。如带材料出外，需列出明细表并经采购人确认，方能带出。</w:t>
      </w:r>
    </w:p>
    <w:p>
      <w:pPr>
        <w:spacing w:line="360" w:lineRule="auto"/>
        <w:ind w:firstLine="420" w:firstLineChars="200"/>
        <w:rPr>
          <w:rFonts w:ascii="宋体" w:hAnsi="宋体"/>
          <w:color w:val="auto"/>
          <w:szCs w:val="21"/>
        </w:rPr>
      </w:pPr>
      <w:r>
        <w:rPr>
          <w:rFonts w:hint="eastAsia" w:ascii="宋体" w:hAnsi="宋体"/>
          <w:color w:val="auto"/>
          <w:szCs w:val="21"/>
        </w:rPr>
        <w:t>11.在服务期内，维保服务供应商必须做好其派出的工作人员所需要的安全教育及安全措施，保证工作人员工安全，工作人员在用户方工作范围内发生事故的一切责任由维保服务供应商负责。</w:t>
      </w:r>
    </w:p>
    <w:p>
      <w:pPr>
        <w:spacing w:line="360" w:lineRule="auto"/>
        <w:ind w:firstLine="420" w:firstLineChars="200"/>
        <w:rPr>
          <w:rFonts w:ascii="宋体" w:hAnsi="宋体"/>
          <w:color w:val="auto"/>
          <w:szCs w:val="21"/>
        </w:rPr>
      </w:pPr>
      <w:r>
        <w:rPr>
          <w:rFonts w:hint="eastAsia" w:ascii="宋体" w:hAnsi="宋体"/>
          <w:color w:val="auto"/>
          <w:szCs w:val="21"/>
        </w:rPr>
        <w:t>12.维保服务供应商需派出工程师负责对采购人消防控制室值班人员进行消防设备日常维护及保养知识培训，每年至少两次。</w:t>
      </w:r>
    </w:p>
    <w:p>
      <w:pPr>
        <w:spacing w:line="360" w:lineRule="auto"/>
        <w:ind w:firstLine="420" w:firstLineChars="200"/>
        <w:rPr>
          <w:rFonts w:ascii="宋体" w:hAnsi="宋体"/>
          <w:color w:val="auto"/>
          <w:szCs w:val="21"/>
        </w:rPr>
      </w:pPr>
      <w:r>
        <w:rPr>
          <w:rFonts w:hint="eastAsia" w:ascii="宋体" w:hAnsi="宋体"/>
          <w:color w:val="auto"/>
          <w:szCs w:val="21"/>
        </w:rPr>
        <w:t xml:space="preserve">13.维保服务供应商对采购人单位消防须进行巡查，积极做好消防宣传工作，消除一切火灾隐患；维保服务供应商派员到场维护保养应事先通知采购人，维保服务供应商技术人员必须持证上岗，如维保服务供应商更换维保人员须事先提前1个月书面通知采购人。    </w:t>
      </w:r>
    </w:p>
    <w:p>
      <w:pPr>
        <w:spacing w:line="360" w:lineRule="auto"/>
        <w:ind w:firstLine="420" w:firstLineChars="200"/>
        <w:rPr>
          <w:rFonts w:ascii="宋体" w:hAnsi="宋体"/>
          <w:color w:val="auto"/>
          <w:szCs w:val="21"/>
        </w:rPr>
      </w:pPr>
      <w:r>
        <w:rPr>
          <w:rFonts w:hint="eastAsia" w:ascii="宋体" w:hAnsi="宋体"/>
          <w:color w:val="auto"/>
          <w:szCs w:val="21"/>
        </w:rPr>
        <w:t>14.供应商在施工过程中要加强安全教育和管理，按国家有关规定的安全文明要求进行施工，施工期间必须采取严格的安全防护措施，若出现安全责任事故，由供应商承担全部责任及费用。"</w:t>
      </w:r>
    </w:p>
    <w:p>
      <w:pPr>
        <w:spacing w:line="360" w:lineRule="auto"/>
        <w:ind w:firstLine="420" w:firstLineChars="200"/>
        <w:rPr>
          <w:rFonts w:ascii="宋体" w:hAnsi="宋体"/>
          <w:color w:val="auto"/>
          <w:szCs w:val="21"/>
        </w:rPr>
      </w:pPr>
      <w:r>
        <w:rPr>
          <w:rFonts w:hint="eastAsia" w:ascii="宋体" w:hAnsi="宋体"/>
          <w:color w:val="auto"/>
          <w:szCs w:val="21"/>
        </w:rPr>
        <w:t>15.供应商负责施工场地及其周边环境与生态的保护工作，包括工程竣工后的场地清理(包括建筑物周围的余泥及其他堆积物，临时的生产和生活设施拆除)，并将门窗、玻璃、地面清扫干净。"</w:t>
      </w:r>
    </w:p>
    <w:p>
      <w:pPr>
        <w:spacing w:line="360" w:lineRule="auto"/>
        <w:ind w:firstLine="420" w:firstLineChars="200"/>
        <w:rPr>
          <w:rFonts w:ascii="宋体" w:hAnsi="宋体"/>
          <w:color w:val="auto"/>
          <w:szCs w:val="21"/>
        </w:rPr>
      </w:pPr>
      <w:r>
        <w:rPr>
          <w:rFonts w:hint="eastAsia" w:ascii="宋体" w:hAnsi="宋体"/>
          <w:color w:val="auto"/>
          <w:szCs w:val="21"/>
        </w:rPr>
        <w:t>16.服务</w:t>
      </w:r>
      <w:r>
        <w:rPr>
          <w:rFonts w:ascii="宋体" w:hAnsi="宋体"/>
          <w:color w:val="auto"/>
          <w:szCs w:val="21"/>
        </w:rPr>
        <w:t>期满，</w:t>
      </w:r>
      <w:r>
        <w:rPr>
          <w:rFonts w:hint="eastAsia" w:ascii="宋体" w:hAnsi="宋体"/>
          <w:color w:val="auto"/>
          <w:szCs w:val="21"/>
        </w:rPr>
        <w:t>维保服务供应商</w:t>
      </w:r>
      <w:r>
        <w:rPr>
          <w:rFonts w:ascii="宋体" w:hAnsi="宋体"/>
          <w:color w:val="auto"/>
          <w:szCs w:val="21"/>
        </w:rPr>
        <w:t>必须保证将所保养的设备完好，无故障</w:t>
      </w:r>
      <w:r>
        <w:rPr>
          <w:rFonts w:hint="eastAsia" w:ascii="宋体" w:hAnsi="宋体"/>
          <w:color w:val="auto"/>
          <w:szCs w:val="21"/>
        </w:rPr>
        <w:t>，经采购人确认</w:t>
      </w:r>
      <w:r>
        <w:rPr>
          <w:rFonts w:ascii="宋体" w:hAnsi="宋体"/>
          <w:color w:val="auto"/>
          <w:szCs w:val="21"/>
        </w:rPr>
        <w:t>合格后</w:t>
      </w:r>
      <w:r>
        <w:rPr>
          <w:rFonts w:hint="eastAsia" w:ascii="宋体" w:hAnsi="宋体"/>
          <w:color w:val="auto"/>
          <w:szCs w:val="21"/>
        </w:rPr>
        <w:t>，整套移交</w:t>
      </w:r>
      <w:r>
        <w:rPr>
          <w:rFonts w:ascii="宋体" w:hAnsi="宋体"/>
          <w:color w:val="auto"/>
          <w:szCs w:val="21"/>
        </w:rPr>
        <w:t>。</w:t>
      </w:r>
    </w:p>
    <w:p>
      <w:pPr>
        <w:spacing w:line="360" w:lineRule="auto"/>
        <w:ind w:left="315" w:leftChars="150"/>
        <w:rPr>
          <w:b/>
          <w:color w:val="auto"/>
          <w:szCs w:val="21"/>
        </w:rPr>
      </w:pPr>
      <w:r>
        <w:rPr>
          <w:rFonts w:ascii="宋体" w:hAnsi="宋体"/>
          <w:b/>
          <w:color w:val="auto"/>
          <w:szCs w:val="21"/>
        </w:rPr>
        <w:t>（四）维保人员的要求</w:t>
      </w:r>
    </w:p>
    <w:p>
      <w:pPr>
        <w:spacing w:line="360" w:lineRule="auto"/>
        <w:ind w:firstLine="420" w:firstLineChars="200"/>
        <w:rPr>
          <w:rFonts w:ascii="宋体" w:hAnsi="宋体"/>
          <w:color w:val="auto"/>
          <w:szCs w:val="21"/>
        </w:rPr>
      </w:pPr>
      <w:r>
        <w:rPr>
          <w:rFonts w:hint="eastAsia" w:ascii="宋体" w:hAnsi="宋体"/>
          <w:color w:val="auto"/>
          <w:szCs w:val="21"/>
        </w:rPr>
        <w:t>到采购人院区进行维保的</w:t>
      </w:r>
      <w:r>
        <w:rPr>
          <w:rFonts w:ascii="宋体" w:hAnsi="宋体"/>
          <w:color w:val="auto"/>
          <w:szCs w:val="21"/>
        </w:rPr>
        <w:t>人员（除文员外）</w:t>
      </w:r>
      <w:r>
        <w:rPr>
          <w:rFonts w:hint="eastAsia" w:ascii="宋体" w:hAnsi="宋体"/>
          <w:color w:val="auto"/>
          <w:szCs w:val="21"/>
          <w:lang w:eastAsia="zh-CN"/>
        </w:rPr>
        <w:t>应当具备消防设施操作员中级或以上资质</w:t>
      </w:r>
      <w:r>
        <w:rPr>
          <w:rFonts w:ascii="宋体" w:hAnsi="宋体"/>
          <w:color w:val="auto"/>
          <w:szCs w:val="21"/>
        </w:rPr>
        <w:t>。</w:t>
      </w:r>
    </w:p>
    <w:p>
      <w:pPr>
        <w:spacing w:line="360" w:lineRule="auto"/>
        <w:ind w:firstLine="211" w:firstLineChars="100"/>
        <w:rPr>
          <w:rFonts w:ascii="宋体" w:hAnsi="宋体"/>
          <w:b/>
          <w:bCs/>
          <w:color w:val="auto"/>
          <w:szCs w:val="21"/>
        </w:rPr>
      </w:pPr>
      <w:r>
        <w:rPr>
          <w:rFonts w:ascii="宋体" w:hAnsi="宋体"/>
          <w:b/>
          <w:color w:val="auto"/>
          <w:szCs w:val="21"/>
        </w:rPr>
        <w:t>（五）维护保养具体工作内容</w:t>
      </w:r>
      <w:r>
        <w:rPr>
          <w:rFonts w:hint="eastAsia" w:ascii="宋体" w:hAnsi="宋体"/>
          <w:b/>
          <w:bCs/>
          <w:color w:val="auto"/>
          <w:szCs w:val="21"/>
        </w:rPr>
        <w:t>（包含但不限于下述工作内容，相关资料均按工作程序进行记录存档）</w:t>
      </w:r>
    </w:p>
    <w:p>
      <w:pPr>
        <w:spacing w:line="360" w:lineRule="auto"/>
        <w:ind w:left="344" w:leftChars="164" w:firstLine="105" w:firstLineChars="50"/>
        <w:rPr>
          <w:rFonts w:ascii="宋体" w:hAnsi="宋体"/>
          <w:b/>
          <w:color w:val="auto"/>
          <w:szCs w:val="21"/>
        </w:rPr>
      </w:pPr>
      <w:r>
        <w:rPr>
          <w:rFonts w:hint="eastAsia" w:ascii="宋体" w:hAnsi="宋体"/>
          <w:b/>
          <w:color w:val="auto"/>
          <w:szCs w:val="21"/>
        </w:rPr>
        <w:t>1.火灾自动报警与消防联动控制系统</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1.1检查烟感、温感、探头是否完好。（每月）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1.2 检查手动报警按钮是否变形，玻璃有无破损。（每月）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1.3 巡检探测器、手动报警按钮或破玻功能。（每月）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1.4 及时更换损坏或丢失的探头、按钮玻璃等。</w:t>
      </w:r>
    </w:p>
    <w:p>
      <w:pPr>
        <w:spacing w:line="360" w:lineRule="auto"/>
        <w:ind w:firstLine="420" w:firstLineChars="200"/>
        <w:rPr>
          <w:rFonts w:ascii="宋体" w:hAnsi="宋体"/>
          <w:color w:val="auto"/>
          <w:szCs w:val="21"/>
        </w:rPr>
      </w:pPr>
      <w:r>
        <w:rPr>
          <w:rFonts w:hint="eastAsia" w:ascii="宋体" w:hAnsi="宋体"/>
          <w:color w:val="auto"/>
          <w:szCs w:val="21"/>
        </w:rPr>
        <w:t>1.5进行火灾模拟试验，采用喷烟雾或磁石测试，抽查不少于5%的探头及5%的手动报警钮、破玻按钮。（每月）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1.6检查火警时在自动状态下能否及时准确显示报警地址、类型和发出警报（警铃呜响）。（每季）</w:t>
      </w:r>
    </w:p>
    <w:p>
      <w:pPr>
        <w:spacing w:line="360" w:lineRule="auto"/>
        <w:ind w:firstLine="420" w:firstLineChars="200"/>
        <w:rPr>
          <w:rFonts w:ascii="宋体" w:hAnsi="宋体"/>
          <w:color w:val="auto"/>
          <w:szCs w:val="21"/>
        </w:rPr>
      </w:pPr>
      <w:r>
        <w:rPr>
          <w:rFonts w:hint="eastAsia" w:ascii="宋体" w:hAnsi="宋体"/>
          <w:color w:val="auto"/>
          <w:szCs w:val="21"/>
        </w:rPr>
        <w:t>1.7检查火警时在自动状态下能否准确联动相关消防设备，如：起动消防栓泵、喷淋泵、打开风阀、联动风机、关闭防火门、接通广播、启动警铃、电梯迫降等。（每季）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1.8检查火警时，消防中心能否接收到各设备动作后的反馈信号。（每月）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1.9对报警控制器、各楼层消防控制线路接线箱、联动控制柜进行清洁保养。（每季）</w:t>
      </w:r>
    </w:p>
    <w:p>
      <w:pPr>
        <w:spacing w:line="360" w:lineRule="auto"/>
        <w:ind w:firstLine="420" w:firstLineChars="200"/>
        <w:rPr>
          <w:rFonts w:ascii="宋体" w:hAnsi="宋体"/>
          <w:color w:val="auto"/>
          <w:szCs w:val="21"/>
        </w:rPr>
      </w:pPr>
      <w:r>
        <w:rPr>
          <w:rFonts w:hint="eastAsia" w:ascii="宋体" w:hAnsi="宋体"/>
          <w:color w:val="auto"/>
          <w:szCs w:val="21"/>
        </w:rPr>
        <w:t>1.10对报警控制器、各楼层消防控制线路接线箱、联动控制柜、通讯主机内电器元件进行清洁保养。（每半年）</w:t>
      </w:r>
    </w:p>
    <w:p>
      <w:pPr>
        <w:spacing w:line="360" w:lineRule="auto"/>
        <w:ind w:firstLine="420" w:firstLineChars="200"/>
        <w:rPr>
          <w:rFonts w:ascii="宋体" w:hAnsi="宋体"/>
          <w:color w:val="auto"/>
          <w:szCs w:val="21"/>
        </w:rPr>
      </w:pPr>
      <w:r>
        <w:rPr>
          <w:rFonts w:hint="eastAsia" w:ascii="宋体" w:hAnsi="宋体"/>
          <w:color w:val="auto"/>
          <w:szCs w:val="21"/>
        </w:rPr>
        <w:t>1.11对备用电源进行1～2次充放电试验，1～3次主电源和备用电源切换试验。检查内容包括：消防联动控制柜、消防主机、通讯主机、CRT平面显示系统。（每年）</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1.12半年进行一次强切非消防电源功能试验。</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1.13定期对火灾探测器清洁一次。</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1.14每年按规定的比例，对系统各设备进行一次检测。</w:t>
      </w:r>
    </w:p>
    <w:p>
      <w:pPr>
        <w:spacing w:line="360" w:lineRule="auto"/>
        <w:ind w:left="344" w:leftChars="164" w:firstLine="105" w:firstLineChars="50"/>
        <w:rPr>
          <w:rFonts w:ascii="宋体" w:hAnsi="宋体"/>
          <w:b/>
          <w:color w:val="auto"/>
          <w:szCs w:val="21"/>
        </w:rPr>
      </w:pPr>
      <w:r>
        <w:rPr>
          <w:rFonts w:hint="eastAsia" w:ascii="宋体" w:hAnsi="宋体"/>
          <w:b/>
          <w:color w:val="auto"/>
          <w:szCs w:val="21"/>
        </w:rPr>
        <w:t>2.消火栓、自动喷淋灭火系统</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2.1检查消火栓箱及配置的消防部件，外观是否破损，涂层有无脱落，周围有无障碍物。（每月）</w:t>
      </w:r>
    </w:p>
    <w:p>
      <w:pPr>
        <w:spacing w:line="360" w:lineRule="auto"/>
        <w:ind w:firstLine="420" w:firstLineChars="200"/>
        <w:rPr>
          <w:rFonts w:ascii="宋体" w:hAnsi="宋体"/>
          <w:color w:val="auto"/>
          <w:szCs w:val="21"/>
        </w:rPr>
      </w:pPr>
      <w:r>
        <w:rPr>
          <w:rFonts w:hint="eastAsia" w:ascii="宋体" w:hAnsi="宋体"/>
          <w:color w:val="auto"/>
          <w:szCs w:val="21"/>
        </w:rPr>
        <w:t>2.2检查箱内消防水枪、水带、消防卷盘及全部附件是否齐全、良好；水带是否霉烂，水枪内是否有杂物，消火栓水带水枪接口处的密封是否老化，卷盘是否有漏水现象及转动有无灵活。（每月）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2.3检查减压阀高、低压端压力表读数是否处于正常范围。（每月）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2.4检查消防栓管道上各阀门是否处于正确的位置，管道接口及阀门是否有漏水和锈蚀现象。（每月）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2.5检查贮水池储水量是否满足要求。（每月）</w:t>
      </w:r>
    </w:p>
    <w:p>
      <w:pPr>
        <w:spacing w:line="360" w:lineRule="auto"/>
        <w:ind w:firstLine="420" w:firstLineChars="200"/>
        <w:rPr>
          <w:rFonts w:ascii="宋体" w:hAnsi="宋体"/>
          <w:color w:val="auto"/>
          <w:szCs w:val="21"/>
        </w:rPr>
      </w:pPr>
      <w:r>
        <w:rPr>
          <w:rFonts w:hint="eastAsia" w:ascii="宋体" w:hAnsi="宋体"/>
          <w:color w:val="auto"/>
          <w:szCs w:val="21"/>
        </w:rPr>
        <w:t>2.6启动各台消火栓泵，试验运行。试验完毕后，在最不利的消防栓放水，观察其出水压力及流量是否足够。（每月）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2.7检查消火栓水泵接合器，保证接口完好、无渗漏，检查密封垫是否老化。（每月）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2.8检查消防中心、现场水泵房及消防水泵控制柜线路。（每月）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2.9检查和测试消防栓系统和喷淋系统的自动满载运行状况。（每月）</w:t>
      </w:r>
    </w:p>
    <w:p>
      <w:pPr>
        <w:spacing w:line="360" w:lineRule="auto"/>
        <w:ind w:firstLine="420" w:firstLineChars="200"/>
        <w:rPr>
          <w:rFonts w:ascii="宋体" w:hAnsi="宋体"/>
          <w:color w:val="auto"/>
          <w:szCs w:val="21"/>
        </w:rPr>
      </w:pPr>
      <w:r>
        <w:rPr>
          <w:rFonts w:hint="eastAsia" w:ascii="宋体" w:hAnsi="宋体"/>
          <w:color w:val="auto"/>
          <w:szCs w:val="21"/>
        </w:rPr>
        <w:t>2.10在正常情况下，维护管理人员定期应对进水阀、报警阀进行外观检查并应保证系统处于无故障状态。（每月）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2.11检查喷淋管道上各阀门是否处于正确位置。（每月）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2.12检查喷淋水泵接合器的接口及附件，并保证接口完好、无渗漏，检查密封垫是否老化。（每月）</w:t>
      </w:r>
    </w:p>
    <w:p>
      <w:pPr>
        <w:spacing w:line="360" w:lineRule="auto"/>
        <w:ind w:firstLine="420" w:firstLineChars="200"/>
        <w:rPr>
          <w:rFonts w:ascii="宋体" w:hAnsi="宋体"/>
          <w:color w:val="auto"/>
          <w:szCs w:val="21"/>
        </w:rPr>
      </w:pPr>
      <w:r>
        <w:rPr>
          <w:rFonts w:hint="eastAsia" w:ascii="宋体" w:hAnsi="宋体"/>
          <w:color w:val="auto"/>
          <w:szCs w:val="21"/>
        </w:rPr>
        <w:t>2.13启动稳压泵，观察压力上升是否正常，消防控制中心能否显示其动作信号，人工放水观察稳压泵自动起动和停止后的压力是否正常。（每月）</w:t>
      </w:r>
    </w:p>
    <w:p>
      <w:pPr>
        <w:spacing w:line="360" w:lineRule="auto"/>
        <w:ind w:firstLine="420" w:firstLineChars="200"/>
        <w:rPr>
          <w:rFonts w:ascii="宋体" w:hAnsi="宋体"/>
          <w:color w:val="auto"/>
          <w:szCs w:val="21"/>
        </w:rPr>
      </w:pPr>
      <w:r>
        <w:rPr>
          <w:rFonts w:hint="eastAsia" w:ascii="宋体" w:hAnsi="宋体"/>
          <w:color w:val="auto"/>
          <w:szCs w:val="21"/>
        </w:rPr>
        <w:t>2.14检查消防泵和喷淋泵启动时，消防控制中心能否显示其动作信号，自动状态时，消防控制中心能否控制其启动和停止。（每季）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2.15每季度对消火栓箱及水泵控制柜和水泵控制柜内元件进行清洁保养。</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2.16定期清洗减压阀、止回阀及给所有水泵各种转轴的连动构件进行清洁润滑保养。</w:t>
      </w:r>
    </w:p>
    <w:p>
      <w:pPr>
        <w:spacing w:line="360" w:lineRule="auto"/>
        <w:ind w:firstLine="420" w:firstLineChars="200"/>
        <w:rPr>
          <w:rFonts w:ascii="宋体" w:hAnsi="宋体"/>
          <w:color w:val="auto"/>
          <w:szCs w:val="21"/>
        </w:rPr>
      </w:pPr>
      <w:r>
        <w:rPr>
          <w:rFonts w:hint="eastAsia" w:ascii="宋体" w:hAnsi="宋体"/>
          <w:color w:val="auto"/>
          <w:szCs w:val="21"/>
        </w:rPr>
        <w:t>2.17检查消防水池、消防水箱及消防气压给水设备，并检查其消防储备水位。更换前，需书面通知采购人。</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2.18消火栓和消防卷盘供水阀不应有渗漏现象。</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2.19报警按钮、指示灯及控制线路功能正常，无故障。</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2.20每年应对消防储水设备进行检查，修补缺损和重新油漆。</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2.21钢板消防水箱和气压给水设备的玻璃水位计，两端的角阀，在不进行水位观察时应关闭。</w:t>
      </w:r>
    </w:p>
    <w:p>
      <w:pPr>
        <w:spacing w:line="360" w:lineRule="auto"/>
        <w:ind w:firstLine="420" w:firstLineChars="200"/>
        <w:rPr>
          <w:rFonts w:ascii="宋体" w:hAnsi="宋体"/>
          <w:color w:val="auto"/>
          <w:szCs w:val="21"/>
        </w:rPr>
      </w:pPr>
      <w:r>
        <w:rPr>
          <w:rFonts w:hint="eastAsia" w:ascii="宋体" w:hAnsi="宋体"/>
          <w:color w:val="auto"/>
          <w:szCs w:val="21"/>
        </w:rPr>
        <w:t>2.22对喷头进行巡检检查，发现有不正常的喷头应及时更换。当喷头上有异物时，应及时清除。更换或安装喷头应使用专用扳手和各种不同规格的喷头均应有一定数量的备用品，其数量不应少于安装数量的1%，且每种喷头的数量不应少于10个。</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2.23 管路：检查系统管路有无腐蚀渗漏，湿式系统管路内的水应定期排空、冲洗。</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2.24 检查和测试消防水泵及喷淋水泵，包括所有消防加压泵模拟火灾状态进行联动控制。（每季）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2.25 启、闭信号蝶阀，检查消防控制中心能否收到其关闭信号并显示所在位置。（每季）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2.26在各楼层进行试放水一次，检查以下内容：（每季）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2.26.1该楼层水流指示器是否动作，动作时消防控制中心能否收到其报警信号并显示所在位置。</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2.26.2该楼层对应的湿式报警阀是否动作。</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2.26.3湿式报警阀动作时上、下腔压力是否正常。</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2.26.4湿式报警阀动作时，水力警铃是否报警，铃声是否响亮，能否达到报警效果。</w:t>
      </w:r>
    </w:p>
    <w:p>
      <w:pPr>
        <w:spacing w:line="360" w:lineRule="auto"/>
        <w:ind w:firstLine="420" w:firstLineChars="200"/>
        <w:rPr>
          <w:rFonts w:ascii="宋体" w:hAnsi="宋体"/>
          <w:color w:val="auto"/>
          <w:szCs w:val="21"/>
        </w:rPr>
      </w:pPr>
      <w:r>
        <w:rPr>
          <w:rFonts w:hint="eastAsia" w:ascii="宋体" w:hAnsi="宋体"/>
          <w:color w:val="auto"/>
          <w:szCs w:val="21"/>
        </w:rPr>
        <w:t>2.26.5湿式报警阀动作时，压力开关是否动作，动作时消防控制中心能否收到其报警信号并显示所在位置。</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2.27 试验水流指示器、压力开关等报警功能、信号显示。（每季）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2.27.1 水流指示器、管阀、信号阀、试验闸阀放水，检查主机是否有报警信号。</w:t>
      </w:r>
    </w:p>
    <w:p>
      <w:pPr>
        <w:spacing w:line="360" w:lineRule="auto"/>
        <w:ind w:firstLine="420" w:firstLineChars="200"/>
        <w:rPr>
          <w:rFonts w:ascii="宋体" w:hAnsi="宋体"/>
          <w:color w:val="auto"/>
          <w:szCs w:val="21"/>
        </w:rPr>
      </w:pPr>
      <w:r>
        <w:rPr>
          <w:rFonts w:hint="eastAsia" w:ascii="宋体" w:hAnsi="宋体"/>
          <w:color w:val="auto"/>
          <w:szCs w:val="21"/>
        </w:rPr>
        <w:t>2.27.2 在湿式报警阀试水装置处放水，报警阀应及时动作，水力警铃应发出报警信号，压力开关接通电路报警，电控柜及联动控制柜处于“自动”状态时应启动消防泵。</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2.28 启动稳压泵，观察其动作时管网压力是否正常。消防控制中心能否显示其动作信号。（每季）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2.29 检查喷淋泵启动时，消防控制中心能否显示其动作信号。（每季）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2.30 检查喷淋泵启动时，出口压力是否正常。（半年）</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2.31 手动启动各台喷淋泵，试验运行。（每月）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2.32 定期清洗湿式报警阀。（每年）</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2.33 每年应对水源的供水能力进行一次检测。</w:t>
      </w:r>
    </w:p>
    <w:p>
      <w:pPr>
        <w:spacing w:line="360" w:lineRule="auto"/>
        <w:ind w:left="344" w:leftChars="164" w:firstLine="105" w:firstLineChars="50"/>
        <w:rPr>
          <w:rFonts w:ascii="宋体" w:hAnsi="宋体"/>
          <w:color w:val="auto"/>
          <w:szCs w:val="21"/>
        </w:rPr>
      </w:pPr>
      <w:r>
        <w:rPr>
          <w:rFonts w:hint="eastAsia" w:ascii="宋体" w:hAnsi="宋体"/>
          <w:color w:val="auto"/>
          <w:szCs w:val="21"/>
        </w:rPr>
        <w:t>2.34 每年对系统进行一次检测。</w:t>
      </w:r>
    </w:p>
    <w:p>
      <w:pPr>
        <w:spacing w:line="360" w:lineRule="auto"/>
        <w:ind w:left="344" w:leftChars="164" w:firstLine="105" w:firstLineChars="50"/>
        <w:rPr>
          <w:rFonts w:ascii="宋体" w:hAnsi="宋体"/>
          <w:b/>
          <w:color w:val="auto"/>
          <w:szCs w:val="21"/>
        </w:rPr>
      </w:pPr>
      <w:r>
        <w:rPr>
          <w:rFonts w:hint="eastAsia" w:ascii="宋体" w:hAnsi="宋体"/>
          <w:b/>
          <w:color w:val="auto"/>
          <w:szCs w:val="21"/>
        </w:rPr>
        <w:t>3.1防火门系统</w:t>
      </w:r>
    </w:p>
    <w:p>
      <w:pPr>
        <w:spacing w:line="360" w:lineRule="auto"/>
        <w:ind w:left="344" w:leftChars="164" w:firstLine="105" w:firstLineChars="50"/>
        <w:rPr>
          <w:rFonts w:ascii="宋体" w:hAnsi="宋体"/>
          <w:color w:val="auto"/>
          <w:szCs w:val="21"/>
        </w:rPr>
      </w:pPr>
      <w:r>
        <w:rPr>
          <w:rFonts w:hint="eastAsia" w:ascii="宋体" w:hAnsi="宋体"/>
          <w:color w:val="auto"/>
          <w:szCs w:val="21"/>
        </w:rPr>
        <w:t>3.1巡检防火门开闭是否正常。（每月）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3.2检查防火门有无变形锈蚀，周围有无影响使用的障碍物。（每月）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3.3检查防火门电源，释放电磁吸，闭门器是否正常。（每月）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3.4检查闭门器，加润滑油，电动防火门检查联动功能。（每季）</w:t>
      </w:r>
    </w:p>
    <w:p>
      <w:pPr>
        <w:spacing w:line="360" w:lineRule="auto"/>
        <w:ind w:firstLine="420" w:firstLineChars="200"/>
        <w:rPr>
          <w:rFonts w:ascii="宋体" w:hAnsi="宋体"/>
          <w:color w:val="auto"/>
          <w:szCs w:val="21"/>
        </w:rPr>
      </w:pPr>
      <w:r>
        <w:rPr>
          <w:rFonts w:hint="eastAsia" w:ascii="宋体" w:hAnsi="宋体"/>
          <w:color w:val="auto"/>
          <w:szCs w:val="21"/>
        </w:rPr>
        <w:t>3.5进行手动或模拟火灾联动（或消防中心遥控）操作启动装置，试验每台防火门的工作状态。（每季）</w:t>
      </w:r>
    </w:p>
    <w:p>
      <w:pPr>
        <w:spacing w:line="360" w:lineRule="auto"/>
        <w:ind w:left="344" w:leftChars="164" w:firstLine="105" w:firstLineChars="50"/>
        <w:rPr>
          <w:rFonts w:ascii="宋体" w:hAnsi="宋体"/>
          <w:b/>
          <w:color w:val="auto"/>
          <w:szCs w:val="21"/>
        </w:rPr>
      </w:pPr>
      <w:r>
        <w:rPr>
          <w:rFonts w:hint="eastAsia" w:ascii="宋体" w:hAnsi="宋体"/>
          <w:b/>
          <w:color w:val="auto"/>
          <w:szCs w:val="21"/>
        </w:rPr>
        <w:t>4.消防通风和防排烟系统</w:t>
      </w:r>
    </w:p>
    <w:p>
      <w:pPr>
        <w:spacing w:line="360" w:lineRule="auto"/>
        <w:ind w:left="344" w:leftChars="164" w:firstLine="105" w:firstLineChars="50"/>
        <w:rPr>
          <w:rFonts w:ascii="宋体" w:hAnsi="宋体"/>
          <w:color w:val="auto"/>
          <w:szCs w:val="21"/>
        </w:rPr>
      </w:pPr>
      <w:r>
        <w:rPr>
          <w:rFonts w:hint="eastAsia" w:ascii="宋体" w:hAnsi="宋体"/>
          <w:color w:val="auto"/>
          <w:szCs w:val="21"/>
        </w:rPr>
        <w:t>4.1检查送风口、排烟口有无变形、损伤，周围有无影响使用的障碍物。（每月）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4.2对现场风机控制箱、正压送风机和消防排烟风机进行检查测试。（每年）</w:t>
      </w:r>
    </w:p>
    <w:p>
      <w:pPr>
        <w:spacing w:line="360" w:lineRule="auto"/>
        <w:ind w:left="344" w:leftChars="164" w:firstLine="105" w:firstLineChars="50"/>
        <w:rPr>
          <w:rFonts w:ascii="宋体" w:hAnsi="宋体"/>
          <w:color w:val="auto"/>
          <w:szCs w:val="21"/>
        </w:rPr>
      </w:pPr>
      <w:r>
        <w:rPr>
          <w:rFonts w:hint="eastAsia" w:ascii="宋体" w:hAnsi="宋体"/>
          <w:color w:val="auto"/>
          <w:szCs w:val="21"/>
        </w:rPr>
        <w:t>4.3对正压送风阀、排烟阀、防火阀进行检查测试。（每季）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4.4检查风机与排烟连接部位的法兰有无损伤，螺栓是否松动（每月）</w:t>
      </w:r>
    </w:p>
    <w:p>
      <w:pPr>
        <w:spacing w:line="360" w:lineRule="auto"/>
        <w:ind w:firstLine="420" w:firstLineChars="200"/>
        <w:rPr>
          <w:rFonts w:ascii="宋体" w:hAnsi="宋体"/>
          <w:color w:val="auto"/>
          <w:szCs w:val="21"/>
        </w:rPr>
      </w:pPr>
      <w:r>
        <w:rPr>
          <w:rFonts w:hint="eastAsia" w:ascii="宋体" w:hAnsi="宋体"/>
          <w:color w:val="auto"/>
          <w:szCs w:val="21"/>
        </w:rPr>
        <w:t>4.5检查送风机、排烟风机周围有无可燃物，安装螺栓是否松动、损伤，传动机构是否变形、损伤，叶轮有无刮壳现象。（每月）</w:t>
      </w:r>
    </w:p>
    <w:p>
      <w:pPr>
        <w:spacing w:line="360" w:lineRule="auto"/>
        <w:ind w:firstLine="420" w:firstLineChars="200"/>
        <w:rPr>
          <w:rFonts w:ascii="宋体" w:hAnsi="宋体"/>
          <w:color w:val="auto"/>
          <w:szCs w:val="21"/>
        </w:rPr>
      </w:pPr>
      <w:r>
        <w:rPr>
          <w:rFonts w:hint="eastAsia" w:ascii="宋体" w:hAnsi="宋体"/>
          <w:color w:val="auto"/>
          <w:szCs w:val="21"/>
        </w:rPr>
        <w:t>4.6检查送风风机、排烟风机的电动机的接线是否松动，传动皮带是否正常，转动部件是否正常并加注润滑油。风机的外壳有无腐蚀现象，电源的供电是否正常。（每月）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4.7启动送风（排烟）风机，检查风机运转是否正常。（每月）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4.8巡视排烟阀（口）、送风阀（口）保养情况，抽查手动开启（在非联动状态下）的信号反馈及复位情况。</w:t>
      </w:r>
    </w:p>
    <w:p>
      <w:pPr>
        <w:spacing w:line="360" w:lineRule="auto"/>
        <w:ind w:left="344" w:leftChars="164" w:firstLine="105" w:firstLineChars="50"/>
        <w:rPr>
          <w:rFonts w:ascii="宋体" w:hAnsi="宋体"/>
          <w:color w:val="auto"/>
          <w:szCs w:val="21"/>
        </w:rPr>
      </w:pPr>
      <w:r>
        <w:rPr>
          <w:rFonts w:hint="eastAsia" w:ascii="宋体" w:hAnsi="宋体"/>
          <w:color w:val="auto"/>
          <w:szCs w:val="21"/>
        </w:rPr>
        <w:t>4.9对排烟阀（口）及送风阀（口）体、风机电控柜进行清洁保养。（每季）</w:t>
      </w:r>
    </w:p>
    <w:p>
      <w:pPr>
        <w:spacing w:line="360" w:lineRule="auto"/>
        <w:ind w:firstLine="420" w:firstLineChars="200"/>
        <w:rPr>
          <w:rFonts w:ascii="宋体" w:hAnsi="宋体"/>
          <w:color w:val="auto"/>
          <w:szCs w:val="21"/>
        </w:rPr>
      </w:pPr>
      <w:r>
        <w:rPr>
          <w:rFonts w:hint="eastAsia" w:ascii="宋体" w:hAnsi="宋体"/>
          <w:color w:val="auto"/>
          <w:szCs w:val="21"/>
        </w:rPr>
        <w:t>4.10对排烟阀（口）及送风阀（口）的机械传动、电动机的转轴（含轴承）进行润滑（用户方提供润滑油）。（每季）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4.11对风机电控柜内电器元件进行清洁保养。（每年）</w:t>
      </w:r>
    </w:p>
    <w:p>
      <w:pPr>
        <w:spacing w:line="360" w:lineRule="auto"/>
        <w:ind w:left="344" w:leftChars="164" w:firstLine="105" w:firstLineChars="50"/>
        <w:rPr>
          <w:rFonts w:ascii="宋体" w:hAnsi="宋体"/>
          <w:b/>
          <w:color w:val="auto"/>
          <w:szCs w:val="21"/>
        </w:rPr>
      </w:pPr>
      <w:r>
        <w:rPr>
          <w:rFonts w:hint="eastAsia" w:ascii="宋体" w:hAnsi="宋体"/>
          <w:b/>
          <w:color w:val="auto"/>
          <w:szCs w:val="21"/>
        </w:rPr>
        <w:t>5.电梯的联动检查</w:t>
      </w:r>
    </w:p>
    <w:p>
      <w:pPr>
        <w:spacing w:line="360" w:lineRule="auto"/>
        <w:ind w:left="344" w:leftChars="164" w:firstLine="105" w:firstLineChars="50"/>
        <w:rPr>
          <w:rFonts w:ascii="宋体" w:hAnsi="宋体"/>
          <w:color w:val="auto"/>
          <w:szCs w:val="21"/>
        </w:rPr>
      </w:pPr>
      <w:r>
        <w:rPr>
          <w:rFonts w:hint="eastAsia" w:ascii="宋体" w:hAnsi="宋体"/>
          <w:color w:val="auto"/>
          <w:szCs w:val="21"/>
        </w:rPr>
        <w:t>5.1每年用自动或手动强制电梯停于首层测试。</w:t>
      </w:r>
    </w:p>
    <w:p>
      <w:pPr>
        <w:spacing w:line="360" w:lineRule="auto"/>
        <w:ind w:firstLine="420" w:firstLineChars="200"/>
        <w:rPr>
          <w:rFonts w:ascii="宋体" w:hAnsi="宋体"/>
          <w:color w:val="auto"/>
          <w:szCs w:val="21"/>
        </w:rPr>
      </w:pPr>
      <w:r>
        <w:rPr>
          <w:rFonts w:hint="eastAsia" w:ascii="宋体" w:hAnsi="宋体"/>
          <w:color w:val="auto"/>
          <w:szCs w:val="21"/>
        </w:rPr>
        <w:t>5.2在消防控制中心强制迫降消防电梯时，电梯应能自动降于首层。并巡检电梯在消防控制中心的控制盘。</w:t>
      </w:r>
    </w:p>
    <w:p>
      <w:pPr>
        <w:spacing w:line="360" w:lineRule="auto"/>
        <w:ind w:left="344" w:leftChars="164" w:firstLine="105" w:firstLineChars="50"/>
        <w:rPr>
          <w:rFonts w:ascii="宋体" w:hAnsi="宋体"/>
          <w:b/>
          <w:color w:val="auto"/>
          <w:szCs w:val="21"/>
        </w:rPr>
      </w:pPr>
      <w:r>
        <w:rPr>
          <w:rFonts w:hint="eastAsia" w:ascii="宋体" w:hAnsi="宋体"/>
          <w:b/>
          <w:color w:val="auto"/>
          <w:szCs w:val="21"/>
        </w:rPr>
        <w:t>6.消防水泵系统</w:t>
      </w:r>
    </w:p>
    <w:p>
      <w:pPr>
        <w:spacing w:line="360" w:lineRule="auto"/>
        <w:ind w:firstLine="420" w:firstLineChars="200"/>
        <w:rPr>
          <w:rFonts w:ascii="宋体" w:hAnsi="宋体"/>
          <w:color w:val="auto"/>
          <w:szCs w:val="21"/>
        </w:rPr>
      </w:pPr>
      <w:r>
        <w:rPr>
          <w:rFonts w:hint="eastAsia" w:ascii="宋体" w:hAnsi="宋体"/>
          <w:color w:val="auto"/>
          <w:szCs w:val="21"/>
        </w:rPr>
        <w:t>6.1检查消防水池、消防恒压气压给水设备，检查消防储备水位及消防恒压气压给水设备水量和水压是否正常，检查各种阀门是否处于正常状态，发现故障应及时进行处理。（每月）</w:t>
      </w:r>
    </w:p>
    <w:p>
      <w:pPr>
        <w:spacing w:line="360" w:lineRule="auto"/>
        <w:ind w:firstLine="420" w:firstLineChars="200"/>
        <w:rPr>
          <w:rFonts w:ascii="宋体" w:hAnsi="宋体"/>
          <w:color w:val="auto"/>
          <w:szCs w:val="21"/>
        </w:rPr>
      </w:pPr>
      <w:r>
        <w:rPr>
          <w:rFonts w:hint="eastAsia" w:ascii="宋体" w:hAnsi="宋体"/>
          <w:color w:val="auto"/>
          <w:szCs w:val="21"/>
        </w:rPr>
        <w:t>6.2检查吸水环管及阀门是否有漏水和锈蚀现象，检查水泵吸入和输出管道上各阀门是否处于正确的位置（每月）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6.3转动各水泵转子，检查转子转动是否灵活。（每月）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6.4检查双回路电源自动控制柜切换是否正常，相序是否一致。（每月）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6.5检查水泵控制柜电源电压及指示灯是否正常。（每月）</w:t>
      </w:r>
    </w:p>
    <w:p>
      <w:pPr>
        <w:spacing w:line="360" w:lineRule="auto"/>
        <w:ind w:firstLine="420" w:firstLineChars="200"/>
        <w:rPr>
          <w:rFonts w:ascii="宋体" w:hAnsi="宋体"/>
          <w:color w:val="auto"/>
          <w:szCs w:val="21"/>
        </w:rPr>
      </w:pPr>
      <w:r>
        <w:rPr>
          <w:rFonts w:hint="eastAsia" w:ascii="宋体" w:hAnsi="宋体"/>
          <w:color w:val="auto"/>
          <w:szCs w:val="21"/>
        </w:rPr>
        <w:t>6.6打下控制柜电源总开关，检测控制柜二次回路，检查万能转换开关、按钮、指示灯是否正常，手动或自动模拟起泵，测试起泵时是否正常，检查接触器、继电器分合是否正常。（每月）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6.7手动起动各台泵，测量（或看面板上的电流表）水泵电动机的起动和运行电流是否正常。（每月）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6.8手动启动水泵，检查水泵能否正常运转，压力能否保证。（每月）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6.9模拟火警状态下，检查其中一台泵故障时自动切换备用泵是否正常。（每季）</w:t>
      </w:r>
    </w:p>
    <w:p>
      <w:pPr>
        <w:spacing w:line="360" w:lineRule="auto"/>
        <w:ind w:firstLine="420" w:firstLineChars="200"/>
        <w:rPr>
          <w:rFonts w:ascii="宋体" w:hAnsi="宋体"/>
          <w:color w:val="auto"/>
          <w:szCs w:val="21"/>
        </w:rPr>
      </w:pPr>
      <w:r>
        <w:rPr>
          <w:rFonts w:hint="eastAsia" w:ascii="宋体" w:hAnsi="宋体"/>
          <w:color w:val="auto"/>
          <w:szCs w:val="21"/>
        </w:rPr>
        <w:t>6.10模拟火警状态下，检查在消防控制中心能否控制各台泵的起动和停止。检查水泵启动时，消防控制中心能否显示动作信号。（每季）</w:t>
      </w:r>
    </w:p>
    <w:p>
      <w:pPr>
        <w:spacing w:line="360" w:lineRule="auto"/>
        <w:ind w:left="344" w:leftChars="164" w:firstLine="105" w:firstLineChars="50"/>
        <w:rPr>
          <w:rFonts w:ascii="宋体" w:hAnsi="宋体"/>
          <w:b/>
          <w:color w:val="auto"/>
          <w:szCs w:val="21"/>
        </w:rPr>
      </w:pPr>
      <w:r>
        <w:rPr>
          <w:rFonts w:hint="eastAsia" w:ascii="宋体" w:hAnsi="宋体"/>
          <w:b/>
          <w:color w:val="auto"/>
          <w:szCs w:val="21"/>
        </w:rPr>
        <w:t>7.消防事故广播系统</w:t>
      </w:r>
    </w:p>
    <w:p>
      <w:pPr>
        <w:spacing w:line="360" w:lineRule="auto"/>
        <w:ind w:left="344" w:leftChars="164" w:firstLine="105" w:firstLineChars="50"/>
        <w:rPr>
          <w:rFonts w:ascii="宋体" w:hAnsi="宋体"/>
          <w:color w:val="auto"/>
          <w:szCs w:val="21"/>
        </w:rPr>
      </w:pPr>
      <w:r>
        <w:rPr>
          <w:rFonts w:hint="eastAsia" w:ascii="宋体" w:hAnsi="宋体"/>
          <w:color w:val="auto"/>
          <w:szCs w:val="21"/>
        </w:rPr>
        <w:t>7.1检查功放机工作是否正常。（每月）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7.2检查麦克风播音是否正常。（每月）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7.3检查天花喇叭、挂墙音箱有无脱落。（每月）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7.4检查喇叭、音箱音量是否正常、清晰。（每季）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7.5模拟火灾事故情况下，消防广播是否动作。（每季）</w:t>
      </w:r>
    </w:p>
    <w:p>
      <w:pPr>
        <w:spacing w:line="360" w:lineRule="auto"/>
        <w:ind w:left="344" w:leftChars="164" w:firstLine="105" w:firstLineChars="50"/>
        <w:rPr>
          <w:rFonts w:ascii="宋体" w:hAnsi="宋体"/>
          <w:b/>
          <w:color w:val="auto"/>
          <w:szCs w:val="21"/>
        </w:rPr>
      </w:pPr>
      <w:r>
        <w:rPr>
          <w:rFonts w:hint="eastAsia" w:ascii="宋体" w:hAnsi="宋体"/>
          <w:b/>
          <w:color w:val="auto"/>
          <w:szCs w:val="21"/>
        </w:rPr>
        <w:t>8.消防对讲电话系统</w:t>
      </w:r>
    </w:p>
    <w:p>
      <w:pPr>
        <w:spacing w:line="360" w:lineRule="auto"/>
        <w:ind w:left="344" w:leftChars="164" w:firstLine="105" w:firstLineChars="50"/>
        <w:rPr>
          <w:rFonts w:ascii="宋体" w:hAnsi="宋体"/>
          <w:color w:val="auto"/>
          <w:szCs w:val="21"/>
        </w:rPr>
      </w:pPr>
      <w:r>
        <w:rPr>
          <w:rFonts w:hint="eastAsia" w:ascii="宋体" w:hAnsi="宋体"/>
          <w:color w:val="auto"/>
          <w:szCs w:val="21"/>
        </w:rPr>
        <w:t>8.1检查插孔及固定话机是否齐全。（每月）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8.2现场对消防中心之间进行通话试验，通话质量是否符合要求。（每月）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8.3确保对讲电话通话清晰。（每月）</w:t>
      </w:r>
    </w:p>
    <w:p>
      <w:pPr>
        <w:spacing w:line="360" w:lineRule="auto"/>
        <w:ind w:left="344" w:leftChars="164" w:firstLine="105" w:firstLineChars="50"/>
        <w:rPr>
          <w:rFonts w:ascii="宋体" w:hAnsi="宋体"/>
          <w:b/>
          <w:color w:val="auto"/>
          <w:szCs w:val="21"/>
        </w:rPr>
      </w:pPr>
      <w:r>
        <w:rPr>
          <w:rFonts w:hint="eastAsia" w:ascii="宋体" w:hAnsi="宋体"/>
          <w:b/>
          <w:color w:val="auto"/>
          <w:szCs w:val="21"/>
        </w:rPr>
        <w:t>9.气体灭火系统</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9.1检查设备有否碰损伤、堵塞、固定牢靠。（每月）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9.2检查设备就位是否正常。（每月）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9.3检查设备工作状态正常与否。（每月）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9.4管网、设备有否泄漏现象。（每月）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9.5线路连线、仪表指示正常与否。（每月）</w:t>
      </w:r>
    </w:p>
    <w:p>
      <w:pPr>
        <w:spacing w:line="360" w:lineRule="auto"/>
        <w:ind w:firstLine="420" w:firstLineChars="200"/>
        <w:rPr>
          <w:rFonts w:ascii="宋体" w:hAnsi="宋体"/>
          <w:color w:val="auto"/>
          <w:szCs w:val="21"/>
        </w:rPr>
      </w:pPr>
      <w:r>
        <w:rPr>
          <w:rFonts w:hint="eastAsia" w:ascii="宋体" w:hAnsi="宋体"/>
          <w:color w:val="auto"/>
          <w:szCs w:val="21"/>
        </w:rPr>
        <w:t>9.6对灭火剂贮存容器、选择阀、液体单向阀、高压软管、集流管、阀驱动装置、管网与喷嘴等全部系统组件应无碰撞、变形及其他机械损伤，表面应无锈蚀，保护层应完好，铭牌应清晰，手动操作装置的防护罩、铅封和安全标志应完好。</w:t>
      </w:r>
    </w:p>
    <w:p>
      <w:pPr>
        <w:spacing w:line="360" w:lineRule="auto"/>
        <w:ind w:firstLine="420" w:firstLineChars="200"/>
        <w:rPr>
          <w:rFonts w:ascii="宋体" w:hAnsi="宋体"/>
          <w:color w:val="auto"/>
          <w:szCs w:val="21"/>
        </w:rPr>
      </w:pPr>
      <w:r>
        <w:rPr>
          <w:rFonts w:hint="eastAsia" w:ascii="宋体" w:hAnsi="宋体"/>
          <w:color w:val="auto"/>
          <w:szCs w:val="21"/>
        </w:rPr>
        <w:t>9.7检查贮存容器压力，确保贮存压力与环境温度相适应，确保贮存器容量满足正常使用要求。（每月）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9.8试验火灾警报装置的声光显示。（每季）</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9.9检查所有手／自动转换开关和启动／停止盒功能。（每季）</w:t>
      </w:r>
    </w:p>
    <w:p>
      <w:pPr>
        <w:spacing w:line="360" w:lineRule="auto"/>
        <w:ind w:firstLine="420" w:firstLineChars="200"/>
        <w:rPr>
          <w:rFonts w:ascii="宋体" w:hAnsi="宋体"/>
          <w:color w:val="auto"/>
          <w:szCs w:val="21"/>
        </w:rPr>
      </w:pPr>
      <w:r>
        <w:rPr>
          <w:rFonts w:hint="eastAsia" w:ascii="宋体" w:hAnsi="宋体"/>
          <w:color w:val="auto"/>
          <w:szCs w:val="21"/>
        </w:rPr>
        <w:t>9.10按规定的办法，对每个防护区进行一次模拟自动启动试验，如有不合格项目，则应对相关防护区进行一次模拟喷气试验。（每年）</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9.11气动驱动装置的气源压力，不应少于设计压力的90%。</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9.12防护区的开口情况，防护区的用途及可燃物的种类、数量、分布情况应符合设计规定。（每半年）</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9.13灭火剂贮瓶间设备，灭火剂输送管道和支、吊架的固定应无松动。（每半年）</w:t>
      </w:r>
    </w:p>
    <w:p>
      <w:pPr>
        <w:spacing w:line="360" w:lineRule="auto"/>
        <w:ind w:firstLine="420" w:firstLineChars="200"/>
        <w:rPr>
          <w:rFonts w:ascii="宋体" w:hAnsi="宋体"/>
          <w:color w:val="auto"/>
          <w:szCs w:val="21"/>
        </w:rPr>
      </w:pPr>
      <w:r>
        <w:rPr>
          <w:rFonts w:hint="eastAsia" w:ascii="宋体" w:hAnsi="宋体"/>
          <w:color w:val="auto"/>
          <w:szCs w:val="21"/>
        </w:rPr>
        <w:t>9.14高压软管应无变形、裂纹及老化。应对选择阀、液体单向阀、高压软管和阀驱动装置中的气体单向阀逐个进行水压强度试验和气压严密性试验。（每半年）</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9.15对灭火剂贮存容器进行称重检查，灭火剂净重不应少于设计重量的95%。（每半年）</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9.16灭火剂输送管道有损伤与堵塞现象，应对其进行严密性试验和吹扫。（每半年）</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9.17每季度对系统控制器进行清洁；每年对系统控制器内电器元件进行清洁保养。</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9.18每季度对手动应急操作装置的转动部位进行添加润滑油。</w:t>
      </w:r>
    </w:p>
    <w:p>
      <w:pPr>
        <w:spacing w:line="360" w:lineRule="auto"/>
        <w:ind w:left="344" w:leftChars="164" w:firstLine="105" w:firstLineChars="50"/>
        <w:rPr>
          <w:rFonts w:ascii="宋体" w:hAnsi="宋体"/>
          <w:color w:val="auto"/>
          <w:szCs w:val="21"/>
        </w:rPr>
      </w:pPr>
      <w:r>
        <w:rPr>
          <w:rFonts w:hint="eastAsia" w:ascii="宋体" w:hAnsi="宋体"/>
          <w:color w:val="auto"/>
          <w:szCs w:val="21"/>
        </w:rPr>
        <w:t>9.19对其联动控制设备进行模拟试验，区盘是否动作，消防中心是否有信号显示。</w:t>
      </w:r>
    </w:p>
    <w:p>
      <w:pPr>
        <w:spacing w:line="360" w:lineRule="auto"/>
        <w:ind w:left="344" w:leftChars="164" w:firstLine="105" w:firstLineChars="50"/>
        <w:rPr>
          <w:rFonts w:ascii="宋体" w:hAnsi="宋体"/>
          <w:b/>
          <w:color w:val="auto"/>
          <w:szCs w:val="21"/>
        </w:rPr>
      </w:pPr>
      <w:r>
        <w:rPr>
          <w:rFonts w:hint="eastAsia" w:ascii="宋体" w:hAnsi="宋体"/>
          <w:b/>
          <w:color w:val="auto"/>
          <w:szCs w:val="21"/>
        </w:rPr>
        <w:t>10.应急疏散指示系统</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10.1检查应急灯、疏散指示牌是否齐全。（每月）</w:t>
      </w:r>
    </w:p>
    <w:p>
      <w:pPr>
        <w:spacing w:line="360" w:lineRule="auto"/>
        <w:ind w:left="344" w:leftChars="164" w:firstLine="105" w:firstLineChars="50"/>
        <w:rPr>
          <w:rFonts w:ascii="宋体" w:hAnsi="宋体"/>
          <w:color w:val="auto"/>
          <w:szCs w:val="21"/>
        </w:rPr>
      </w:pPr>
      <w:r>
        <w:rPr>
          <w:rFonts w:hint="eastAsia" w:ascii="宋体" w:hAnsi="宋体"/>
          <w:color w:val="auto"/>
          <w:szCs w:val="21"/>
        </w:rPr>
        <w:t>10.2检查应急灯、疏散指示牌电池充放电是否正常。（每月）</w:t>
      </w:r>
    </w:p>
    <w:p>
      <w:pPr>
        <w:spacing w:line="360" w:lineRule="auto"/>
        <w:ind w:left="344" w:leftChars="164" w:firstLine="105" w:firstLineChars="50"/>
        <w:rPr>
          <w:b/>
          <w:color w:val="auto"/>
          <w:szCs w:val="21"/>
        </w:rPr>
      </w:pPr>
      <w:r>
        <w:rPr>
          <w:rFonts w:ascii="宋体" w:hAnsi="宋体"/>
          <w:b/>
          <w:color w:val="auto"/>
          <w:szCs w:val="21"/>
        </w:rPr>
        <w:t>11</w:t>
      </w:r>
      <w:r>
        <w:rPr>
          <w:b/>
          <w:color w:val="auto"/>
          <w:szCs w:val="21"/>
        </w:rPr>
        <w:t>.</w:t>
      </w:r>
      <w:r>
        <w:rPr>
          <w:rFonts w:ascii="宋体" w:hAnsi="宋体"/>
          <w:b/>
          <w:color w:val="auto"/>
          <w:szCs w:val="21"/>
        </w:rPr>
        <w:t>其他的消防设施保养</w:t>
      </w:r>
    </w:p>
    <w:p>
      <w:pPr>
        <w:spacing w:line="360" w:lineRule="auto"/>
        <w:ind w:left="359" w:leftChars="171" w:firstLine="105" w:firstLineChars="50"/>
        <w:rPr>
          <w:color w:val="auto"/>
          <w:szCs w:val="21"/>
        </w:rPr>
      </w:pPr>
      <w:r>
        <w:rPr>
          <w:rFonts w:ascii="宋体" w:hAnsi="宋体"/>
          <w:color w:val="auto"/>
          <w:szCs w:val="21"/>
        </w:rPr>
        <w:t>按国家、省、市现行消防设备保养维修质量标准及规范</w:t>
      </w:r>
    </w:p>
    <w:p>
      <w:pPr>
        <w:numPr>
          <w:ilvl w:val="0"/>
          <w:numId w:val="4"/>
        </w:numPr>
        <w:spacing w:line="360" w:lineRule="auto"/>
        <w:ind w:left="344" w:leftChars="164" w:firstLine="105" w:firstLineChars="50"/>
        <w:rPr>
          <w:b/>
          <w:color w:val="auto"/>
          <w:szCs w:val="21"/>
        </w:rPr>
      </w:pPr>
      <w:r>
        <w:rPr>
          <w:rFonts w:ascii="宋体" w:hAnsi="宋体"/>
          <w:b/>
          <w:color w:val="auto"/>
          <w:szCs w:val="21"/>
        </w:rPr>
        <w:t>检查的相关要求</w:t>
      </w:r>
    </w:p>
    <w:p>
      <w:pPr>
        <w:spacing w:line="360" w:lineRule="auto"/>
        <w:ind w:firstLine="420" w:firstLineChars="200"/>
        <w:rPr>
          <w:color w:val="auto"/>
          <w:szCs w:val="21"/>
        </w:rPr>
      </w:pPr>
      <w:r>
        <w:rPr>
          <w:rFonts w:ascii="宋体" w:hAnsi="宋体"/>
          <w:color w:val="auto"/>
          <w:szCs w:val="21"/>
        </w:rPr>
        <w:t>12.1月检：每月定期对要求的项目进行检查，检查时间及检查项目按保养计划。</w:t>
      </w:r>
    </w:p>
    <w:p>
      <w:pPr>
        <w:spacing w:line="360" w:lineRule="auto"/>
        <w:ind w:firstLine="420" w:firstLineChars="200"/>
        <w:rPr>
          <w:color w:val="auto"/>
          <w:szCs w:val="21"/>
        </w:rPr>
      </w:pPr>
      <w:r>
        <w:rPr>
          <w:rFonts w:ascii="宋体" w:hAnsi="宋体"/>
          <w:color w:val="auto"/>
          <w:szCs w:val="21"/>
        </w:rPr>
        <w:t>12.2季检：在月检的同时，增加每季一次的检查项目，项目按保养计划，时间安排在每季度第三个月的第一个星期。</w:t>
      </w:r>
    </w:p>
    <w:p>
      <w:pPr>
        <w:spacing w:line="360" w:lineRule="auto"/>
        <w:ind w:firstLine="420" w:firstLineChars="200"/>
        <w:rPr>
          <w:rFonts w:ascii="宋体" w:hAnsi="宋体"/>
          <w:color w:val="auto"/>
          <w:szCs w:val="21"/>
        </w:rPr>
      </w:pPr>
      <w:r>
        <w:rPr>
          <w:rFonts w:ascii="宋体" w:hAnsi="宋体"/>
          <w:color w:val="auto"/>
          <w:szCs w:val="21"/>
        </w:rPr>
        <w:t xml:space="preserve">12.3半年检：每半年检查一次的项目，项目按保养计划，时间安排在每半年度最后一个月的第一个星期。 </w:t>
      </w:r>
    </w:p>
    <w:p>
      <w:pPr>
        <w:spacing w:line="360" w:lineRule="auto"/>
        <w:ind w:firstLine="420" w:firstLineChars="200"/>
        <w:rPr>
          <w:color w:val="auto"/>
          <w:szCs w:val="21"/>
        </w:rPr>
      </w:pPr>
      <w:r>
        <w:rPr>
          <w:rFonts w:ascii="宋体" w:hAnsi="宋体"/>
          <w:color w:val="auto"/>
          <w:szCs w:val="21"/>
        </w:rPr>
        <w:t>12.4年检：每年检查一次的项目，项目按保养计划，时间安排在每年度最后一个月的第一个星期。</w:t>
      </w:r>
    </w:p>
    <w:p>
      <w:pPr>
        <w:spacing w:line="360" w:lineRule="auto"/>
        <w:ind w:firstLine="420" w:firstLineChars="200"/>
        <w:rPr>
          <w:color w:val="auto"/>
          <w:szCs w:val="21"/>
        </w:rPr>
      </w:pPr>
      <w:r>
        <w:rPr>
          <w:rFonts w:ascii="宋体" w:hAnsi="宋体"/>
          <w:color w:val="auto"/>
          <w:szCs w:val="21"/>
        </w:rPr>
        <w:t>12.5特殊检查：重大节假日（元旦、春节、五一、国庆）前一个星期内，对主要设备巡视一次，发现问题及时处理。</w:t>
      </w:r>
    </w:p>
    <w:p>
      <w:pPr>
        <w:spacing w:line="360" w:lineRule="auto"/>
        <w:ind w:left="67" w:leftChars="32" w:firstLine="315" w:firstLineChars="150"/>
        <w:rPr>
          <w:color w:val="auto"/>
          <w:szCs w:val="21"/>
        </w:rPr>
      </w:pPr>
      <w:r>
        <w:rPr>
          <w:rFonts w:ascii="宋体" w:hAnsi="宋体"/>
          <w:color w:val="auto"/>
          <w:szCs w:val="21"/>
        </w:rPr>
        <w:t>12.6报告：</w:t>
      </w:r>
      <w:r>
        <w:rPr>
          <w:rFonts w:hint="eastAsia" w:ascii="宋体" w:hAnsi="宋体"/>
          <w:color w:val="auto"/>
          <w:szCs w:val="21"/>
        </w:rPr>
        <w:t>维保服务供应商</w:t>
      </w:r>
      <w:r>
        <w:rPr>
          <w:rFonts w:ascii="宋体" w:hAnsi="宋体"/>
          <w:color w:val="auto"/>
          <w:szCs w:val="21"/>
        </w:rPr>
        <w:t>必须每月向</w:t>
      </w:r>
      <w:r>
        <w:rPr>
          <w:rFonts w:hint="eastAsia" w:ascii="宋体" w:hAnsi="宋体"/>
          <w:color w:val="auto"/>
          <w:szCs w:val="21"/>
        </w:rPr>
        <w:t>采购人</w:t>
      </w:r>
      <w:r>
        <w:rPr>
          <w:rFonts w:ascii="宋体" w:hAnsi="宋体"/>
          <w:color w:val="auto"/>
          <w:szCs w:val="21"/>
        </w:rPr>
        <w:t>呈交一份当月的维修保养报告，</w:t>
      </w:r>
      <w:r>
        <w:rPr>
          <w:rFonts w:hint="eastAsia" w:ascii="宋体" w:hAnsi="宋体"/>
          <w:color w:val="auto"/>
          <w:szCs w:val="21"/>
        </w:rPr>
        <w:t>采购人</w:t>
      </w:r>
      <w:r>
        <w:rPr>
          <w:rFonts w:ascii="宋体" w:hAnsi="宋体"/>
          <w:color w:val="auto"/>
          <w:szCs w:val="21"/>
        </w:rPr>
        <w:t>即按本合同及保养计划要求检查</w:t>
      </w:r>
      <w:r>
        <w:rPr>
          <w:rFonts w:hint="eastAsia" w:ascii="宋体" w:hAnsi="宋体"/>
          <w:color w:val="auto"/>
          <w:szCs w:val="21"/>
        </w:rPr>
        <w:t>维保服务供应商</w:t>
      </w:r>
      <w:r>
        <w:rPr>
          <w:rFonts w:ascii="宋体" w:hAnsi="宋体"/>
          <w:color w:val="auto"/>
          <w:szCs w:val="21"/>
        </w:rPr>
        <w:t>的保养工作，对</w:t>
      </w:r>
      <w:r>
        <w:rPr>
          <w:rFonts w:hint="eastAsia" w:ascii="宋体" w:hAnsi="宋体"/>
          <w:color w:val="auto"/>
          <w:szCs w:val="21"/>
        </w:rPr>
        <w:t>维保服务供应商</w:t>
      </w:r>
      <w:r>
        <w:rPr>
          <w:rFonts w:ascii="宋体" w:hAnsi="宋体"/>
          <w:color w:val="auto"/>
          <w:szCs w:val="21"/>
        </w:rPr>
        <w:t>已完成的保养项目予以确认。如果发现</w:t>
      </w:r>
      <w:r>
        <w:rPr>
          <w:rFonts w:hint="eastAsia" w:ascii="宋体" w:hAnsi="宋体"/>
          <w:color w:val="auto"/>
          <w:szCs w:val="21"/>
        </w:rPr>
        <w:t>维保服务供应商</w:t>
      </w:r>
      <w:r>
        <w:rPr>
          <w:rFonts w:ascii="宋体" w:hAnsi="宋体"/>
          <w:color w:val="auto"/>
          <w:szCs w:val="21"/>
        </w:rPr>
        <w:t>未执行本合同及保养计划，</w:t>
      </w:r>
      <w:r>
        <w:rPr>
          <w:rFonts w:hint="eastAsia" w:ascii="宋体" w:hAnsi="宋体"/>
          <w:color w:val="auto"/>
          <w:szCs w:val="21"/>
        </w:rPr>
        <w:t>采购人有权</w:t>
      </w:r>
      <w:r>
        <w:rPr>
          <w:rFonts w:ascii="宋体" w:hAnsi="宋体"/>
          <w:color w:val="auto"/>
          <w:szCs w:val="21"/>
        </w:rPr>
        <w:t>要求</w:t>
      </w:r>
      <w:r>
        <w:rPr>
          <w:rFonts w:hint="eastAsia" w:ascii="宋体" w:hAnsi="宋体"/>
          <w:color w:val="auto"/>
          <w:szCs w:val="21"/>
        </w:rPr>
        <w:t>维保服务供应商</w:t>
      </w:r>
      <w:r>
        <w:rPr>
          <w:rFonts w:ascii="宋体" w:hAnsi="宋体"/>
          <w:color w:val="auto"/>
          <w:szCs w:val="21"/>
        </w:rPr>
        <w:t>对未执行项目重新检查及处理，直至完成该部份保养计划内容后予以确认。如在维修保养过程中</w:t>
      </w:r>
      <w:r>
        <w:rPr>
          <w:rFonts w:hint="eastAsia" w:ascii="宋体" w:hAnsi="宋体"/>
          <w:color w:val="auto"/>
          <w:szCs w:val="21"/>
        </w:rPr>
        <w:t>维保服务供应商</w:t>
      </w:r>
      <w:r>
        <w:rPr>
          <w:rFonts w:ascii="宋体" w:hAnsi="宋体"/>
          <w:color w:val="auto"/>
          <w:szCs w:val="21"/>
        </w:rPr>
        <w:t>发现系统或设备存在隐患，</w:t>
      </w:r>
      <w:r>
        <w:rPr>
          <w:rFonts w:hint="eastAsia" w:ascii="宋体" w:hAnsi="宋体"/>
          <w:color w:val="auto"/>
          <w:szCs w:val="21"/>
        </w:rPr>
        <w:t>维保服务供应商</w:t>
      </w:r>
      <w:r>
        <w:rPr>
          <w:rFonts w:ascii="宋体" w:hAnsi="宋体"/>
          <w:color w:val="auto"/>
          <w:szCs w:val="21"/>
        </w:rPr>
        <w:t>应书面向</w:t>
      </w:r>
      <w:r>
        <w:rPr>
          <w:rFonts w:hint="eastAsia" w:ascii="宋体" w:hAnsi="宋体"/>
          <w:color w:val="auto"/>
          <w:szCs w:val="21"/>
        </w:rPr>
        <w:t>采购人方</w:t>
      </w:r>
      <w:r>
        <w:rPr>
          <w:rFonts w:ascii="宋体" w:hAnsi="宋体"/>
          <w:color w:val="auto"/>
          <w:szCs w:val="21"/>
        </w:rPr>
        <w:t>提出处理意见，经</w:t>
      </w:r>
      <w:r>
        <w:rPr>
          <w:rFonts w:hint="eastAsia" w:ascii="宋体" w:hAnsi="宋体"/>
          <w:color w:val="auto"/>
          <w:szCs w:val="21"/>
        </w:rPr>
        <w:t>采购人</w:t>
      </w:r>
      <w:r>
        <w:rPr>
          <w:rFonts w:ascii="宋体" w:hAnsi="宋体"/>
          <w:color w:val="auto"/>
          <w:szCs w:val="21"/>
        </w:rPr>
        <w:t>同意后</w:t>
      </w:r>
      <w:r>
        <w:rPr>
          <w:rFonts w:hint="eastAsia" w:ascii="宋体" w:hAnsi="宋体"/>
          <w:color w:val="auto"/>
          <w:szCs w:val="21"/>
        </w:rPr>
        <w:t>，</w:t>
      </w:r>
      <w:r>
        <w:rPr>
          <w:rFonts w:ascii="宋体" w:hAnsi="宋体"/>
          <w:color w:val="auto"/>
          <w:szCs w:val="21"/>
        </w:rPr>
        <w:t>方可实施整改。</w:t>
      </w:r>
    </w:p>
    <w:p>
      <w:pPr>
        <w:spacing w:line="360" w:lineRule="auto"/>
        <w:ind w:firstLine="420" w:firstLineChars="200"/>
        <w:rPr>
          <w:color w:val="auto"/>
          <w:szCs w:val="21"/>
        </w:rPr>
      </w:pPr>
      <w:r>
        <w:rPr>
          <w:rFonts w:ascii="宋体" w:hAnsi="宋体"/>
          <w:color w:val="auto"/>
          <w:szCs w:val="21"/>
        </w:rPr>
        <w:t>12.7保养标准按国家、省、市有关规范标准有关规范标准执行</w:t>
      </w:r>
    </w:p>
    <w:p>
      <w:pPr>
        <w:spacing w:line="360" w:lineRule="auto"/>
        <w:ind w:firstLine="422" w:firstLineChars="200"/>
        <w:rPr>
          <w:b/>
          <w:color w:val="auto"/>
          <w:szCs w:val="21"/>
        </w:rPr>
      </w:pPr>
      <w:r>
        <w:rPr>
          <w:rFonts w:ascii="宋体" w:hAnsi="宋体"/>
          <w:b/>
          <w:color w:val="auto"/>
          <w:szCs w:val="21"/>
        </w:rPr>
        <w:t>13</w:t>
      </w:r>
      <w:r>
        <w:rPr>
          <w:b/>
          <w:color w:val="auto"/>
          <w:szCs w:val="21"/>
        </w:rPr>
        <w:t>.</w:t>
      </w:r>
      <w:r>
        <w:rPr>
          <w:rFonts w:ascii="宋体" w:hAnsi="宋体"/>
          <w:b/>
          <w:color w:val="auto"/>
          <w:szCs w:val="21"/>
        </w:rPr>
        <w:t>故障解决</w:t>
      </w:r>
    </w:p>
    <w:p>
      <w:pPr>
        <w:spacing w:line="360" w:lineRule="auto"/>
        <w:ind w:firstLine="420" w:firstLineChars="200"/>
        <w:rPr>
          <w:color w:val="auto"/>
          <w:szCs w:val="21"/>
        </w:rPr>
      </w:pPr>
      <w:r>
        <w:rPr>
          <w:rFonts w:ascii="宋体" w:hAnsi="宋体"/>
          <w:color w:val="auto"/>
          <w:szCs w:val="21"/>
        </w:rPr>
        <w:t>13.</w:t>
      </w:r>
      <w:r>
        <w:rPr>
          <w:rFonts w:hint="eastAsia" w:ascii="宋体" w:hAnsi="宋体"/>
          <w:color w:val="auto"/>
          <w:szCs w:val="21"/>
        </w:rPr>
        <w:t>1</w:t>
      </w:r>
      <w:r>
        <w:rPr>
          <w:rFonts w:ascii="宋体" w:hAnsi="宋体"/>
          <w:color w:val="auto"/>
          <w:szCs w:val="21"/>
        </w:rPr>
        <w:t>系统无法正常运作或无法达到正常要求的，</w:t>
      </w:r>
      <w:r>
        <w:rPr>
          <w:rFonts w:hint="eastAsia" w:ascii="宋体" w:hAnsi="宋体"/>
          <w:color w:val="auto"/>
          <w:szCs w:val="21"/>
        </w:rPr>
        <w:t>维保服务供应商</w:t>
      </w:r>
      <w:r>
        <w:rPr>
          <w:rFonts w:ascii="宋体" w:hAnsi="宋体"/>
          <w:color w:val="auto"/>
          <w:szCs w:val="21"/>
        </w:rPr>
        <w:t>应提供相应备件替换（除控制主机外）。</w:t>
      </w:r>
    </w:p>
    <w:p>
      <w:pPr>
        <w:spacing w:line="360" w:lineRule="auto"/>
        <w:ind w:firstLine="422" w:firstLineChars="200"/>
        <w:rPr>
          <w:b/>
          <w:color w:val="auto"/>
          <w:szCs w:val="21"/>
        </w:rPr>
      </w:pPr>
      <w:r>
        <w:rPr>
          <w:rFonts w:hint="eastAsia"/>
          <w:b/>
          <w:color w:val="auto"/>
          <w:szCs w:val="21"/>
        </w:rPr>
        <w:t>四、</w:t>
      </w:r>
      <w:r>
        <w:rPr>
          <w:rFonts w:hint="eastAsia" w:ascii="宋体" w:hAnsi="宋体"/>
          <w:b/>
          <w:color w:val="auto"/>
          <w:szCs w:val="21"/>
        </w:rPr>
        <w:t>付款方式及履约保证金</w:t>
      </w:r>
    </w:p>
    <w:p>
      <w:pPr>
        <w:spacing w:line="360" w:lineRule="auto"/>
        <w:ind w:firstLine="420" w:firstLineChars="200"/>
        <w:rPr>
          <w:rFonts w:ascii="宋体" w:hAnsi="宋体"/>
          <w:color w:val="auto"/>
          <w:szCs w:val="21"/>
        </w:rPr>
      </w:pPr>
      <w:r>
        <w:rPr>
          <w:rFonts w:hint="eastAsia" w:ascii="宋体" w:hAnsi="宋体"/>
          <w:color w:val="auto"/>
          <w:szCs w:val="21"/>
        </w:rPr>
        <w:t>（一）费用的支付：分四次支付，每半年服务期满后的第一个月支付合同总金额的25%。</w:t>
      </w:r>
    </w:p>
    <w:p>
      <w:pPr>
        <w:spacing w:line="360" w:lineRule="auto"/>
        <w:ind w:firstLine="420" w:firstLineChars="200"/>
        <w:rPr>
          <w:rFonts w:ascii="宋体" w:hAnsi="宋体"/>
          <w:color w:val="auto"/>
          <w:szCs w:val="21"/>
        </w:rPr>
      </w:pPr>
      <w:r>
        <w:rPr>
          <w:rFonts w:hint="eastAsia" w:ascii="宋体" w:hAnsi="宋体"/>
          <w:color w:val="auto"/>
          <w:szCs w:val="21"/>
        </w:rPr>
        <w:t>（二）在每次支付合同款项前的30个工作日内，维保服务供应商应提供维保服务台账等相关记录材料供采购人核对，经核对无误后，维保服务供应商提供等额的正式发票给采购人，以便采购人及时办理付款手续。</w:t>
      </w:r>
    </w:p>
    <w:p>
      <w:pPr>
        <w:spacing w:line="360" w:lineRule="auto"/>
        <w:ind w:firstLine="420" w:firstLineChars="200"/>
        <w:rPr>
          <w:rFonts w:hAnsi="宋体"/>
          <w:b/>
          <w:bCs/>
          <w:color w:val="auto"/>
          <w:szCs w:val="21"/>
        </w:rPr>
      </w:pPr>
      <w:r>
        <w:rPr>
          <w:rFonts w:hint="eastAsia" w:ascii="宋体" w:hAnsi="宋体"/>
          <w:color w:val="auto"/>
          <w:szCs w:val="21"/>
        </w:rPr>
        <w:t>（三）合同签订前，维保服务供应商应缴纳5%的合同金额作为履约保证金，在服务期满后，若双方无争议及无违约责任，维保服务供应商向采购人提出申请，采购人核对无误后，30个工作日内无息退还给维保服务供应商。</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五、其他</w:t>
      </w:r>
    </w:p>
    <w:p>
      <w:pPr>
        <w:tabs>
          <w:tab w:val="left" w:pos="284"/>
          <w:tab w:val="left" w:pos="426"/>
        </w:tabs>
        <w:spacing w:line="336" w:lineRule="auto"/>
        <w:ind w:firstLine="420" w:firstLineChars="200"/>
        <w:rPr>
          <w:rFonts w:ascii="宋体" w:hAnsi="宋体"/>
          <w:color w:val="auto"/>
          <w:szCs w:val="21"/>
        </w:rPr>
      </w:pPr>
      <w:r>
        <w:rPr>
          <w:rFonts w:hint="eastAsia" w:ascii="宋体" w:hAnsi="宋体" w:cs="宋体"/>
          <w:color w:val="auto"/>
          <w:szCs w:val="21"/>
        </w:rPr>
        <w:t>▲</w:t>
      </w:r>
      <w:r>
        <w:rPr>
          <w:rFonts w:hint="eastAsia" w:ascii="宋体" w:hAnsi="宋体"/>
          <w:color w:val="auto"/>
          <w:szCs w:val="21"/>
        </w:rPr>
        <w:t>（一）提供本项目的整体服务方案（包括不限于组织实施方案、运作流程、工作人员配备方案、保障措施等）。</w:t>
      </w:r>
    </w:p>
    <w:p>
      <w:pPr>
        <w:tabs>
          <w:tab w:val="left" w:pos="284"/>
          <w:tab w:val="left" w:pos="426"/>
        </w:tabs>
        <w:spacing w:line="336" w:lineRule="auto"/>
        <w:ind w:firstLine="420" w:firstLineChars="200"/>
        <w:rPr>
          <w:rFonts w:ascii="宋体" w:hAnsi="宋体"/>
          <w:color w:val="auto"/>
          <w:szCs w:val="21"/>
        </w:rPr>
      </w:pPr>
      <w:r>
        <w:rPr>
          <w:rFonts w:hint="eastAsia" w:ascii="宋体" w:hAnsi="宋体" w:cs="宋体"/>
          <w:color w:val="auto"/>
          <w:szCs w:val="21"/>
        </w:rPr>
        <w:t>▲</w:t>
      </w:r>
      <w:r>
        <w:rPr>
          <w:rFonts w:hint="eastAsia" w:ascii="宋体" w:hAnsi="宋体"/>
          <w:color w:val="auto"/>
          <w:szCs w:val="21"/>
        </w:rPr>
        <w:t>（二）提供本项目的应急服务方案（包括不限于重大节假日、重大活动、设备故障应急服务方案、服务中出现的问题或差错的应对措施和改进方法等）。</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备注：</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1.标有“★”的条款均为必须完全满足指标，报价人须进行实质性响应，报价人若有一项带“★”的条款未响应或不满足，将按无效投标处理。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2.标有“▲”的条款均为评审的重要评分指标，报价人若有部分“▲”条款未响应或不满足，将导致其响应性评审严重扣分。</w:t>
      </w:r>
      <w:bookmarkEnd w:id="1"/>
      <w:bookmarkEnd w:id="2"/>
      <w:bookmarkEnd w:id="7"/>
      <w:bookmarkEnd w:id="8"/>
      <w:bookmarkEnd w:id="9"/>
      <w:bookmarkEnd w:id="10"/>
      <w:bookmarkEnd w:id="11"/>
      <w:bookmarkEnd w:id="12"/>
      <w:bookmarkEnd w:id="13"/>
      <w:bookmarkStart w:id="15" w:name="_Toc11917"/>
      <w:bookmarkStart w:id="16" w:name="_Toc4075"/>
      <w:bookmarkStart w:id="17" w:name="_Toc3222"/>
    </w:p>
    <w:p>
      <w:pPr>
        <w:spacing w:line="400" w:lineRule="exact"/>
        <w:ind w:firstLine="420" w:firstLineChars="200"/>
        <w:rPr>
          <w:rFonts w:ascii="宋体" w:hAnsi="宋体" w:cs="宋体"/>
          <w:color w:val="auto"/>
          <w:szCs w:val="21"/>
        </w:rPr>
      </w:pPr>
      <w:r>
        <w:rPr>
          <w:rFonts w:hint="eastAsia" w:ascii="宋体" w:hAnsi="宋体" w:cs="宋体"/>
          <w:color w:val="auto"/>
          <w:szCs w:val="21"/>
        </w:rPr>
        <w:t>3.成交原则：根据评审标准按综合评分法进行评审，按其评审总得分由高到低顺序排列评分情况，排名第一的供应商为第一成交候选人。</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4.报价要求：本项目采用多轮次报价，各供应商现场再次统一填写总价报价表。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5.供应商有下列情形之一的，将列入我院黑名单管理，在此后的三年内不得参与我院任何采买活动：</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（1）提供虚假材料谋取中标、成交的；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（2）采取不正当手段诋毁、排挤其它供应商的；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（3）与其他供应商或者采购机构恶意串通围标的；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（4）随意申请撤换或放弃中标/成交结果的；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（5）中标、成交后无正当理由拒绝或迟迟不签订采购合同的；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（6）无正当理由拒绝履行合同和有关承诺，或擅自变更、中止（终止）采购合同的；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（7）一年内有一次以上投诉查无实据、捏造事实或者提供虚假投诉材料的；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（9）中标/成交后，擅自将采购合同转包或分包给其他供应商的；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（10）向采购人、采购机构行贿或者提供其它不正当利益的；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（11）连续两次供应商履约诚信量化评价得分不合格的供应商；</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（12）拒绝有关部门监督检查或者提供虚假情况的。</w:t>
      </w:r>
    </w:p>
    <w:p>
      <w:pPr>
        <w:spacing w:line="360" w:lineRule="exact"/>
        <w:jc w:val="center"/>
        <w:outlineLvl w:val="0"/>
        <w:rPr>
          <w:rFonts w:ascii="宋体" w:hAnsi="宋体" w:cs="宋体"/>
          <w:b/>
          <w:bCs/>
          <w:color w:val="auto"/>
          <w:kern w:val="0"/>
          <w:sz w:val="30"/>
          <w:szCs w:val="30"/>
        </w:rPr>
      </w:pPr>
    </w:p>
    <w:p>
      <w:pPr>
        <w:spacing w:line="360" w:lineRule="exact"/>
        <w:jc w:val="center"/>
        <w:outlineLvl w:val="0"/>
        <w:rPr>
          <w:rFonts w:ascii="宋体" w:hAnsi="宋体" w:cs="宋体"/>
          <w:b/>
          <w:bCs/>
          <w:color w:val="auto"/>
          <w:kern w:val="0"/>
          <w:sz w:val="30"/>
          <w:szCs w:val="30"/>
        </w:rPr>
      </w:pPr>
    </w:p>
    <w:p>
      <w:pPr>
        <w:spacing w:line="360" w:lineRule="exact"/>
        <w:jc w:val="center"/>
        <w:outlineLvl w:val="0"/>
        <w:rPr>
          <w:rFonts w:ascii="宋体" w:hAnsi="宋体" w:cs="宋体"/>
          <w:b/>
          <w:bCs/>
          <w:color w:val="auto"/>
          <w:kern w:val="0"/>
          <w:sz w:val="30"/>
          <w:szCs w:val="30"/>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spacing w:line="360" w:lineRule="exact"/>
        <w:jc w:val="center"/>
        <w:outlineLvl w:val="0"/>
        <w:rPr>
          <w:rFonts w:ascii="宋体" w:hAnsi="宋体" w:cs="宋体"/>
          <w:color w:val="auto"/>
          <w:sz w:val="30"/>
          <w:szCs w:val="30"/>
        </w:rPr>
      </w:pPr>
      <w:r>
        <w:rPr>
          <w:rFonts w:hint="eastAsia" w:ascii="宋体" w:hAnsi="宋体" w:cs="宋体"/>
          <w:b/>
          <w:bCs/>
          <w:color w:val="auto"/>
          <w:kern w:val="0"/>
          <w:sz w:val="30"/>
          <w:szCs w:val="30"/>
        </w:rPr>
        <w:t xml:space="preserve">第三部分  </w:t>
      </w:r>
      <w:bookmarkStart w:id="18" w:name="_Toc270"/>
      <w:r>
        <w:rPr>
          <w:rFonts w:hint="eastAsia" w:ascii="宋体" w:hAnsi="宋体" w:cs="宋体"/>
          <w:b/>
          <w:bCs/>
          <w:color w:val="auto"/>
          <w:kern w:val="0"/>
          <w:sz w:val="30"/>
          <w:szCs w:val="30"/>
        </w:rPr>
        <w:t>资料整理注意事项</w:t>
      </w:r>
      <w:bookmarkEnd w:id="15"/>
      <w:bookmarkEnd w:id="16"/>
      <w:bookmarkEnd w:id="17"/>
      <w:bookmarkEnd w:id="18"/>
    </w:p>
    <w:p>
      <w:pPr>
        <w:spacing w:line="360" w:lineRule="exact"/>
        <w:ind w:firstLine="315" w:firstLineChars="150"/>
        <w:rPr>
          <w:rFonts w:ascii="宋体" w:hAnsi="宋体" w:cs="宋体"/>
          <w:color w:val="auto"/>
          <w:szCs w:val="21"/>
        </w:rPr>
      </w:pPr>
    </w:p>
    <w:p>
      <w:pPr>
        <w:spacing w:line="360" w:lineRule="exact"/>
        <w:ind w:firstLine="315" w:firstLineChars="150"/>
        <w:rPr>
          <w:rFonts w:ascii="宋体" w:hAnsi="宋体" w:cs="宋体"/>
          <w:color w:val="auto"/>
          <w:szCs w:val="21"/>
        </w:rPr>
      </w:pPr>
      <w:r>
        <w:rPr>
          <w:rFonts w:hint="eastAsia" w:ascii="宋体" w:hAnsi="宋体" w:cs="宋体"/>
          <w:color w:val="auto"/>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color w:val="auto"/>
          <w:szCs w:val="21"/>
        </w:rPr>
      </w:pPr>
      <w:r>
        <w:rPr>
          <w:rFonts w:hint="eastAsia" w:ascii="宋体" w:hAnsi="宋体" w:cs="宋体"/>
          <w:b/>
          <w:bCs/>
          <w:color w:val="auto"/>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color w:val="auto"/>
          <w:szCs w:val="21"/>
        </w:rPr>
      </w:pPr>
      <w:r>
        <w:rPr>
          <w:rFonts w:hint="eastAsia" w:ascii="宋体" w:hAnsi="宋体" w:cs="宋体"/>
          <w:color w:val="auto"/>
          <w:szCs w:val="21"/>
        </w:rPr>
        <w:t>3.响应文件需要一正三副共4份，封面应注明“正本”、“副本”字样并加盖公章、装订成册，副本可用正本复印并在封面上加盖公章。</w:t>
      </w:r>
    </w:p>
    <w:p>
      <w:pPr>
        <w:spacing w:line="360" w:lineRule="exact"/>
        <w:ind w:firstLine="315" w:firstLineChars="150"/>
        <w:rPr>
          <w:rFonts w:ascii="宋体" w:hAnsi="宋体" w:cs="宋体"/>
          <w:color w:val="auto"/>
          <w:szCs w:val="21"/>
        </w:rPr>
      </w:pPr>
      <w:r>
        <w:rPr>
          <w:rFonts w:hint="eastAsia" w:ascii="宋体" w:hAnsi="宋体" w:cs="宋体"/>
          <w:color w:val="auto"/>
          <w:szCs w:val="21"/>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color w:val="auto"/>
          <w:szCs w:val="21"/>
        </w:rPr>
      </w:pPr>
      <w:r>
        <w:rPr>
          <w:rFonts w:hint="eastAsia" w:ascii="宋体" w:hAnsi="宋体" w:cs="宋体"/>
          <w:color w:val="auto"/>
          <w:szCs w:val="21"/>
        </w:rPr>
        <w:t>5.供应商携带密封的响应文件参加院内采购评审会议。</w:t>
      </w:r>
    </w:p>
    <w:p>
      <w:pPr>
        <w:spacing w:line="360" w:lineRule="exact"/>
        <w:ind w:firstLine="315" w:firstLineChars="150"/>
        <w:rPr>
          <w:rFonts w:ascii="宋体" w:hAnsi="宋体" w:cs="宋体"/>
          <w:color w:val="auto"/>
          <w:szCs w:val="21"/>
        </w:rPr>
      </w:pPr>
      <w:r>
        <w:rPr>
          <w:rFonts w:hint="eastAsia" w:ascii="宋体" w:hAnsi="宋体" w:cs="宋体"/>
          <w:color w:val="auto"/>
          <w:szCs w:val="21"/>
        </w:rPr>
        <w:t>6.报名时提供的资料与响应文件不一致时以响应文件为准。</w:t>
      </w:r>
    </w:p>
    <w:p>
      <w:pPr>
        <w:spacing w:line="360" w:lineRule="exact"/>
        <w:ind w:firstLine="315" w:firstLineChars="150"/>
        <w:rPr>
          <w:rFonts w:ascii="宋体" w:hAnsi="宋体" w:cs="宋体"/>
          <w:color w:val="auto"/>
          <w:szCs w:val="21"/>
        </w:rPr>
      </w:pPr>
      <w:r>
        <w:rPr>
          <w:rFonts w:hint="eastAsia" w:ascii="宋体" w:hAnsi="宋体" w:cs="宋体"/>
          <w:color w:val="auto"/>
          <w:szCs w:val="21"/>
        </w:rPr>
        <w:t>7.法定代表人或授权委托人（如有授权）需本人到场参加采购评审会议并出示身份证原件审核入场签到。</w:t>
      </w:r>
    </w:p>
    <w:p>
      <w:pPr>
        <w:spacing w:line="360" w:lineRule="exact"/>
        <w:ind w:firstLine="315" w:firstLineChars="150"/>
        <w:rPr>
          <w:rFonts w:ascii="宋体" w:hAnsi="宋体" w:cs="宋体"/>
          <w:color w:val="auto"/>
          <w:szCs w:val="21"/>
        </w:rPr>
      </w:pPr>
      <w:r>
        <w:rPr>
          <w:rFonts w:hint="eastAsia" w:ascii="宋体" w:hAnsi="宋体" w:cs="宋体"/>
          <w:color w:val="auto"/>
          <w:szCs w:val="21"/>
        </w:rPr>
        <w:t>8.各供应商需认真阅读以上注意事项，不按要求提供响应文件者后果自负。</w:t>
      </w:r>
    </w:p>
    <w:p>
      <w:pPr>
        <w:spacing w:line="360" w:lineRule="exact"/>
        <w:ind w:firstLine="420"/>
        <w:rPr>
          <w:rFonts w:ascii="宋体" w:hAnsi="宋体" w:cs="宋体"/>
          <w:color w:val="auto"/>
          <w:szCs w:val="21"/>
        </w:rPr>
      </w:pPr>
    </w:p>
    <w:p>
      <w:pPr>
        <w:pStyle w:val="23"/>
        <w:spacing w:line="360" w:lineRule="exact"/>
        <w:ind w:firstLine="420" w:firstLineChars="200"/>
        <w:rPr>
          <w:rFonts w:ascii="宋体" w:hAnsi="宋体" w:cs="宋体"/>
          <w:color w:val="auto"/>
          <w:szCs w:val="21"/>
        </w:rPr>
      </w:pPr>
    </w:p>
    <w:p>
      <w:pPr>
        <w:spacing w:line="360" w:lineRule="exact"/>
        <w:ind w:firstLine="420"/>
        <w:rPr>
          <w:rFonts w:ascii="宋体" w:hAnsi="宋体" w:cs="宋体"/>
          <w:color w:val="auto"/>
          <w:szCs w:val="21"/>
        </w:rPr>
      </w:pPr>
    </w:p>
    <w:p>
      <w:pPr>
        <w:spacing w:line="360" w:lineRule="exact"/>
        <w:ind w:firstLine="420"/>
        <w:rPr>
          <w:rFonts w:ascii="宋体" w:hAnsi="宋体" w:cs="宋体"/>
          <w:color w:val="auto"/>
          <w:szCs w:val="21"/>
        </w:rPr>
      </w:pPr>
    </w:p>
    <w:p>
      <w:pPr>
        <w:spacing w:line="360" w:lineRule="exact"/>
        <w:ind w:firstLine="420"/>
        <w:rPr>
          <w:rFonts w:ascii="宋体" w:hAnsi="宋体" w:cs="宋体"/>
          <w:color w:val="auto"/>
          <w:szCs w:val="21"/>
        </w:rPr>
        <w:sectPr>
          <w:footerReference r:id="rId9" w:type="default"/>
          <w:pgSz w:w="11906" w:h="16838"/>
          <w:pgMar w:top="850" w:right="1134" w:bottom="567" w:left="1134" w:header="851" w:footer="992" w:gutter="0"/>
          <w:pgNumType w:start="1"/>
          <w:cols w:space="720" w:num="1"/>
          <w:docGrid w:linePitch="312" w:charSpace="0"/>
        </w:sectPr>
      </w:pPr>
    </w:p>
    <w:p>
      <w:pPr>
        <w:rPr>
          <w:color w:val="auto"/>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rPr>
          <w:rFonts w:ascii="宋体" w:hAnsi="宋体"/>
          <w:color w:val="auto"/>
          <w:sz w:val="40"/>
        </w:rPr>
      </w:pPr>
      <w:bookmarkStart w:id="19" w:name="_Toc7581"/>
      <w:bookmarkStart w:id="20" w:name="_Toc40346213"/>
      <w:bookmarkStart w:id="21" w:name="_Toc19354"/>
      <w:bookmarkStart w:id="22" w:name="_Toc13814"/>
      <w:bookmarkStart w:id="23" w:name="_Toc2647"/>
      <w:bookmarkStart w:id="24" w:name="_Toc40776108"/>
      <w:bookmarkStart w:id="25" w:name="_Toc32164"/>
      <w:bookmarkStart w:id="26" w:name="_Toc2347"/>
      <w:bookmarkStart w:id="27" w:name="_Toc30230"/>
      <w:bookmarkStart w:id="28" w:name="_Toc30326"/>
      <w:bookmarkStart w:id="29" w:name="_Toc32228"/>
      <w:bookmarkStart w:id="30" w:name="_Toc9461"/>
      <w:bookmarkStart w:id="31" w:name="_Toc5829"/>
    </w:p>
    <w:p>
      <w:pPr>
        <w:pStyle w:val="23"/>
        <w:rPr>
          <w:rFonts w:ascii="宋体" w:hAnsi="宋体"/>
          <w:color w:val="auto"/>
          <w:sz w:val="40"/>
        </w:rPr>
      </w:pPr>
    </w:p>
    <w:p>
      <w:pPr>
        <w:pStyle w:val="23"/>
        <w:rPr>
          <w:rFonts w:ascii="宋体" w:hAnsi="宋体"/>
          <w:color w:val="auto"/>
          <w:sz w:val="40"/>
        </w:rPr>
      </w:pPr>
    </w:p>
    <w:p>
      <w:pPr>
        <w:pStyle w:val="23"/>
        <w:rPr>
          <w:rFonts w:ascii="宋体" w:hAnsi="宋体"/>
          <w:color w:val="auto"/>
          <w:sz w:val="40"/>
        </w:rPr>
      </w:pPr>
    </w:p>
    <w:p>
      <w:pPr>
        <w:pStyle w:val="23"/>
        <w:rPr>
          <w:rFonts w:ascii="宋体" w:hAnsi="宋体"/>
          <w:color w:val="auto"/>
          <w:sz w:val="40"/>
        </w:rPr>
      </w:pPr>
    </w:p>
    <w:p>
      <w:pPr>
        <w:pStyle w:val="23"/>
        <w:rPr>
          <w:rFonts w:ascii="宋体" w:hAnsi="宋体"/>
          <w:color w:val="auto"/>
          <w:sz w:val="40"/>
        </w:rPr>
      </w:pPr>
    </w:p>
    <w:p>
      <w:pPr>
        <w:pStyle w:val="23"/>
        <w:rPr>
          <w:rFonts w:ascii="宋体" w:hAnsi="宋体"/>
          <w:color w:val="auto"/>
          <w:sz w:val="40"/>
        </w:rPr>
      </w:pPr>
    </w:p>
    <w:p>
      <w:pPr>
        <w:pStyle w:val="23"/>
        <w:rPr>
          <w:rFonts w:ascii="宋体" w:hAnsi="宋体"/>
          <w:color w:val="auto"/>
          <w:sz w:val="40"/>
        </w:rPr>
      </w:pPr>
    </w:p>
    <w:p>
      <w:pPr>
        <w:pStyle w:val="23"/>
        <w:rPr>
          <w:rFonts w:ascii="宋体" w:hAnsi="宋体"/>
          <w:color w:val="auto"/>
          <w:sz w:val="40"/>
        </w:rPr>
      </w:pPr>
    </w:p>
    <w:p>
      <w:pPr>
        <w:pStyle w:val="3"/>
        <w:jc w:val="center"/>
        <w:rPr>
          <w:rFonts w:ascii="宋体" w:hAnsi="宋体" w:eastAsia="宋体" w:cs="Courier New"/>
          <w:color w:val="auto"/>
          <w:sz w:val="40"/>
        </w:rPr>
      </w:pPr>
      <w:r>
        <w:rPr>
          <w:rFonts w:hint="eastAsia" w:ascii="宋体" w:hAnsi="宋体" w:eastAsia="宋体"/>
          <w:color w:val="auto"/>
          <w:sz w:val="40"/>
        </w:rPr>
        <w:t>第四部分  相关格式文件</w:t>
      </w:r>
      <w:bookmarkEnd w:id="19"/>
      <w:bookmarkEnd w:id="20"/>
      <w:bookmarkEnd w:id="21"/>
      <w:bookmarkEnd w:id="22"/>
      <w:bookmarkEnd w:id="23"/>
      <w:bookmarkEnd w:id="24"/>
      <w:bookmarkEnd w:id="25"/>
      <w:bookmarkEnd w:id="26"/>
      <w:bookmarkEnd w:id="27"/>
      <w:bookmarkEnd w:id="28"/>
      <w:bookmarkEnd w:id="29"/>
      <w:bookmarkEnd w:id="30"/>
      <w:bookmarkEnd w:id="31"/>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4"/>
        <w:rPr>
          <w:color w:val="auto"/>
        </w:rPr>
      </w:pPr>
      <w:bookmarkStart w:id="32" w:name="_Toc40776109"/>
      <w:bookmarkStart w:id="33" w:name="_Toc30201"/>
      <w:bookmarkStart w:id="34" w:name="_Toc13972"/>
      <w:bookmarkStart w:id="35" w:name="_Toc17987"/>
      <w:bookmarkStart w:id="36" w:name="_Toc10941"/>
      <w:bookmarkStart w:id="37" w:name="_Toc23126"/>
      <w:bookmarkStart w:id="38" w:name="_Toc10842"/>
      <w:bookmarkStart w:id="39" w:name="_Toc40346214"/>
      <w:bookmarkStart w:id="40" w:name="_Toc11236"/>
      <w:bookmarkStart w:id="41" w:name="_Toc26336"/>
      <w:bookmarkStart w:id="42" w:name="_Toc40346373"/>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widowControl/>
        <w:spacing w:line="360" w:lineRule="auto"/>
        <w:jc w:val="left"/>
        <w:outlineLvl w:val="0"/>
        <w:rPr>
          <w:rFonts w:ascii="仿宋" w:hAnsi="仿宋" w:eastAsia="仿宋" w:cs="宋体"/>
          <w:b/>
          <w:color w:val="auto"/>
          <w:kern w:val="0"/>
          <w:sz w:val="24"/>
          <w:szCs w:val="32"/>
        </w:rPr>
      </w:pPr>
      <w:bookmarkStart w:id="43" w:name="_Toc3033"/>
      <w:bookmarkStart w:id="44" w:name="_Toc13293"/>
      <w:bookmarkStart w:id="45" w:name="_Toc12695"/>
    </w:p>
    <w:p>
      <w:pPr>
        <w:widowControl/>
        <w:spacing w:line="360" w:lineRule="auto"/>
        <w:jc w:val="left"/>
        <w:outlineLvl w:val="0"/>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p>
      <w:pPr>
        <w:jc w:val="center"/>
        <w:rPr>
          <w:rFonts w:ascii="宋体" w:hAnsi="宋体" w:cs="宋体"/>
          <w:b/>
          <w:color w:val="auto"/>
          <w:kern w:val="0"/>
          <w:sz w:val="52"/>
          <w:szCs w:val="52"/>
        </w:rPr>
      </w:pPr>
      <w:bookmarkStart w:id="46" w:name="_Toc4407"/>
      <w:bookmarkStart w:id="47" w:name="_Toc9134"/>
      <w:bookmarkStart w:id="48" w:name="_Toc3784"/>
      <w:bookmarkStart w:id="49" w:name="_Toc40346222"/>
      <w:bookmarkStart w:id="50" w:name="_Toc40346381"/>
      <w:bookmarkStart w:id="51" w:name="_Toc28217"/>
      <w:bookmarkStart w:id="52" w:name="_Toc12431"/>
      <w:bookmarkStart w:id="53" w:name="_Toc25470"/>
      <w:bookmarkStart w:id="54" w:name="_Toc22145"/>
      <w:bookmarkStart w:id="55" w:name="_Toc40776117"/>
      <w:bookmarkStart w:id="56" w:name="_Toc22864"/>
      <w:bookmarkStart w:id="57" w:name="_Toc18837"/>
      <w:bookmarkStart w:id="58" w:name="_Toc10213"/>
      <w:bookmarkStart w:id="59" w:name="_Toc23156"/>
    </w:p>
    <w:p>
      <w:pPr>
        <w:jc w:val="center"/>
        <w:rPr>
          <w:rFonts w:ascii="宋体" w:hAnsi="宋体" w:cs="宋体"/>
          <w:b/>
          <w:color w:val="auto"/>
          <w:kern w:val="0"/>
          <w:sz w:val="52"/>
          <w:szCs w:val="52"/>
        </w:rPr>
      </w:pPr>
      <w:r>
        <w:rPr>
          <w:rFonts w:hint="eastAsia" w:ascii="宋体" w:hAnsi="宋体" w:cs="宋体"/>
          <w:b/>
          <w:color w:val="auto"/>
          <w:kern w:val="0"/>
          <w:sz w:val="52"/>
          <w:szCs w:val="52"/>
        </w:rPr>
        <w:t>南方医科大学第五附属医院</w:t>
      </w:r>
    </w:p>
    <w:p>
      <w:pPr>
        <w:jc w:val="center"/>
        <w:rPr>
          <w:rFonts w:ascii="宋体" w:hAnsi="宋体" w:cs="宋体"/>
          <w:b/>
          <w:color w:val="auto"/>
          <w:kern w:val="0"/>
          <w:sz w:val="28"/>
          <w:szCs w:val="28"/>
        </w:rPr>
      </w:pPr>
    </w:p>
    <w:p>
      <w:pPr>
        <w:jc w:val="center"/>
        <w:rPr>
          <w:rFonts w:ascii="宋体" w:hAnsi="宋体" w:cs="宋体"/>
          <w:b/>
          <w:color w:val="auto"/>
          <w:kern w:val="0"/>
          <w:sz w:val="52"/>
          <w:szCs w:val="52"/>
        </w:rPr>
      </w:pPr>
      <w:r>
        <w:rPr>
          <w:rFonts w:hint="eastAsia" w:ascii="宋体" w:hAnsi="宋体" w:cs="宋体"/>
          <w:b/>
          <w:color w:val="auto"/>
          <w:kern w:val="0"/>
          <w:sz w:val="52"/>
          <w:szCs w:val="52"/>
        </w:rPr>
        <w:t>**********采购项目</w:t>
      </w:r>
    </w:p>
    <w:p>
      <w:pPr>
        <w:spacing w:line="480" w:lineRule="auto"/>
        <w:jc w:val="center"/>
        <w:rPr>
          <w:rFonts w:ascii="宋体" w:hAnsi="宋体"/>
          <w:b/>
          <w:bCs/>
          <w:color w:val="auto"/>
          <w:sz w:val="28"/>
          <w:szCs w:val="28"/>
        </w:rPr>
      </w:pPr>
    </w:p>
    <w:p>
      <w:pPr>
        <w:spacing w:line="480" w:lineRule="auto"/>
        <w:jc w:val="center"/>
        <w:rPr>
          <w:rFonts w:ascii="宋体" w:hAnsi="宋体"/>
          <w:b/>
          <w:bCs/>
          <w:color w:val="auto"/>
          <w:sz w:val="72"/>
          <w:szCs w:val="72"/>
        </w:rPr>
      </w:pPr>
    </w:p>
    <w:p>
      <w:pPr>
        <w:spacing w:line="480" w:lineRule="auto"/>
        <w:jc w:val="center"/>
        <w:rPr>
          <w:rFonts w:ascii="宋体" w:hAnsi="宋体"/>
          <w:b/>
          <w:bCs/>
          <w:color w:val="auto"/>
          <w:sz w:val="72"/>
          <w:szCs w:val="72"/>
        </w:rPr>
      </w:pPr>
      <w:r>
        <w:rPr>
          <w:rFonts w:hint="eastAsia" w:ascii="宋体" w:hAnsi="宋体"/>
          <w:b/>
          <w:bCs/>
          <w:color w:val="auto"/>
          <w:sz w:val="72"/>
          <w:szCs w:val="72"/>
        </w:rPr>
        <w:t>响应文件</w:t>
      </w:r>
    </w:p>
    <w:p>
      <w:pPr>
        <w:widowControl/>
        <w:spacing w:line="360" w:lineRule="auto"/>
        <w:ind w:firstLine="600"/>
        <w:outlineLvl w:val="0"/>
        <w:rPr>
          <w:rFonts w:ascii="宋体" w:hAnsi="宋体" w:cs="宋体"/>
          <w:color w:val="auto"/>
          <w:kern w:val="0"/>
          <w:sz w:val="30"/>
          <w:szCs w:val="30"/>
        </w:rPr>
      </w:pPr>
      <w:bookmarkStart w:id="60" w:name="_Toc40776111"/>
      <w:bookmarkStart w:id="61" w:name="_Toc11305"/>
      <w:bookmarkStart w:id="62" w:name="_Toc26267"/>
      <w:bookmarkStart w:id="63" w:name="_Toc1994"/>
      <w:bookmarkStart w:id="64" w:name="_Toc21249"/>
      <w:bookmarkStart w:id="65" w:name="_Toc40346216"/>
      <w:bookmarkStart w:id="66" w:name="_Toc15870"/>
      <w:bookmarkStart w:id="67" w:name="_Toc8364"/>
      <w:bookmarkStart w:id="68" w:name="_Toc28703"/>
      <w:bookmarkStart w:id="69" w:name="_Toc29113"/>
      <w:bookmarkStart w:id="70" w:name="_Toc12520"/>
      <w:bookmarkStart w:id="71" w:name="_Toc40346375"/>
      <w:bookmarkStart w:id="72" w:name="_Toc435"/>
      <w:bookmarkStart w:id="73" w:name="_Toc3471"/>
      <w:bookmarkStart w:id="74" w:name="_Toc7291"/>
      <w:bookmarkStart w:id="75" w:name="_Toc11075"/>
      <w:bookmarkStart w:id="76" w:name="_Toc6547"/>
    </w:p>
    <w:p>
      <w:pPr>
        <w:widowControl/>
        <w:spacing w:line="360" w:lineRule="auto"/>
        <w:ind w:firstLine="600"/>
        <w:outlineLvl w:val="0"/>
        <w:rPr>
          <w:color w:val="auto"/>
        </w:rPr>
      </w:pPr>
      <w:r>
        <w:rPr>
          <w:rFonts w:ascii="宋体" w:hAnsi="宋体" w:cs="宋体"/>
          <w:color w:val="auto"/>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_Toc2916"/>
      <w:bookmarkStart w:id="78" w:name="_Toc20884"/>
      <w:bookmarkStart w:id="79" w:name="_Toc40346376"/>
      <w:bookmarkStart w:id="80" w:name="_Toc1743"/>
      <w:bookmarkStart w:id="81" w:name="_Toc17709"/>
      <w:bookmarkStart w:id="82" w:name="_Toc40346217"/>
      <w:bookmarkStart w:id="83" w:name="_Toc40776112"/>
      <w:bookmarkStart w:id="84" w:name="_Toc27997"/>
    </w:p>
    <w:p>
      <w:pPr>
        <w:widowControl/>
        <w:spacing w:line="360" w:lineRule="auto"/>
        <w:ind w:firstLine="600"/>
        <w:outlineLvl w:val="0"/>
        <w:rPr>
          <w:rFonts w:cs="宋体"/>
          <w:color w:val="auto"/>
          <w:kern w:val="0"/>
          <w:sz w:val="30"/>
          <w:szCs w:val="30"/>
        </w:rPr>
      </w:pPr>
      <w:bookmarkStart w:id="85" w:name="_Toc2012"/>
      <w:bookmarkStart w:id="86" w:name="_Toc23097"/>
      <w:bookmarkStart w:id="87" w:name="_Toc11485"/>
      <w:bookmarkStart w:id="88" w:name="_Toc29102"/>
      <w:bookmarkStart w:id="89" w:name="_Toc5238"/>
      <w:bookmarkStart w:id="90" w:name="_Toc19699"/>
      <w:bookmarkStart w:id="91" w:name="_Toc31538"/>
      <w:bookmarkStart w:id="92" w:name="_Toc30979"/>
      <w:bookmarkStart w:id="93" w:name="_Toc2029"/>
      <w:r>
        <w:rPr>
          <w:rFonts w:ascii="宋体" w:hAnsi="宋体" w:cs="宋体"/>
          <w:color w:val="auto"/>
          <w:kern w:val="0"/>
          <w:sz w:val="30"/>
          <w:szCs w:val="30"/>
        </w:rPr>
        <w:t>公司名称：</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widowControl/>
        <w:spacing w:line="360" w:lineRule="auto"/>
        <w:ind w:firstLine="600"/>
        <w:outlineLvl w:val="0"/>
        <w:rPr>
          <w:rFonts w:cs="宋体"/>
          <w:color w:val="auto"/>
          <w:kern w:val="0"/>
          <w:sz w:val="30"/>
          <w:szCs w:val="30"/>
        </w:rPr>
      </w:pPr>
      <w:bookmarkStart w:id="94" w:name="_Toc40346377"/>
      <w:bookmarkStart w:id="95" w:name="_Toc4013"/>
      <w:bookmarkStart w:id="96" w:name="_Toc17930"/>
      <w:bookmarkStart w:id="97" w:name="_Toc27867"/>
      <w:bookmarkStart w:id="98" w:name="_Toc28064"/>
      <w:bookmarkStart w:id="99" w:name="_Toc11141"/>
      <w:bookmarkStart w:id="100" w:name="_Toc21483"/>
      <w:bookmarkStart w:id="101" w:name="_Toc40776113"/>
      <w:bookmarkStart w:id="102" w:name="_Toc11558"/>
      <w:bookmarkStart w:id="103" w:name="_Toc31993"/>
      <w:bookmarkStart w:id="104" w:name="_Toc16794"/>
      <w:bookmarkStart w:id="105" w:name="_Toc40346218"/>
      <w:bookmarkStart w:id="106" w:name="_Toc7052"/>
      <w:bookmarkStart w:id="107" w:name="_Toc24763"/>
      <w:bookmarkStart w:id="108" w:name="_Toc14824"/>
      <w:bookmarkStart w:id="109" w:name="_Toc12645"/>
      <w:bookmarkStart w:id="110" w:name="_Toc29767"/>
      <w:r>
        <w:rPr>
          <w:rFonts w:ascii="宋体" w:hAnsi="宋体" w:cs="宋体"/>
          <w:color w:val="auto"/>
          <w:kern w:val="0"/>
          <w:sz w:val="30"/>
          <w:szCs w:val="30"/>
        </w:rPr>
        <w:t>业务代表：</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widowControl/>
        <w:spacing w:line="360" w:lineRule="auto"/>
        <w:ind w:firstLine="600"/>
        <w:outlineLvl w:val="0"/>
        <w:rPr>
          <w:rFonts w:cs="宋体"/>
          <w:color w:val="auto"/>
          <w:kern w:val="0"/>
          <w:sz w:val="30"/>
          <w:szCs w:val="30"/>
        </w:rPr>
      </w:pPr>
      <w:bookmarkStart w:id="111" w:name="_Toc4563"/>
      <w:bookmarkStart w:id="112" w:name="_Toc26029"/>
      <w:bookmarkStart w:id="113" w:name="_Toc24651"/>
      <w:bookmarkStart w:id="114" w:name="_Toc40346378"/>
      <w:bookmarkStart w:id="115" w:name="_Toc31197"/>
      <w:bookmarkStart w:id="116" w:name="_Toc19831"/>
      <w:bookmarkStart w:id="117" w:name="_Toc6438"/>
      <w:bookmarkStart w:id="118" w:name="_Toc32709"/>
      <w:bookmarkStart w:id="119" w:name="_Toc14287"/>
      <w:bookmarkStart w:id="120" w:name="_Toc17537"/>
      <w:bookmarkStart w:id="121" w:name="_Toc40776114"/>
      <w:bookmarkStart w:id="122" w:name="_Toc9883"/>
      <w:bookmarkStart w:id="123" w:name="_Toc16813"/>
      <w:bookmarkStart w:id="124" w:name="_Toc40346219"/>
      <w:bookmarkStart w:id="125" w:name="_Toc11334"/>
      <w:bookmarkStart w:id="126" w:name="_Toc1324"/>
      <w:bookmarkStart w:id="127" w:name="_Toc27771"/>
      <w:r>
        <w:rPr>
          <w:rFonts w:ascii="宋体" w:hAnsi="宋体" w:cs="宋体"/>
          <w:color w:val="auto"/>
          <w:kern w:val="0"/>
          <w:sz w:val="30"/>
          <w:szCs w:val="30"/>
        </w:rPr>
        <w:t>联系电话：</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widowControl/>
        <w:spacing w:line="360" w:lineRule="auto"/>
        <w:ind w:firstLine="600"/>
        <w:outlineLvl w:val="0"/>
        <w:rPr>
          <w:rFonts w:cs="宋体"/>
          <w:color w:val="auto"/>
          <w:kern w:val="0"/>
          <w:sz w:val="30"/>
          <w:szCs w:val="30"/>
        </w:rPr>
      </w:pPr>
      <w:bookmarkStart w:id="128" w:name="_Toc40346220"/>
      <w:bookmarkStart w:id="129" w:name="_Toc5634"/>
      <w:bookmarkStart w:id="130" w:name="_Toc17483"/>
      <w:bookmarkStart w:id="131" w:name="_Toc18353"/>
      <w:bookmarkStart w:id="132" w:name="_Toc27868"/>
      <w:bookmarkStart w:id="133" w:name="_Toc40776115"/>
      <w:bookmarkStart w:id="134" w:name="_Toc21686"/>
      <w:bookmarkStart w:id="135" w:name="_Toc3895"/>
      <w:bookmarkStart w:id="136" w:name="_Toc21940"/>
      <w:bookmarkStart w:id="137" w:name="_Toc12650"/>
      <w:bookmarkStart w:id="138" w:name="_Toc13222"/>
      <w:bookmarkStart w:id="139" w:name="_Toc40346379"/>
      <w:bookmarkStart w:id="140" w:name="_Toc27206"/>
      <w:bookmarkStart w:id="141" w:name="_Toc14586"/>
      <w:bookmarkStart w:id="142" w:name="_Toc5189"/>
      <w:bookmarkStart w:id="143" w:name="_Toc30336"/>
      <w:bookmarkStart w:id="144" w:name="_Toc20994"/>
      <w:r>
        <w:rPr>
          <w:rFonts w:ascii="宋体" w:hAnsi="宋体" w:cs="宋体"/>
          <w:color w:val="auto"/>
          <w:kern w:val="0"/>
          <w:sz w:val="30"/>
          <w:szCs w:val="30"/>
        </w:rPr>
        <w:t>联系邮箱：</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widowControl/>
        <w:spacing w:line="360" w:lineRule="auto"/>
        <w:ind w:firstLine="600"/>
        <w:outlineLvl w:val="0"/>
        <w:rPr>
          <w:rFonts w:cs="宋体"/>
          <w:color w:val="auto"/>
          <w:kern w:val="0"/>
          <w:sz w:val="30"/>
          <w:szCs w:val="30"/>
        </w:rPr>
      </w:pPr>
      <w:bookmarkStart w:id="145" w:name="_Toc40346221"/>
      <w:bookmarkStart w:id="146" w:name="_Toc5220"/>
      <w:bookmarkStart w:id="147" w:name="_Toc12127"/>
      <w:bookmarkStart w:id="148" w:name="_Toc11547"/>
      <w:bookmarkStart w:id="149" w:name="_Toc10454"/>
      <w:bookmarkStart w:id="150" w:name="_Toc14462"/>
      <w:bookmarkStart w:id="151" w:name="_Toc40776116"/>
      <w:bookmarkStart w:id="152" w:name="_Toc9282"/>
      <w:bookmarkStart w:id="153" w:name="_Toc27009"/>
      <w:bookmarkStart w:id="154" w:name="_Toc30856"/>
      <w:bookmarkStart w:id="155" w:name="_Toc30904"/>
      <w:bookmarkStart w:id="156" w:name="_Toc40346380"/>
      <w:bookmarkStart w:id="157" w:name="_Toc21449"/>
      <w:bookmarkStart w:id="158" w:name="_Toc32371"/>
      <w:bookmarkStart w:id="159" w:name="_Toc8526"/>
      <w:bookmarkStart w:id="160" w:name="_Toc27646"/>
      <w:bookmarkStart w:id="161" w:name="_Toc3498"/>
      <w:r>
        <w:rPr>
          <w:rFonts w:ascii="宋体" w:hAnsi="宋体" w:cs="宋体"/>
          <w:color w:val="auto"/>
          <w:kern w:val="0"/>
          <w:sz w:val="30"/>
          <w:szCs w:val="30"/>
        </w:rPr>
        <w:t>日    期：</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widowControl/>
        <w:spacing w:line="360" w:lineRule="auto"/>
        <w:jc w:val="center"/>
        <w:rPr>
          <w:rFonts w:ascii="黑体" w:hAnsi="黑体" w:eastAsia="黑体" w:cs="宋体"/>
          <w:color w:val="auto"/>
          <w:kern w:val="0"/>
          <w:sz w:val="30"/>
          <w:szCs w:val="30"/>
        </w:rPr>
      </w:pPr>
    </w:p>
    <w:p>
      <w:pPr>
        <w:widowControl/>
        <w:spacing w:line="360" w:lineRule="auto"/>
        <w:jc w:val="center"/>
        <w:rPr>
          <w:rFonts w:ascii="黑体" w:hAnsi="黑体" w:eastAsia="黑体" w:cs="宋体"/>
          <w:color w:val="auto"/>
          <w:kern w:val="0"/>
          <w:sz w:val="30"/>
          <w:szCs w:val="30"/>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pStyle w:val="5"/>
        <w:ind w:firstLine="0"/>
        <w:rPr>
          <w:rFonts w:ascii="仿宋" w:hAnsi="仿宋" w:eastAsia="仿宋" w:cs="宋体"/>
          <w:b/>
          <w:color w:val="auto"/>
          <w:kern w:val="0"/>
          <w:sz w:val="24"/>
          <w:szCs w:val="32"/>
        </w:rPr>
      </w:pPr>
    </w:p>
    <w:p>
      <w:pPr>
        <w:pStyle w:val="5"/>
        <w:ind w:firstLine="0"/>
        <w:rPr>
          <w:rFonts w:ascii="仿宋" w:hAnsi="仿宋" w:eastAsia="仿宋" w:cs="宋体"/>
          <w:b/>
          <w:color w:val="auto"/>
          <w:kern w:val="0"/>
          <w:sz w:val="24"/>
          <w:szCs w:val="32"/>
        </w:rPr>
      </w:pPr>
    </w:p>
    <w:p>
      <w:pPr>
        <w:pStyle w:val="5"/>
        <w:ind w:firstLine="0"/>
        <w:rPr>
          <w:rFonts w:ascii="仿宋" w:hAnsi="仿宋" w:eastAsia="仿宋" w:cs="宋体"/>
          <w:b/>
          <w:color w:val="auto"/>
          <w:kern w:val="0"/>
          <w:sz w:val="24"/>
          <w:szCs w:val="32"/>
        </w:rPr>
      </w:pPr>
    </w:p>
    <w:p>
      <w:pPr>
        <w:pStyle w:val="5"/>
        <w:ind w:firstLine="0"/>
        <w:rPr>
          <w:rFonts w:ascii="仿宋" w:hAnsi="仿宋" w:eastAsia="仿宋" w:cs="宋体"/>
          <w:b/>
          <w:color w:val="auto"/>
          <w:kern w:val="0"/>
          <w:sz w:val="24"/>
          <w:szCs w:val="32"/>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p>
      <w:pPr>
        <w:pStyle w:val="23"/>
        <w:ind w:firstLine="5060" w:firstLineChars="1400"/>
        <w:rPr>
          <w:b/>
          <w:bCs/>
          <w:color w:val="auto"/>
          <w:sz w:val="36"/>
          <w:szCs w:val="36"/>
        </w:rPr>
      </w:pPr>
      <w:bookmarkStart w:id="162" w:name="_Toc27920"/>
      <w:bookmarkStart w:id="163" w:name="_Toc6985"/>
      <w:bookmarkStart w:id="164" w:name="_Toc31006"/>
      <w:bookmarkStart w:id="165" w:name="_Toc24584"/>
      <w:r>
        <w:rPr>
          <w:rFonts w:hint="eastAsia"/>
          <w:b/>
          <w:bCs/>
          <w:color w:val="auto"/>
          <w:sz w:val="36"/>
          <w:szCs w:val="36"/>
        </w:rPr>
        <w:t>目  录</w:t>
      </w:r>
      <w:bookmarkEnd w:id="162"/>
      <w:bookmarkEnd w:id="163"/>
      <w:bookmarkEnd w:id="164"/>
      <w:bookmarkEnd w:id="165"/>
    </w:p>
    <w:tbl>
      <w:tblPr>
        <w:tblStyle w:val="17"/>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781"/>
        <w:gridCol w:w="8161"/>
        <w:gridCol w:w="1824"/>
      </w:tblGrid>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序号</w:t>
            </w:r>
          </w:p>
        </w:tc>
        <w:tc>
          <w:tcPr>
            <w:tcW w:w="8161"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页码范围</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Cs w:val="21"/>
              </w:rPr>
            </w:pPr>
            <w:r>
              <w:rPr>
                <w:rFonts w:hint="eastAsia" w:ascii="宋体" w:hAnsi="宋体"/>
                <w:bCs/>
                <w:color w:val="auto"/>
                <w:szCs w:val="21"/>
              </w:rPr>
              <w:t>/</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2</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Cs w:val="21"/>
              </w:rPr>
            </w:pPr>
            <w:r>
              <w:rPr>
                <w:rFonts w:hint="eastAsia" w:ascii="宋体" w:hAnsi="宋体"/>
                <w:bCs/>
                <w:color w:val="auto"/>
                <w:szCs w:val="21"/>
              </w:rPr>
              <w:t>/</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3</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4</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评分自查表（报名成功后获得）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5</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6</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7</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8</w:t>
            </w:r>
          </w:p>
        </w:tc>
        <w:tc>
          <w:tcPr>
            <w:tcW w:w="8161" w:type="dxa"/>
            <w:tcBorders>
              <w:top w:val="single" w:color="000000" w:sz="4" w:space="0"/>
              <w:left w:val="nil"/>
              <w:bottom w:val="single" w:color="000000" w:sz="4" w:space="0"/>
              <w:right w:val="single" w:color="000000" w:sz="4" w:space="0"/>
            </w:tcBorders>
            <w:vAlign w:val="center"/>
          </w:tcPr>
          <w:p>
            <w:pPr>
              <w:spacing w:line="300" w:lineRule="exact"/>
              <w:contextualSpacing/>
              <w:rPr>
                <w:rFonts w:ascii="宋体" w:hAnsi="宋体"/>
                <w:color w:val="auto"/>
                <w:szCs w:val="21"/>
              </w:rPr>
            </w:pPr>
            <w:r>
              <w:rPr>
                <w:rFonts w:hint="eastAsia" w:ascii="宋体" w:hAnsi="宋体" w:cs="宋体"/>
                <w:color w:val="auto"/>
                <w:szCs w:val="21"/>
              </w:rPr>
              <w:t>单位负责人为同一人或者存在直接控股、管理关系的不同供应商，不得同时参加本采购项目报价。提供书面声明并加盖供应商公章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9</w:t>
            </w:r>
          </w:p>
        </w:tc>
        <w:tc>
          <w:tcPr>
            <w:tcW w:w="8161" w:type="dxa"/>
            <w:tcBorders>
              <w:top w:val="single" w:color="000000" w:sz="4" w:space="0"/>
              <w:left w:val="nil"/>
              <w:bottom w:val="single" w:color="000000" w:sz="4" w:space="0"/>
              <w:right w:val="single" w:color="000000" w:sz="4" w:space="0"/>
            </w:tcBorders>
            <w:vAlign w:val="center"/>
          </w:tcPr>
          <w:p>
            <w:pPr>
              <w:spacing w:line="300" w:lineRule="exact"/>
              <w:contextualSpacing/>
              <w:rPr>
                <w:rFonts w:ascii="宋体" w:hAnsi="宋体"/>
                <w:color w:val="auto"/>
                <w:szCs w:val="21"/>
              </w:rPr>
            </w:pPr>
            <w:r>
              <w:rPr>
                <w:rFonts w:hint="eastAsia" w:ascii="宋体" w:hAnsi="宋体" w:cs="宋体"/>
                <w:color w:val="auto"/>
                <w:szCs w:val="21"/>
              </w:rPr>
              <w:t>供应商必须在国家社会消防技术服务信息系统入库备案并提供相关备案截图（https://shhxf.119.gov.cn/templet/index_7.jsp）。提供相关证明材料，并加盖供应商公章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10</w:t>
            </w:r>
          </w:p>
        </w:tc>
        <w:tc>
          <w:tcPr>
            <w:tcW w:w="8161" w:type="dxa"/>
            <w:tcBorders>
              <w:top w:val="single" w:color="000000" w:sz="4" w:space="0"/>
              <w:left w:val="nil"/>
              <w:bottom w:val="single" w:color="000000" w:sz="4" w:space="0"/>
              <w:right w:val="single" w:color="000000" w:sz="4" w:space="0"/>
            </w:tcBorders>
            <w:vAlign w:val="center"/>
          </w:tcPr>
          <w:p>
            <w:pPr>
              <w:adjustRightInd w:val="0"/>
              <w:snapToGrid w:val="0"/>
              <w:rPr>
                <w:rFonts w:ascii="宋体" w:hAnsi="宋体"/>
                <w:color w:val="auto"/>
                <w:szCs w:val="21"/>
              </w:rPr>
            </w:pPr>
            <w:r>
              <w:rPr>
                <w:rFonts w:hint="eastAsia" w:ascii="宋体" w:hAnsi="宋体" w:cs="宋体"/>
                <w:color w:val="auto"/>
                <w:szCs w:val="21"/>
              </w:rPr>
              <w:t>本项目不接受联合体投标；不允许分包、转包。需提供书面承诺，内容必须包含相关文字内容，格式自拟，并加盖供应商公章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11</w:t>
            </w:r>
          </w:p>
        </w:tc>
        <w:tc>
          <w:tcPr>
            <w:tcW w:w="8161" w:type="dxa"/>
            <w:tcBorders>
              <w:top w:val="single" w:color="000000" w:sz="4" w:space="0"/>
              <w:left w:val="nil"/>
              <w:bottom w:val="single" w:color="000000" w:sz="4" w:space="0"/>
              <w:right w:val="single" w:color="000000" w:sz="4" w:space="0"/>
            </w:tcBorders>
            <w:vAlign w:val="center"/>
          </w:tcPr>
          <w:p>
            <w:pPr>
              <w:spacing w:line="300" w:lineRule="exact"/>
              <w:contextualSpacing/>
              <w:rPr>
                <w:rFonts w:ascii="宋体" w:hAnsi="宋体"/>
                <w:color w:val="auto"/>
                <w:szCs w:val="21"/>
              </w:rPr>
            </w:pPr>
            <w:r>
              <w:rPr>
                <w:rFonts w:hint="eastAsia" w:ascii="宋体" w:hAnsi="宋体"/>
                <w:color w:val="auto"/>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12</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s="宋体"/>
                <w:color w:val="auto"/>
                <w:szCs w:val="21"/>
              </w:rPr>
            </w:pPr>
            <w:r>
              <w:rPr>
                <w:rFonts w:hint="eastAsia" w:ascii="宋体" w:hAnsi="宋体"/>
                <w:color w:val="auto"/>
                <w:szCs w:val="21"/>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13</w:t>
            </w:r>
          </w:p>
        </w:tc>
        <w:tc>
          <w:tcPr>
            <w:tcW w:w="8161" w:type="dxa"/>
            <w:tcBorders>
              <w:top w:val="single" w:color="000000" w:sz="4" w:space="0"/>
              <w:left w:val="nil"/>
              <w:bottom w:val="single" w:color="000000" w:sz="4" w:space="0"/>
              <w:right w:val="single" w:color="000000" w:sz="4" w:space="0"/>
            </w:tcBorders>
            <w:vAlign w:val="center"/>
          </w:tcPr>
          <w:p>
            <w:pPr>
              <w:tabs>
                <w:tab w:val="left" w:pos="284"/>
                <w:tab w:val="left" w:pos="426"/>
              </w:tabs>
              <w:spacing w:line="336" w:lineRule="auto"/>
              <w:rPr>
                <w:rFonts w:ascii="宋体" w:hAnsi="宋体"/>
                <w:color w:val="auto"/>
                <w:szCs w:val="21"/>
              </w:rPr>
            </w:pPr>
            <w:r>
              <w:rPr>
                <w:rFonts w:hint="eastAsia" w:ascii="宋体" w:hAnsi="宋体"/>
                <w:color w:val="auto"/>
                <w:szCs w:val="21"/>
              </w:rPr>
              <w:t>投入消防维保人员相关资质证明材料复印件并加盖公章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14</w:t>
            </w:r>
          </w:p>
        </w:tc>
        <w:tc>
          <w:tcPr>
            <w:tcW w:w="8161" w:type="dxa"/>
            <w:tcBorders>
              <w:top w:val="single" w:color="000000" w:sz="4" w:space="0"/>
              <w:left w:val="nil"/>
              <w:bottom w:val="single" w:color="000000" w:sz="4" w:space="0"/>
              <w:right w:val="single" w:color="000000" w:sz="4" w:space="0"/>
            </w:tcBorders>
            <w:vAlign w:val="center"/>
          </w:tcPr>
          <w:p>
            <w:pPr>
              <w:tabs>
                <w:tab w:val="left" w:pos="284"/>
                <w:tab w:val="left" w:pos="426"/>
              </w:tabs>
              <w:spacing w:line="336" w:lineRule="auto"/>
              <w:rPr>
                <w:rFonts w:ascii="宋体" w:hAnsi="宋体"/>
                <w:color w:val="auto"/>
                <w:szCs w:val="21"/>
              </w:rPr>
            </w:pPr>
            <w:r>
              <w:rPr>
                <w:rFonts w:hint="eastAsia" w:ascii="宋体" w:hAnsi="宋体"/>
                <w:color w:val="auto"/>
                <w:szCs w:val="21"/>
              </w:rPr>
              <w:t>整体服务方案（包括不限于组织实施方案、运作流程、工作人员配备方案、保障措施等）。</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15</w:t>
            </w:r>
          </w:p>
        </w:tc>
        <w:tc>
          <w:tcPr>
            <w:tcW w:w="8161" w:type="dxa"/>
            <w:tcBorders>
              <w:top w:val="single" w:color="000000" w:sz="4" w:space="0"/>
              <w:left w:val="nil"/>
              <w:bottom w:val="single" w:color="000000" w:sz="4" w:space="0"/>
              <w:right w:val="single" w:color="000000" w:sz="4" w:space="0"/>
            </w:tcBorders>
            <w:vAlign w:val="center"/>
          </w:tcPr>
          <w:p>
            <w:pPr>
              <w:tabs>
                <w:tab w:val="left" w:pos="284"/>
                <w:tab w:val="left" w:pos="426"/>
              </w:tabs>
              <w:spacing w:line="336" w:lineRule="auto"/>
              <w:rPr>
                <w:rFonts w:ascii="宋体" w:hAnsi="宋体"/>
                <w:color w:val="auto"/>
                <w:szCs w:val="21"/>
              </w:rPr>
            </w:pPr>
            <w:r>
              <w:rPr>
                <w:rFonts w:hint="eastAsia" w:ascii="宋体" w:hAnsi="宋体"/>
                <w:color w:val="auto"/>
                <w:szCs w:val="21"/>
              </w:rPr>
              <w:t>应急服务方案（包括不限于重大节假日、重大活动、设备故障应急服务方案、服务中出现的问题或差错的应对措施和改进方法等）</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16</w:t>
            </w:r>
          </w:p>
        </w:tc>
        <w:tc>
          <w:tcPr>
            <w:tcW w:w="8161" w:type="dxa"/>
            <w:tcBorders>
              <w:top w:val="single" w:color="000000" w:sz="4" w:space="0"/>
              <w:left w:val="nil"/>
              <w:bottom w:val="single" w:color="000000" w:sz="4" w:space="0"/>
              <w:right w:val="single" w:color="000000" w:sz="4" w:space="0"/>
            </w:tcBorders>
            <w:vAlign w:val="center"/>
          </w:tcPr>
          <w:p>
            <w:pPr>
              <w:pStyle w:val="5"/>
              <w:ind w:firstLine="0"/>
              <w:rPr>
                <w:rFonts w:ascii="宋体" w:hAnsi="宋体"/>
                <w:color w:val="auto"/>
                <w:szCs w:val="21"/>
              </w:rPr>
            </w:pPr>
            <w:r>
              <w:rPr>
                <w:rFonts w:hint="eastAsia" w:ascii="宋体" w:hAnsi="宋体"/>
                <w:color w:val="auto"/>
                <w:szCs w:val="21"/>
              </w:rPr>
              <w:t>2020年以来同类项目业绩（需</w:t>
            </w:r>
            <w:r>
              <w:rPr>
                <w:rFonts w:hint="eastAsia" w:ascii="宋体" w:hAnsi="宋体"/>
                <w:color w:val="auto"/>
                <w:szCs w:val="21"/>
                <w:lang w:val="zh-CN"/>
              </w:rPr>
              <w:t>提供中标通知书或合同复印件等</w:t>
            </w:r>
            <w:r>
              <w:rPr>
                <w:rFonts w:hint="eastAsia" w:ascii="宋体" w:hAnsi="宋体"/>
                <w:color w:val="auto"/>
                <w:szCs w:val="21"/>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17</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公平竞争承诺书</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18</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19</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20</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根据评审标准需提供的相关资料</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Cs w:val="21"/>
              </w:rPr>
            </w:pPr>
            <w:r>
              <w:rPr>
                <w:rFonts w:hint="eastAsia" w:ascii="宋体" w:hAnsi="宋体"/>
                <w:bCs/>
                <w:color w:val="auto"/>
                <w:szCs w:val="21"/>
              </w:rPr>
              <w:t>第(       )页</w:t>
            </w:r>
          </w:p>
        </w:tc>
      </w:tr>
    </w:tbl>
    <w:p>
      <w:pPr>
        <w:widowControl/>
        <w:spacing w:line="360" w:lineRule="auto"/>
        <w:jc w:val="left"/>
        <w:outlineLvl w:val="0"/>
        <w:rPr>
          <w:rFonts w:ascii="仿宋" w:hAnsi="仿宋" w:eastAsia="仿宋" w:cs="宋体"/>
          <w:b/>
          <w:color w:val="auto"/>
          <w:kern w:val="0"/>
          <w:sz w:val="24"/>
          <w:szCs w:val="32"/>
        </w:rPr>
      </w:pPr>
      <w:bookmarkStart w:id="166" w:name="_Toc24508"/>
      <w:bookmarkStart w:id="167" w:name="_Toc21936"/>
      <w:bookmarkStart w:id="168" w:name="_Toc562"/>
      <w:bookmarkStart w:id="169" w:name="_Toc11232"/>
    </w:p>
    <w:bookmarkEnd w:id="166"/>
    <w:bookmarkEnd w:id="167"/>
    <w:bookmarkEnd w:id="168"/>
    <w:bookmarkEnd w:id="169"/>
    <w:p>
      <w:pPr>
        <w:pStyle w:val="27"/>
        <w:tabs>
          <w:tab w:val="left" w:pos="1050"/>
          <w:tab w:val="center" w:pos="4535"/>
        </w:tabs>
        <w:jc w:val="center"/>
        <w:outlineLvl w:val="0"/>
        <w:rPr>
          <w:b/>
          <w:bCs/>
          <w:color w:val="auto"/>
        </w:rPr>
      </w:pPr>
      <w:bookmarkStart w:id="170" w:name="_Toc10771"/>
      <w:bookmarkStart w:id="171" w:name="_Toc10605"/>
      <w:bookmarkStart w:id="172" w:name="_Toc11212"/>
      <w:bookmarkStart w:id="173" w:name="_Toc26391"/>
      <w:bookmarkStart w:id="174" w:name="_Toc31025"/>
      <w:bookmarkStart w:id="175" w:name="_Toc29101"/>
      <w:bookmarkStart w:id="176" w:name="_Toc28877"/>
      <w:bookmarkStart w:id="177" w:name="_Toc9683"/>
      <w:bookmarkStart w:id="178" w:name="_Toc31804"/>
      <w:bookmarkStart w:id="179" w:name="_Toc20169"/>
      <w:bookmarkStart w:id="180" w:name="_Toc20065"/>
      <w:bookmarkStart w:id="181" w:name="_Toc24565"/>
      <w:bookmarkStart w:id="182" w:name="_Toc25102"/>
    </w:p>
    <w:p>
      <w:pPr>
        <w:pStyle w:val="27"/>
        <w:tabs>
          <w:tab w:val="left" w:pos="1050"/>
          <w:tab w:val="center" w:pos="4535"/>
        </w:tabs>
        <w:jc w:val="center"/>
        <w:outlineLvl w:val="0"/>
        <w:rPr>
          <w:b/>
          <w:bCs/>
          <w:color w:val="auto"/>
        </w:rPr>
      </w:pPr>
    </w:p>
    <w:p>
      <w:pPr>
        <w:pStyle w:val="27"/>
        <w:tabs>
          <w:tab w:val="left" w:pos="1050"/>
          <w:tab w:val="center" w:pos="4535"/>
        </w:tabs>
        <w:outlineLvl w:val="0"/>
        <w:rPr>
          <w:b/>
          <w:bCs/>
          <w:color w:val="auto"/>
        </w:rPr>
      </w:pPr>
    </w:p>
    <w:p>
      <w:pPr>
        <w:pStyle w:val="27"/>
        <w:tabs>
          <w:tab w:val="left" w:pos="1050"/>
          <w:tab w:val="center" w:pos="4535"/>
        </w:tabs>
        <w:outlineLvl w:val="0"/>
        <w:rPr>
          <w:b/>
          <w:bCs/>
          <w:color w:val="auto"/>
        </w:rPr>
      </w:pPr>
    </w:p>
    <w:p>
      <w:pPr>
        <w:pStyle w:val="27"/>
        <w:tabs>
          <w:tab w:val="left" w:pos="1050"/>
          <w:tab w:val="center" w:pos="4535"/>
        </w:tabs>
        <w:jc w:val="center"/>
        <w:outlineLvl w:val="0"/>
        <w:rPr>
          <w:b/>
          <w:bCs/>
          <w:color w:val="auto"/>
          <w:szCs w:val="21"/>
        </w:rPr>
      </w:pPr>
      <w:r>
        <w:rPr>
          <w:rFonts w:hint="eastAsia"/>
          <w:b/>
          <w:bCs/>
          <w:color w:val="auto"/>
        </w:rPr>
        <w:t>用户需求偏离表</w:t>
      </w:r>
      <w:bookmarkEnd w:id="170"/>
      <w:bookmarkEnd w:id="171"/>
      <w:bookmarkEnd w:id="172"/>
      <w:bookmarkEnd w:id="173"/>
      <w:bookmarkEnd w:id="174"/>
      <w:bookmarkEnd w:id="175"/>
      <w:bookmarkEnd w:id="176"/>
      <w:bookmarkEnd w:id="177"/>
      <w:bookmarkEnd w:id="178"/>
      <w:bookmarkEnd w:id="179"/>
      <w:bookmarkEnd w:id="180"/>
      <w:bookmarkEnd w:id="181"/>
      <w:bookmarkEnd w:id="182"/>
      <w:bookmarkStart w:id="183" w:name="_Toc24550"/>
      <w:bookmarkStart w:id="184" w:name="_Toc6232"/>
      <w:bookmarkStart w:id="185" w:name="_Toc7019"/>
      <w:bookmarkStart w:id="186" w:name="_Toc10398"/>
      <w:bookmarkStart w:id="187" w:name="_Toc32295"/>
      <w:bookmarkStart w:id="188" w:name="_Toc15079"/>
      <w:bookmarkStart w:id="189" w:name="_Toc24286"/>
    </w:p>
    <w:p>
      <w:pPr>
        <w:numPr>
          <w:ilvl w:val="0"/>
          <w:numId w:val="5"/>
        </w:numPr>
        <w:spacing w:line="300" w:lineRule="auto"/>
        <w:ind w:firstLine="632" w:firstLineChars="300"/>
        <w:outlineLvl w:val="1"/>
        <w:rPr>
          <w:rFonts w:ascii="宋体" w:hAnsi="宋体"/>
          <w:b/>
          <w:bCs/>
          <w:color w:val="auto"/>
          <w:szCs w:val="21"/>
        </w:rPr>
      </w:pPr>
      <w:r>
        <w:rPr>
          <w:rFonts w:hint="eastAsia" w:ascii="宋体" w:hAnsi="宋体"/>
          <w:b/>
          <w:bCs/>
          <w:color w:val="auto"/>
          <w:szCs w:val="21"/>
        </w:rPr>
        <w:t>“</w:t>
      </w:r>
      <w:r>
        <w:rPr>
          <w:rFonts w:hint="eastAsia" w:ascii="宋体" w:hAnsi="宋体" w:cs="宋体"/>
          <w:color w:val="auto"/>
          <w:szCs w:val="21"/>
        </w:rPr>
        <w:t>▲”</w:t>
      </w:r>
      <w:r>
        <w:rPr>
          <w:rFonts w:hint="eastAsia" w:ascii="宋体" w:hAnsi="宋体"/>
          <w:b/>
          <w:bCs/>
          <w:color w:val="auto"/>
          <w:szCs w:val="21"/>
        </w:rPr>
        <w:t>条款内容</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pStyle w:val="23"/>
        <w:rPr>
          <w:color w:val="auto"/>
        </w:rPr>
      </w:pPr>
    </w:p>
    <w:p>
      <w:pPr>
        <w:numPr>
          <w:ilvl w:val="0"/>
          <w:numId w:val="5"/>
        </w:numPr>
        <w:spacing w:line="300" w:lineRule="auto"/>
        <w:ind w:firstLine="632" w:firstLineChars="300"/>
        <w:outlineLvl w:val="1"/>
        <w:rPr>
          <w:rFonts w:ascii="宋体" w:hAnsi="宋体"/>
          <w:b/>
          <w:bCs/>
          <w:color w:val="auto"/>
          <w:szCs w:val="21"/>
        </w:rPr>
      </w:pPr>
      <w:r>
        <w:rPr>
          <w:rFonts w:hint="eastAsia" w:ascii="宋体" w:hAnsi="宋体"/>
          <w:b/>
          <w:bCs/>
          <w:color w:val="auto"/>
          <w:szCs w:val="21"/>
        </w:rPr>
        <w:t>采购内容</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outlineLvl w:val="0"/>
        <w:rPr>
          <w:rFonts w:ascii="宋体" w:hAnsi="宋体"/>
          <w:b/>
          <w:bCs/>
          <w:color w:val="auto"/>
          <w:szCs w:val="21"/>
        </w:rPr>
      </w:pPr>
    </w:p>
    <w:p>
      <w:pPr>
        <w:spacing w:line="300" w:lineRule="auto"/>
        <w:ind w:firstLine="632" w:firstLineChars="300"/>
        <w:outlineLvl w:val="0"/>
        <w:rPr>
          <w:rFonts w:ascii="宋体" w:hAnsi="宋体"/>
          <w:b/>
          <w:bCs/>
          <w:color w:val="auto"/>
          <w:szCs w:val="21"/>
        </w:rPr>
      </w:pPr>
      <w:r>
        <w:rPr>
          <w:rFonts w:hint="eastAsia" w:ascii="宋体" w:hAnsi="宋体"/>
          <w:b/>
          <w:bCs/>
          <w:color w:val="auto"/>
          <w:szCs w:val="21"/>
        </w:rPr>
        <w:t>三、服务要求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outlineLvl w:val="1"/>
        <w:rPr>
          <w:rFonts w:ascii="宋体" w:hAnsi="宋体" w:cs="宋体"/>
          <w:b/>
          <w:bCs/>
          <w:color w:val="auto"/>
          <w:szCs w:val="21"/>
        </w:rPr>
      </w:pPr>
    </w:p>
    <w:p>
      <w:pPr>
        <w:spacing w:line="300" w:lineRule="auto"/>
        <w:ind w:firstLine="632" w:firstLineChars="300"/>
        <w:outlineLvl w:val="1"/>
        <w:rPr>
          <w:rFonts w:ascii="宋体" w:hAnsi="宋体"/>
          <w:b/>
          <w:bCs/>
          <w:color w:val="auto"/>
          <w:szCs w:val="21"/>
        </w:rPr>
      </w:pPr>
      <w:r>
        <w:rPr>
          <w:rFonts w:hint="eastAsia" w:ascii="宋体" w:hAnsi="宋体" w:cs="宋体"/>
          <w:b/>
          <w:bCs/>
          <w:color w:val="auto"/>
          <w:szCs w:val="21"/>
        </w:rPr>
        <w:t>四、付款方式及履约保证金</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ind w:firstLine="422" w:firstLineChars="200"/>
        <w:rPr>
          <w:rFonts w:ascii="宋体" w:hAnsi="宋体"/>
          <w:b/>
          <w:bCs/>
          <w:color w:val="auto"/>
          <w:szCs w:val="21"/>
        </w:rPr>
      </w:pPr>
    </w:p>
    <w:p>
      <w:pPr>
        <w:pStyle w:val="23"/>
        <w:ind w:firstLine="632" w:firstLineChars="300"/>
        <w:rPr>
          <w:rFonts w:ascii="宋体" w:hAnsi="宋体" w:cs="宋体"/>
          <w:b/>
          <w:bCs/>
          <w:color w:val="auto"/>
          <w:szCs w:val="21"/>
        </w:rPr>
      </w:pPr>
      <w:r>
        <w:rPr>
          <w:rFonts w:hint="eastAsia" w:ascii="宋体" w:hAnsi="宋体"/>
          <w:b/>
          <w:bCs/>
          <w:color w:val="auto"/>
          <w:szCs w:val="21"/>
        </w:rPr>
        <w:t>五、合同条款</w:t>
      </w:r>
    </w:p>
    <w:tbl>
      <w:tblPr>
        <w:tblStyle w:val="17"/>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60" w:lineRule="auto"/>
        <w:rPr>
          <w:rFonts w:ascii="宋体" w:hAnsi="宋体"/>
          <w:b/>
          <w:bCs/>
          <w:color w:val="auto"/>
          <w:szCs w:val="21"/>
        </w:rPr>
      </w:pPr>
    </w:p>
    <w:p>
      <w:pPr>
        <w:spacing w:line="300" w:lineRule="auto"/>
        <w:outlineLvl w:val="1"/>
        <w:rPr>
          <w:rFonts w:ascii="宋体" w:hAnsi="宋体"/>
          <w:b/>
          <w:bCs/>
          <w:color w:val="auto"/>
          <w:szCs w:val="21"/>
        </w:rPr>
      </w:pPr>
    </w:p>
    <w:p>
      <w:pPr>
        <w:spacing w:line="300" w:lineRule="auto"/>
        <w:ind w:firstLine="632" w:firstLineChars="300"/>
        <w:outlineLvl w:val="0"/>
        <w:rPr>
          <w:rFonts w:ascii="宋体" w:hAnsi="宋体"/>
          <w:b/>
          <w:bCs/>
          <w:color w:val="auto"/>
          <w:szCs w:val="21"/>
        </w:rPr>
      </w:pPr>
    </w:p>
    <w:p>
      <w:pPr>
        <w:spacing w:line="300" w:lineRule="auto"/>
        <w:ind w:firstLine="632" w:firstLineChars="300"/>
        <w:outlineLvl w:val="0"/>
        <w:rPr>
          <w:rFonts w:ascii="宋体" w:hAnsi="宋体"/>
          <w:b/>
          <w:bCs/>
          <w:color w:val="auto"/>
          <w:szCs w:val="21"/>
        </w:rPr>
      </w:pPr>
    </w:p>
    <w:bookmarkEnd w:id="183"/>
    <w:bookmarkEnd w:id="184"/>
    <w:bookmarkEnd w:id="185"/>
    <w:bookmarkEnd w:id="186"/>
    <w:bookmarkEnd w:id="187"/>
    <w:bookmarkEnd w:id="188"/>
    <w:bookmarkEnd w:id="189"/>
    <w:p>
      <w:pPr>
        <w:pStyle w:val="7"/>
        <w:rPr>
          <w:rFonts w:asciiTheme="majorEastAsia" w:hAnsiTheme="majorEastAsia" w:eastAsiaTheme="majorEastAsia"/>
          <w:b/>
          <w:color w:val="auto"/>
          <w:sz w:val="22"/>
        </w:rPr>
      </w:pPr>
    </w:p>
    <w:p>
      <w:pPr>
        <w:spacing w:line="300" w:lineRule="auto"/>
        <w:ind w:firstLine="663" w:firstLineChars="300"/>
        <w:outlineLvl w:val="1"/>
        <w:rPr>
          <w:color w:val="auto"/>
        </w:rPr>
      </w:pPr>
      <w:r>
        <w:rPr>
          <w:rFonts w:hint="eastAsia" w:asciiTheme="majorEastAsia" w:hAnsiTheme="majorEastAsia" w:eastAsiaTheme="majorEastAsia"/>
          <w:b/>
          <w:color w:val="auto"/>
          <w:sz w:val="22"/>
        </w:rPr>
        <w:t>六、其他</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rPr>
          <w:color w:val="auto"/>
        </w:rPr>
        <w:sectPr>
          <w:pgSz w:w="11906" w:h="16838"/>
          <w:pgMar w:top="850" w:right="454" w:bottom="850" w:left="454" w:header="851" w:footer="992" w:gutter="0"/>
          <w:cols w:space="720" w:num="1"/>
          <w:docGrid w:linePitch="312" w:charSpace="0"/>
        </w:sectPr>
      </w:pPr>
    </w:p>
    <w:p>
      <w:pPr>
        <w:spacing w:line="360" w:lineRule="exact"/>
        <w:jc w:val="center"/>
        <w:rPr>
          <w:rFonts w:ascii="宋体" w:hAnsi="宋体" w:cs="宋体"/>
          <w:b/>
          <w:bCs/>
          <w:color w:val="auto"/>
          <w:sz w:val="28"/>
          <w:szCs w:val="28"/>
        </w:rPr>
      </w:pPr>
      <w:bookmarkStart w:id="190" w:name="_Toc31486"/>
      <w:bookmarkStart w:id="191" w:name="_Toc12731"/>
      <w:bookmarkStart w:id="192" w:name="_Toc24486"/>
      <w:bookmarkStart w:id="193" w:name="_Toc13386"/>
      <w:r>
        <w:rPr>
          <w:rFonts w:hint="eastAsia" w:ascii="宋体" w:hAnsi="宋体" w:cs="宋体"/>
          <w:b/>
          <w:bCs/>
          <w:color w:val="auto"/>
          <w:sz w:val="28"/>
          <w:szCs w:val="28"/>
        </w:rPr>
        <w:t>南方医科大学第五附属医院消防系统维护保养服务项目报价表（第一次）</w:t>
      </w:r>
    </w:p>
    <w:p>
      <w:pPr>
        <w:rPr>
          <w:color w:val="auto"/>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3284" w:type="dxa"/>
            <w:vAlign w:val="center"/>
          </w:tcPr>
          <w:p>
            <w:pPr>
              <w:pStyle w:val="2"/>
              <w:jc w:val="center"/>
              <w:outlineLvl w:val="0"/>
              <w:rPr>
                <w:color w:val="auto"/>
                <w:kern w:val="2"/>
                <w:sz w:val="21"/>
                <w:szCs w:val="21"/>
              </w:rPr>
            </w:pPr>
            <w:r>
              <w:rPr>
                <w:rFonts w:hint="eastAsia"/>
                <w:color w:val="auto"/>
                <w:kern w:val="2"/>
                <w:sz w:val="21"/>
                <w:szCs w:val="21"/>
              </w:rPr>
              <w:t>项目内容</w:t>
            </w:r>
          </w:p>
        </w:tc>
        <w:tc>
          <w:tcPr>
            <w:tcW w:w="6463" w:type="dxa"/>
            <w:vAlign w:val="center"/>
          </w:tcPr>
          <w:p>
            <w:pPr>
              <w:pStyle w:val="2"/>
              <w:jc w:val="both"/>
              <w:outlineLvl w:val="0"/>
              <w:rPr>
                <w:color w:val="auto"/>
                <w:kern w:val="2"/>
                <w:sz w:val="21"/>
                <w:szCs w:val="21"/>
              </w:rPr>
            </w:pPr>
            <w:r>
              <w:rPr>
                <w:rFonts w:hint="eastAsia" w:ascii="Times New Roman" w:hAnsi="Times New Roman" w:cs="Times New Roman"/>
                <w:color w:val="auto"/>
                <w:sz w:val="21"/>
                <w:szCs w:val="21"/>
              </w:rPr>
              <w:t>南方医科大学第五附属医院消防系统维护保养服务项目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3284" w:type="dxa"/>
            <w:vAlign w:val="center"/>
          </w:tcPr>
          <w:p>
            <w:pPr>
              <w:pStyle w:val="2"/>
              <w:jc w:val="center"/>
              <w:outlineLvl w:val="0"/>
              <w:rPr>
                <w:rFonts w:ascii="Times New Roman" w:hAnsi="Times New Roman" w:cs="Times New Roman"/>
                <w:color w:val="auto"/>
                <w:sz w:val="21"/>
                <w:szCs w:val="21"/>
              </w:rPr>
            </w:pPr>
            <w:r>
              <w:rPr>
                <w:rFonts w:hint="eastAsia"/>
                <w:color w:val="auto"/>
                <w:kern w:val="2"/>
                <w:sz w:val="21"/>
                <w:szCs w:val="21"/>
              </w:rPr>
              <w:t>数量</w:t>
            </w:r>
          </w:p>
        </w:tc>
        <w:tc>
          <w:tcPr>
            <w:tcW w:w="6463" w:type="dxa"/>
            <w:vAlign w:val="center"/>
          </w:tcPr>
          <w:p>
            <w:pPr>
              <w:pStyle w:val="2"/>
              <w:jc w:val="center"/>
              <w:outlineLvl w:val="0"/>
              <w:rPr>
                <w:color w:val="auto"/>
                <w:kern w:val="2"/>
                <w:sz w:val="21"/>
                <w:szCs w:val="21"/>
              </w:rPr>
            </w:pPr>
            <w:r>
              <w:rPr>
                <w:rFonts w:hint="eastAsia"/>
                <w:color w:val="auto"/>
                <w:kern w:val="2"/>
                <w:sz w:val="21"/>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284" w:type="dxa"/>
            <w:vAlign w:val="center"/>
          </w:tcPr>
          <w:p>
            <w:pPr>
              <w:pStyle w:val="2"/>
              <w:jc w:val="center"/>
              <w:outlineLvl w:val="0"/>
              <w:rPr>
                <w:color w:val="auto"/>
                <w:kern w:val="2"/>
                <w:sz w:val="21"/>
                <w:szCs w:val="21"/>
              </w:rPr>
            </w:pPr>
            <w:r>
              <w:rPr>
                <w:rFonts w:hint="eastAsia"/>
                <w:color w:val="auto"/>
                <w:kern w:val="2"/>
                <w:sz w:val="21"/>
                <w:szCs w:val="21"/>
              </w:rPr>
              <w:t>服务期</w:t>
            </w:r>
          </w:p>
        </w:tc>
        <w:tc>
          <w:tcPr>
            <w:tcW w:w="6463" w:type="dxa"/>
            <w:vAlign w:val="center"/>
          </w:tcPr>
          <w:p>
            <w:pPr>
              <w:pStyle w:val="2"/>
              <w:jc w:val="center"/>
              <w:outlineLvl w:val="0"/>
              <w:rPr>
                <w:color w:val="auto"/>
                <w:kern w:val="2"/>
                <w:sz w:val="21"/>
                <w:szCs w:val="21"/>
              </w:rPr>
            </w:pPr>
            <w:r>
              <w:rPr>
                <w:rFonts w:hint="eastAsia"/>
                <w:color w:val="auto"/>
                <w:kern w:val="2"/>
                <w:sz w:val="21"/>
                <w:szCs w:val="21"/>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284" w:type="dxa"/>
            <w:vAlign w:val="center"/>
          </w:tcPr>
          <w:p>
            <w:pPr>
              <w:pStyle w:val="2"/>
              <w:jc w:val="center"/>
              <w:outlineLvl w:val="0"/>
              <w:rPr>
                <w:rFonts w:ascii="Times New Roman" w:hAnsi="Times New Roman" w:cs="Times New Roman"/>
                <w:color w:val="auto"/>
                <w:sz w:val="21"/>
                <w:szCs w:val="21"/>
              </w:rPr>
            </w:pPr>
            <w:r>
              <w:rPr>
                <w:rFonts w:hint="eastAsia" w:ascii="Times New Roman" w:hAnsi="Times New Roman" w:cs="Times New Roman"/>
                <w:color w:val="auto"/>
                <w:sz w:val="21"/>
                <w:szCs w:val="21"/>
              </w:rPr>
              <w:t>每年报价</w:t>
            </w:r>
          </w:p>
        </w:tc>
        <w:tc>
          <w:tcPr>
            <w:tcW w:w="6463" w:type="dxa"/>
          </w:tcPr>
          <w:p>
            <w:pPr>
              <w:pStyle w:val="2"/>
              <w:outlineLvl w:val="0"/>
              <w:rPr>
                <w:color w:val="auto"/>
                <w:kern w:val="2"/>
                <w:sz w:val="21"/>
                <w:szCs w:val="21"/>
              </w:rPr>
            </w:pPr>
            <w:r>
              <w:rPr>
                <w:rFonts w:hint="eastAsia" w:ascii="Times New Roman" w:hAnsi="Times New Roman" w:cs="Times New Roman"/>
                <w:color w:val="auto"/>
                <w:sz w:val="21"/>
                <w:szCs w:val="21"/>
              </w:rPr>
              <w:t>人民币大写：</w:t>
            </w:r>
          </w:p>
          <w:p>
            <w:pPr>
              <w:rPr>
                <w:rFonts w:ascii="Calibri" w:hAnsi="Calibri"/>
                <w:color w:val="auto"/>
                <w:szCs w:val="21"/>
              </w:rPr>
            </w:pPr>
            <w:r>
              <w:rPr>
                <w:rFonts w:hint="eastAsia" w:ascii="Calibri" w:hAnsi="Calibri"/>
                <w:b/>
                <w:bCs/>
                <w:color w:val="auto"/>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284" w:type="dxa"/>
            <w:vAlign w:val="center"/>
          </w:tcPr>
          <w:p>
            <w:pPr>
              <w:pStyle w:val="2"/>
              <w:jc w:val="center"/>
              <w:outlineLvl w:val="0"/>
              <w:rPr>
                <w:rFonts w:ascii="Times New Roman" w:hAnsi="Times New Roman" w:cs="Times New Roman"/>
                <w:color w:val="auto"/>
                <w:sz w:val="21"/>
                <w:szCs w:val="21"/>
              </w:rPr>
            </w:pPr>
            <w:r>
              <w:rPr>
                <w:rFonts w:hint="eastAsia" w:ascii="Times New Roman" w:hAnsi="Times New Roman" w:cs="Times New Roman"/>
                <w:color w:val="auto"/>
                <w:sz w:val="21"/>
                <w:szCs w:val="21"/>
              </w:rPr>
              <w:t>两年报价</w:t>
            </w:r>
          </w:p>
        </w:tc>
        <w:tc>
          <w:tcPr>
            <w:tcW w:w="6463" w:type="dxa"/>
          </w:tcPr>
          <w:p>
            <w:pPr>
              <w:pStyle w:val="2"/>
              <w:outlineLvl w:val="0"/>
              <w:rPr>
                <w:rFonts w:ascii="Times New Roman" w:hAnsi="Times New Roman" w:cs="Times New Roman"/>
                <w:color w:val="auto"/>
                <w:sz w:val="21"/>
                <w:szCs w:val="21"/>
              </w:rPr>
            </w:pPr>
            <w:r>
              <w:rPr>
                <w:rFonts w:hint="eastAsia" w:ascii="Times New Roman" w:hAnsi="Times New Roman" w:cs="Times New Roman"/>
                <w:color w:val="auto"/>
                <w:sz w:val="21"/>
                <w:szCs w:val="21"/>
              </w:rPr>
              <w:t>人民币大写：</w:t>
            </w:r>
          </w:p>
          <w:p>
            <w:pPr>
              <w:pStyle w:val="2"/>
              <w:outlineLvl w:val="0"/>
              <w:rPr>
                <w:color w:val="auto"/>
                <w:kern w:val="2"/>
                <w:sz w:val="21"/>
                <w:szCs w:val="21"/>
              </w:rPr>
            </w:pPr>
            <w:r>
              <w:rPr>
                <w:rFonts w:hint="eastAsia" w:ascii="Times New Roman" w:hAnsi="Times New Roman" w:cs="Times New Roman"/>
                <w:color w:val="auto"/>
                <w:sz w:val="21"/>
                <w:szCs w:val="21"/>
              </w:rPr>
              <w:t>小写：            元</w:t>
            </w:r>
          </w:p>
        </w:tc>
      </w:tr>
    </w:tbl>
    <w:p>
      <w:pPr>
        <w:pStyle w:val="23"/>
        <w:spacing w:line="360" w:lineRule="auto"/>
        <w:rPr>
          <w:rFonts w:ascii="宋体" w:hAnsi="宋体"/>
          <w:b/>
          <w:bCs/>
          <w:color w:val="auto"/>
          <w:szCs w:val="21"/>
        </w:rPr>
      </w:pPr>
    </w:p>
    <w:p>
      <w:pPr>
        <w:pStyle w:val="23"/>
        <w:spacing w:line="360" w:lineRule="auto"/>
        <w:rPr>
          <w:rFonts w:ascii="宋体" w:hAnsi="宋体"/>
          <w:b/>
          <w:bCs/>
          <w:color w:val="auto"/>
          <w:szCs w:val="21"/>
        </w:rPr>
      </w:pPr>
      <w:r>
        <w:rPr>
          <w:rFonts w:hint="eastAsia" w:ascii="宋体" w:hAnsi="宋体"/>
          <w:b/>
          <w:bCs/>
          <w:color w:val="auto"/>
          <w:szCs w:val="21"/>
        </w:rPr>
        <w:t>备注：</w:t>
      </w:r>
    </w:p>
    <w:p>
      <w:pPr>
        <w:pStyle w:val="23"/>
        <w:spacing w:line="360" w:lineRule="auto"/>
        <w:rPr>
          <w:rFonts w:ascii="宋体" w:hAnsi="宋体"/>
          <w:b/>
          <w:bCs/>
          <w:color w:val="auto"/>
          <w:szCs w:val="21"/>
        </w:rPr>
      </w:pPr>
      <w:r>
        <w:rPr>
          <w:rFonts w:hint="eastAsia" w:ascii="宋体" w:hAnsi="宋体"/>
          <w:b/>
          <w:bCs/>
          <w:color w:val="auto"/>
          <w:szCs w:val="21"/>
        </w:rPr>
        <w:t>1.温馨提示（金额大写）：</w:t>
      </w:r>
      <w:r>
        <w:rPr>
          <w:rFonts w:hint="eastAsia" w:ascii="宋体" w:hAnsi="宋体"/>
          <w:color w:val="auto"/>
          <w:szCs w:val="21"/>
        </w:rPr>
        <w:t>壹、贰、叁、肆、伍、陆、柒、捌、玖、拾 、佰、仟、万</w:t>
      </w:r>
    </w:p>
    <w:p>
      <w:pPr>
        <w:spacing w:line="360" w:lineRule="auto"/>
        <w:rPr>
          <w:rFonts w:ascii="宋体" w:hAnsi="宋体"/>
          <w:b/>
          <w:bCs/>
          <w:color w:val="auto"/>
          <w:szCs w:val="21"/>
        </w:rPr>
      </w:pPr>
      <w:r>
        <w:rPr>
          <w:rFonts w:hint="eastAsia" w:ascii="宋体" w:hAnsi="宋体"/>
          <w:b/>
          <w:bCs/>
          <w:color w:val="auto"/>
          <w:szCs w:val="21"/>
        </w:rPr>
        <w:t>2.本项目以各供应商最终的两年报价价格作为评审价格计算价格得分。</w:t>
      </w:r>
    </w:p>
    <w:p>
      <w:pPr>
        <w:spacing w:line="360" w:lineRule="auto"/>
        <w:rPr>
          <w:rFonts w:ascii="宋体" w:hAnsi="宋体"/>
          <w:b/>
          <w:color w:val="auto"/>
          <w:spacing w:val="4"/>
          <w:szCs w:val="21"/>
        </w:rPr>
      </w:pPr>
      <w:r>
        <w:rPr>
          <w:rFonts w:hint="eastAsia" w:ascii="宋体" w:hAnsi="宋体"/>
          <w:b/>
          <w:color w:val="auto"/>
          <w:spacing w:val="4"/>
          <w:szCs w:val="21"/>
        </w:rPr>
        <w:t>3.投标报价的小数点后保留</w:t>
      </w:r>
      <w:r>
        <w:rPr>
          <w:rFonts w:ascii="宋体" w:hAnsi="宋体"/>
          <w:b/>
          <w:color w:val="auto"/>
          <w:spacing w:val="4"/>
          <w:szCs w:val="21"/>
        </w:rPr>
        <w:t>2</w:t>
      </w:r>
      <w:r>
        <w:rPr>
          <w:rFonts w:hint="eastAsia" w:ascii="宋体" w:hAnsi="宋体"/>
          <w:b/>
          <w:color w:val="auto"/>
          <w:spacing w:val="4"/>
          <w:szCs w:val="21"/>
        </w:rPr>
        <w:t>位有效数。</w:t>
      </w:r>
    </w:p>
    <w:p>
      <w:pPr>
        <w:widowControl/>
        <w:spacing w:line="360" w:lineRule="auto"/>
        <w:jc w:val="left"/>
        <w:rPr>
          <w:rFonts w:ascii="宋体" w:hAnsi="宋体"/>
          <w:b/>
          <w:bCs/>
          <w:color w:val="auto"/>
          <w:szCs w:val="21"/>
        </w:rPr>
      </w:pPr>
      <w:r>
        <w:rPr>
          <w:rFonts w:hint="eastAsia" w:ascii="宋体" w:hAnsi="宋体"/>
          <w:b/>
          <w:bCs/>
          <w:color w:val="auto"/>
          <w:szCs w:val="21"/>
        </w:rPr>
        <w:t>4.其他承诺：</w:t>
      </w:r>
    </w:p>
    <w:p>
      <w:pPr>
        <w:pStyle w:val="23"/>
        <w:rPr>
          <w:rFonts w:ascii="宋体" w:hAnsi="宋体"/>
          <w:color w:val="auto"/>
          <w:sz w:val="24"/>
        </w:rPr>
      </w:pPr>
      <w:r>
        <w:rPr>
          <w:rFonts w:hint="eastAsia" w:ascii="宋体" w:hAnsi="宋体"/>
          <w:color w:val="auto"/>
          <w:sz w:val="24"/>
        </w:rPr>
        <w:br w:type="textWrapping"/>
      </w: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widowControl/>
        <w:spacing w:line="360" w:lineRule="auto"/>
        <w:ind w:firstLine="4440" w:firstLineChars="1850"/>
        <w:jc w:val="left"/>
        <w:rPr>
          <w:rFonts w:ascii="宋体" w:hAnsi="宋体"/>
          <w:color w:val="auto"/>
          <w:sz w:val="24"/>
        </w:rPr>
      </w:pPr>
    </w:p>
    <w:p>
      <w:pPr>
        <w:widowControl/>
        <w:spacing w:line="360" w:lineRule="auto"/>
        <w:ind w:firstLine="4440" w:firstLineChars="1850"/>
        <w:jc w:val="left"/>
        <w:rPr>
          <w:color w:val="auto"/>
        </w:rPr>
      </w:pPr>
      <w:r>
        <w:rPr>
          <w:rFonts w:hint="eastAsia" w:ascii="宋体" w:hAnsi="宋体"/>
          <w:color w:val="auto"/>
          <w:sz w:val="24"/>
        </w:rPr>
        <w:t>供应商名称（加盖公章）：</w:t>
      </w:r>
    </w:p>
    <w:p>
      <w:pPr>
        <w:widowControl/>
        <w:spacing w:line="360" w:lineRule="auto"/>
        <w:ind w:firstLine="4080" w:firstLineChars="1700"/>
        <w:jc w:val="left"/>
        <w:rPr>
          <w:rFonts w:ascii="宋体" w:hAnsi="宋体"/>
          <w:color w:val="auto"/>
          <w:sz w:val="24"/>
        </w:rPr>
      </w:pPr>
      <w:r>
        <w:rPr>
          <w:rFonts w:hint="eastAsia" w:ascii="宋体" w:hAnsi="宋体"/>
          <w:color w:val="auto"/>
          <w:sz w:val="24"/>
        </w:rPr>
        <w:t xml:space="preserve">供应商法定代表人或授权代表签名：              </w:t>
      </w:r>
    </w:p>
    <w:p>
      <w:pPr>
        <w:spacing w:line="360" w:lineRule="auto"/>
        <w:ind w:firstLine="6960" w:firstLineChars="2900"/>
        <w:rPr>
          <w:rFonts w:ascii="宋体" w:hAnsi="宋体" w:cs="宋体"/>
          <w:b/>
          <w:color w:val="auto"/>
          <w:sz w:val="24"/>
        </w:rPr>
      </w:pPr>
      <w:r>
        <w:rPr>
          <w:rFonts w:hint="eastAsia" w:ascii="宋体" w:hAnsi="宋体"/>
          <w:color w:val="auto"/>
          <w:sz w:val="24"/>
        </w:rPr>
        <w:t>日  期：  年   月    日</w:t>
      </w:r>
    </w:p>
    <w:bookmarkEnd w:id="190"/>
    <w:bookmarkEnd w:id="191"/>
    <w:bookmarkEnd w:id="192"/>
    <w:bookmarkEnd w:id="193"/>
    <w:p>
      <w:pPr>
        <w:pStyle w:val="27"/>
        <w:tabs>
          <w:tab w:val="left" w:pos="1050"/>
          <w:tab w:val="center" w:pos="4535"/>
        </w:tabs>
        <w:spacing w:line="360" w:lineRule="auto"/>
        <w:outlineLvl w:val="0"/>
        <w:rPr>
          <w:rFonts w:hint="eastAsia"/>
          <w:b/>
          <w:bCs/>
          <w:color w:val="auto"/>
          <w:kern w:val="2"/>
          <w:sz w:val="32"/>
          <w:szCs w:val="32"/>
        </w:rPr>
      </w:pPr>
      <w:bookmarkStart w:id="194" w:name="_Toc21213"/>
      <w:bookmarkStart w:id="195" w:name="_Toc28851"/>
      <w:bookmarkStart w:id="196" w:name="_Toc31077"/>
      <w:bookmarkStart w:id="197" w:name="_Toc6214"/>
      <w:bookmarkStart w:id="198" w:name="_Toc31674"/>
      <w:bookmarkStart w:id="199" w:name="_Toc21561"/>
    </w:p>
    <w:p>
      <w:pPr>
        <w:pStyle w:val="27"/>
        <w:tabs>
          <w:tab w:val="left" w:pos="1050"/>
          <w:tab w:val="center" w:pos="4535"/>
        </w:tabs>
        <w:spacing w:line="360" w:lineRule="auto"/>
        <w:outlineLvl w:val="0"/>
        <w:rPr>
          <w:rFonts w:hint="eastAsia"/>
          <w:b/>
          <w:bCs/>
          <w:color w:val="auto"/>
          <w:sz w:val="32"/>
          <w:szCs w:val="32"/>
        </w:rPr>
      </w:pPr>
    </w:p>
    <w:p>
      <w:pPr>
        <w:pStyle w:val="27"/>
        <w:tabs>
          <w:tab w:val="left" w:pos="1050"/>
          <w:tab w:val="center" w:pos="4535"/>
        </w:tabs>
        <w:spacing w:line="360" w:lineRule="auto"/>
        <w:outlineLvl w:val="0"/>
        <w:rPr>
          <w:rFonts w:hint="eastAsia"/>
          <w:b/>
          <w:bCs/>
          <w:color w:val="auto"/>
          <w:sz w:val="32"/>
          <w:szCs w:val="32"/>
        </w:rPr>
      </w:pPr>
    </w:p>
    <w:p>
      <w:pPr>
        <w:pStyle w:val="27"/>
        <w:tabs>
          <w:tab w:val="left" w:pos="1050"/>
          <w:tab w:val="center" w:pos="4535"/>
        </w:tabs>
        <w:spacing w:line="360" w:lineRule="auto"/>
        <w:jc w:val="center"/>
        <w:outlineLvl w:val="0"/>
        <w:rPr>
          <w:b/>
          <w:bCs/>
          <w:color w:val="auto"/>
          <w:sz w:val="32"/>
          <w:szCs w:val="32"/>
        </w:rPr>
      </w:pPr>
      <w:r>
        <w:rPr>
          <w:rFonts w:hint="eastAsia"/>
          <w:b/>
          <w:bCs/>
          <w:color w:val="auto"/>
          <w:sz w:val="32"/>
          <w:szCs w:val="32"/>
        </w:rPr>
        <w:t>法定代表人资格证明书</w:t>
      </w:r>
      <w:bookmarkEnd w:id="194"/>
      <w:bookmarkEnd w:id="195"/>
      <w:bookmarkEnd w:id="196"/>
      <w:bookmarkEnd w:id="197"/>
    </w:p>
    <w:p>
      <w:pPr>
        <w:pStyle w:val="27"/>
        <w:spacing w:line="360" w:lineRule="auto"/>
        <w:ind w:firstLine="560"/>
        <w:rPr>
          <w:color w:val="auto"/>
        </w:rPr>
      </w:pPr>
      <w:r>
        <w:rPr>
          <w:rFonts w:hint="eastAsia"/>
          <w:color w:val="auto"/>
        </w:rPr>
        <w:t>兹证明，</w:t>
      </w:r>
      <w:r>
        <w:rPr>
          <w:rFonts w:hint="eastAsia"/>
          <w:color w:val="auto"/>
          <w:u w:val="single"/>
        </w:rPr>
        <w:t xml:space="preserve">           </w:t>
      </w:r>
      <w:r>
        <w:rPr>
          <w:rFonts w:hint="eastAsia"/>
          <w:color w:val="auto"/>
        </w:rPr>
        <w:t>同志，</w:t>
      </w:r>
      <w:r>
        <w:rPr>
          <w:rFonts w:hint="eastAsia"/>
          <w:color w:val="auto"/>
          <w:u w:val="single"/>
        </w:rPr>
        <w:t xml:space="preserve">     </w:t>
      </w:r>
      <w:r>
        <w:rPr>
          <w:rFonts w:hint="eastAsia"/>
          <w:color w:val="auto"/>
        </w:rPr>
        <w:t>（性别），现任我司</w:t>
      </w:r>
      <w:r>
        <w:rPr>
          <w:rFonts w:hint="eastAsia"/>
          <w:color w:val="auto"/>
          <w:u w:val="single"/>
        </w:rPr>
        <w:t xml:space="preserve">         </w:t>
      </w:r>
      <w:r>
        <w:rPr>
          <w:rFonts w:hint="eastAsia"/>
          <w:color w:val="auto"/>
        </w:rPr>
        <w:t>职务，为本公司的法定代表人，特此证明。</w:t>
      </w:r>
    </w:p>
    <w:p>
      <w:pPr>
        <w:pStyle w:val="27"/>
        <w:spacing w:line="360" w:lineRule="auto"/>
        <w:ind w:firstLine="560"/>
        <w:rPr>
          <w:color w:val="auto"/>
        </w:rPr>
      </w:pPr>
    </w:p>
    <w:p>
      <w:pPr>
        <w:pStyle w:val="27"/>
        <w:spacing w:line="360" w:lineRule="auto"/>
        <w:ind w:firstLine="560"/>
        <w:rPr>
          <w:color w:val="auto"/>
          <w:u w:val="single"/>
        </w:rPr>
      </w:pPr>
      <w:r>
        <w:rPr>
          <w:rFonts w:hint="eastAsia"/>
          <w:color w:val="auto"/>
        </w:rPr>
        <w:t>供应商法定代表人签字（签章）：</w:t>
      </w:r>
      <w:r>
        <w:rPr>
          <w:rFonts w:hint="eastAsia"/>
          <w:color w:val="auto"/>
          <w:highlight w:val="yellow"/>
          <w:u w:val="single"/>
        </w:rPr>
        <w:t>必须手写签字或使用签章</w:t>
      </w:r>
      <w:r>
        <w:rPr>
          <w:rFonts w:hint="eastAsia"/>
          <w:color w:val="auto"/>
          <w:u w:val="single"/>
        </w:rPr>
        <w:t xml:space="preserve">                               </w:t>
      </w:r>
    </w:p>
    <w:p>
      <w:pPr>
        <w:pStyle w:val="27"/>
        <w:spacing w:line="360" w:lineRule="auto"/>
        <w:ind w:firstLine="560"/>
        <w:rPr>
          <w:color w:val="auto"/>
        </w:rPr>
      </w:pPr>
      <w:r>
        <w:rPr>
          <w:rFonts w:hint="eastAsia"/>
          <w:color w:val="auto"/>
        </w:rPr>
        <w:t>供应商名称（加盖公章）：</w:t>
      </w:r>
      <w:r>
        <w:rPr>
          <w:rFonts w:hint="eastAsia"/>
          <w:b/>
          <w:color w:val="auto"/>
          <w:highlight w:val="yellow"/>
          <w:u w:val="single"/>
        </w:rPr>
        <w:t>必须将供应商名称写出来并盖公章</w:t>
      </w:r>
      <w:r>
        <w:rPr>
          <w:rFonts w:hint="eastAsia"/>
          <w:color w:val="auto"/>
          <w:u w:val="single"/>
        </w:rPr>
        <w:t xml:space="preserve">                                     </w:t>
      </w:r>
      <w:r>
        <w:rPr>
          <w:rFonts w:hint="eastAsia"/>
          <w:color w:val="auto"/>
        </w:rPr>
        <w:t xml:space="preserve">  </w:t>
      </w:r>
    </w:p>
    <w:p>
      <w:pPr>
        <w:pStyle w:val="27"/>
        <w:spacing w:line="360" w:lineRule="auto"/>
        <w:ind w:firstLine="560"/>
        <w:rPr>
          <w:color w:val="auto"/>
          <w:u w:val="single"/>
        </w:rPr>
      </w:pPr>
      <w:r>
        <w:rPr>
          <w:rFonts w:hint="eastAsia"/>
          <w:color w:val="auto"/>
        </w:rPr>
        <w:t>日期：</w:t>
      </w:r>
      <w:r>
        <w:rPr>
          <w:rFonts w:hint="eastAsia"/>
          <w:color w:val="auto"/>
          <w:highlight w:val="yellow"/>
          <w:u w:val="single"/>
        </w:rPr>
        <w:t>写评审的日期</w:t>
      </w:r>
      <w:r>
        <w:rPr>
          <w:rFonts w:hint="eastAsia"/>
          <w:color w:val="auto"/>
          <w:u w:val="single"/>
        </w:rPr>
        <w:t xml:space="preserve">                                                        </w:t>
      </w:r>
    </w:p>
    <w:p>
      <w:pPr>
        <w:pStyle w:val="27"/>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7"/>
        <w:spacing w:line="360" w:lineRule="auto"/>
        <w:jc w:val="center"/>
        <w:outlineLvl w:val="0"/>
        <w:rPr>
          <w:b/>
          <w:bCs/>
          <w:color w:val="auto"/>
          <w:sz w:val="32"/>
          <w:szCs w:val="32"/>
        </w:rPr>
      </w:pPr>
      <w:bookmarkStart w:id="200" w:name="_Toc14020"/>
      <w:bookmarkStart w:id="201" w:name="_Toc3758"/>
      <w:bookmarkStart w:id="202" w:name="_Toc3241"/>
      <w:bookmarkStart w:id="203" w:name="_Toc7276"/>
      <w:bookmarkStart w:id="204" w:name="_Toc28957"/>
      <w:bookmarkStart w:id="205" w:name="_Toc22175"/>
      <w:bookmarkStart w:id="206" w:name="_Toc14591"/>
      <w:bookmarkStart w:id="207" w:name="_Toc15050"/>
      <w:bookmarkStart w:id="208" w:name="_Toc18443"/>
      <w:bookmarkStart w:id="209" w:name="_Toc23685"/>
      <w:bookmarkStart w:id="210" w:name="_Toc14853"/>
    </w:p>
    <w:p>
      <w:pPr>
        <w:pStyle w:val="27"/>
        <w:spacing w:line="360" w:lineRule="auto"/>
        <w:jc w:val="center"/>
        <w:outlineLvl w:val="0"/>
        <w:rPr>
          <w:b/>
          <w:bCs/>
          <w:color w:val="auto"/>
          <w:sz w:val="32"/>
          <w:szCs w:val="32"/>
        </w:rPr>
      </w:pPr>
    </w:p>
    <w:p>
      <w:pPr>
        <w:pStyle w:val="27"/>
        <w:spacing w:line="360" w:lineRule="auto"/>
        <w:jc w:val="center"/>
        <w:outlineLvl w:val="0"/>
        <w:rPr>
          <w:b/>
          <w:bCs/>
          <w:color w:val="auto"/>
          <w:sz w:val="32"/>
          <w:szCs w:val="32"/>
        </w:rPr>
      </w:pPr>
    </w:p>
    <w:p>
      <w:pPr>
        <w:pStyle w:val="27"/>
        <w:spacing w:line="360" w:lineRule="auto"/>
        <w:jc w:val="center"/>
        <w:outlineLvl w:val="0"/>
        <w:rPr>
          <w:rFonts w:hint="eastAsia"/>
          <w:b/>
          <w:bCs/>
          <w:color w:val="auto"/>
          <w:sz w:val="32"/>
          <w:szCs w:val="32"/>
        </w:rPr>
      </w:pPr>
    </w:p>
    <w:p>
      <w:pPr>
        <w:pStyle w:val="27"/>
        <w:spacing w:line="360" w:lineRule="auto"/>
        <w:jc w:val="center"/>
        <w:outlineLvl w:val="0"/>
        <w:rPr>
          <w:b/>
          <w:bCs/>
          <w:color w:val="auto"/>
          <w:sz w:val="32"/>
          <w:szCs w:val="32"/>
        </w:rPr>
      </w:pPr>
      <w:r>
        <w:rPr>
          <w:rFonts w:hint="eastAsia"/>
          <w:b/>
          <w:bCs/>
          <w:color w:val="auto"/>
          <w:sz w:val="32"/>
          <w:szCs w:val="32"/>
        </w:rPr>
        <w:t>法定代表人授权委托书</w:t>
      </w:r>
      <w:bookmarkEnd w:id="200"/>
      <w:bookmarkEnd w:id="201"/>
      <w:bookmarkEnd w:id="202"/>
      <w:bookmarkEnd w:id="203"/>
      <w:bookmarkEnd w:id="204"/>
      <w:bookmarkEnd w:id="205"/>
      <w:bookmarkEnd w:id="206"/>
      <w:bookmarkEnd w:id="207"/>
      <w:bookmarkEnd w:id="208"/>
      <w:bookmarkEnd w:id="209"/>
      <w:bookmarkEnd w:id="210"/>
    </w:p>
    <w:p>
      <w:pPr>
        <w:pStyle w:val="28"/>
        <w:spacing w:line="360" w:lineRule="auto"/>
        <w:jc w:val="left"/>
        <w:rPr>
          <w:b/>
          <w:bCs/>
          <w:color w:val="auto"/>
          <w:sz w:val="24"/>
          <w:szCs w:val="24"/>
        </w:rPr>
      </w:pPr>
      <w:r>
        <w:rPr>
          <w:rFonts w:hint="eastAsia"/>
          <w:b/>
          <w:bCs/>
          <w:color w:val="auto"/>
          <w:sz w:val="24"/>
          <w:szCs w:val="24"/>
        </w:rPr>
        <w:t>本授权书声明：</w:t>
      </w:r>
    </w:p>
    <w:p>
      <w:pPr>
        <w:pStyle w:val="27"/>
        <w:spacing w:line="360" w:lineRule="auto"/>
        <w:ind w:firstLine="560"/>
        <w:rPr>
          <w:color w:val="auto"/>
        </w:rPr>
      </w:pPr>
      <w:r>
        <w:rPr>
          <w:rFonts w:hint="eastAsia"/>
          <w:color w:val="auto"/>
        </w:rPr>
        <w:t>注册于</w:t>
      </w:r>
      <w:r>
        <w:rPr>
          <w:rFonts w:hint="eastAsia"/>
          <w:color w:val="auto"/>
          <w:u w:val="single"/>
        </w:rPr>
        <w:t xml:space="preserve">           </w:t>
      </w:r>
      <w:r>
        <w:rPr>
          <w:rFonts w:hint="eastAsia"/>
          <w:color w:val="auto"/>
        </w:rPr>
        <w:t>（公司地址）</w:t>
      </w:r>
      <w:r>
        <w:rPr>
          <w:rFonts w:hint="eastAsia"/>
          <w:color w:val="auto"/>
          <w:u w:val="single"/>
        </w:rPr>
        <w:t xml:space="preserve">               </w:t>
      </w:r>
      <w:r>
        <w:rPr>
          <w:rFonts w:hint="eastAsia"/>
          <w:color w:val="auto"/>
        </w:rPr>
        <w:t>（公司名称）的</w:t>
      </w:r>
      <w:r>
        <w:rPr>
          <w:rFonts w:hint="eastAsia"/>
          <w:color w:val="auto"/>
          <w:u w:val="single"/>
        </w:rPr>
        <w:t xml:space="preserve">        </w:t>
      </w:r>
      <w:r>
        <w:rPr>
          <w:rFonts w:hint="eastAsia"/>
          <w:color w:val="auto"/>
        </w:rPr>
        <w:t xml:space="preserve">（法定代表人姓名、职务）代表本公司授权 </w:t>
      </w:r>
      <w:r>
        <w:rPr>
          <w:rFonts w:hint="eastAsia"/>
          <w:color w:val="auto"/>
          <w:u w:val="single"/>
        </w:rPr>
        <w:t xml:space="preserve">       </w:t>
      </w:r>
      <w:r>
        <w:rPr>
          <w:rFonts w:hint="eastAsia"/>
          <w:color w:val="auto"/>
        </w:rPr>
        <w:t>（被授权人的姓名、职务、联系方式）为本公司的合法代表，以本公司名义负责处理在</w:t>
      </w:r>
      <w:r>
        <w:rPr>
          <w:rFonts w:hint="eastAsia"/>
          <w:color w:val="auto"/>
          <w:u w:val="single"/>
        </w:rPr>
        <w:t>南方医科大学第五附属医院 ***项目</w:t>
      </w:r>
      <w:r>
        <w:rPr>
          <w:rFonts w:hint="eastAsia"/>
          <w:color w:val="auto"/>
        </w:rPr>
        <w:t>院内采购活动中一切与之相关的事宜。</w:t>
      </w:r>
    </w:p>
    <w:p>
      <w:pPr>
        <w:pStyle w:val="27"/>
        <w:spacing w:line="360" w:lineRule="auto"/>
        <w:ind w:firstLine="560"/>
        <w:rPr>
          <w:color w:val="auto"/>
          <w:u w:val="single"/>
        </w:rPr>
      </w:pPr>
      <w:r>
        <w:rPr>
          <w:rFonts w:hint="eastAsia"/>
          <w:color w:val="auto"/>
        </w:rPr>
        <w:t xml:space="preserve">授权日期： </w:t>
      </w:r>
      <w:r>
        <w:rPr>
          <w:rFonts w:hint="eastAsia"/>
          <w:color w:val="auto"/>
          <w:u w:val="single"/>
        </w:rPr>
        <w:t xml:space="preserve">                 至                   </w:t>
      </w:r>
    </w:p>
    <w:p>
      <w:pPr>
        <w:pStyle w:val="27"/>
        <w:spacing w:line="360" w:lineRule="auto"/>
        <w:ind w:firstLine="560"/>
        <w:rPr>
          <w:color w:val="auto"/>
        </w:rPr>
      </w:pPr>
      <w:r>
        <w:rPr>
          <w:rFonts w:hint="eastAsia"/>
          <w:color w:val="auto"/>
        </w:rPr>
        <w:t>本授权书在签字盖章后生效，特此声明。</w:t>
      </w:r>
    </w:p>
    <w:p>
      <w:pPr>
        <w:pStyle w:val="27"/>
        <w:spacing w:line="360" w:lineRule="auto"/>
        <w:ind w:firstLine="560"/>
        <w:rPr>
          <w:color w:val="auto"/>
          <w:u w:val="single"/>
        </w:rPr>
      </w:pPr>
      <w:r>
        <w:rPr>
          <w:rFonts w:hint="eastAsia"/>
          <w:color w:val="auto"/>
        </w:rPr>
        <w:t>供应商法定代表人签字（签章）：</w:t>
      </w:r>
      <w:r>
        <w:rPr>
          <w:rFonts w:hint="eastAsia"/>
          <w:color w:val="auto"/>
          <w:u w:val="single"/>
        </w:rPr>
        <w:t xml:space="preserve">  </w:t>
      </w:r>
      <w:r>
        <w:rPr>
          <w:rFonts w:hint="eastAsia"/>
          <w:color w:val="auto"/>
          <w:highlight w:val="yellow"/>
          <w:u w:val="single"/>
        </w:rPr>
        <w:t>必须手写签字或使用签章</w:t>
      </w:r>
      <w:r>
        <w:rPr>
          <w:rFonts w:hint="eastAsia"/>
          <w:color w:val="auto"/>
          <w:u w:val="single"/>
        </w:rPr>
        <w:t xml:space="preserve">                              </w:t>
      </w:r>
    </w:p>
    <w:p>
      <w:pPr>
        <w:pStyle w:val="27"/>
        <w:spacing w:line="360" w:lineRule="auto"/>
        <w:ind w:firstLine="560"/>
        <w:rPr>
          <w:color w:val="auto"/>
        </w:rPr>
      </w:pPr>
      <w:r>
        <w:rPr>
          <w:rFonts w:hint="eastAsia"/>
          <w:color w:val="auto"/>
        </w:rPr>
        <w:t>被授权人签字（签章）：</w:t>
      </w:r>
      <w:r>
        <w:rPr>
          <w:rFonts w:hint="eastAsia"/>
          <w:color w:val="auto"/>
          <w:u w:val="single"/>
        </w:rPr>
        <w:t xml:space="preserve">  </w:t>
      </w:r>
      <w:r>
        <w:rPr>
          <w:rFonts w:hint="eastAsia"/>
          <w:color w:val="auto"/>
          <w:highlight w:val="yellow"/>
          <w:u w:val="single"/>
        </w:rPr>
        <w:t>必须手写签字或使用签章</w:t>
      </w:r>
      <w:r>
        <w:rPr>
          <w:rFonts w:hint="eastAsia"/>
          <w:color w:val="auto"/>
          <w:u w:val="single"/>
        </w:rPr>
        <w:t xml:space="preserve">  </w:t>
      </w:r>
      <w:r>
        <w:rPr>
          <w:rFonts w:hint="eastAsia"/>
          <w:color w:val="auto"/>
          <w:u w:val="single"/>
        </w:rPr>
        <w:t xml:space="preserve">                                    </w:t>
      </w:r>
    </w:p>
    <w:p>
      <w:pPr>
        <w:pStyle w:val="27"/>
        <w:spacing w:line="360" w:lineRule="auto"/>
        <w:ind w:firstLine="560"/>
        <w:rPr>
          <w:color w:val="auto"/>
          <w:u w:val="single"/>
        </w:rPr>
      </w:pPr>
      <w:r>
        <w:rPr>
          <w:rFonts w:hint="eastAsia"/>
          <w:color w:val="auto"/>
        </w:rPr>
        <w:t>供应商名称（加盖公章）：</w:t>
      </w:r>
      <w:r>
        <w:rPr>
          <w:rFonts w:hint="eastAsia"/>
          <w:color w:val="auto"/>
          <w:u w:val="single"/>
        </w:rPr>
        <w:t xml:space="preserve">  </w:t>
      </w:r>
      <w:r>
        <w:rPr>
          <w:rFonts w:hint="eastAsia"/>
          <w:b/>
          <w:color w:val="auto"/>
          <w:highlight w:val="yellow"/>
          <w:u w:val="single"/>
        </w:rPr>
        <w:t>必须将供应商名称写出来并盖公章</w:t>
      </w:r>
      <w:r>
        <w:rPr>
          <w:rFonts w:hint="eastAsia"/>
          <w:b/>
          <w:color w:val="auto"/>
          <w:u w:val="single"/>
        </w:rPr>
        <w:t xml:space="preserve">     </w:t>
      </w:r>
      <w:r>
        <w:rPr>
          <w:rFonts w:hint="eastAsia"/>
          <w:color w:val="auto"/>
          <w:u w:val="single"/>
        </w:rPr>
        <w:t xml:space="preserve">                               </w:t>
      </w:r>
    </w:p>
    <w:p>
      <w:pPr>
        <w:pStyle w:val="27"/>
        <w:spacing w:line="360" w:lineRule="auto"/>
        <w:ind w:firstLine="560"/>
        <w:rPr>
          <w:color w:val="auto"/>
          <w:sz w:val="28"/>
          <w:szCs w:val="28"/>
        </w:rPr>
      </w:pPr>
      <w:r>
        <w:rPr>
          <w:rFonts w:hint="eastAsia"/>
          <w:color w:val="auto"/>
        </w:rPr>
        <w:t>日期 ：</w:t>
      </w:r>
      <w:r>
        <w:rPr>
          <w:rFonts w:hint="eastAsia"/>
          <w:color w:val="auto"/>
          <w:u w:val="single"/>
        </w:rPr>
        <w:t xml:space="preserve">   </w:t>
      </w:r>
      <w:r>
        <w:rPr>
          <w:rFonts w:hint="eastAsia"/>
          <w:color w:val="auto"/>
          <w:highlight w:val="yellow"/>
          <w:u w:val="single"/>
        </w:rPr>
        <w:t>写评审的日期</w:t>
      </w:r>
      <w:r>
        <w:rPr>
          <w:rFonts w:hint="eastAsia"/>
          <w:color w:val="auto"/>
          <w:u w:val="single"/>
        </w:rPr>
        <w:t xml:space="preserve">                                         </w:t>
      </w:r>
      <w:r>
        <w:rPr>
          <w:rFonts w:hint="eastAsia"/>
          <w:color w:val="auto"/>
        </w:rPr>
        <w:t xml:space="preserve">  </w:t>
      </w:r>
      <w:r>
        <w:rPr>
          <w:rFonts w:hint="eastAsia"/>
          <w:color w:val="auto"/>
          <w:sz w:val="28"/>
          <w:szCs w:val="28"/>
        </w:rPr>
        <w:t xml:space="preserve">                                      </w:t>
      </w:r>
    </w:p>
    <w:p>
      <w:pPr>
        <w:pStyle w:val="27"/>
        <w:spacing w:line="360" w:lineRule="auto"/>
        <w:ind w:firstLine="360" w:firstLineChars="150"/>
        <w:jc w:val="center"/>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7"/>
        <w:tabs>
          <w:tab w:val="left" w:pos="1050"/>
          <w:tab w:val="center" w:pos="4535"/>
        </w:tabs>
        <w:spacing w:line="360" w:lineRule="auto"/>
        <w:outlineLvl w:val="0"/>
        <w:rPr>
          <w:rFonts w:hint="eastAsia" w:ascii="Times New Roman" w:hAnsi="Times New Roman" w:cs="Times New Roman"/>
          <w:b/>
          <w:bCs/>
          <w:color w:val="auto"/>
          <w:kern w:val="2"/>
          <w:sz w:val="36"/>
          <w:szCs w:val="36"/>
        </w:rPr>
      </w:pPr>
      <w:bookmarkStart w:id="211" w:name="_Toc10212"/>
      <w:bookmarkStart w:id="212" w:name="_Toc32281"/>
    </w:p>
    <w:p>
      <w:pPr>
        <w:pStyle w:val="27"/>
        <w:tabs>
          <w:tab w:val="left" w:pos="1050"/>
          <w:tab w:val="center" w:pos="4535"/>
        </w:tabs>
        <w:spacing w:line="360" w:lineRule="auto"/>
        <w:outlineLvl w:val="0"/>
        <w:rPr>
          <w:rFonts w:hint="eastAsia" w:ascii="Times New Roman" w:hAnsi="Times New Roman" w:cs="Times New Roman"/>
          <w:b/>
          <w:bCs/>
          <w:color w:val="auto"/>
          <w:kern w:val="2"/>
          <w:sz w:val="36"/>
          <w:szCs w:val="36"/>
        </w:rPr>
      </w:pPr>
    </w:p>
    <w:p>
      <w:pPr>
        <w:pStyle w:val="27"/>
        <w:tabs>
          <w:tab w:val="left" w:pos="1050"/>
          <w:tab w:val="center" w:pos="4535"/>
        </w:tabs>
        <w:spacing w:line="360" w:lineRule="auto"/>
        <w:outlineLvl w:val="0"/>
        <w:rPr>
          <w:b/>
          <w:bCs/>
          <w:color w:val="auto"/>
          <w:sz w:val="32"/>
          <w:szCs w:val="32"/>
        </w:rPr>
      </w:pPr>
    </w:p>
    <w:p>
      <w:pPr>
        <w:pStyle w:val="27"/>
        <w:tabs>
          <w:tab w:val="left" w:pos="1050"/>
          <w:tab w:val="center" w:pos="4535"/>
        </w:tabs>
        <w:spacing w:line="360" w:lineRule="auto"/>
        <w:jc w:val="center"/>
        <w:outlineLvl w:val="0"/>
        <w:rPr>
          <w:b/>
          <w:bCs/>
          <w:color w:val="auto"/>
          <w:sz w:val="32"/>
          <w:szCs w:val="32"/>
        </w:rPr>
      </w:pPr>
      <w:r>
        <w:rPr>
          <w:rFonts w:hint="eastAsia"/>
          <w:b/>
          <w:bCs/>
          <w:color w:val="auto"/>
          <w:sz w:val="32"/>
          <w:szCs w:val="32"/>
        </w:rPr>
        <w:t>2020年1月1日以来同类项目经验情况一览表</w:t>
      </w:r>
      <w:bookmarkEnd w:id="198"/>
      <w:bookmarkEnd w:id="199"/>
      <w:bookmarkEnd w:id="211"/>
      <w:bookmarkEnd w:id="212"/>
    </w:p>
    <w:tbl>
      <w:tblPr>
        <w:tblStyle w:val="1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3"/>
        <w:rPr>
          <w:rFonts w:ascii="宋体" w:hAnsi="宋体"/>
          <w:color w:val="auto"/>
          <w:sz w:val="24"/>
        </w:rPr>
      </w:pPr>
    </w:p>
    <w:p>
      <w:pPr>
        <w:pStyle w:val="23"/>
        <w:spacing w:line="360" w:lineRule="auto"/>
        <w:ind w:firstLine="480" w:firstLineChars="200"/>
        <w:outlineLvl w:val="0"/>
        <w:rPr>
          <w:b/>
          <w:bCs/>
          <w:color w:val="auto"/>
          <w:sz w:val="36"/>
          <w:szCs w:val="36"/>
        </w:rPr>
      </w:pPr>
      <w:bookmarkStart w:id="213" w:name="_Toc16613"/>
      <w:bookmarkStart w:id="214" w:name="_Toc6536"/>
      <w:r>
        <w:rPr>
          <w:rFonts w:hint="eastAsia" w:ascii="宋体" w:hAnsi="宋体"/>
          <w:color w:val="auto"/>
          <w:sz w:val="24"/>
        </w:rPr>
        <w:t>注：2020年1月1日至今同类项目的业绩用户名单及证明材料（证明材料需提供合同复印件或</w:t>
      </w:r>
      <w:r>
        <w:rPr>
          <w:rFonts w:hint="eastAsia" w:ascii="宋体" w:hAnsi="宋体"/>
          <w:color w:val="auto"/>
          <w:sz w:val="24"/>
          <w:lang w:val="zh-CN"/>
        </w:rPr>
        <w:t>中标通知书</w:t>
      </w:r>
      <w:r>
        <w:rPr>
          <w:rFonts w:hint="eastAsia" w:ascii="宋体" w:hAnsi="宋体"/>
          <w:color w:val="auto"/>
          <w:sz w:val="24"/>
        </w:rPr>
        <w:t>，并加盖公章）。</w:t>
      </w:r>
      <w:bookmarkEnd w:id="213"/>
      <w:bookmarkEnd w:id="214"/>
    </w:p>
    <w:p>
      <w:pPr>
        <w:pStyle w:val="23"/>
        <w:rPr>
          <w:rFonts w:hint="eastAsia"/>
          <w:b/>
          <w:bCs/>
          <w:color w:val="auto"/>
          <w:sz w:val="36"/>
          <w:szCs w:val="36"/>
        </w:rPr>
      </w:pPr>
    </w:p>
    <w:p>
      <w:pPr>
        <w:pStyle w:val="23"/>
        <w:rPr>
          <w:rFonts w:hint="eastAsia"/>
          <w:b/>
          <w:bCs/>
          <w:color w:val="auto"/>
          <w:sz w:val="36"/>
          <w:szCs w:val="36"/>
        </w:rPr>
      </w:pPr>
    </w:p>
    <w:p>
      <w:pPr>
        <w:pStyle w:val="23"/>
        <w:rPr>
          <w:rFonts w:hint="eastAsia"/>
          <w:b/>
          <w:bCs/>
          <w:color w:val="auto"/>
          <w:sz w:val="36"/>
          <w:szCs w:val="36"/>
        </w:rPr>
      </w:pPr>
    </w:p>
    <w:p>
      <w:pPr>
        <w:pStyle w:val="23"/>
        <w:rPr>
          <w:b/>
          <w:bCs/>
          <w:color w:val="auto"/>
          <w:sz w:val="32"/>
          <w:szCs w:val="32"/>
        </w:rPr>
      </w:pPr>
      <w:r>
        <w:rPr>
          <w:rFonts w:hint="eastAsia"/>
          <w:b/>
          <w:bCs/>
          <w:color w:val="auto"/>
          <w:sz w:val="32"/>
          <w:szCs w:val="32"/>
        </w:rPr>
        <w:t>上述2020年1月1日至今同类业绩项目对应的客户评价</w:t>
      </w:r>
    </w:p>
    <w:p>
      <w:pPr>
        <w:pStyle w:val="23"/>
        <w:ind w:firstLine="3614" w:firstLineChars="1000"/>
        <w:rPr>
          <w:b/>
          <w:bCs/>
          <w:color w:val="auto"/>
          <w:sz w:val="36"/>
          <w:szCs w:val="36"/>
        </w:rPr>
      </w:pPr>
    </w:p>
    <w:p>
      <w:pPr>
        <w:pStyle w:val="23"/>
        <w:ind w:firstLine="3614" w:firstLineChars="1000"/>
        <w:rPr>
          <w:b/>
          <w:bCs/>
          <w:color w:val="auto"/>
          <w:sz w:val="36"/>
          <w:szCs w:val="36"/>
        </w:rPr>
      </w:pPr>
    </w:p>
    <w:p>
      <w:pPr>
        <w:pStyle w:val="23"/>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headerReference r:id="rId10" w:type="default"/>
          <w:footerReference r:id="rId11" w:type="default"/>
          <w:pgSz w:w="11906" w:h="16838"/>
          <w:pgMar w:top="1440" w:right="1134" w:bottom="1440" w:left="1134" w:header="851" w:footer="992" w:gutter="0"/>
          <w:cols w:space="720" w:num="1"/>
          <w:docGrid w:linePitch="312" w:charSpace="0"/>
        </w:sectPr>
      </w:pPr>
      <w:bookmarkStart w:id="215" w:name="_Toc16505"/>
      <w:bookmarkStart w:id="216" w:name="_Toc27180"/>
      <w:bookmarkStart w:id="217" w:name="_Toc40346385"/>
      <w:bookmarkStart w:id="218" w:name="_Toc40776119"/>
      <w:bookmarkStart w:id="219" w:name="_Toc9749"/>
      <w:bookmarkStart w:id="220" w:name="_Toc30558"/>
      <w:bookmarkStart w:id="221" w:name="_Toc20164"/>
      <w:bookmarkStart w:id="222" w:name="_Toc24877"/>
      <w:bookmarkStart w:id="223" w:name="_Toc40346226"/>
      <w:bookmarkStart w:id="224" w:name="_Toc23732"/>
      <w:bookmarkStart w:id="225" w:name="_Toc17929"/>
      <w:bookmarkStart w:id="226" w:name="_Toc21435"/>
    </w:p>
    <w:bookmarkEnd w:id="215"/>
    <w:bookmarkEnd w:id="216"/>
    <w:bookmarkEnd w:id="217"/>
    <w:bookmarkEnd w:id="218"/>
    <w:bookmarkEnd w:id="219"/>
    <w:bookmarkEnd w:id="220"/>
    <w:bookmarkEnd w:id="221"/>
    <w:bookmarkEnd w:id="222"/>
    <w:bookmarkEnd w:id="223"/>
    <w:bookmarkEnd w:id="224"/>
    <w:bookmarkEnd w:id="225"/>
    <w:bookmarkEnd w:id="226"/>
    <w:p>
      <w:pPr>
        <w:pStyle w:val="27"/>
        <w:spacing w:line="360" w:lineRule="auto"/>
        <w:jc w:val="center"/>
        <w:outlineLvl w:val="0"/>
        <w:rPr>
          <w:b/>
          <w:bCs/>
          <w:color w:val="auto"/>
          <w:sz w:val="32"/>
          <w:szCs w:val="32"/>
        </w:rPr>
      </w:pPr>
      <w:bookmarkStart w:id="227" w:name="_Toc24705"/>
      <w:bookmarkStart w:id="228" w:name="_Toc1521"/>
      <w:bookmarkStart w:id="229" w:name="_Toc14093"/>
      <w:bookmarkStart w:id="230" w:name="_Toc2196"/>
      <w:bookmarkStart w:id="231" w:name="_Toc19803"/>
      <w:bookmarkStart w:id="232" w:name="_Toc14321"/>
      <w:bookmarkStart w:id="233" w:name="_Toc16816"/>
      <w:bookmarkStart w:id="234" w:name="_Toc25012"/>
      <w:bookmarkStart w:id="235" w:name="_Toc27834"/>
      <w:bookmarkStart w:id="236" w:name="_Toc5396"/>
      <w:bookmarkStart w:id="237" w:name="_Toc17932"/>
      <w:r>
        <w:rPr>
          <w:rFonts w:hint="eastAsia"/>
          <w:b/>
          <w:bCs/>
          <w:color w:val="auto"/>
          <w:sz w:val="32"/>
          <w:szCs w:val="32"/>
        </w:rPr>
        <w:t>公平竞争承诺书</w:t>
      </w:r>
      <w:bookmarkEnd w:id="227"/>
      <w:bookmarkEnd w:id="228"/>
      <w:bookmarkEnd w:id="229"/>
      <w:bookmarkEnd w:id="230"/>
      <w:bookmarkEnd w:id="231"/>
      <w:bookmarkEnd w:id="232"/>
      <w:bookmarkEnd w:id="233"/>
      <w:bookmarkEnd w:id="234"/>
      <w:bookmarkEnd w:id="235"/>
      <w:bookmarkEnd w:id="236"/>
      <w:bookmarkEnd w:id="237"/>
    </w:p>
    <w:p>
      <w:pPr>
        <w:spacing w:line="360" w:lineRule="auto"/>
        <w:ind w:firstLine="560" w:firstLineChars="200"/>
        <w:rPr>
          <w:color w:val="auto"/>
          <w:sz w:val="28"/>
          <w:szCs w:val="28"/>
        </w:rPr>
      </w:pPr>
    </w:p>
    <w:p>
      <w:pPr>
        <w:spacing w:line="600" w:lineRule="auto"/>
        <w:ind w:firstLine="480" w:firstLineChars="200"/>
        <w:rPr>
          <w:color w:val="auto"/>
          <w:sz w:val="24"/>
        </w:rPr>
      </w:pPr>
      <w:r>
        <w:rPr>
          <w:color w:val="auto"/>
          <w:sz w:val="24"/>
        </w:rPr>
        <w:t>本公司郑重承诺：本公司保证所提交的相关资质文件和证明材料的真实性，有良好的历史诚信记录，并将依法参与</w:t>
      </w:r>
      <w:r>
        <w:rPr>
          <w:color w:val="auto"/>
          <w:sz w:val="24"/>
          <w:u w:val="single"/>
        </w:rPr>
        <w:t xml:space="preserve"> </w:t>
      </w:r>
      <w:r>
        <w:rPr>
          <w:rFonts w:hint="eastAsia"/>
          <w:color w:val="auto"/>
          <w:sz w:val="24"/>
          <w:u w:val="single"/>
        </w:rPr>
        <w:t xml:space="preserve">    </w:t>
      </w:r>
      <w:r>
        <w:rPr>
          <w:rFonts w:hint="eastAsia"/>
          <w:b/>
          <w:color w:val="auto"/>
          <w:sz w:val="24"/>
          <w:u w:val="single"/>
        </w:rPr>
        <w:t xml:space="preserve">  </w:t>
      </w:r>
      <w:r>
        <w:rPr>
          <w:b/>
          <w:color w:val="auto"/>
          <w:sz w:val="24"/>
          <w:u w:val="single"/>
        </w:rPr>
        <w:t>项目名称</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rFonts w:hint="eastAsia"/>
          <w:b/>
          <w:color w:val="auto"/>
          <w:sz w:val="24"/>
          <w:u w:val="single"/>
        </w:rPr>
        <w:t xml:space="preserve"> </w:t>
      </w:r>
      <w:r>
        <w:rPr>
          <w:b/>
          <w:color w:val="auto"/>
          <w:sz w:val="24"/>
          <w:u w:val="single"/>
        </w:rPr>
        <w:t xml:space="preserve">项目编号  </w:t>
      </w:r>
      <w:r>
        <w:rPr>
          <w:color w:val="auto"/>
          <w:sz w:val="24"/>
          <w:u w:val="single"/>
        </w:rPr>
        <w:t xml:space="preserve">         </w:t>
      </w:r>
      <w:r>
        <w:rPr>
          <w:color w:val="auto"/>
          <w:sz w:val="24"/>
        </w:rPr>
        <w:t xml:space="preserve">的公平竞争，不以任何不正当行为谋取不当利益，否则承担相应的法律责任。  </w:t>
      </w:r>
    </w:p>
    <w:p>
      <w:pPr>
        <w:spacing w:line="600" w:lineRule="auto"/>
        <w:rPr>
          <w:b/>
          <w:color w:val="auto"/>
          <w:sz w:val="24"/>
        </w:rPr>
      </w:pPr>
    </w:p>
    <w:p>
      <w:pPr>
        <w:spacing w:line="600" w:lineRule="auto"/>
        <w:rPr>
          <w:b/>
          <w:color w:val="auto"/>
          <w:sz w:val="24"/>
        </w:rPr>
      </w:pPr>
    </w:p>
    <w:p>
      <w:pPr>
        <w:spacing w:line="600" w:lineRule="auto"/>
        <w:rPr>
          <w:b/>
          <w:color w:val="auto"/>
          <w:sz w:val="24"/>
        </w:rPr>
      </w:pPr>
    </w:p>
    <w:p>
      <w:pPr>
        <w:spacing w:line="600" w:lineRule="auto"/>
        <w:rPr>
          <w:b/>
          <w:color w:val="auto"/>
          <w:sz w:val="24"/>
        </w:rPr>
      </w:pPr>
    </w:p>
    <w:p>
      <w:pPr>
        <w:spacing w:line="600" w:lineRule="auto"/>
        <w:rPr>
          <w:b/>
          <w:color w:val="auto"/>
          <w:sz w:val="24"/>
        </w:rPr>
      </w:pPr>
    </w:p>
    <w:p>
      <w:pPr>
        <w:spacing w:line="600" w:lineRule="auto"/>
        <w:ind w:firstLine="482" w:firstLineChars="200"/>
        <w:rPr>
          <w:rFonts w:hint="eastAsia"/>
          <w:b/>
          <w:color w:val="auto"/>
          <w:sz w:val="24"/>
        </w:rPr>
      </w:pPr>
      <w:r>
        <w:rPr>
          <w:b/>
          <w:color w:val="auto"/>
          <w:sz w:val="24"/>
        </w:rPr>
        <w:t xml:space="preserve">                  </w:t>
      </w:r>
      <w:r>
        <w:rPr>
          <w:rFonts w:hint="eastAsia"/>
          <w:color w:val="auto"/>
          <w:sz w:val="24"/>
        </w:rPr>
        <w:t>供应商法定代表人或授权代表签字（签章）：</w:t>
      </w:r>
    </w:p>
    <w:p>
      <w:pPr>
        <w:spacing w:line="600" w:lineRule="auto"/>
        <w:ind w:firstLine="2640" w:firstLineChars="1100"/>
        <w:rPr>
          <w:rFonts w:hint="eastAsia"/>
          <w:color w:val="auto"/>
          <w:sz w:val="24"/>
        </w:rPr>
      </w:pPr>
    </w:p>
    <w:p>
      <w:pPr>
        <w:spacing w:line="600" w:lineRule="auto"/>
        <w:ind w:firstLine="2640" w:firstLineChars="1100"/>
        <w:rPr>
          <w:color w:val="auto"/>
          <w:sz w:val="24"/>
        </w:rPr>
      </w:pPr>
      <w:r>
        <w:rPr>
          <w:rFonts w:hint="eastAsia"/>
          <w:color w:val="auto"/>
          <w:sz w:val="24"/>
        </w:rPr>
        <w:t>供应商名称（加盖公章）：</w:t>
      </w:r>
    </w:p>
    <w:p>
      <w:pPr>
        <w:spacing w:line="600" w:lineRule="auto"/>
        <w:ind w:firstLine="4080" w:firstLineChars="1700"/>
        <w:rPr>
          <w:rFonts w:hint="eastAsia"/>
          <w:color w:val="auto"/>
          <w:sz w:val="24"/>
        </w:rPr>
      </w:pPr>
    </w:p>
    <w:p>
      <w:pPr>
        <w:spacing w:line="600" w:lineRule="auto"/>
        <w:ind w:firstLine="4560" w:firstLineChars="1900"/>
        <w:rPr>
          <w:color w:val="auto"/>
          <w:sz w:val="24"/>
        </w:rPr>
      </w:pPr>
      <w:r>
        <w:rPr>
          <w:rFonts w:hint="eastAsia"/>
          <w:color w:val="auto"/>
          <w:sz w:val="24"/>
        </w:rPr>
        <w:t>日期</w:t>
      </w:r>
      <w:r>
        <w:rPr>
          <w:color w:val="auto"/>
          <w:sz w:val="24"/>
        </w:rPr>
        <w:t>：  年    月   日</w:t>
      </w:r>
    </w:p>
    <w:p>
      <w:pPr>
        <w:pStyle w:val="24"/>
        <w:spacing w:line="600" w:lineRule="auto"/>
        <w:rPr>
          <w:color w:val="auto"/>
          <w:sz w:val="24"/>
        </w:rPr>
      </w:pPr>
    </w:p>
    <w:p>
      <w:pPr>
        <w:pStyle w:val="24"/>
        <w:spacing w:line="600" w:lineRule="auto"/>
        <w:rPr>
          <w:color w:val="auto"/>
          <w:sz w:val="24"/>
        </w:rPr>
      </w:pPr>
    </w:p>
    <w:p>
      <w:pPr>
        <w:pStyle w:val="24"/>
        <w:rPr>
          <w:color w:val="auto"/>
          <w:sz w:val="24"/>
        </w:rPr>
      </w:pPr>
    </w:p>
    <w:p>
      <w:pPr>
        <w:pStyle w:val="24"/>
        <w:rPr>
          <w:color w:val="auto"/>
          <w:sz w:val="24"/>
        </w:rPr>
      </w:pPr>
    </w:p>
    <w:p>
      <w:pPr>
        <w:pStyle w:val="24"/>
        <w:rPr>
          <w:color w:val="auto"/>
          <w:sz w:val="24"/>
        </w:rPr>
      </w:pPr>
    </w:p>
    <w:p>
      <w:pPr>
        <w:pStyle w:val="27"/>
        <w:spacing w:line="360" w:lineRule="auto"/>
        <w:ind w:firstLine="2731" w:firstLineChars="850"/>
        <w:outlineLvl w:val="0"/>
        <w:rPr>
          <w:b/>
          <w:bCs/>
          <w:color w:val="auto"/>
          <w:sz w:val="32"/>
          <w:szCs w:val="32"/>
        </w:rPr>
      </w:pPr>
      <w:bookmarkStart w:id="238" w:name="_Toc6773"/>
      <w:bookmarkStart w:id="239" w:name="_Toc22349"/>
      <w:bookmarkStart w:id="240" w:name="_Toc9813"/>
      <w:bookmarkStart w:id="241" w:name="_Toc4538"/>
      <w:bookmarkStart w:id="242" w:name="_Toc29986"/>
      <w:bookmarkStart w:id="243" w:name="_Toc9308"/>
      <w:bookmarkStart w:id="244" w:name="_Toc12986"/>
      <w:bookmarkStart w:id="245" w:name="_Toc5237"/>
      <w:bookmarkStart w:id="246" w:name="_Toc12567"/>
      <w:bookmarkStart w:id="247" w:name="_Toc20949"/>
      <w:bookmarkStart w:id="248" w:name="_Toc9085"/>
      <w:r>
        <w:rPr>
          <w:rFonts w:hint="eastAsia"/>
          <w:b/>
          <w:bCs/>
          <w:color w:val="auto"/>
          <w:sz w:val="32"/>
          <w:szCs w:val="32"/>
        </w:rPr>
        <w:t>关于资格和响应文件的声明函</w:t>
      </w:r>
      <w:bookmarkEnd w:id="238"/>
      <w:bookmarkEnd w:id="239"/>
      <w:bookmarkEnd w:id="240"/>
      <w:bookmarkEnd w:id="241"/>
      <w:bookmarkEnd w:id="242"/>
      <w:bookmarkEnd w:id="243"/>
      <w:bookmarkEnd w:id="244"/>
      <w:bookmarkEnd w:id="245"/>
      <w:bookmarkEnd w:id="246"/>
      <w:bookmarkEnd w:id="247"/>
      <w:bookmarkEnd w:id="248"/>
    </w:p>
    <w:p>
      <w:pPr>
        <w:spacing w:line="276" w:lineRule="auto"/>
        <w:rPr>
          <w:rFonts w:ascii="宋体" w:hAnsi="宋体"/>
          <w:color w:val="auto"/>
          <w:sz w:val="24"/>
        </w:rPr>
      </w:pPr>
      <w:r>
        <w:rPr>
          <w:rFonts w:hint="eastAsia" w:ascii="宋体" w:hAnsi="宋体"/>
          <w:color w:val="auto"/>
          <w:sz w:val="24"/>
        </w:rPr>
        <w:t>致：南方医科大学第五附属医院</w:t>
      </w:r>
    </w:p>
    <w:p>
      <w:pPr>
        <w:spacing w:line="276" w:lineRule="auto"/>
        <w:ind w:firstLine="480" w:firstLineChars="200"/>
        <w:rPr>
          <w:rFonts w:ascii="宋体" w:hAnsi="宋体"/>
          <w:color w:val="auto"/>
          <w:sz w:val="24"/>
        </w:rPr>
      </w:pPr>
      <w:r>
        <w:rPr>
          <w:rFonts w:hint="eastAsia" w:ascii="宋体" w:hAnsi="宋体"/>
          <w:color w:val="auto"/>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rPr>
      </w:pPr>
      <w:r>
        <w:rPr>
          <w:rFonts w:hint="eastAsia" w:ascii="宋体" w:hAnsi="宋体"/>
          <w:color w:val="auto"/>
          <w:sz w:val="24"/>
        </w:rPr>
        <w:t>1.我方具有独立承担民事责任的能力；</w:t>
      </w:r>
    </w:p>
    <w:p>
      <w:pPr>
        <w:spacing w:line="276" w:lineRule="auto"/>
        <w:rPr>
          <w:rFonts w:ascii="宋体" w:hAnsi="宋体"/>
          <w:color w:val="auto"/>
          <w:sz w:val="24"/>
        </w:rPr>
      </w:pPr>
      <w:r>
        <w:rPr>
          <w:rFonts w:hint="eastAsia" w:ascii="宋体" w:hAnsi="宋体"/>
          <w:color w:val="auto"/>
          <w:sz w:val="24"/>
        </w:rPr>
        <w:t>2.我方具有良好的商业信誉和健全的财务会计制度；</w:t>
      </w:r>
    </w:p>
    <w:p>
      <w:pPr>
        <w:spacing w:line="276" w:lineRule="auto"/>
        <w:rPr>
          <w:rFonts w:ascii="宋体" w:hAnsi="宋体"/>
          <w:color w:val="auto"/>
          <w:sz w:val="24"/>
        </w:rPr>
      </w:pPr>
      <w:r>
        <w:rPr>
          <w:rFonts w:hint="eastAsia" w:ascii="宋体" w:hAnsi="宋体"/>
          <w:color w:val="auto"/>
          <w:sz w:val="24"/>
        </w:rPr>
        <w:t>3.我方有依法缴纳税收和社会保障资金的良好记录；</w:t>
      </w:r>
    </w:p>
    <w:p>
      <w:pPr>
        <w:spacing w:line="276" w:lineRule="auto"/>
        <w:rPr>
          <w:rFonts w:ascii="宋体" w:hAnsi="宋体"/>
          <w:color w:val="auto"/>
          <w:sz w:val="24"/>
        </w:rPr>
      </w:pPr>
      <w:r>
        <w:rPr>
          <w:rFonts w:hint="eastAsia" w:ascii="宋体" w:hAnsi="宋体"/>
          <w:color w:val="auto"/>
          <w:sz w:val="24"/>
        </w:rPr>
        <w:t>4.我方具有履行合同所必需的设备和专业技术能力；</w:t>
      </w:r>
    </w:p>
    <w:p>
      <w:pPr>
        <w:spacing w:line="276" w:lineRule="auto"/>
        <w:rPr>
          <w:rFonts w:ascii="宋体" w:hAnsi="宋体"/>
          <w:color w:val="auto"/>
          <w:sz w:val="24"/>
        </w:rPr>
      </w:pPr>
      <w:r>
        <w:rPr>
          <w:rFonts w:hint="eastAsia" w:ascii="宋体" w:hAnsi="宋体"/>
          <w:color w:val="auto"/>
          <w:sz w:val="24"/>
        </w:rPr>
        <w:t>5.我方不存在以下情况：以联合体形式参加本项目院内采购活动；</w:t>
      </w:r>
    </w:p>
    <w:p>
      <w:pPr>
        <w:pStyle w:val="7"/>
        <w:rPr>
          <w:color w:val="auto"/>
        </w:rPr>
      </w:pPr>
      <w:r>
        <w:rPr>
          <w:rFonts w:hint="eastAsia" w:ascii="宋体" w:hAnsi="宋体"/>
          <w:color w:val="auto"/>
          <w:sz w:val="24"/>
        </w:rPr>
        <w:t>6.我方不存在以下情况：以分包、转包形式参加本项目院内采购活动；</w:t>
      </w:r>
    </w:p>
    <w:p>
      <w:pPr>
        <w:spacing w:line="276" w:lineRule="auto"/>
        <w:rPr>
          <w:rFonts w:ascii="宋体" w:hAnsi="宋体"/>
          <w:color w:val="auto"/>
          <w:sz w:val="24"/>
        </w:rPr>
      </w:pPr>
      <w:r>
        <w:rPr>
          <w:rFonts w:hint="eastAsia" w:ascii="宋体" w:hAnsi="宋体"/>
          <w:color w:val="auto"/>
          <w:sz w:val="24"/>
        </w:rPr>
        <w:t>7.我方在参加政府采购活动前3年内在经营活动中没有重大违法、违规及刑事犯罪记录；</w:t>
      </w:r>
    </w:p>
    <w:p>
      <w:pPr>
        <w:spacing w:line="276" w:lineRule="auto"/>
        <w:rPr>
          <w:rFonts w:ascii="宋体" w:hAnsi="宋体"/>
          <w:color w:val="auto"/>
          <w:sz w:val="24"/>
        </w:rPr>
      </w:pPr>
      <w:r>
        <w:rPr>
          <w:rFonts w:hint="eastAsia" w:ascii="宋体" w:hAnsi="宋体"/>
          <w:color w:val="auto"/>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rPr>
      </w:pPr>
      <w:r>
        <w:rPr>
          <w:rFonts w:hint="eastAsia" w:ascii="宋体" w:hAnsi="宋体"/>
          <w:color w:val="auto"/>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rPr>
      </w:pPr>
      <w:r>
        <w:rPr>
          <w:rFonts w:hint="eastAsia" w:ascii="宋体" w:hAnsi="宋体"/>
          <w:color w:val="auto"/>
          <w:sz w:val="24"/>
        </w:rPr>
        <w:t>10.我方为本次磋商所提交的所有证明其合格和资格的文件是真实的和正确的，并愿为其真实性和正确性承担法律责任。</w:t>
      </w:r>
    </w:p>
    <w:p>
      <w:pPr>
        <w:pStyle w:val="7"/>
        <w:rPr>
          <w:color w:val="auto"/>
        </w:rPr>
      </w:pPr>
    </w:p>
    <w:p>
      <w:pPr>
        <w:spacing w:line="276" w:lineRule="auto"/>
        <w:rPr>
          <w:rFonts w:ascii="宋体" w:hAnsi="宋体"/>
          <w:color w:val="auto"/>
          <w:sz w:val="24"/>
        </w:rPr>
      </w:pPr>
    </w:p>
    <w:p>
      <w:pPr>
        <w:spacing w:line="276" w:lineRule="auto"/>
        <w:rPr>
          <w:rFonts w:ascii="宋体" w:hAnsi="宋体"/>
          <w:color w:val="auto"/>
          <w:sz w:val="24"/>
        </w:rPr>
      </w:pPr>
      <w:r>
        <w:rPr>
          <w:rFonts w:hint="eastAsia" w:ascii="宋体" w:hAnsi="宋体"/>
          <w:color w:val="auto"/>
          <w:sz w:val="24"/>
        </w:rPr>
        <w:t>如有违法、违规、弄虚作假行为，所造成的损失、不良后果及法律责任，一律由我方承担。</w:t>
      </w:r>
    </w:p>
    <w:p>
      <w:pPr>
        <w:spacing w:line="276" w:lineRule="auto"/>
        <w:rPr>
          <w:rFonts w:ascii="宋体" w:hAnsi="宋体"/>
          <w:color w:val="auto"/>
          <w:sz w:val="24"/>
        </w:rPr>
      </w:pPr>
      <w:r>
        <w:rPr>
          <w:rFonts w:hint="eastAsia" w:ascii="宋体" w:hAnsi="宋体"/>
          <w:color w:val="auto"/>
          <w:sz w:val="24"/>
        </w:rPr>
        <w:t>特此声明！</w:t>
      </w:r>
    </w:p>
    <w:p>
      <w:pPr>
        <w:spacing w:line="276" w:lineRule="auto"/>
        <w:rPr>
          <w:rFonts w:ascii="宋体" w:hAnsi="宋体"/>
          <w:color w:val="auto"/>
          <w:sz w:val="24"/>
        </w:rPr>
      </w:pPr>
    </w:p>
    <w:p>
      <w:pPr>
        <w:spacing w:line="360" w:lineRule="auto"/>
        <w:rPr>
          <w:rFonts w:ascii="宋体" w:hAnsi="宋体"/>
          <w:color w:val="auto"/>
          <w:sz w:val="24"/>
        </w:rPr>
      </w:pPr>
    </w:p>
    <w:p>
      <w:pPr>
        <w:spacing w:line="360" w:lineRule="auto"/>
        <w:jc w:val="left"/>
        <w:rPr>
          <w:rFonts w:ascii="宋体" w:hAnsi="宋体"/>
          <w:color w:val="auto"/>
          <w:sz w:val="24"/>
        </w:rPr>
      </w:pPr>
      <w:r>
        <w:rPr>
          <w:rFonts w:hint="eastAsia" w:ascii="宋体" w:hAnsi="宋体"/>
          <w:color w:val="auto"/>
          <w:sz w:val="24"/>
        </w:rPr>
        <w:t>供应商名称（盖章）：</w:t>
      </w:r>
    </w:p>
    <w:p>
      <w:pPr>
        <w:pStyle w:val="23"/>
        <w:jc w:val="left"/>
        <w:rPr>
          <w:color w:val="auto"/>
        </w:rPr>
      </w:pPr>
    </w:p>
    <w:p>
      <w:pPr>
        <w:spacing w:line="360" w:lineRule="auto"/>
        <w:jc w:val="left"/>
        <w:rPr>
          <w:rFonts w:ascii="宋体" w:hAnsi="宋体"/>
          <w:color w:val="auto"/>
          <w:sz w:val="24"/>
        </w:rPr>
      </w:pPr>
      <w:r>
        <w:rPr>
          <w:rFonts w:hint="eastAsia" w:ascii="宋体" w:hAnsi="宋体"/>
          <w:color w:val="auto"/>
          <w:sz w:val="24"/>
        </w:rPr>
        <w:t>供应商法定代表人（或法定代表人授权代表）（签字或盖章）：</w:t>
      </w:r>
    </w:p>
    <w:p>
      <w:pPr>
        <w:pStyle w:val="23"/>
        <w:jc w:val="left"/>
        <w:rPr>
          <w:color w:val="auto"/>
        </w:rPr>
      </w:pPr>
    </w:p>
    <w:p>
      <w:pPr>
        <w:spacing w:line="360" w:lineRule="auto"/>
        <w:jc w:val="left"/>
        <w:rPr>
          <w:rFonts w:ascii="宋体" w:hAnsi="宋体"/>
          <w:color w:val="auto"/>
          <w:sz w:val="24"/>
        </w:rPr>
      </w:pPr>
      <w:r>
        <w:rPr>
          <w:rFonts w:hint="eastAsia" w:ascii="宋体" w:hAnsi="宋体"/>
          <w:color w:val="auto"/>
          <w:sz w:val="24"/>
        </w:rPr>
        <w:t>日期：　　年　  月　  日</w:t>
      </w: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rPr>
          <w:color w:val="auto"/>
        </w:rPr>
      </w:pPr>
    </w:p>
    <w:p>
      <w:pPr>
        <w:pStyle w:val="3"/>
        <w:numPr>
          <w:ilvl w:val="0"/>
          <w:numId w:val="6"/>
        </w:numPr>
        <w:jc w:val="center"/>
        <w:rPr>
          <w:rFonts w:ascii="宋体" w:hAnsi="宋体" w:eastAsia="宋体"/>
          <w:color w:val="auto"/>
          <w:sz w:val="40"/>
        </w:rPr>
      </w:pPr>
      <w:r>
        <w:rPr>
          <w:rFonts w:hint="eastAsia" w:ascii="宋体" w:hAnsi="宋体" w:eastAsia="宋体"/>
          <w:color w:val="auto"/>
          <w:sz w:val="40"/>
        </w:rPr>
        <w:t xml:space="preserve"> </w:t>
      </w:r>
      <w:bookmarkStart w:id="249" w:name="_Toc17933"/>
      <w:r>
        <w:rPr>
          <w:rFonts w:hint="eastAsia" w:ascii="宋体" w:hAnsi="宋体" w:eastAsia="宋体"/>
          <w:color w:val="auto"/>
          <w:sz w:val="40"/>
        </w:rPr>
        <w:t>合同模板</w:t>
      </w:r>
      <w:bookmarkEnd w:id="249"/>
      <w:r>
        <w:rPr>
          <w:rFonts w:hint="eastAsia" w:ascii="宋体" w:hAnsi="宋体" w:eastAsia="宋体"/>
          <w:color w:val="auto"/>
          <w:sz w:val="40"/>
        </w:rPr>
        <w:t>（成功报名后获取）</w:t>
      </w:r>
    </w:p>
    <w:p>
      <w:pPr>
        <w:rPr>
          <w:color w:val="auto"/>
        </w:rPr>
      </w:pPr>
    </w:p>
    <w:p>
      <w:pPr>
        <w:pStyle w:val="23"/>
        <w:rPr>
          <w:color w:val="auto"/>
        </w:rPr>
      </w:pPr>
    </w:p>
    <w:p>
      <w:pPr>
        <w:pStyle w:val="23"/>
        <w:rPr>
          <w:color w:val="auto"/>
        </w:rPr>
      </w:pPr>
    </w:p>
    <w:sectPr>
      <w:headerReference r:id="rId12" w:type="default"/>
      <w:foot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rPr>
                            <w:t>23</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rPr>
                      <w:t>23</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rPr>
                            <w:t>16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rPr>
                      <w:t>16</w:t>
                    </w:r>
                    <w:r>
                      <w:t>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23</w:t>
                          </w:r>
                          <w:r>
                            <w:fldChar w:fldCharType="end"/>
                          </w:r>
                          <w:r>
                            <w:t xml:space="preserve"> 页 </w:t>
                          </w:r>
                          <w:r>
                            <w:rPr>
                              <w:rFonts w:hint="eastAsia"/>
                            </w:rPr>
                            <w:t>23</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23</w:t>
                    </w:r>
                    <w:r>
                      <w:fldChar w:fldCharType="end"/>
                    </w:r>
                    <w:r>
                      <w:t xml:space="preserve"> 页 </w:t>
                    </w:r>
                    <w:r>
                      <w:rPr>
                        <w:rFonts w:hint="eastAsia"/>
                      </w:rPr>
                      <w:t>23</w:t>
                    </w:r>
                    <w:r>
                      <w:t>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DD80"/>
    <w:multiLevelType w:val="singleLevel"/>
    <w:tmpl w:val="A295DD80"/>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360F81B7"/>
    <w:multiLevelType w:val="singleLevel"/>
    <w:tmpl w:val="360F81B7"/>
    <w:lvl w:ilvl="0" w:tentative="0">
      <w:start w:val="6"/>
      <w:numFmt w:val="decimal"/>
      <w:suff w:val="nothing"/>
      <w:lvlText w:val="%1．"/>
      <w:lvlJc w:val="left"/>
    </w:lvl>
  </w:abstractNum>
  <w:abstractNum w:abstractNumId="4">
    <w:nsid w:val="44F003B9"/>
    <w:multiLevelType w:val="singleLevel"/>
    <w:tmpl w:val="44F003B9"/>
    <w:lvl w:ilvl="0" w:tentative="0">
      <w:start w:val="12"/>
      <w:numFmt w:val="decimal"/>
      <w:suff w:val="space"/>
      <w:lvlText w:val="%1."/>
      <w:lvlJc w:val="left"/>
    </w:lvl>
  </w:abstractNum>
  <w:abstractNum w:abstractNumId="5">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3E2B"/>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27DDC"/>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3F67F0"/>
    <w:rsid w:val="00402921"/>
    <w:rsid w:val="00404B88"/>
    <w:rsid w:val="00404F3F"/>
    <w:rsid w:val="00411144"/>
    <w:rsid w:val="0041662E"/>
    <w:rsid w:val="00421FB7"/>
    <w:rsid w:val="004301E2"/>
    <w:rsid w:val="0043178B"/>
    <w:rsid w:val="004570F3"/>
    <w:rsid w:val="00463837"/>
    <w:rsid w:val="00471383"/>
    <w:rsid w:val="00477556"/>
    <w:rsid w:val="00477793"/>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6F73"/>
    <w:rsid w:val="006D0911"/>
    <w:rsid w:val="006D2900"/>
    <w:rsid w:val="006D47A0"/>
    <w:rsid w:val="006D5A2D"/>
    <w:rsid w:val="006E057B"/>
    <w:rsid w:val="006F5BBA"/>
    <w:rsid w:val="00710C3F"/>
    <w:rsid w:val="00712767"/>
    <w:rsid w:val="00712FA1"/>
    <w:rsid w:val="0071664F"/>
    <w:rsid w:val="0073014A"/>
    <w:rsid w:val="00734910"/>
    <w:rsid w:val="00741D79"/>
    <w:rsid w:val="00745223"/>
    <w:rsid w:val="00760968"/>
    <w:rsid w:val="00762AAB"/>
    <w:rsid w:val="00764545"/>
    <w:rsid w:val="00764E97"/>
    <w:rsid w:val="00795F20"/>
    <w:rsid w:val="007977A3"/>
    <w:rsid w:val="007A2145"/>
    <w:rsid w:val="007A7445"/>
    <w:rsid w:val="007B0F43"/>
    <w:rsid w:val="007C3EE9"/>
    <w:rsid w:val="007D7E0F"/>
    <w:rsid w:val="007E19C6"/>
    <w:rsid w:val="007E3CE7"/>
    <w:rsid w:val="007F43CF"/>
    <w:rsid w:val="007F64C6"/>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82A66"/>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C67F9"/>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18C9"/>
    <w:rsid w:val="00CB68D8"/>
    <w:rsid w:val="00CE5284"/>
    <w:rsid w:val="00CE594A"/>
    <w:rsid w:val="00CE5CBB"/>
    <w:rsid w:val="00D10CF5"/>
    <w:rsid w:val="00D1194C"/>
    <w:rsid w:val="00D13622"/>
    <w:rsid w:val="00D15917"/>
    <w:rsid w:val="00D25B84"/>
    <w:rsid w:val="00D32D57"/>
    <w:rsid w:val="00D331D1"/>
    <w:rsid w:val="00D34D4F"/>
    <w:rsid w:val="00D57F96"/>
    <w:rsid w:val="00D7253F"/>
    <w:rsid w:val="00D857CC"/>
    <w:rsid w:val="00D914DD"/>
    <w:rsid w:val="00DC141D"/>
    <w:rsid w:val="00DC3B2E"/>
    <w:rsid w:val="00DD130B"/>
    <w:rsid w:val="00DE0195"/>
    <w:rsid w:val="00DF0AC4"/>
    <w:rsid w:val="00E10F3F"/>
    <w:rsid w:val="00E172C1"/>
    <w:rsid w:val="00E17E29"/>
    <w:rsid w:val="00E25C66"/>
    <w:rsid w:val="00E2604C"/>
    <w:rsid w:val="00E426B7"/>
    <w:rsid w:val="00E50543"/>
    <w:rsid w:val="00E535C8"/>
    <w:rsid w:val="00E601B2"/>
    <w:rsid w:val="00E605CA"/>
    <w:rsid w:val="00E62699"/>
    <w:rsid w:val="00E80372"/>
    <w:rsid w:val="00E81A6E"/>
    <w:rsid w:val="00EB731A"/>
    <w:rsid w:val="00EC444E"/>
    <w:rsid w:val="00EC774C"/>
    <w:rsid w:val="00ED63A0"/>
    <w:rsid w:val="00EE1612"/>
    <w:rsid w:val="00EF50DB"/>
    <w:rsid w:val="00F06C0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AE423C"/>
    <w:rsid w:val="022C392D"/>
    <w:rsid w:val="02466545"/>
    <w:rsid w:val="030F42DA"/>
    <w:rsid w:val="034404CF"/>
    <w:rsid w:val="035A45AA"/>
    <w:rsid w:val="03963293"/>
    <w:rsid w:val="039B179B"/>
    <w:rsid w:val="03FA0A11"/>
    <w:rsid w:val="046409BC"/>
    <w:rsid w:val="046D7404"/>
    <w:rsid w:val="04E57AC0"/>
    <w:rsid w:val="04EE7118"/>
    <w:rsid w:val="04F05F8E"/>
    <w:rsid w:val="054E169D"/>
    <w:rsid w:val="05907E7A"/>
    <w:rsid w:val="05F1758E"/>
    <w:rsid w:val="05FD0365"/>
    <w:rsid w:val="061159F2"/>
    <w:rsid w:val="06205949"/>
    <w:rsid w:val="066F5ED2"/>
    <w:rsid w:val="072D11D3"/>
    <w:rsid w:val="076D5A5D"/>
    <w:rsid w:val="07862043"/>
    <w:rsid w:val="079C2FAC"/>
    <w:rsid w:val="07ED2710"/>
    <w:rsid w:val="07ED5D2D"/>
    <w:rsid w:val="08A76D63"/>
    <w:rsid w:val="09DC7176"/>
    <w:rsid w:val="0A1311A9"/>
    <w:rsid w:val="0A9C5E28"/>
    <w:rsid w:val="0AA45825"/>
    <w:rsid w:val="0AD51729"/>
    <w:rsid w:val="0ADB6732"/>
    <w:rsid w:val="0B3B3D0D"/>
    <w:rsid w:val="0B862EB3"/>
    <w:rsid w:val="0BCD2048"/>
    <w:rsid w:val="0C0F3A3B"/>
    <w:rsid w:val="0C705246"/>
    <w:rsid w:val="0C777C61"/>
    <w:rsid w:val="0C7F15DD"/>
    <w:rsid w:val="0CAD27D4"/>
    <w:rsid w:val="0D801814"/>
    <w:rsid w:val="0E9F2CA1"/>
    <w:rsid w:val="0EBB3568"/>
    <w:rsid w:val="0ED05230"/>
    <w:rsid w:val="0EE9378D"/>
    <w:rsid w:val="0EF25956"/>
    <w:rsid w:val="0F265CBB"/>
    <w:rsid w:val="0FBD35E2"/>
    <w:rsid w:val="110D6E86"/>
    <w:rsid w:val="114607DF"/>
    <w:rsid w:val="11B73ED3"/>
    <w:rsid w:val="11B77972"/>
    <w:rsid w:val="12795449"/>
    <w:rsid w:val="12B66352"/>
    <w:rsid w:val="12EB2AD0"/>
    <w:rsid w:val="130E73C2"/>
    <w:rsid w:val="136354E7"/>
    <w:rsid w:val="13B34F72"/>
    <w:rsid w:val="13C5192C"/>
    <w:rsid w:val="13D17A83"/>
    <w:rsid w:val="13EC6F8D"/>
    <w:rsid w:val="13F96ED1"/>
    <w:rsid w:val="14331D3D"/>
    <w:rsid w:val="14F6371E"/>
    <w:rsid w:val="14FE07FE"/>
    <w:rsid w:val="151148E8"/>
    <w:rsid w:val="15325191"/>
    <w:rsid w:val="158C2B6D"/>
    <w:rsid w:val="15D22F3B"/>
    <w:rsid w:val="161043B6"/>
    <w:rsid w:val="16133E5E"/>
    <w:rsid w:val="16153F8D"/>
    <w:rsid w:val="164C7363"/>
    <w:rsid w:val="167B40EE"/>
    <w:rsid w:val="17087F4C"/>
    <w:rsid w:val="17562ADF"/>
    <w:rsid w:val="18574301"/>
    <w:rsid w:val="18714DB4"/>
    <w:rsid w:val="18804188"/>
    <w:rsid w:val="1883680C"/>
    <w:rsid w:val="18F7499C"/>
    <w:rsid w:val="19A1106F"/>
    <w:rsid w:val="19AA3408"/>
    <w:rsid w:val="1A772577"/>
    <w:rsid w:val="1A812401"/>
    <w:rsid w:val="1AAC3E94"/>
    <w:rsid w:val="1AC151B4"/>
    <w:rsid w:val="1AE83F68"/>
    <w:rsid w:val="1AF93CE3"/>
    <w:rsid w:val="1B756128"/>
    <w:rsid w:val="1B977D90"/>
    <w:rsid w:val="1BA162CD"/>
    <w:rsid w:val="1BE41B67"/>
    <w:rsid w:val="1CAC7FE6"/>
    <w:rsid w:val="1CEC2934"/>
    <w:rsid w:val="1D497BBF"/>
    <w:rsid w:val="1DE30DB3"/>
    <w:rsid w:val="1E4F22B0"/>
    <w:rsid w:val="1E8F164C"/>
    <w:rsid w:val="1F187406"/>
    <w:rsid w:val="1F3070F5"/>
    <w:rsid w:val="1FD22E68"/>
    <w:rsid w:val="20995391"/>
    <w:rsid w:val="20B81B4B"/>
    <w:rsid w:val="20BA0FF9"/>
    <w:rsid w:val="21282075"/>
    <w:rsid w:val="21981AF8"/>
    <w:rsid w:val="21CF3215"/>
    <w:rsid w:val="21D627A8"/>
    <w:rsid w:val="22A53EBB"/>
    <w:rsid w:val="22F85FBE"/>
    <w:rsid w:val="22FB2B87"/>
    <w:rsid w:val="23AA1602"/>
    <w:rsid w:val="23D90A65"/>
    <w:rsid w:val="249C6C69"/>
    <w:rsid w:val="254A0970"/>
    <w:rsid w:val="255D353C"/>
    <w:rsid w:val="25673FA5"/>
    <w:rsid w:val="25E24AF9"/>
    <w:rsid w:val="25FE3B3F"/>
    <w:rsid w:val="262F2952"/>
    <w:rsid w:val="26C20E41"/>
    <w:rsid w:val="26F058DC"/>
    <w:rsid w:val="270154D7"/>
    <w:rsid w:val="27285DAA"/>
    <w:rsid w:val="274618E3"/>
    <w:rsid w:val="27715F5E"/>
    <w:rsid w:val="28084236"/>
    <w:rsid w:val="282633A8"/>
    <w:rsid w:val="28420842"/>
    <w:rsid w:val="28716EFA"/>
    <w:rsid w:val="29486DEE"/>
    <w:rsid w:val="298D09C9"/>
    <w:rsid w:val="298D7034"/>
    <w:rsid w:val="2A241B69"/>
    <w:rsid w:val="2B2A6E0A"/>
    <w:rsid w:val="2B694EC9"/>
    <w:rsid w:val="2BD8709E"/>
    <w:rsid w:val="2BE11B69"/>
    <w:rsid w:val="2BE11C14"/>
    <w:rsid w:val="2C1134D3"/>
    <w:rsid w:val="2C3F51E4"/>
    <w:rsid w:val="2C695F59"/>
    <w:rsid w:val="2CEA637E"/>
    <w:rsid w:val="2D07550B"/>
    <w:rsid w:val="2D133B9A"/>
    <w:rsid w:val="2DA7679B"/>
    <w:rsid w:val="2DBA49A8"/>
    <w:rsid w:val="2DF92135"/>
    <w:rsid w:val="2EED0E18"/>
    <w:rsid w:val="2F19582D"/>
    <w:rsid w:val="2F537F79"/>
    <w:rsid w:val="2FB56247"/>
    <w:rsid w:val="2FD82C2E"/>
    <w:rsid w:val="2FD961E4"/>
    <w:rsid w:val="30573A78"/>
    <w:rsid w:val="30AB54F5"/>
    <w:rsid w:val="311010E0"/>
    <w:rsid w:val="31120C66"/>
    <w:rsid w:val="31EA386E"/>
    <w:rsid w:val="325E309D"/>
    <w:rsid w:val="336674BC"/>
    <w:rsid w:val="34FE707E"/>
    <w:rsid w:val="35794AFA"/>
    <w:rsid w:val="3587007C"/>
    <w:rsid w:val="35DD25C0"/>
    <w:rsid w:val="36BA60D8"/>
    <w:rsid w:val="370B587C"/>
    <w:rsid w:val="37D377B6"/>
    <w:rsid w:val="380B2F5F"/>
    <w:rsid w:val="385A7E36"/>
    <w:rsid w:val="38DF2C21"/>
    <w:rsid w:val="39823272"/>
    <w:rsid w:val="3991089E"/>
    <w:rsid w:val="39D13924"/>
    <w:rsid w:val="3A3B4327"/>
    <w:rsid w:val="3A534CD1"/>
    <w:rsid w:val="3A774B2A"/>
    <w:rsid w:val="3ACF3804"/>
    <w:rsid w:val="3ADA73AB"/>
    <w:rsid w:val="3B310FC0"/>
    <w:rsid w:val="3BEE2CE0"/>
    <w:rsid w:val="3C0F64B4"/>
    <w:rsid w:val="3C683C2C"/>
    <w:rsid w:val="3CF94A44"/>
    <w:rsid w:val="3D231754"/>
    <w:rsid w:val="3D6A0B18"/>
    <w:rsid w:val="3D8C7F47"/>
    <w:rsid w:val="3DBE51F4"/>
    <w:rsid w:val="3EA02D59"/>
    <w:rsid w:val="3EBA1C45"/>
    <w:rsid w:val="3ED66BA4"/>
    <w:rsid w:val="3F3F0226"/>
    <w:rsid w:val="3F4202DD"/>
    <w:rsid w:val="3F5800C9"/>
    <w:rsid w:val="3F8955E2"/>
    <w:rsid w:val="3FF52FF7"/>
    <w:rsid w:val="3FF90CDB"/>
    <w:rsid w:val="40065B1F"/>
    <w:rsid w:val="40D14838"/>
    <w:rsid w:val="4147306E"/>
    <w:rsid w:val="416135FA"/>
    <w:rsid w:val="41B3338B"/>
    <w:rsid w:val="41B60C35"/>
    <w:rsid w:val="42126977"/>
    <w:rsid w:val="42A321BA"/>
    <w:rsid w:val="42AF6223"/>
    <w:rsid w:val="4345095B"/>
    <w:rsid w:val="435B5C8B"/>
    <w:rsid w:val="43B16E10"/>
    <w:rsid w:val="44055F4E"/>
    <w:rsid w:val="44062D00"/>
    <w:rsid w:val="44546201"/>
    <w:rsid w:val="44581F51"/>
    <w:rsid w:val="449832F3"/>
    <w:rsid w:val="44C53281"/>
    <w:rsid w:val="44C77996"/>
    <w:rsid w:val="451E6F60"/>
    <w:rsid w:val="45244DEA"/>
    <w:rsid w:val="459D52E1"/>
    <w:rsid w:val="46D069DB"/>
    <w:rsid w:val="46F11087"/>
    <w:rsid w:val="47507A0D"/>
    <w:rsid w:val="47D9027C"/>
    <w:rsid w:val="485129D4"/>
    <w:rsid w:val="48DC7F2A"/>
    <w:rsid w:val="48F44CB0"/>
    <w:rsid w:val="49040430"/>
    <w:rsid w:val="49054F84"/>
    <w:rsid w:val="491410D3"/>
    <w:rsid w:val="493279BC"/>
    <w:rsid w:val="498F7622"/>
    <w:rsid w:val="49BD0C7A"/>
    <w:rsid w:val="49DD1D3E"/>
    <w:rsid w:val="4A3B6FBA"/>
    <w:rsid w:val="4AD56B06"/>
    <w:rsid w:val="4B0F46CF"/>
    <w:rsid w:val="4BAF7449"/>
    <w:rsid w:val="4C1C290F"/>
    <w:rsid w:val="4C7F6D87"/>
    <w:rsid w:val="4C981BA5"/>
    <w:rsid w:val="4C9A5A81"/>
    <w:rsid w:val="4CBC198F"/>
    <w:rsid w:val="4CED0E45"/>
    <w:rsid w:val="4D312375"/>
    <w:rsid w:val="4D72553A"/>
    <w:rsid w:val="4DDB52B1"/>
    <w:rsid w:val="4DDF729F"/>
    <w:rsid w:val="4E011820"/>
    <w:rsid w:val="4E2D698F"/>
    <w:rsid w:val="4E431FFE"/>
    <w:rsid w:val="4E4C452A"/>
    <w:rsid w:val="4E5E5E11"/>
    <w:rsid w:val="4E98699E"/>
    <w:rsid w:val="4EBA6CE6"/>
    <w:rsid w:val="4ED23FAB"/>
    <w:rsid w:val="4EDF4C8D"/>
    <w:rsid w:val="4F1F4D4D"/>
    <w:rsid w:val="501E1C67"/>
    <w:rsid w:val="50FC2A30"/>
    <w:rsid w:val="51716E99"/>
    <w:rsid w:val="51962AA0"/>
    <w:rsid w:val="51A73BDA"/>
    <w:rsid w:val="51FA56EA"/>
    <w:rsid w:val="52537039"/>
    <w:rsid w:val="52726854"/>
    <w:rsid w:val="528C7AA2"/>
    <w:rsid w:val="52934D28"/>
    <w:rsid w:val="531E7FE8"/>
    <w:rsid w:val="533F513B"/>
    <w:rsid w:val="538878EE"/>
    <w:rsid w:val="538C29F6"/>
    <w:rsid w:val="53A776AF"/>
    <w:rsid w:val="53CA1AF3"/>
    <w:rsid w:val="5517137F"/>
    <w:rsid w:val="555F1376"/>
    <w:rsid w:val="55D55D03"/>
    <w:rsid w:val="56187F25"/>
    <w:rsid w:val="5623033B"/>
    <w:rsid w:val="5658445F"/>
    <w:rsid w:val="565B60B7"/>
    <w:rsid w:val="568F6108"/>
    <w:rsid w:val="578A27C0"/>
    <w:rsid w:val="579161E1"/>
    <w:rsid w:val="57FC6C5A"/>
    <w:rsid w:val="584A1AA0"/>
    <w:rsid w:val="5851284C"/>
    <w:rsid w:val="58C63BF6"/>
    <w:rsid w:val="58D76A1B"/>
    <w:rsid w:val="597F6A6D"/>
    <w:rsid w:val="5A4B59E1"/>
    <w:rsid w:val="5A6E3589"/>
    <w:rsid w:val="5A9814EF"/>
    <w:rsid w:val="5B245060"/>
    <w:rsid w:val="5BCB407F"/>
    <w:rsid w:val="5C3407B5"/>
    <w:rsid w:val="5C5D3859"/>
    <w:rsid w:val="5C8E6CC1"/>
    <w:rsid w:val="5CD4150B"/>
    <w:rsid w:val="5D3E5898"/>
    <w:rsid w:val="5D453D32"/>
    <w:rsid w:val="5D6F1865"/>
    <w:rsid w:val="5E454415"/>
    <w:rsid w:val="5E9F72FF"/>
    <w:rsid w:val="5ED7519A"/>
    <w:rsid w:val="5F0B7BE8"/>
    <w:rsid w:val="5F7749DC"/>
    <w:rsid w:val="5F887D22"/>
    <w:rsid w:val="60423FDD"/>
    <w:rsid w:val="60636240"/>
    <w:rsid w:val="609036BE"/>
    <w:rsid w:val="61306A6A"/>
    <w:rsid w:val="614B10EF"/>
    <w:rsid w:val="618D132F"/>
    <w:rsid w:val="61CF23F4"/>
    <w:rsid w:val="622B3E41"/>
    <w:rsid w:val="629E3783"/>
    <w:rsid w:val="62A438B2"/>
    <w:rsid w:val="6325419E"/>
    <w:rsid w:val="635941B3"/>
    <w:rsid w:val="638766EA"/>
    <w:rsid w:val="63921828"/>
    <w:rsid w:val="63F91B7F"/>
    <w:rsid w:val="644601E7"/>
    <w:rsid w:val="646F7B60"/>
    <w:rsid w:val="647462EB"/>
    <w:rsid w:val="648D3E98"/>
    <w:rsid w:val="64C02086"/>
    <w:rsid w:val="64EE24CE"/>
    <w:rsid w:val="650831F3"/>
    <w:rsid w:val="651E6DA4"/>
    <w:rsid w:val="656C1014"/>
    <w:rsid w:val="658925AF"/>
    <w:rsid w:val="665E3ACF"/>
    <w:rsid w:val="66845C96"/>
    <w:rsid w:val="6707117E"/>
    <w:rsid w:val="6772399F"/>
    <w:rsid w:val="6780006F"/>
    <w:rsid w:val="67ED6F46"/>
    <w:rsid w:val="68030228"/>
    <w:rsid w:val="68483F0B"/>
    <w:rsid w:val="684D2239"/>
    <w:rsid w:val="689247F6"/>
    <w:rsid w:val="689C77C3"/>
    <w:rsid w:val="68B72DD1"/>
    <w:rsid w:val="68D20173"/>
    <w:rsid w:val="69B45F54"/>
    <w:rsid w:val="69EB62D8"/>
    <w:rsid w:val="6A223FFE"/>
    <w:rsid w:val="6A274C05"/>
    <w:rsid w:val="6A4143A4"/>
    <w:rsid w:val="6A8A3A22"/>
    <w:rsid w:val="6B1D66F3"/>
    <w:rsid w:val="6BB539FF"/>
    <w:rsid w:val="6C0D2E23"/>
    <w:rsid w:val="6C8332B6"/>
    <w:rsid w:val="6CDC4C62"/>
    <w:rsid w:val="6D21015F"/>
    <w:rsid w:val="6D3B5F42"/>
    <w:rsid w:val="6D971A88"/>
    <w:rsid w:val="6DA25BA6"/>
    <w:rsid w:val="6DEF4AF3"/>
    <w:rsid w:val="6E3157DE"/>
    <w:rsid w:val="6F32730A"/>
    <w:rsid w:val="6FAE7116"/>
    <w:rsid w:val="7010249B"/>
    <w:rsid w:val="705C256B"/>
    <w:rsid w:val="70FE079B"/>
    <w:rsid w:val="712465BB"/>
    <w:rsid w:val="7139323E"/>
    <w:rsid w:val="71CD7CC2"/>
    <w:rsid w:val="71D31DD4"/>
    <w:rsid w:val="72787E71"/>
    <w:rsid w:val="72A82BE8"/>
    <w:rsid w:val="72DF63D6"/>
    <w:rsid w:val="73016540"/>
    <w:rsid w:val="73172C86"/>
    <w:rsid w:val="73B36618"/>
    <w:rsid w:val="74315994"/>
    <w:rsid w:val="743D52CE"/>
    <w:rsid w:val="74544FB3"/>
    <w:rsid w:val="746E51F9"/>
    <w:rsid w:val="748E4362"/>
    <w:rsid w:val="752E6281"/>
    <w:rsid w:val="75334E74"/>
    <w:rsid w:val="761C28F6"/>
    <w:rsid w:val="76C73875"/>
    <w:rsid w:val="77021966"/>
    <w:rsid w:val="773C48D5"/>
    <w:rsid w:val="776963DA"/>
    <w:rsid w:val="783919C4"/>
    <w:rsid w:val="78A370CA"/>
    <w:rsid w:val="78D00495"/>
    <w:rsid w:val="78FA1F51"/>
    <w:rsid w:val="795067BF"/>
    <w:rsid w:val="7971313A"/>
    <w:rsid w:val="79CB3169"/>
    <w:rsid w:val="79E27D3E"/>
    <w:rsid w:val="79FA2FBA"/>
    <w:rsid w:val="79FA6E97"/>
    <w:rsid w:val="7A3640D9"/>
    <w:rsid w:val="7A597865"/>
    <w:rsid w:val="7A653020"/>
    <w:rsid w:val="7AE9055D"/>
    <w:rsid w:val="7B1665E7"/>
    <w:rsid w:val="7C157B7B"/>
    <w:rsid w:val="7C4A0BE1"/>
    <w:rsid w:val="7C66738C"/>
    <w:rsid w:val="7C6737CC"/>
    <w:rsid w:val="7CC01DE0"/>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unhideWhenUsed/>
    <w:qFormat/>
    <w:uiPriority w:val="99"/>
    <w:pPr>
      <w:jc w:val="left"/>
    </w:pPr>
  </w:style>
  <w:style w:type="paragraph" w:styleId="7">
    <w:name w:val="Body Text"/>
    <w:basedOn w:val="1"/>
    <w:link w:val="39"/>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1"/>
    <w:qFormat/>
    <w:uiPriority w:val="0"/>
    <w:rPr>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8">
    <w:name w:val="Table Grid"/>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rFonts w:ascii="Tahoma" w:hAnsi="Tahoma" w:eastAsia="宋体"/>
      <w:b/>
      <w:bCs/>
      <w:spacing w:val="10"/>
      <w:kern w:val="2"/>
      <w:sz w:val="24"/>
      <w:szCs w:val="24"/>
      <w:lang w:val="en-US" w:eastAsia="zh-CN" w:bidi="ar-SA"/>
    </w:rPr>
  </w:style>
  <w:style w:type="character" w:styleId="21">
    <w:name w:val="page number"/>
    <w:qFormat/>
    <w:uiPriority w:val="0"/>
    <w:rPr>
      <w:lang w:val="en-US" w:eastAsia="zh-CN" w:bidi="ar-SA"/>
    </w:rPr>
  </w:style>
  <w:style w:type="character" w:styleId="22">
    <w:name w:val="Hyperlink"/>
    <w:qFormat/>
    <w:uiPriority w:val="99"/>
    <w:rPr>
      <w:rFonts w:eastAsia="宋体"/>
      <w:color w:val="0000FF"/>
      <w:kern w:val="2"/>
      <w:sz w:val="24"/>
      <w:szCs w:val="24"/>
      <w:u w:val="single"/>
      <w:lang w:val="en-US" w:eastAsia="zh-CN" w:bidi="ar-SA"/>
    </w:rPr>
  </w:style>
  <w:style w:type="paragraph" w:customStyle="1" w:styleId="23">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paragraph" w:customStyle="1" w:styleId="2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qFormat/>
    <w:uiPriority w:val="0"/>
  </w:style>
  <w:style w:type="character" w:customStyle="1" w:styleId="31">
    <w:name w:val="批注框文本 Char"/>
    <w:basedOn w:val="19"/>
    <w:link w:val="11"/>
    <w:qFormat/>
    <w:uiPriority w:val="0"/>
    <w:rPr>
      <w:rFonts w:ascii="Times New Roman" w:hAnsi="Times New Roman" w:eastAsia="宋体" w:cs="Times New Roman"/>
      <w:kern w:val="2"/>
      <w:sz w:val="18"/>
      <w:szCs w:val="18"/>
    </w:rPr>
  </w:style>
  <w:style w:type="character" w:customStyle="1" w:styleId="32">
    <w:name w:val="标题 3 Char"/>
    <w:basedOn w:val="19"/>
    <w:link w:val="4"/>
    <w:semiHidden/>
    <w:qFormat/>
    <w:uiPriority w:val="0"/>
    <w:rPr>
      <w:rFonts w:ascii="Times New Roman" w:hAnsi="Times New Roman" w:eastAsia="宋体" w:cs="Times New Roman"/>
      <w:b/>
      <w:bCs/>
      <w:kern w:val="2"/>
      <w:sz w:val="32"/>
      <w:szCs w:val="32"/>
    </w:rPr>
  </w:style>
  <w:style w:type="paragraph" w:customStyle="1" w:styleId="33">
    <w:name w:val="--规划正文"/>
    <w:basedOn w:val="1"/>
    <w:qFormat/>
    <w:uiPriority w:val="0"/>
    <w:pPr>
      <w:spacing w:line="360" w:lineRule="auto"/>
      <w:ind w:firstLine="200" w:firstLineChars="200"/>
    </w:pPr>
    <w:rPr>
      <w:rFonts w:ascii="宋体"/>
      <w:kern w:val="0"/>
      <w:sz w:val="24"/>
      <w:szCs w:val="20"/>
    </w:rPr>
  </w:style>
  <w:style w:type="paragraph" w:customStyle="1" w:styleId="3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7">
    <w:name w:val="页脚 Char"/>
    <w:basedOn w:val="19"/>
    <w:link w:val="12"/>
    <w:qFormat/>
    <w:uiPriority w:val="99"/>
    <w:rPr>
      <w:rFonts w:ascii="Times New Roman" w:hAnsi="Times New Roman" w:eastAsia="宋体" w:cs="Times New Roman"/>
      <w:kern w:val="2"/>
      <w:sz w:val="18"/>
      <w:szCs w:val="18"/>
    </w:rPr>
  </w:style>
  <w:style w:type="paragraph" w:customStyle="1" w:styleId="38">
    <w:name w:val="Table Paragraph"/>
    <w:basedOn w:val="1"/>
    <w:qFormat/>
    <w:uiPriority w:val="1"/>
    <w:pPr>
      <w:spacing w:before="58"/>
    </w:pPr>
    <w:rPr>
      <w:rFonts w:ascii="华文仿宋" w:hAnsi="华文仿宋" w:eastAsia="华文仿宋" w:cs="华文仿宋"/>
      <w:lang w:val="zh-CN" w:bidi="zh-CN"/>
    </w:rPr>
  </w:style>
  <w:style w:type="character" w:customStyle="1" w:styleId="39">
    <w:name w:val="正文文本 Char"/>
    <w:basedOn w:val="19"/>
    <w:link w:val="7"/>
    <w:qFormat/>
    <w:uiPriority w:val="0"/>
    <w:rPr>
      <w:rFonts w:ascii="Times New Roman" w:hAnsi="Times New Roman" w:eastAsia="宋体" w:cs="Times New Roman"/>
      <w:kern w:val="2"/>
      <w:sz w:val="21"/>
      <w:szCs w:val="24"/>
    </w:rPr>
  </w:style>
  <w:style w:type="paragraph" w:customStyle="1" w:styleId="40">
    <w:name w:val="正文文本_0"/>
    <w:basedOn w:val="1"/>
    <w:qFormat/>
    <w:uiPriority w:val="0"/>
    <w:pPr>
      <w:spacing w:after="120" w:line="276" w:lineRule="auto"/>
    </w:pPr>
    <w:rPr>
      <w:rFonts w:ascii="Tahoma" w:hAnsi="Tahoma"/>
      <w:kern w:val="0"/>
      <w:sz w:val="20"/>
      <w:szCs w:val="20"/>
    </w:rPr>
  </w:style>
  <w:style w:type="paragraph" w:customStyle="1" w:styleId="41">
    <w:name w:val="普通(网站)1"/>
    <w:basedOn w:val="1"/>
    <w:qFormat/>
    <w:uiPriority w:val="0"/>
    <w:pPr>
      <w:widowControl/>
    </w:pPr>
    <w:rPr>
      <w:rFonts w:hAnsi="宋体"/>
      <w:sz w:val="15"/>
      <w:szCs w:val="15"/>
    </w:rPr>
  </w:style>
  <w:style w:type="paragraph" w:customStyle="1" w:styleId="42">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3">
    <w:name w:val="表格标题"/>
    <w:basedOn w:val="1"/>
    <w:qFormat/>
    <w:uiPriority w:val="0"/>
    <w:rPr>
      <w:rFonts w:ascii="宋体" w:hAnsi="宋体" w:cs="宋体"/>
      <w:sz w:val="20"/>
      <w:szCs w:val="20"/>
    </w:rPr>
  </w:style>
  <w:style w:type="paragraph" w:customStyle="1" w:styleId="44">
    <w:name w:val="其他"/>
    <w:basedOn w:val="1"/>
    <w:qFormat/>
    <w:uiPriority w:val="0"/>
    <w:pPr>
      <w:spacing w:line="312" w:lineRule="auto"/>
      <w:ind w:firstLine="360"/>
    </w:pPr>
    <w:rPr>
      <w:rFonts w:ascii="宋体" w:hAnsi="宋体" w:cs="宋体"/>
      <w:sz w:val="20"/>
      <w:szCs w:val="20"/>
    </w:rPr>
  </w:style>
  <w:style w:type="paragraph" w:customStyle="1" w:styleId="45">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25</Pages>
  <Words>2393</Words>
  <Characters>13641</Characters>
  <Lines>113</Lines>
  <Paragraphs>32</Paragraphs>
  <TotalTime>97</TotalTime>
  <ScaleCrop>false</ScaleCrop>
  <LinksUpToDate>false</LinksUpToDate>
  <CharactersWithSpaces>16002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2023-08-29T07:49:00Z</cp:lastPrinted>
  <dcterms:modified xsi:type="dcterms:W3CDTF">2023-08-30T08:33:27Z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EBDF4D5202324A69A28660E2C9DB285E_13</vt:lpwstr>
  </property>
</Properties>
</file>