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4315"/>
      <w:bookmarkStart w:id="2" w:name="_Toc17040"/>
      <w:bookmarkStart w:id="3" w:name="_Toc16091"/>
      <w:bookmarkStart w:id="4" w:name="_Toc15189"/>
      <w:bookmarkStart w:id="5" w:name="_Toc3493"/>
      <w:bookmarkStart w:id="6" w:name="_Toc15365"/>
      <w:bookmarkStart w:id="7" w:name="_Toc15553"/>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eastAsia" w:eastAsia="宋体"/>
          <w:sz w:val="24"/>
          <w:lang w:val="en-US" w:eastAsia="zh-CN"/>
        </w:rPr>
      </w:pPr>
      <w:r>
        <w:rPr>
          <w:rFonts w:hint="eastAsia" w:ascii="宋体" w:hAnsi="宋体" w:eastAsia="宋体" w:cs="Times New Roman"/>
          <w:b/>
          <w:color w:val="auto"/>
          <w:kern w:val="0"/>
          <w:sz w:val="44"/>
          <w:szCs w:val="44"/>
          <w:highlight w:val="none"/>
        </w:rPr>
        <w:t>2023年高层建筑消防设施设备</w:t>
      </w:r>
      <w:r>
        <w:rPr>
          <w:rFonts w:hint="eastAsia" w:ascii="宋体" w:hAnsi="宋体" w:cs="Times New Roman"/>
          <w:b/>
          <w:color w:val="auto"/>
          <w:kern w:val="0"/>
          <w:sz w:val="44"/>
          <w:szCs w:val="44"/>
          <w:highlight w:val="none"/>
          <w:lang w:eastAsia="zh-CN"/>
        </w:rPr>
        <w:t>采购</w:t>
      </w:r>
      <w:r>
        <w:rPr>
          <w:rFonts w:hint="eastAsia" w:ascii="宋体" w:hAnsi="宋体" w:eastAsia="宋体" w:cs="Times New Roman"/>
          <w:b/>
          <w:color w:val="auto"/>
          <w:kern w:val="0"/>
          <w:sz w:val="44"/>
          <w:szCs w:val="44"/>
          <w:highlight w:val="none"/>
        </w:rPr>
        <w:t>项目</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NYWYH202300</w:t>
      </w:r>
      <w:r>
        <w:rPr>
          <w:rFonts w:hint="eastAsia" w:ascii="宋体" w:hAnsi="宋体"/>
          <w:b/>
          <w:bCs/>
          <w:color w:val="auto"/>
          <w:sz w:val="36"/>
          <w:szCs w:val="36"/>
          <w:highlight w:val="none"/>
          <w:lang w:val="en-US" w:eastAsia="zh-CN"/>
        </w:rPr>
        <w:t>12</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7</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rPr>
      </w:pPr>
      <w:r>
        <w:rPr>
          <w:rFonts w:hint="eastAsia" w:ascii="宋体" w:hAnsi="宋体" w:cs="宋体"/>
          <w:kern w:val="0"/>
          <w:sz w:val="24"/>
        </w:rPr>
        <w:t>1.报名表（Word文档版和PDF版）</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rPr>
      </w:pPr>
      <w:r>
        <w:rPr>
          <w:rFonts w:hint="eastAsia" w:ascii="宋体" w:hAnsi="宋体" w:cs="宋体"/>
          <w:kern w:val="0"/>
          <w:sz w:val="24"/>
        </w:rPr>
        <w:t>2.报名资料（电子版PDF）</w:t>
      </w:r>
    </w:p>
    <w:p>
      <w:pPr>
        <w:pStyle w:val="2"/>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rPr>
      </w:pPr>
      <w:r>
        <w:rPr>
          <w:rFonts w:hint="eastAsia" w:ascii="宋体" w:hAnsi="宋体" w:cs="宋体"/>
          <w:kern w:val="0"/>
          <w:sz w:val="24"/>
        </w:rPr>
        <w:t>①Word版：将报名表下载填入相关信息</w:t>
      </w:r>
    </w:p>
    <w:p>
      <w:pPr>
        <w:pStyle w:val="2"/>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lang w:val="en-US" w:eastAsia="zh-CN"/>
        </w:rPr>
      </w:pPr>
      <w:r>
        <w:rPr>
          <w:rFonts w:hint="eastAsia" w:ascii="宋体" w:hAnsi="宋体" w:eastAsia="宋体" w:cs="宋体"/>
          <w:kern w:val="0"/>
          <w:sz w:val="24"/>
          <w:lang w:val="en-US" w:eastAsia="zh-CN"/>
        </w:rPr>
        <w:t>4.报名邮箱地址：</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HYPERLINK "mailto:nywycgb@126.com" </w:instrText>
      </w:r>
      <w:r>
        <w:rPr>
          <w:rFonts w:hint="eastAsia" w:ascii="宋体" w:hAnsi="宋体" w:eastAsia="宋体" w:cs="宋体"/>
          <w:kern w:val="0"/>
          <w:sz w:val="24"/>
          <w:lang w:val="en-US" w:eastAsia="zh-CN"/>
        </w:rPr>
        <w:fldChar w:fldCharType="separate"/>
      </w:r>
      <w:r>
        <w:rPr>
          <w:rFonts w:hint="eastAsia" w:ascii="宋体" w:hAnsi="宋体" w:eastAsia="宋体" w:cs="宋体"/>
          <w:kern w:val="0"/>
          <w:sz w:val="24"/>
          <w:lang w:val="en-US" w:eastAsia="zh-CN"/>
        </w:rPr>
        <w:t>nywycgb@126.com</w:t>
      </w:r>
      <w:r>
        <w:rPr>
          <w:rFonts w:hint="eastAsia" w:ascii="宋体" w:hAnsi="宋体" w:eastAsia="宋体" w:cs="宋体"/>
          <w:kern w:val="0"/>
          <w:sz w:val="24"/>
          <w:lang w:val="en-US" w:eastAsia="zh-CN"/>
        </w:rPr>
        <w:fldChar w:fldCharType="end"/>
      </w:r>
      <w:r>
        <w:rPr>
          <w:rFonts w:hint="eastAsia" w:ascii="宋体" w:hAnsi="宋体" w:eastAsia="宋体" w:cs="宋体"/>
          <w:kern w:val="0"/>
          <w:sz w:val="24"/>
          <w:lang w:val="en-US" w:eastAsia="zh-CN"/>
        </w:rPr>
        <w:t>，邮件名、文件名格式：项目名称+项目编号+公司名全称。</w:t>
      </w:r>
      <w:r>
        <w:rPr>
          <w:rFonts w:hint="eastAsia" w:ascii="宋体" w:hAnsi="宋体" w:eastAsia="宋体" w:cs="宋体"/>
          <w:color w:val="0000FF"/>
          <w:kern w:val="0"/>
          <w:sz w:val="24"/>
          <w:lang w:val="en-US" w:eastAsia="zh-CN"/>
        </w:rPr>
        <w:t>（如：南方医科大学第五附属医院2023年高层建筑消防设施设备</w:t>
      </w:r>
      <w:r>
        <w:rPr>
          <w:rFonts w:hint="eastAsia" w:ascii="宋体" w:hAnsi="宋体" w:cs="宋体"/>
          <w:color w:val="0000FF"/>
          <w:kern w:val="0"/>
          <w:sz w:val="24"/>
          <w:lang w:val="en-US" w:eastAsia="zh-CN"/>
        </w:rPr>
        <w:t>采购</w:t>
      </w:r>
      <w:r>
        <w:rPr>
          <w:rFonts w:hint="eastAsia" w:ascii="宋体" w:hAnsi="宋体" w:eastAsia="宋体" w:cs="宋体"/>
          <w:color w:val="0000FF"/>
          <w:kern w:val="0"/>
          <w:sz w:val="24"/>
          <w:lang w:val="en-US" w:eastAsia="zh-CN"/>
        </w:rPr>
        <w:t>项目+NYWYH20230012</w:t>
      </w:r>
      <w:r>
        <w:rPr>
          <w:rFonts w:hint="eastAsia" w:ascii="宋体" w:hAnsi="宋体" w:eastAsia="宋体" w:cs="宋体"/>
          <w:color w:val="0000FF"/>
          <w:kern w:val="0"/>
          <w:sz w:val="24"/>
          <w:lang w:val="en-US" w:eastAsia="zh-CN"/>
        </w:rPr>
        <w:fldChar w:fldCharType="begin"/>
      </w:r>
      <w:r>
        <w:rPr>
          <w:rFonts w:hint="eastAsia" w:ascii="宋体" w:hAnsi="宋体" w:eastAsia="宋体" w:cs="宋体"/>
          <w:color w:val="0000FF"/>
          <w:kern w:val="0"/>
          <w:sz w:val="24"/>
          <w:lang w:val="en-US" w:eastAsia="zh-CN"/>
        </w:rPr>
        <w:instrText xml:space="preserve"> DOCVARIABLE  项目名称  \* MERGEFORMAT </w:instrText>
      </w:r>
      <w:r>
        <w:rPr>
          <w:rFonts w:hint="eastAsia" w:ascii="宋体" w:hAnsi="宋体" w:eastAsia="宋体" w:cs="宋体"/>
          <w:color w:val="0000FF"/>
          <w:kern w:val="0"/>
          <w:sz w:val="24"/>
          <w:lang w:val="en-US" w:eastAsia="zh-CN"/>
        </w:rPr>
        <w:fldChar w:fldCharType="end"/>
      </w:r>
      <w:r>
        <w:rPr>
          <w:rFonts w:hint="eastAsia" w:ascii="宋体" w:hAnsi="宋体" w:eastAsia="宋体" w:cs="宋体"/>
          <w:color w:val="0000FF"/>
          <w:kern w:val="0"/>
          <w:sz w:val="24"/>
          <w:lang w:val="en-US" w:eastAsia="zh-CN"/>
        </w:rPr>
        <w:t>+公司名称）</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keepNext w:val="0"/>
        <w:keepLines w:val="0"/>
        <w:pageBreakBefore w:val="0"/>
        <w:widowControl w:val="0"/>
        <w:numPr>
          <w:ilvl w:val="0"/>
          <w:numId w:val="2"/>
        </w:numPr>
        <w:kinsoku/>
        <w:wordWrap/>
        <w:overflowPunct/>
        <w:topLinePunct w:val="0"/>
        <w:autoSpaceDE/>
        <w:autoSpaceDN/>
        <w:bidi w:val="0"/>
        <w:spacing w:line="360" w:lineRule="exact"/>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2"/>
        <w:keepNext w:val="0"/>
        <w:keepLines w:val="0"/>
        <w:pageBreakBefore w:val="0"/>
        <w:widowControl w:val="0"/>
        <w:numPr>
          <w:ilvl w:val="0"/>
          <w:numId w:val="2"/>
        </w:numPr>
        <w:kinsoku/>
        <w:wordWrap/>
        <w:overflowPunct/>
        <w:topLinePunct w:val="0"/>
        <w:autoSpaceDE/>
        <w:autoSpaceDN/>
        <w:bidi w:val="0"/>
        <w:spacing w:line="360" w:lineRule="exact"/>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2"/>
        <w:keepNext w:val="0"/>
        <w:keepLines w:val="0"/>
        <w:pageBreakBefore w:val="0"/>
        <w:widowControl w:val="0"/>
        <w:numPr>
          <w:ilvl w:val="0"/>
          <w:numId w:val="2"/>
        </w:numPr>
        <w:kinsoku/>
        <w:wordWrap/>
        <w:overflowPunct/>
        <w:topLinePunct w:val="0"/>
        <w:autoSpaceDE/>
        <w:autoSpaceDN/>
        <w:bidi w:val="0"/>
        <w:spacing w:line="360" w:lineRule="exact"/>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2"/>
        <w:keepNext w:val="0"/>
        <w:keepLines w:val="0"/>
        <w:pageBreakBefore w:val="0"/>
        <w:widowControl w:val="0"/>
        <w:numPr>
          <w:ilvl w:val="0"/>
          <w:numId w:val="2"/>
        </w:numPr>
        <w:kinsoku/>
        <w:wordWrap/>
        <w:overflowPunct/>
        <w:topLinePunct w:val="0"/>
        <w:autoSpaceDE/>
        <w:autoSpaceDN/>
        <w:bidi w:val="0"/>
        <w:spacing w:line="360" w:lineRule="exact"/>
        <w:ind w:left="840" w:leftChars="0" w:firstLineChars="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sz w:val="24"/>
          <w:szCs w:val="24"/>
        </w:rPr>
        <w:t>供应商法定代表人授权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4"/>
          <w:lang w:val="en-US" w:eastAsia="zh-CN" w:bidi="ar-SA"/>
        </w:rPr>
        <w:t>见相关格式文件）</w:t>
      </w:r>
    </w:p>
    <w:p>
      <w:pPr>
        <w:pStyle w:val="22"/>
        <w:keepNext w:val="0"/>
        <w:keepLines w:val="0"/>
        <w:pageBreakBefore w:val="0"/>
        <w:widowControl w:val="0"/>
        <w:numPr>
          <w:ilvl w:val="0"/>
          <w:numId w:val="2"/>
        </w:numPr>
        <w:kinsoku/>
        <w:wordWrap/>
        <w:overflowPunct/>
        <w:topLinePunct w:val="0"/>
        <w:autoSpaceDE/>
        <w:autoSpaceDN/>
        <w:bidi w:val="0"/>
        <w:spacing w:line="360" w:lineRule="exact"/>
        <w:ind w:left="840" w:leftChars="0" w:firstLineChars="0"/>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供应商必须是具有独立承担民事责任的能力：提供在中华人民共和国境内注册的法人或其他组织的营业执照或事业单位法人证书或社会团体法人登记证书复印件，如为自然人的提供自然人身份证明复印件；如国家另有规定的，则从其规定。（分公司投标，须取得具有法人资格的总公司（总所）出具给分公司的授权书，并提供总公司（总所）和分公司的营业执照（执业许可证）复印件及加盖公章。已由总公司（总所）授权的，总公司（总所）取得的相关资质证书对分公司有效，法律法规或者行业另有规定的除外）。</w:t>
      </w:r>
    </w:p>
    <w:p>
      <w:pPr>
        <w:pStyle w:val="22"/>
        <w:keepNext w:val="0"/>
        <w:keepLines w:val="0"/>
        <w:pageBreakBefore w:val="0"/>
        <w:widowControl w:val="0"/>
        <w:numPr>
          <w:ilvl w:val="0"/>
          <w:numId w:val="2"/>
        </w:numPr>
        <w:kinsoku/>
        <w:wordWrap/>
        <w:overflowPunct/>
        <w:topLinePunct w:val="0"/>
        <w:autoSpaceDE/>
        <w:autoSpaceDN/>
        <w:bidi w:val="0"/>
        <w:spacing w:line="360" w:lineRule="exact"/>
        <w:ind w:left="840" w:leftChars="0" w:firstLineChars="0"/>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具有良好的商业信誉和健全的财务会计制度：提供《供应商的资格声明函》，格式自拟，并加盖公章。</w:t>
      </w:r>
    </w:p>
    <w:p>
      <w:pPr>
        <w:pStyle w:val="22"/>
        <w:keepNext w:val="0"/>
        <w:keepLines w:val="0"/>
        <w:pageBreakBefore w:val="0"/>
        <w:widowControl w:val="0"/>
        <w:numPr>
          <w:ilvl w:val="0"/>
          <w:numId w:val="2"/>
        </w:numPr>
        <w:kinsoku/>
        <w:wordWrap/>
        <w:overflowPunct/>
        <w:topLinePunct w:val="0"/>
        <w:autoSpaceDE/>
        <w:autoSpaceDN/>
        <w:bidi w:val="0"/>
        <w:spacing w:line="360" w:lineRule="exact"/>
        <w:ind w:left="840" w:leftChars="0" w:firstLineChars="0"/>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具有履行合同所必需的设备和专业技术能力：提供《供应商的资格声明函》，格式自拟，并加盖公章。</w:t>
      </w:r>
    </w:p>
    <w:p>
      <w:pPr>
        <w:pStyle w:val="22"/>
        <w:keepNext w:val="0"/>
        <w:keepLines w:val="0"/>
        <w:pageBreakBefore w:val="0"/>
        <w:widowControl w:val="0"/>
        <w:numPr>
          <w:ilvl w:val="0"/>
          <w:numId w:val="2"/>
        </w:numPr>
        <w:kinsoku/>
        <w:wordWrap/>
        <w:overflowPunct/>
        <w:topLinePunct w:val="0"/>
        <w:autoSpaceDE/>
        <w:autoSpaceDN/>
        <w:bidi w:val="0"/>
        <w:spacing w:line="360" w:lineRule="exact"/>
        <w:ind w:left="840" w:leftChars="0" w:firstLineChars="0"/>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具有依法缴纳税收和社会保障资金的良好记录：提供《供应商的资格声明函》，格式自拟，并加盖公章。</w:t>
      </w:r>
    </w:p>
    <w:p>
      <w:pPr>
        <w:pStyle w:val="22"/>
        <w:keepNext w:val="0"/>
        <w:keepLines w:val="0"/>
        <w:pageBreakBefore w:val="0"/>
        <w:widowControl w:val="0"/>
        <w:numPr>
          <w:ilvl w:val="0"/>
          <w:numId w:val="2"/>
        </w:numPr>
        <w:kinsoku/>
        <w:wordWrap/>
        <w:overflowPunct/>
        <w:topLinePunct w:val="0"/>
        <w:autoSpaceDE/>
        <w:autoSpaceDN/>
        <w:bidi w:val="0"/>
        <w:spacing w:line="360" w:lineRule="exact"/>
        <w:ind w:left="840" w:leftChars="0" w:firstLineChars="0"/>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参加政府采购活动前三年内，在经营活动中没有重大违法记录【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提供《供应商的资格声明函》，格式自拟，并加盖公章。</w:t>
      </w:r>
    </w:p>
    <w:p>
      <w:pPr>
        <w:pStyle w:val="22"/>
        <w:keepNext w:val="0"/>
        <w:keepLines w:val="0"/>
        <w:pageBreakBefore w:val="0"/>
        <w:widowControl w:val="0"/>
        <w:numPr>
          <w:ilvl w:val="0"/>
          <w:numId w:val="2"/>
        </w:numPr>
        <w:kinsoku/>
        <w:wordWrap/>
        <w:overflowPunct/>
        <w:topLinePunct w:val="0"/>
        <w:autoSpaceDE/>
        <w:autoSpaceDN/>
        <w:bidi w:val="0"/>
        <w:spacing w:line="360" w:lineRule="exact"/>
        <w:ind w:left="840" w:leftChars="0" w:firstLineChars="0"/>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法律、行政法规规定的其他条件：提供《供应商的资格声明函》，格式自拟，并加盖公章。</w:t>
      </w:r>
    </w:p>
    <w:p>
      <w:pPr>
        <w:pStyle w:val="22"/>
        <w:keepNext w:val="0"/>
        <w:keepLines w:val="0"/>
        <w:pageBreakBefore w:val="0"/>
        <w:widowControl w:val="0"/>
        <w:numPr>
          <w:ilvl w:val="0"/>
          <w:numId w:val="2"/>
        </w:numPr>
        <w:kinsoku/>
        <w:wordWrap/>
        <w:overflowPunct/>
        <w:topLinePunct w:val="0"/>
        <w:autoSpaceDE/>
        <w:autoSpaceDN/>
        <w:bidi w:val="0"/>
        <w:spacing w:line="360" w:lineRule="exact"/>
        <w:ind w:left="840" w:leftChars="0" w:firstLineChars="0"/>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供应商未被列入“信用中国”网站(www.creditchina.gov.cn)“失信被执行人、重大税收违法失信主体、政府采购严重违法失信行为”记录名单；没有处于中国政府采购网(www.ccgp.gov.cn)“政府采购严重违法失信行为信息记录”中的禁止参加政府采购活动期间（以采购人于投标（响应） 截止时间当天在“信用中国”网站（www.creditchina.gov.cn） 及中国政府采购网（http://www.ccgp.gov.cn/） 查询结果为准， 如相关失信记录已失效， 供应商需提供相关证明资料）。</w:t>
      </w:r>
    </w:p>
    <w:p>
      <w:pPr>
        <w:pStyle w:val="22"/>
        <w:keepNext w:val="0"/>
        <w:keepLines w:val="0"/>
        <w:pageBreakBefore w:val="0"/>
        <w:widowControl w:val="0"/>
        <w:numPr>
          <w:ilvl w:val="0"/>
          <w:numId w:val="2"/>
        </w:numPr>
        <w:kinsoku/>
        <w:wordWrap/>
        <w:overflowPunct/>
        <w:topLinePunct w:val="0"/>
        <w:autoSpaceDE/>
        <w:autoSpaceDN/>
        <w:bidi w:val="0"/>
        <w:spacing w:line="360" w:lineRule="exact"/>
        <w:ind w:left="840" w:leftChars="0" w:firstLineChars="0"/>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单位负责人为同一人或者存在直接控股、管理关系的不同供应商，不得同时参加本采购项目报价。提供全国企业信用信息公示系统相关信息截图或书面声明，并加盖公章。</w:t>
      </w:r>
    </w:p>
    <w:p>
      <w:pPr>
        <w:pStyle w:val="22"/>
        <w:keepNext w:val="0"/>
        <w:keepLines w:val="0"/>
        <w:pageBreakBefore w:val="0"/>
        <w:widowControl w:val="0"/>
        <w:numPr>
          <w:ilvl w:val="0"/>
          <w:numId w:val="2"/>
        </w:numPr>
        <w:kinsoku/>
        <w:wordWrap/>
        <w:overflowPunct/>
        <w:topLinePunct w:val="0"/>
        <w:autoSpaceDE/>
        <w:autoSpaceDN/>
        <w:bidi w:val="0"/>
        <w:spacing w:line="360" w:lineRule="exact"/>
        <w:ind w:left="840" w:leftChars="0" w:firstLineChars="0"/>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本项目不接受联合体投标、分包、转包。需提供承诺函，承诺函必须包含相关文字内容，格式自拟，并加盖供应商公章</w:t>
      </w:r>
    </w:p>
    <w:p>
      <w:pPr>
        <w:pStyle w:val="22"/>
        <w:keepNext w:val="0"/>
        <w:keepLines w:val="0"/>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Times New Roman"/>
          <w:sz w:val="24"/>
          <w:szCs w:val="24"/>
          <w:lang w:eastAsia="zh-CN"/>
        </w:rPr>
      </w:pP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240" w:lineRule="auto"/>
        <w:jc w:val="both"/>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8364"/>
      <w:bookmarkStart w:id="13" w:name="_Toc11305"/>
      <w:bookmarkStart w:id="14" w:name="_Toc28703"/>
      <w:bookmarkStart w:id="15" w:name="_Toc11075"/>
      <w:bookmarkStart w:id="16" w:name="_Toc29113"/>
      <w:bookmarkStart w:id="17" w:name="_Toc40346375"/>
      <w:bookmarkStart w:id="18" w:name="_Toc26267"/>
      <w:bookmarkStart w:id="19" w:name="_Toc435"/>
      <w:bookmarkStart w:id="20" w:name="_Toc40776111"/>
      <w:bookmarkStart w:id="21" w:name="_Toc7291"/>
      <w:bookmarkStart w:id="22" w:name="_Toc12520"/>
      <w:bookmarkStart w:id="23" w:name="_Toc21249"/>
      <w:bookmarkStart w:id="24" w:name="_Toc3471"/>
      <w:bookmarkStart w:id="25" w:name="_Toc6547"/>
      <w:bookmarkStart w:id="26" w:name="_Toc1994"/>
      <w:bookmarkStart w:id="27" w:name="_Toc15870"/>
      <w:bookmarkStart w:id="28" w:name="_Toc40346216"/>
      <w:r>
        <w:rPr>
          <w:rFonts w:hint="eastAsia" w:ascii="宋体" w:hAnsi="宋体"/>
          <w:b/>
          <w:bCs/>
          <w:sz w:val="72"/>
          <w:szCs w:val="72"/>
          <w:lang w:eastAsia="zh-CN"/>
        </w:rPr>
        <w:t>报名资料</w:t>
      </w:r>
    </w:p>
    <w:p>
      <w:pPr>
        <w:pStyle w:val="2"/>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pStyle w:val="2"/>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17709"/>
      <w:bookmarkStart w:id="30" w:name="_Toc40776112"/>
      <w:bookmarkStart w:id="31" w:name="_Toc20884"/>
      <w:bookmarkStart w:id="32" w:name="_Toc27997"/>
      <w:bookmarkStart w:id="33" w:name="_Toc40346376"/>
      <w:bookmarkStart w:id="34" w:name="_Toc1743"/>
      <w:bookmarkStart w:id="35" w:name="_Toc40346217"/>
      <w:bookmarkStart w:id="36" w:name="_Toc2916"/>
    </w:p>
    <w:p>
      <w:pPr>
        <w:widowControl/>
        <w:spacing w:line="360" w:lineRule="auto"/>
        <w:ind w:firstLine="600"/>
        <w:outlineLvl w:val="0"/>
        <w:rPr>
          <w:rFonts w:cs="宋体"/>
          <w:kern w:val="0"/>
          <w:sz w:val="30"/>
          <w:szCs w:val="30"/>
        </w:rPr>
      </w:pPr>
      <w:bookmarkStart w:id="37" w:name="_Toc23097"/>
      <w:bookmarkStart w:id="38" w:name="_Toc29102"/>
      <w:bookmarkStart w:id="39" w:name="_Toc2012"/>
      <w:bookmarkStart w:id="40" w:name="_Toc30979"/>
      <w:bookmarkStart w:id="41" w:name="_Toc2029"/>
      <w:bookmarkStart w:id="42" w:name="_Toc31538"/>
      <w:bookmarkStart w:id="43" w:name="_Toc11485"/>
      <w:bookmarkStart w:id="44" w:name="_Toc5238"/>
      <w:bookmarkStart w:id="45" w:name="_Toc19699"/>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40346377"/>
      <w:bookmarkStart w:id="47" w:name="_Toc21483"/>
      <w:bookmarkStart w:id="48" w:name="_Toc11558"/>
      <w:bookmarkStart w:id="49" w:name="_Toc16794"/>
      <w:bookmarkStart w:id="50" w:name="_Toc31993"/>
      <w:bookmarkStart w:id="51" w:name="_Toc4013"/>
      <w:bookmarkStart w:id="52" w:name="_Toc40776113"/>
      <w:bookmarkStart w:id="53" w:name="_Toc40346218"/>
      <w:bookmarkStart w:id="54" w:name="_Toc14824"/>
      <w:bookmarkStart w:id="55" w:name="_Toc17930"/>
      <w:bookmarkStart w:id="56" w:name="_Toc7052"/>
      <w:bookmarkStart w:id="57" w:name="_Toc27867"/>
      <w:bookmarkStart w:id="58" w:name="_Toc11141"/>
      <w:bookmarkStart w:id="59" w:name="_Toc28064"/>
      <w:bookmarkStart w:id="60" w:name="_Toc12645"/>
      <w:bookmarkStart w:id="61" w:name="_Toc29767"/>
      <w:bookmarkStart w:id="62" w:name="_Toc2476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4563"/>
      <w:bookmarkStart w:id="64" w:name="_Toc32709"/>
      <w:bookmarkStart w:id="65" w:name="_Toc40776114"/>
      <w:bookmarkStart w:id="66" w:name="_Toc14287"/>
      <w:bookmarkStart w:id="67" w:name="_Toc40346219"/>
      <w:bookmarkStart w:id="68" w:name="_Toc31197"/>
      <w:bookmarkStart w:id="69" w:name="_Toc11334"/>
      <w:bookmarkStart w:id="70" w:name="_Toc40346378"/>
      <w:bookmarkStart w:id="71" w:name="_Toc24651"/>
      <w:bookmarkStart w:id="72" w:name="_Toc9883"/>
      <w:bookmarkStart w:id="73" w:name="_Toc19831"/>
      <w:bookmarkStart w:id="74" w:name="_Toc6438"/>
      <w:bookmarkStart w:id="75" w:name="_Toc16813"/>
      <w:bookmarkStart w:id="76" w:name="_Toc26029"/>
      <w:bookmarkStart w:id="77" w:name="_Toc17537"/>
      <w:bookmarkStart w:id="78" w:name="_Toc1324"/>
      <w:bookmarkStart w:id="79" w:name="_Toc27771"/>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5634"/>
      <w:bookmarkStart w:id="81" w:name="_Toc40346220"/>
      <w:bookmarkStart w:id="82" w:name="_Toc13222"/>
      <w:bookmarkStart w:id="83" w:name="_Toc40346379"/>
      <w:bookmarkStart w:id="84" w:name="_Toc27206"/>
      <w:bookmarkStart w:id="85" w:name="_Toc20994"/>
      <w:bookmarkStart w:id="86" w:name="_Toc12650"/>
      <w:bookmarkStart w:id="87" w:name="_Toc14586"/>
      <w:bookmarkStart w:id="88" w:name="_Toc27868"/>
      <w:bookmarkStart w:id="89" w:name="_Toc21940"/>
      <w:bookmarkStart w:id="90" w:name="_Toc18353"/>
      <w:bookmarkStart w:id="91" w:name="_Toc17483"/>
      <w:bookmarkStart w:id="92" w:name="_Toc3895"/>
      <w:bookmarkStart w:id="93" w:name="_Toc40776115"/>
      <w:bookmarkStart w:id="94" w:name="_Toc5189"/>
      <w:bookmarkStart w:id="95" w:name="_Toc21686"/>
      <w:bookmarkStart w:id="96" w:name="_Toc30336"/>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27646"/>
      <w:bookmarkStart w:id="98" w:name="_Toc12127"/>
      <w:bookmarkStart w:id="99" w:name="_Toc9282"/>
      <w:bookmarkStart w:id="100" w:name="_Toc40776116"/>
      <w:bookmarkStart w:id="101" w:name="_Toc21449"/>
      <w:bookmarkStart w:id="102" w:name="_Toc3498"/>
      <w:bookmarkStart w:id="103" w:name="_Toc5220"/>
      <w:bookmarkStart w:id="104" w:name="_Toc40346221"/>
      <w:bookmarkStart w:id="105" w:name="_Toc11547"/>
      <w:bookmarkStart w:id="106" w:name="_Toc32371"/>
      <w:bookmarkStart w:id="107" w:name="_Toc10454"/>
      <w:bookmarkStart w:id="108" w:name="_Toc30856"/>
      <w:bookmarkStart w:id="109" w:name="_Toc8526"/>
      <w:bookmarkStart w:id="110" w:name="_Toc40346380"/>
      <w:bookmarkStart w:id="111" w:name="_Toc30904"/>
      <w:bookmarkStart w:id="112" w:name="_Toc14462"/>
      <w:bookmarkStart w:id="113" w:name="_Toc27009"/>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6"/>
      </w:pPr>
    </w:p>
    <w:p>
      <w:pPr>
        <w:pStyle w:val="16"/>
      </w:pPr>
    </w:p>
    <w:p>
      <w:pPr>
        <w:pStyle w:val="16"/>
      </w:pPr>
    </w:p>
    <w:p>
      <w:pPr>
        <w:pStyle w:val="16"/>
      </w:pPr>
    </w:p>
    <w:p>
      <w:pPr>
        <w:pStyle w:val="16"/>
      </w:pPr>
    </w:p>
    <w:p>
      <w:pPr>
        <w:pStyle w:val="16"/>
      </w:pPr>
    </w:p>
    <w:p>
      <w:pPr>
        <w:pStyle w:val="16"/>
      </w:pPr>
    </w:p>
    <w:p>
      <w:pPr>
        <w:pStyle w:val="22"/>
        <w:spacing w:line="360" w:lineRule="auto"/>
        <w:ind w:firstLine="0" w:firstLineChars="0"/>
        <w:rPr>
          <w:rFonts w:ascii="宋体" w:hAnsi="宋体"/>
          <w:bCs/>
          <w:color w:val="0000FF"/>
          <w:sz w:val="24"/>
          <w:szCs w:val="24"/>
        </w:rPr>
      </w:pPr>
      <w:bookmarkStart w:id="114" w:name="_Toc16728"/>
      <w:bookmarkStart w:id="115" w:name="_Toc6691"/>
      <w:bookmarkStart w:id="116" w:name="_Toc13184"/>
      <w:bookmarkStart w:id="117" w:name="_Toc15539"/>
      <w:bookmarkStart w:id="118" w:name="_Toc9697"/>
      <w:bookmarkStart w:id="119" w:name="_Toc21213"/>
      <w:bookmarkStart w:id="120" w:name="_Toc10399"/>
      <w:bookmarkStart w:id="121" w:name="_Toc31077"/>
      <w:bookmarkStart w:id="122" w:name="_Toc28747"/>
      <w:bookmarkStart w:id="123" w:name="_Toc16608"/>
      <w:bookmarkStart w:id="124" w:name="_Toc8637"/>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3"/>
        <w:spacing w:line="360" w:lineRule="auto"/>
        <w:jc w:val="center"/>
        <w:outlineLvl w:val="0"/>
        <w:rPr>
          <w:b/>
          <w:bCs/>
          <w:sz w:val="32"/>
          <w:szCs w:val="32"/>
        </w:rPr>
      </w:pPr>
      <w:bookmarkStart w:id="127" w:name="_Toc7276"/>
      <w:bookmarkStart w:id="128" w:name="_Toc3758"/>
      <w:bookmarkStart w:id="129" w:name="_Toc15050"/>
      <w:bookmarkStart w:id="130" w:name="_Toc18443"/>
      <w:bookmarkStart w:id="131" w:name="_Toc14020"/>
      <w:bookmarkStart w:id="132" w:name="_Toc3241"/>
      <w:bookmarkStart w:id="133" w:name="_Toc14853"/>
      <w:bookmarkStart w:id="134" w:name="_Toc15934"/>
      <w:bookmarkStart w:id="135" w:name="_Toc20854"/>
    </w:p>
    <w:p>
      <w:pPr>
        <w:pStyle w:val="23"/>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ind w:firstLine="3960" w:firstLineChars="1100"/>
        <w:outlineLvl w:val="0"/>
        <w:rPr>
          <w:b/>
          <w:bCs/>
          <w:sz w:val="36"/>
          <w:szCs w:val="36"/>
        </w:rPr>
      </w:pPr>
    </w:p>
    <w:bookmarkEnd w:id="123"/>
    <w:bookmarkEnd w:id="124"/>
    <w:p>
      <w:pPr>
        <w:pStyle w:val="22"/>
        <w:numPr>
          <w:ilvl w:val="0"/>
          <w:numId w:val="0"/>
        </w:numPr>
        <w:spacing w:line="360" w:lineRule="auto"/>
        <w:rPr>
          <w:rFonts w:hint="eastAsia" w:ascii="宋体" w:hAnsi="宋体" w:eastAsia="宋体" w:cs="宋体"/>
          <w:kern w:val="0"/>
          <w:sz w:val="21"/>
          <w:szCs w:val="21"/>
          <w:lang w:val="en-US" w:eastAsia="zh-CN" w:bidi="ar-SA"/>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必须是具有独立承担民事责任的能力：提供在中华人民共和国境内注册的法人或其他组织的营业执照或事业单位法人证书或社会团体法人登记证书复印件，如为自然人的提供自然人身份证明复印件；如国家另有规定的，则从其规定。（分公司投标，须取得具有法人资格的总公司（总所）出具给分公司的授权书，并提供总公司（总所）和分公司的营业执照（执业许可证）复印件及加盖公章。已由总公司（总所）授权的，总公司（总所）取得的相关资质证书对分公司有效，法律法规或者行业另有规定的除外）。</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具有良好的商业信誉和健全的财务会计制度：提供《供应商的资格声明函》，格式自拟，并加盖公章。</w:t>
      </w:r>
      <w:bookmarkStart w:id="136" w:name="_GoBack"/>
      <w:bookmarkEnd w:id="136"/>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具有履行合同所必需的设备和专业技术能力：提供《供应商的资格声明函》，格式自拟，并加盖公章。</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具有依法缴纳税收和社会保障资金的良好记录：提供《供应商的资格声明函》，格式自拟，并加盖公章。</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参加政府采购活动前三年内，在经营活动中没有重大违法记录【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提供《供应商的资格声明函》，格式自拟，并加盖公章。</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法律、行政法规规定的其他条件：提供《供应商的资格声明函》，格式自拟，并加盖公章。</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未被列入“信用中国”网站(www.creditchina.gov.cn)“失信被执行人、重大税收违法失信主体、政府采购严重违法失信行为”记录名单；没有处于中国政府采购网(www.ccgp.gov.cn)“政府采购严重违法失信行为信息记录”中的禁止参加政府采购活动期间（以采购人于投标（响应） 截止时间当天在“信用中国”网站（www.creditchina.gov.cn） 及中国政府采购网（http://www.ccgp.gov.cn/） 查询结果为准， 如相关失信记录已失效， 供应商需提供相关证明资料）。</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单位负责人为同一人或者存在直接控股、管理关系的不同供应商，不得同时参加本采购项目报价。提供全国企业信用信息公示系统相关信息截图或书面声明，并加盖公章。</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本项目不接受联合体投标、分包、转包。需提供承诺函，承诺函必须包含相关文字内容，格式自拟，并加盖供应商公章</w:t>
      </w:r>
    </w:p>
    <w:p>
      <w:pPr>
        <w:pStyle w:val="22"/>
        <w:numPr>
          <w:ilvl w:val="0"/>
          <w:numId w:val="0"/>
        </w:numPr>
        <w:spacing w:line="360" w:lineRule="auto"/>
        <w:rPr>
          <w:rFonts w:hint="eastAsia" w:ascii="宋体" w:hAnsi="宋体" w:eastAsia="宋体" w:cs="宋体"/>
          <w:kern w:val="0"/>
          <w:sz w:val="21"/>
          <w:szCs w:val="21"/>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D8344AC"/>
    <w:rsid w:val="14C35BD0"/>
    <w:rsid w:val="14EF6DCA"/>
    <w:rsid w:val="172327DB"/>
    <w:rsid w:val="1B060F39"/>
    <w:rsid w:val="1D177890"/>
    <w:rsid w:val="1D2A0A29"/>
    <w:rsid w:val="1EF609CD"/>
    <w:rsid w:val="1FBF47AD"/>
    <w:rsid w:val="21293969"/>
    <w:rsid w:val="21402D3F"/>
    <w:rsid w:val="22587BCC"/>
    <w:rsid w:val="24B94269"/>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5C604B8"/>
    <w:rsid w:val="462142EB"/>
    <w:rsid w:val="468C4D8C"/>
    <w:rsid w:val="46A2484B"/>
    <w:rsid w:val="47BA27C5"/>
    <w:rsid w:val="4C4F110A"/>
    <w:rsid w:val="4FE82879"/>
    <w:rsid w:val="508A631B"/>
    <w:rsid w:val="51701B4D"/>
    <w:rsid w:val="548C5956"/>
    <w:rsid w:val="55252680"/>
    <w:rsid w:val="563C073B"/>
    <w:rsid w:val="597F2160"/>
    <w:rsid w:val="5A9932D8"/>
    <w:rsid w:val="5B125F66"/>
    <w:rsid w:val="5C5762BC"/>
    <w:rsid w:val="5C85526A"/>
    <w:rsid w:val="5C952952"/>
    <w:rsid w:val="5EDB7DEF"/>
    <w:rsid w:val="611E41E2"/>
    <w:rsid w:val="639C77AA"/>
    <w:rsid w:val="64DB34C0"/>
    <w:rsid w:val="658C3CFB"/>
    <w:rsid w:val="65F91CA0"/>
    <w:rsid w:val="66C035C3"/>
    <w:rsid w:val="69E20917"/>
    <w:rsid w:val="6DF1127F"/>
    <w:rsid w:val="6F523856"/>
    <w:rsid w:val="6FB966A4"/>
    <w:rsid w:val="6FDD7D54"/>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9</TotalTime>
  <ScaleCrop>false</ScaleCrop>
  <LinksUpToDate>false</LinksUpToDate>
  <CharactersWithSpaces>2079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2023-07-24T02:09:57Z</cp:lastPrinted>
  <dcterms:modified xsi:type="dcterms:W3CDTF">2023-07-24T02:13:50Z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03868452ACAB4E88927B4A3F78A6F11E_13</vt:lpwstr>
  </property>
</Properties>
</file>