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6091"/>
      <w:bookmarkStart w:id="2" w:name="_Toc3493"/>
      <w:bookmarkStart w:id="3" w:name="_Toc15365"/>
      <w:bookmarkStart w:id="4" w:name="_Toc14315"/>
      <w:bookmarkStart w:id="5" w:name="_Toc17040"/>
      <w:bookmarkStart w:id="6" w:name="_Toc15553"/>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污水处理消毒粉剂采购项目</w:t>
      </w:r>
    </w:p>
    <w:p>
      <w:pPr>
        <w:spacing w:line="240" w:lineRule="auto"/>
        <w:jc w:val="center"/>
        <w:rPr>
          <w:rFonts w:hint="eastAsia" w:eastAsia="宋体"/>
          <w:sz w:val="24"/>
          <w:lang w:val="en-US" w:eastAsia="zh-CN"/>
        </w:rPr>
      </w:pPr>
    </w:p>
    <w:p>
      <w:pPr>
        <w:spacing w:line="240" w:lineRule="auto"/>
        <w:jc w:val="center"/>
        <w:rPr>
          <w:rFonts w:hint="eastAsia" w:eastAsia="宋体"/>
          <w:sz w:val="24"/>
          <w:lang w:val="en-US" w:eastAsia="zh-CN"/>
        </w:rPr>
      </w:pP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NYWYH2023000</w:t>
      </w:r>
      <w:r>
        <w:rPr>
          <w:rFonts w:hint="eastAsia" w:ascii="宋体" w:hAnsi="宋体"/>
          <w:b/>
          <w:bCs/>
          <w:color w:val="auto"/>
          <w:sz w:val="36"/>
          <w:szCs w:val="36"/>
          <w:highlight w:val="none"/>
          <w:lang w:val="en-US" w:eastAsia="zh-CN"/>
        </w:rPr>
        <w:t>6</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5</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（如：南方医科大学第五附属医院污水处理消毒粉剂采购项目+NYWYH2023000</w:t>
      </w:r>
      <w:r>
        <w:rPr>
          <w:rFonts w:hint="eastAsia" w:ascii="宋体" w:hAnsi="宋体" w:cs="宋体"/>
          <w:color w:val="0000FF"/>
          <w:kern w:val="0"/>
          <w:sz w:val="24"/>
          <w:lang w:val="en-US" w:eastAsia="zh-CN"/>
        </w:rPr>
        <w:t>6</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bCs/>
          <w:color w:val="auto"/>
          <w:sz w:val="24"/>
          <w:szCs w:val="24"/>
        </w:rPr>
      </w:pPr>
      <w:r>
        <w:rPr>
          <w:rFonts w:hint="eastAsia" w:ascii="宋体" w:hAnsi="宋体" w:cs="Times New Roman"/>
          <w:sz w:val="24"/>
        </w:rPr>
        <w:t>供应商法定代表人授权</w:t>
      </w:r>
      <w:r>
        <w:rPr>
          <w:rFonts w:hint="eastAsia" w:ascii="宋体" w:hAnsi="宋体"/>
          <w:bCs/>
          <w:color w:val="auto"/>
          <w:sz w:val="24"/>
          <w:szCs w:val="24"/>
        </w:rPr>
        <w:t>委托书（详见相关格式文件）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p>
      <w:pPr>
        <w:pStyle w:val="22"/>
        <w:numPr>
          <w:ilvl w:val="0"/>
          <w:numId w:val="2"/>
        </w:numPr>
        <w:spacing w:line="360" w:lineRule="auto"/>
        <w:ind w:left="840" w:leftChars="0" w:firstLineChars="0"/>
        <w:rPr>
          <w:rFonts w:hint="eastAsia" w:ascii="宋体" w:hAnsi="宋体" w:eastAsia="宋体" w:cs="宋体"/>
          <w:sz w:val="24"/>
          <w:szCs w:val="24"/>
          <w:lang w:val="zh-CN" w:eastAsia="zh-CN"/>
        </w:rPr>
      </w:pPr>
      <w:r>
        <w:rPr>
          <w:rFonts w:hint="eastAsia" w:ascii="宋体" w:hAnsi="宋体" w:eastAsia="宋体" w:cs="Times New Roman"/>
          <w:color w:val="auto"/>
          <w:kern w:val="2"/>
          <w:sz w:val="24"/>
          <w:szCs w:val="22"/>
          <w:lang w:val="zh-CN" w:eastAsia="zh-CN" w:bidi="ar-SA"/>
        </w:rPr>
        <w:t>所提供消毒粉需在全国消毒产品网上备案信息服务平台备案（https://credit.jdzx.net.cn/xdcp/loginPage.do），</w:t>
      </w:r>
      <w:r>
        <w:rPr>
          <w:rFonts w:hint="eastAsia" w:ascii="宋体" w:hAnsi="宋体" w:eastAsia="宋体" w:cs="宋体"/>
          <w:sz w:val="24"/>
          <w:szCs w:val="24"/>
          <w:lang w:val="zh-CN" w:eastAsia="zh-CN"/>
        </w:rPr>
        <w:t>需附上产品备案的截图信息和相关文件可证明消毒粉剂适用于“医院污水”消毒，并加盖供应商公章。</w:t>
      </w:r>
    </w:p>
    <w:p>
      <w:pPr>
        <w:pStyle w:val="22"/>
        <w:numPr>
          <w:ilvl w:val="0"/>
          <w:numId w:val="2"/>
        </w:numPr>
        <w:spacing w:line="360" w:lineRule="auto"/>
        <w:ind w:left="840" w:leftChars="0" w:firstLineChars="0"/>
        <w:rPr>
          <w:rFonts w:hint="eastAsia" w:ascii="宋体" w:hAnsi="宋体" w:eastAsia="宋体" w:cs="宋体"/>
          <w:sz w:val="24"/>
          <w:szCs w:val="24"/>
          <w:lang w:val="zh-CN" w:eastAsia="zh-CN"/>
        </w:rPr>
      </w:pPr>
      <w:r>
        <w:rPr>
          <w:rFonts w:hint="eastAsia" w:ascii="宋体" w:hAnsi="宋体" w:eastAsia="宋体" w:cs="宋体"/>
          <w:color w:val="000000"/>
          <w:sz w:val="24"/>
          <w:szCs w:val="24"/>
        </w:rPr>
        <w:t>本项目不接受联合体投标、分包、转包。</w:t>
      </w:r>
      <w:r>
        <w:rPr>
          <w:rFonts w:hint="eastAsia" w:ascii="宋体" w:hAnsi="宋体" w:eastAsia="宋体" w:cs="宋体"/>
          <w:color w:val="000000"/>
          <w:sz w:val="24"/>
          <w:szCs w:val="24"/>
          <w:lang w:eastAsia="zh-CN"/>
        </w:rPr>
        <w:t>需</w:t>
      </w:r>
      <w:r>
        <w:rPr>
          <w:rFonts w:hint="eastAsia" w:ascii="宋体" w:hAnsi="宋体" w:eastAsia="宋体" w:cs="宋体"/>
          <w:color w:val="000000"/>
          <w:sz w:val="24"/>
          <w:szCs w:val="24"/>
        </w:rPr>
        <w:t>提供承诺函，承诺函必须包含相关文字内容，格式自拟，并加盖供应商公章</w:t>
      </w:r>
      <w:r>
        <w:rPr>
          <w:rFonts w:hint="eastAsia" w:ascii="宋体" w:hAnsi="宋体" w:eastAsia="宋体" w:cs="宋体"/>
          <w:color w:val="000000"/>
          <w:sz w:val="24"/>
          <w:szCs w:val="24"/>
          <w:lang w:eastAsia="zh-CN"/>
        </w:rPr>
        <w:t>。</w:t>
      </w:r>
    </w:p>
    <w:p>
      <w:pPr>
        <w:keepNext w:val="0"/>
        <w:keepLines w:val="0"/>
        <w:pageBreakBefore w:val="0"/>
        <w:tabs>
          <w:tab w:val="left" w:pos="0"/>
        </w:tabs>
        <w:kinsoku/>
        <w:wordWrap/>
        <w:overflowPunct/>
        <w:topLinePunct w:val="0"/>
        <w:bidi w:val="0"/>
        <w:spacing w:line="440" w:lineRule="exact"/>
        <w:ind w:firstLine="480" w:firstLineChars="200"/>
        <w:textAlignment w:val="auto"/>
        <w:rPr>
          <w:rFonts w:hint="eastAsia" w:ascii="宋体" w:hAnsi="宋体" w:eastAsia="宋体" w:cs="宋体"/>
          <w:color w:val="000000"/>
          <w:sz w:val="24"/>
          <w:szCs w:val="24"/>
          <w:lang w:eastAsia="zh-CN"/>
        </w:rPr>
      </w:pPr>
    </w:p>
    <w:p>
      <w:pPr>
        <w:pStyle w:val="22"/>
        <w:numPr>
          <w:ilvl w:val="0"/>
          <w:numId w:val="0"/>
        </w:numPr>
        <w:spacing w:line="360" w:lineRule="auto"/>
        <w:ind w:left="420" w:leftChars="0"/>
        <w:rPr>
          <w:rFonts w:hint="eastAsia" w:ascii="宋体" w:hAnsi="宋体"/>
          <w:bCs/>
          <w:color w:val="auto"/>
          <w:sz w:val="24"/>
          <w:szCs w:val="24"/>
          <w:lang w:val="en-US" w:eastAsia="zh-CN"/>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2"/>
        <w:rPr>
          <w:rFonts w:hint="eastAsia" w:ascii="宋体" w:hAnsi="宋体" w:cs="宋体"/>
          <w:b/>
          <w:kern w:val="0"/>
          <w:sz w:val="32"/>
          <w:szCs w:val="32"/>
          <w:lang w:eastAsia="zh-CN"/>
        </w:rPr>
      </w:pPr>
      <w:bookmarkStart w:id="12" w:name="_Toc31053"/>
      <w:bookmarkStart w:id="13" w:name="_Toc6151"/>
      <w:bookmarkStart w:id="14" w:name="_Toc24"/>
      <w:bookmarkStart w:id="15" w:name="_Toc28528"/>
      <w:bookmarkStart w:id="16" w:name="_Toc31740"/>
      <w:bookmarkStart w:id="17" w:name="_Toc14488"/>
      <w:bookmarkStart w:id="18" w:name="_Toc25869"/>
      <w:bookmarkStart w:id="19" w:name="_Toc6408"/>
      <w:bookmarkStart w:id="20" w:name="_Toc17375"/>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35"/>
      <w:bookmarkStart w:id="22" w:name="_Toc40776111"/>
      <w:bookmarkStart w:id="23" w:name="_Toc7291"/>
      <w:bookmarkStart w:id="24" w:name="_Toc21249"/>
      <w:bookmarkStart w:id="25" w:name="_Toc12520"/>
      <w:bookmarkStart w:id="26" w:name="_Toc28703"/>
      <w:bookmarkStart w:id="27" w:name="_Toc11075"/>
      <w:bookmarkStart w:id="28" w:name="_Toc29113"/>
      <w:bookmarkStart w:id="29" w:name="_Toc26267"/>
      <w:bookmarkStart w:id="30" w:name="_Toc40346375"/>
      <w:bookmarkStart w:id="31" w:name="_Toc8364"/>
      <w:bookmarkStart w:id="32" w:name="_Toc11305"/>
      <w:bookmarkStart w:id="33" w:name="_Toc40346216"/>
      <w:bookmarkStart w:id="34" w:name="_Toc1994"/>
      <w:bookmarkStart w:id="35" w:name="_Toc15870"/>
      <w:bookmarkStart w:id="36" w:name="_Toc6547"/>
      <w:bookmarkStart w:id="37" w:name="_Toc3471"/>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709"/>
      <w:bookmarkStart w:id="41" w:name="_Toc40776112"/>
      <w:bookmarkStart w:id="42" w:name="_Toc20884"/>
      <w:bookmarkStart w:id="43" w:name="_Toc1743"/>
      <w:bookmarkStart w:id="44" w:name="_Toc27997"/>
      <w:bookmarkStart w:id="45" w:name="_Toc40346376"/>
    </w:p>
    <w:p>
      <w:pPr>
        <w:widowControl/>
        <w:spacing w:line="360" w:lineRule="auto"/>
        <w:ind w:firstLine="600"/>
        <w:outlineLvl w:val="0"/>
        <w:rPr>
          <w:rFonts w:cs="宋体"/>
          <w:kern w:val="0"/>
          <w:sz w:val="30"/>
          <w:szCs w:val="30"/>
        </w:rPr>
      </w:pPr>
      <w:bookmarkStart w:id="46" w:name="_Toc23097"/>
      <w:bookmarkStart w:id="47" w:name="_Toc29102"/>
      <w:bookmarkStart w:id="48" w:name="_Toc2012"/>
      <w:bookmarkStart w:id="49" w:name="_Toc19699"/>
      <w:bookmarkStart w:id="50" w:name="_Toc30979"/>
      <w:bookmarkStart w:id="51" w:name="_Toc2029"/>
      <w:bookmarkStart w:id="52" w:name="_Toc31538"/>
      <w:bookmarkStart w:id="53" w:name="_Toc11485"/>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1141"/>
      <w:bookmarkStart w:id="56" w:name="_Toc28064"/>
      <w:bookmarkStart w:id="57" w:name="_Toc12645"/>
      <w:bookmarkStart w:id="58" w:name="_Toc24763"/>
      <w:bookmarkStart w:id="59" w:name="_Toc29767"/>
      <w:bookmarkStart w:id="60" w:name="_Toc40346218"/>
      <w:bookmarkStart w:id="61" w:name="_Toc14824"/>
      <w:bookmarkStart w:id="62" w:name="_Toc17930"/>
      <w:bookmarkStart w:id="63" w:name="_Toc27867"/>
      <w:bookmarkStart w:id="64" w:name="_Toc7052"/>
      <w:bookmarkStart w:id="65" w:name="_Toc40346377"/>
      <w:bookmarkStart w:id="66" w:name="_Toc21483"/>
      <w:bookmarkStart w:id="67" w:name="_Toc11558"/>
      <w:bookmarkStart w:id="68" w:name="_Toc40776113"/>
      <w:bookmarkStart w:id="69" w:name="_Toc16794"/>
      <w:bookmarkStart w:id="70" w:name="_Toc31993"/>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563"/>
      <w:bookmarkStart w:id="73" w:name="_Toc27771"/>
      <w:bookmarkStart w:id="74" w:name="_Toc6438"/>
      <w:bookmarkStart w:id="75" w:name="_Toc16813"/>
      <w:bookmarkStart w:id="76" w:name="_Toc26029"/>
      <w:bookmarkStart w:id="77" w:name="_Toc1324"/>
      <w:bookmarkStart w:id="78" w:name="_Toc17537"/>
      <w:bookmarkStart w:id="79" w:name="_Toc11334"/>
      <w:bookmarkStart w:id="80" w:name="_Toc40346378"/>
      <w:bookmarkStart w:id="81" w:name="_Toc24651"/>
      <w:bookmarkStart w:id="82" w:name="_Toc19831"/>
      <w:bookmarkStart w:id="83" w:name="_Toc9883"/>
      <w:bookmarkStart w:id="84" w:name="_Toc32709"/>
      <w:bookmarkStart w:id="85" w:name="_Toc40776114"/>
      <w:bookmarkStart w:id="86" w:name="_Toc14287"/>
      <w:bookmarkStart w:id="87" w:name="_Toc31197"/>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0336"/>
      <w:bookmarkStart w:id="90" w:name="_Toc5634"/>
      <w:bookmarkStart w:id="91" w:name="_Toc40346220"/>
      <w:bookmarkStart w:id="92" w:name="_Toc13222"/>
      <w:bookmarkStart w:id="93" w:name="_Toc21686"/>
      <w:bookmarkStart w:id="94" w:name="_Toc40346379"/>
      <w:bookmarkStart w:id="95" w:name="_Toc18353"/>
      <w:bookmarkStart w:id="96" w:name="_Toc17483"/>
      <w:bookmarkStart w:id="97" w:name="_Toc3895"/>
      <w:bookmarkStart w:id="98" w:name="_Toc5189"/>
      <w:bookmarkStart w:id="99" w:name="_Toc40776115"/>
      <w:bookmarkStart w:id="100" w:name="_Toc20994"/>
      <w:bookmarkStart w:id="101" w:name="_Toc12650"/>
      <w:bookmarkStart w:id="102" w:name="_Toc14586"/>
      <w:bookmarkStart w:id="103" w:name="_Toc21940"/>
      <w:bookmarkStart w:id="104" w:name="_Toc27868"/>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0856"/>
      <w:bookmarkStart w:id="107" w:name="_Toc8526"/>
      <w:bookmarkStart w:id="108" w:name="_Toc30904"/>
      <w:bookmarkStart w:id="109" w:name="_Toc40346380"/>
      <w:bookmarkStart w:id="110" w:name="_Toc5220"/>
      <w:bookmarkStart w:id="111" w:name="_Toc40346221"/>
      <w:bookmarkStart w:id="112" w:name="_Toc11547"/>
      <w:bookmarkStart w:id="113" w:name="_Toc10454"/>
      <w:bookmarkStart w:id="114" w:name="_Toc32371"/>
      <w:bookmarkStart w:id="115" w:name="_Toc12127"/>
      <w:bookmarkStart w:id="116" w:name="_Toc9282"/>
      <w:bookmarkStart w:id="117" w:name="_Toc40776116"/>
      <w:bookmarkStart w:id="118" w:name="_Toc3498"/>
      <w:bookmarkStart w:id="119" w:name="_Toc21449"/>
      <w:bookmarkStart w:id="120" w:name="_Toc27646"/>
      <w:bookmarkStart w:id="121" w:name="_Toc14462"/>
      <w:bookmarkStart w:id="122" w:name="_Toc2700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23" w:name="_Toc15539"/>
      <w:bookmarkStart w:id="124" w:name="_Toc10399"/>
      <w:bookmarkStart w:id="125" w:name="_Toc21213"/>
      <w:bookmarkStart w:id="126" w:name="_Toc9697"/>
      <w:bookmarkStart w:id="127" w:name="_Toc13184"/>
      <w:bookmarkStart w:id="128" w:name="_Toc6691"/>
      <w:bookmarkStart w:id="129" w:name="_Toc16728"/>
      <w:bookmarkStart w:id="130" w:name="_Toc28747"/>
      <w:bookmarkStart w:id="131" w:name="_Toc31077"/>
      <w:bookmarkStart w:id="132" w:name="_Toc8637"/>
      <w:bookmarkStart w:id="133"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3241"/>
      <w:bookmarkStart w:id="137" w:name="_Toc14853"/>
      <w:bookmarkStart w:id="138" w:name="_Toc18443"/>
      <w:bookmarkStart w:id="139" w:name="_Toc14020"/>
      <w:bookmarkStart w:id="140" w:name="_Toc3758"/>
      <w:bookmarkStart w:id="141" w:name="_Toc15050"/>
      <w:bookmarkStart w:id="142" w:name="_Toc15934"/>
      <w:bookmarkStart w:id="143" w:name="_Toc7276"/>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ind w:left="420"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p>
      <w:pPr>
        <w:pStyle w:val="22"/>
        <w:numPr>
          <w:ilvl w:val="0"/>
          <w:numId w:val="0"/>
        </w:numPr>
        <w:spacing w:line="360" w:lineRule="auto"/>
        <w:ind w:left="420" w:leftChars="0"/>
        <w:rPr>
          <w:rFonts w:hint="eastAsia" w:ascii="宋体" w:hAnsi="宋体" w:eastAsia="宋体" w:cs="宋体"/>
          <w:color w:val="000000"/>
          <w:sz w:val="24"/>
          <w:szCs w:val="24"/>
          <w:lang w:val="zh-CN" w:eastAsia="zh-CN"/>
        </w:rPr>
      </w:pPr>
    </w:p>
    <w:p>
      <w:pPr>
        <w:pStyle w:val="22"/>
        <w:numPr>
          <w:ilvl w:val="0"/>
          <w:numId w:val="0"/>
        </w:numPr>
        <w:spacing w:line="360" w:lineRule="auto"/>
        <w:ind w:left="420" w:leftChars="0"/>
        <w:rPr>
          <w:rFonts w:hint="eastAsia" w:ascii="宋体" w:hAnsi="宋体" w:eastAsia="宋体" w:cs="宋体"/>
          <w:color w:val="000000"/>
          <w:sz w:val="24"/>
          <w:szCs w:val="24"/>
          <w:lang w:val="zh-CN" w:eastAsia="zh-CN"/>
        </w:rPr>
      </w:pPr>
    </w:p>
    <w:p>
      <w:pPr>
        <w:pStyle w:val="22"/>
        <w:numPr>
          <w:ilvl w:val="0"/>
          <w:numId w:val="0"/>
        </w:numPr>
        <w:spacing w:line="360" w:lineRule="auto"/>
        <w:ind w:left="420" w:leftChars="0"/>
        <w:rPr>
          <w:rFonts w:hint="eastAsia" w:ascii="宋体" w:hAnsi="宋体" w:eastAsia="宋体" w:cs="宋体"/>
          <w:sz w:val="24"/>
          <w:szCs w:val="24"/>
          <w:lang w:val="zh-CN" w:eastAsia="zh-CN"/>
        </w:rPr>
      </w:pPr>
      <w:r>
        <w:rPr>
          <w:rFonts w:hint="eastAsia" w:ascii="宋体" w:hAnsi="宋体" w:eastAsia="宋体" w:cs="宋体"/>
          <w:color w:val="000000"/>
          <w:sz w:val="24"/>
          <w:szCs w:val="24"/>
          <w:lang w:val="zh-CN" w:eastAsia="zh-CN"/>
        </w:rPr>
        <w:t>所提供消毒粉需在全国消毒产品网上备案信息服务平台备案（https://credit.jdzx.net.cn/xdcp/loginPage.do），需附上产品备</w:t>
      </w:r>
      <w:r>
        <w:rPr>
          <w:rFonts w:hint="eastAsia" w:ascii="宋体" w:hAnsi="宋体" w:eastAsia="宋体" w:cs="宋体"/>
          <w:sz w:val="24"/>
          <w:szCs w:val="24"/>
          <w:lang w:val="zh-CN" w:eastAsia="zh-CN"/>
        </w:rPr>
        <w:t>案的截图信息和相关文件可证明消毒粉剂适用于“医院污水”消毒，并加盖供应商公章。</w:t>
      </w:r>
    </w:p>
    <w:p>
      <w:pPr>
        <w:pStyle w:val="22"/>
        <w:numPr>
          <w:ilvl w:val="0"/>
          <w:numId w:val="0"/>
        </w:numPr>
        <w:spacing w:line="360" w:lineRule="auto"/>
        <w:ind w:left="420" w:leftChars="0"/>
        <w:rPr>
          <w:rFonts w:hint="eastAsia" w:ascii="宋体" w:hAnsi="宋体" w:eastAsia="宋体" w:cs="宋体"/>
          <w:color w:val="000000"/>
          <w:sz w:val="24"/>
          <w:szCs w:val="24"/>
        </w:rPr>
      </w:pPr>
    </w:p>
    <w:p>
      <w:pPr>
        <w:pStyle w:val="22"/>
        <w:numPr>
          <w:ilvl w:val="0"/>
          <w:numId w:val="0"/>
        </w:numPr>
        <w:spacing w:line="360" w:lineRule="auto"/>
        <w:ind w:left="420" w:leftChars="0"/>
        <w:rPr>
          <w:rFonts w:hint="eastAsia" w:ascii="宋体" w:hAnsi="宋体" w:eastAsia="宋体" w:cs="宋体"/>
          <w:color w:val="000000"/>
          <w:sz w:val="24"/>
          <w:szCs w:val="24"/>
        </w:rPr>
      </w:pPr>
    </w:p>
    <w:p>
      <w:pPr>
        <w:pStyle w:val="22"/>
        <w:numPr>
          <w:ilvl w:val="0"/>
          <w:numId w:val="0"/>
        </w:numPr>
        <w:spacing w:line="360" w:lineRule="auto"/>
        <w:ind w:left="420" w:leftChars="0"/>
        <w:rPr>
          <w:rFonts w:hint="eastAsia" w:ascii="宋体" w:hAnsi="宋体" w:eastAsia="宋体" w:cs="宋体"/>
          <w:sz w:val="24"/>
          <w:szCs w:val="24"/>
          <w:lang w:val="zh-CN" w:eastAsia="zh-CN"/>
        </w:rPr>
      </w:pPr>
      <w:r>
        <w:rPr>
          <w:rFonts w:hint="eastAsia" w:ascii="宋体" w:hAnsi="宋体" w:eastAsia="宋体" w:cs="宋体"/>
          <w:color w:val="000000"/>
          <w:sz w:val="24"/>
          <w:szCs w:val="24"/>
        </w:rPr>
        <w:t>本项目不接受联合体投标、分包、转包。</w:t>
      </w:r>
      <w:r>
        <w:rPr>
          <w:rFonts w:hint="eastAsia" w:ascii="宋体" w:hAnsi="宋体" w:eastAsia="宋体" w:cs="宋体"/>
          <w:color w:val="000000"/>
          <w:sz w:val="24"/>
          <w:szCs w:val="24"/>
          <w:lang w:eastAsia="zh-CN"/>
        </w:rPr>
        <w:t>需</w:t>
      </w:r>
      <w:r>
        <w:rPr>
          <w:rFonts w:hint="eastAsia" w:ascii="宋体" w:hAnsi="宋体" w:eastAsia="宋体" w:cs="宋体"/>
          <w:color w:val="000000"/>
          <w:sz w:val="24"/>
          <w:szCs w:val="24"/>
        </w:rPr>
        <w:t>提供承诺函，承诺函必须包含相关文字内容，格式自拟，并加盖供应商公章</w:t>
      </w:r>
      <w:r>
        <w:rPr>
          <w:rFonts w:hint="eastAsia" w:ascii="宋体" w:hAnsi="宋体" w:eastAsia="宋体" w:cs="宋体"/>
          <w:color w:val="000000"/>
          <w:sz w:val="24"/>
          <w:szCs w:val="24"/>
          <w:lang w:eastAsia="zh-CN"/>
        </w:rPr>
        <w:t>。</w:t>
      </w:r>
      <w:bookmarkStart w:id="145" w:name="_GoBack"/>
      <w:bookmarkEnd w:id="145"/>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E26476D"/>
    <w:rsid w:val="2E4520F6"/>
    <w:rsid w:val="30452C70"/>
    <w:rsid w:val="33590381"/>
    <w:rsid w:val="33D07732"/>
    <w:rsid w:val="33E86666"/>
    <w:rsid w:val="34D33DC9"/>
    <w:rsid w:val="35115140"/>
    <w:rsid w:val="3570550C"/>
    <w:rsid w:val="370768B5"/>
    <w:rsid w:val="37E65F71"/>
    <w:rsid w:val="39056E6A"/>
    <w:rsid w:val="39102554"/>
    <w:rsid w:val="3DA34BDA"/>
    <w:rsid w:val="429E024C"/>
    <w:rsid w:val="42FE1FCA"/>
    <w:rsid w:val="4352242D"/>
    <w:rsid w:val="45C604B8"/>
    <w:rsid w:val="468C4D8C"/>
    <w:rsid w:val="46A2484B"/>
    <w:rsid w:val="4C4F110A"/>
    <w:rsid w:val="508A631B"/>
    <w:rsid w:val="51701B4D"/>
    <w:rsid w:val="548C5956"/>
    <w:rsid w:val="55252680"/>
    <w:rsid w:val="563C073B"/>
    <w:rsid w:val="597F2160"/>
    <w:rsid w:val="5A9932D8"/>
    <w:rsid w:val="5B125F66"/>
    <w:rsid w:val="5C5762BC"/>
    <w:rsid w:val="5C952952"/>
    <w:rsid w:val="5EDB7DEF"/>
    <w:rsid w:val="639C77AA"/>
    <w:rsid w:val="64DB34C0"/>
    <w:rsid w:val="658C3CFB"/>
    <w:rsid w:val="65F91CA0"/>
    <w:rsid w:val="66C035C3"/>
    <w:rsid w:val="69E20917"/>
    <w:rsid w:val="6DF1127F"/>
    <w:rsid w:val="6F523856"/>
    <w:rsid w:val="6FB966A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1511</Words>
  <Characters>1672</Characters>
  <Lines>18</Lines>
  <Paragraphs>5</Paragraphs>
  <TotalTime>1</TotalTime>
  <ScaleCrop>false</ScaleCrop>
  <LinksUpToDate>false</LinksUpToDate>
  <CharactersWithSpaces>2116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2023-05-22T08:11:43Z</cp:lastPrinted>
  <dcterms:modified xsi:type="dcterms:W3CDTF">2023-05-22T08:11:58Z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