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4315"/>
      <w:bookmarkStart w:id="3" w:name="_Toc16091"/>
      <w:bookmarkStart w:id="4" w:name="_Toc15553"/>
      <w:bookmarkStart w:id="5" w:name="_Toc3493"/>
      <w:bookmarkStart w:id="6" w:name="_Toc15189"/>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b/>
          <w:bCs w:val="0"/>
          <w:color w:val="auto"/>
          <w:kern w:val="0"/>
          <w:sz w:val="48"/>
          <w:szCs w:val="48"/>
          <w:highlight w:val="none"/>
          <w:lang w:val="en-US" w:eastAsia="zh-CN"/>
        </w:rPr>
      </w:pPr>
      <w:r>
        <w:rPr>
          <w:rFonts w:hint="eastAsia" w:ascii="宋体" w:hAnsi="宋体"/>
          <w:b/>
          <w:bCs w:val="0"/>
          <w:color w:val="auto"/>
          <w:kern w:val="0"/>
          <w:sz w:val="48"/>
          <w:szCs w:val="48"/>
          <w:highlight w:val="none"/>
          <w:lang w:val="en-US" w:eastAsia="zh-CN"/>
        </w:rPr>
        <w:t>医学考试系统项目</w:t>
      </w:r>
    </w:p>
    <w:p>
      <w:pPr>
        <w:jc w:val="center"/>
        <w:rPr>
          <w:rFonts w:hint="eastAsia" w:ascii="宋体" w:hAnsi="宋体"/>
          <w:b/>
          <w:kern w:val="0"/>
          <w:sz w:val="44"/>
          <w:szCs w:val="44"/>
        </w:rPr>
      </w:pPr>
    </w:p>
    <w:p>
      <w:pPr>
        <w:pStyle w:val="15"/>
        <w:rPr>
          <w:rFonts w:ascii="宋体" w:hAnsi="宋体"/>
          <w:b/>
          <w:kern w:val="0"/>
          <w:sz w:val="44"/>
          <w:szCs w:val="44"/>
        </w:rPr>
      </w:pPr>
    </w:p>
    <w:p>
      <w:pPr>
        <w:pStyle w:val="15"/>
        <w:rPr>
          <w:rFonts w:ascii="宋体" w:hAnsi="宋体"/>
          <w:b/>
          <w:kern w:val="0"/>
          <w:sz w:val="44"/>
          <w:szCs w:val="44"/>
        </w:rPr>
      </w:pPr>
    </w:p>
    <w:p>
      <w:pPr>
        <w:pStyle w:val="15"/>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5"/>
      </w:pPr>
    </w:p>
    <w:p>
      <w:pPr>
        <w:pStyle w:val="15"/>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val="0"/>
          <w:color w:val="auto"/>
          <w:kern w:val="0"/>
          <w:sz w:val="36"/>
          <w:szCs w:val="36"/>
          <w:highlight w:val="none"/>
          <w:lang w:val="en-US" w:eastAsia="zh-CN"/>
        </w:rPr>
        <w:t>NYWYF20230007</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15"/>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5"/>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5"/>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5"/>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5"/>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5"/>
        <w:spacing w:line="360" w:lineRule="auto"/>
        <w:ind w:firstLine="420"/>
        <w:rPr>
          <w:rFonts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15"/>
        <w:spacing w:line="400" w:lineRule="exact"/>
        <w:ind w:firstLine="480" w:firstLineChars="200"/>
        <w:rPr>
          <w:rFonts w:hint="eastAsia" w:ascii="宋体" w:hAnsi="宋体" w:cs="宋体"/>
          <w:color w:val="0000FF"/>
          <w:sz w:val="24"/>
          <w:szCs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w:t>
      </w:r>
      <w:r>
        <w:rPr>
          <w:rFonts w:hint="eastAsia" w:ascii="宋体" w:hAnsi="宋体" w:cs="宋体"/>
          <w:color w:val="0000FF"/>
          <w:sz w:val="24"/>
          <w:szCs w:val="24"/>
        </w:rPr>
        <w:t>南方医科大学第五附属医院</w:t>
      </w:r>
      <w:r>
        <w:rPr>
          <w:rFonts w:hint="eastAsia" w:ascii="宋体" w:hAnsi="宋体" w:cs="宋体"/>
          <w:color w:val="0000FF"/>
          <w:sz w:val="24"/>
          <w:szCs w:val="24"/>
          <w:lang w:val="en-US" w:eastAsia="zh-CN"/>
        </w:rPr>
        <w:t>医学考试系统项目</w:t>
      </w:r>
      <w:r>
        <w:rPr>
          <w:rFonts w:hint="eastAsia" w:ascii="宋体" w:hAnsi="宋体" w:cs="宋体"/>
          <w:color w:val="0000FF"/>
          <w:sz w:val="24"/>
          <w:szCs w:val="24"/>
        </w:rPr>
        <w:t>+</w:t>
      </w:r>
      <w:r>
        <w:rPr>
          <w:rFonts w:hint="eastAsia" w:ascii="宋体" w:hAnsi="宋体" w:cs="宋体"/>
          <w:color w:val="0000FF"/>
          <w:sz w:val="24"/>
          <w:szCs w:val="24"/>
          <w:lang w:val="en-US" w:eastAsia="zh-CN"/>
        </w:rPr>
        <w:t>NYWYF20230007</w:t>
      </w:r>
      <w:r>
        <w:rPr>
          <w:rFonts w:hint="eastAsia" w:ascii="宋体" w:hAnsi="宋体" w:cs="宋体"/>
          <w:color w:val="0000FF"/>
          <w:sz w:val="24"/>
          <w:szCs w:val="24"/>
        </w:rPr>
        <w:fldChar w:fldCharType="begin"/>
      </w:r>
      <w:r>
        <w:rPr>
          <w:rFonts w:hint="eastAsia" w:ascii="宋体" w:hAnsi="宋体" w:cs="宋体"/>
          <w:color w:val="0000FF"/>
          <w:sz w:val="24"/>
          <w:szCs w:val="24"/>
        </w:rPr>
        <w:instrText xml:space="preserve"> DOCVARIABLE  项目名称  \* MERGEFORMAT </w:instrText>
      </w:r>
      <w:r>
        <w:rPr>
          <w:rFonts w:hint="eastAsia" w:ascii="宋体" w:hAnsi="宋体" w:cs="宋体"/>
          <w:color w:val="0000FF"/>
          <w:sz w:val="24"/>
          <w:szCs w:val="24"/>
        </w:rPr>
        <w:fldChar w:fldCharType="end"/>
      </w:r>
      <w:r>
        <w:rPr>
          <w:rFonts w:hint="eastAsia" w:ascii="宋体" w:hAnsi="宋体" w:cs="宋体"/>
          <w:color w:val="0000FF"/>
          <w:sz w:val="24"/>
          <w:szCs w:val="24"/>
        </w:rPr>
        <w:t>+公司名称）</w:t>
      </w:r>
    </w:p>
    <w:p>
      <w:pPr>
        <w:pStyle w:val="15"/>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15"/>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none"/>
        </w:rPr>
      </w:pPr>
      <w:r>
        <w:rPr>
          <w:rFonts w:hint="eastAsia" w:ascii="宋体" w:hAnsi="宋体"/>
          <w:b/>
          <w:bCs/>
          <w:sz w:val="24"/>
          <w:highlight w:val="none"/>
        </w:rPr>
        <w:t>六、报名资料除封面外，其他材料须双面打印，打印出来的资料盖章后扫描成PDF版，各报名供应商应确保所提供报名资料一定要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none"/>
          <w:lang w:eastAsia="zh-CN"/>
        </w:rPr>
      </w:pPr>
      <w:r>
        <w:rPr>
          <w:rFonts w:hint="eastAsia" w:ascii="宋体" w:hAnsi="宋体"/>
          <w:b/>
          <w:bCs/>
          <w:sz w:val="24"/>
          <w:highlight w:val="none"/>
          <w:lang w:eastAsia="zh-CN"/>
        </w:rPr>
        <w:t>七、</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封面</w:t>
      </w:r>
      <w:r>
        <w:rPr>
          <w:rFonts w:hint="eastAsia" w:ascii="宋体" w:hAnsi="宋体"/>
          <w:bCs/>
          <w:color w:val="0000FF"/>
          <w:sz w:val="24"/>
          <w:szCs w:val="24"/>
        </w:rPr>
        <w:t>（格式详见格式文件）</w:t>
      </w:r>
    </w:p>
    <w:p>
      <w:pPr>
        <w:pStyle w:val="22"/>
        <w:numPr>
          <w:ilvl w:val="0"/>
          <w:numId w:val="2"/>
        </w:numPr>
        <w:spacing w:line="360" w:lineRule="auto"/>
        <w:ind w:firstLineChars="0"/>
        <w:rPr>
          <w:rFonts w:hint="eastAsia" w:ascii="宋体" w:hAnsi="宋体"/>
          <w:color w:val="auto"/>
          <w:sz w:val="24"/>
        </w:rPr>
      </w:pPr>
      <w:r>
        <w:rPr>
          <w:rFonts w:hint="eastAsia" w:ascii="宋体" w:hAnsi="宋体" w:eastAsia="宋体" w:cs="宋体"/>
          <w:color w:val="0000FF"/>
          <w:sz w:val="24"/>
          <w:szCs w:val="24"/>
          <w:highlight w:val="none"/>
        </w:rPr>
        <w:t>必须是中华人民共和国境内注册的独立法人，持有有效的企业法人营业执照（提交有效的营业执照（或事业法人登记证或身份证等相关证明） 副本复印件。分支机构参与响应的的，须提</w:t>
      </w:r>
      <w:r>
        <w:rPr>
          <w:rFonts w:hint="eastAsia" w:ascii="宋体" w:hAnsi="宋体"/>
          <w:color w:val="auto"/>
          <w:sz w:val="24"/>
        </w:rPr>
        <w:t>供总公司和分公司营业执照副本复印件，总公司出具给分支机构的授权书）；</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供应商法定代表人资格证明书</w:t>
      </w:r>
      <w:r>
        <w:rPr>
          <w:rFonts w:hint="eastAsia" w:ascii="宋体" w:hAnsi="宋体"/>
          <w:color w:val="0000FF"/>
          <w:sz w:val="24"/>
        </w:rPr>
        <w:t>（详见相关格式文件）</w:t>
      </w:r>
    </w:p>
    <w:p>
      <w:pPr>
        <w:pStyle w:val="22"/>
        <w:numPr>
          <w:ilvl w:val="0"/>
          <w:numId w:val="2"/>
        </w:numPr>
        <w:spacing w:line="360" w:lineRule="auto"/>
        <w:ind w:firstLineChars="0"/>
        <w:rPr>
          <w:rFonts w:hint="eastAsia" w:ascii="宋体" w:hAnsi="宋体"/>
          <w:color w:val="auto"/>
          <w:sz w:val="24"/>
        </w:rPr>
      </w:pPr>
      <w:r>
        <w:rPr>
          <w:rFonts w:hint="eastAsia" w:ascii="宋体" w:hAnsi="宋体"/>
          <w:color w:val="auto"/>
          <w:sz w:val="24"/>
        </w:rPr>
        <w:t>供应商法定代表人授权委托书</w:t>
      </w:r>
      <w:r>
        <w:rPr>
          <w:rFonts w:hint="eastAsia" w:ascii="宋体" w:hAnsi="宋体"/>
          <w:color w:val="0000FF"/>
          <w:sz w:val="24"/>
        </w:rPr>
        <w:t>（详见相关格式文件）</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具有独立承担民事责任的能力</w:t>
      </w:r>
      <w:r>
        <w:rPr>
          <w:rFonts w:hint="eastAsia" w:ascii="宋体" w:hAnsi="宋体"/>
          <w:color w:val="0000FF"/>
          <w:sz w:val="24"/>
        </w:rPr>
        <w:t>（提供承诺函，承诺函必须包含相关文字内容，格式自拟</w:t>
      </w:r>
      <w:r>
        <w:rPr>
          <w:rFonts w:hint="eastAsia" w:ascii="宋体" w:hAnsi="宋体"/>
          <w:color w:val="0000FF"/>
          <w:sz w:val="24"/>
          <w:lang w:eastAsia="zh-CN"/>
        </w:rPr>
        <w:t>，</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具有良好的商业信誉和健全的财务会计制度</w:t>
      </w:r>
      <w:r>
        <w:rPr>
          <w:rFonts w:hint="eastAsia" w:ascii="宋体" w:hAnsi="宋体"/>
          <w:color w:val="0000FF"/>
          <w:sz w:val="24"/>
        </w:rPr>
        <w:t>（提供承诺函，承诺函必须包含相关文字内容，格式自拟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lang w:eastAsia="zh-CN"/>
        </w:rPr>
        <w:t>，</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rPr>
      </w:pPr>
      <w:r>
        <w:rPr>
          <w:rFonts w:hint="eastAsia" w:ascii="宋体" w:hAnsi="宋体"/>
          <w:color w:val="auto"/>
          <w:sz w:val="24"/>
        </w:rPr>
        <w:t>具有履行合同所必需的设备和专业技术能力</w:t>
      </w:r>
      <w:r>
        <w:rPr>
          <w:rFonts w:hint="eastAsia" w:ascii="宋体" w:hAnsi="宋体"/>
          <w:color w:val="0000FF"/>
          <w:sz w:val="24"/>
        </w:rPr>
        <w:t>(填报设备及专业技术能力情况或者提供承诺函，承诺函必须包含相关文字内容，格式自拟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具有依法缴纳税收和社会保障资金的良好记录</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本项目不接受联合体投标</w:t>
      </w:r>
      <w:r>
        <w:rPr>
          <w:rFonts w:hint="eastAsia" w:ascii="宋体" w:hAnsi="宋体"/>
          <w:color w:val="auto"/>
          <w:sz w:val="24"/>
          <w:lang w:val="en-US" w:eastAsia="zh-CN"/>
        </w:rPr>
        <w:t>不允许分包、转包</w:t>
      </w:r>
      <w:r>
        <w:rPr>
          <w:rFonts w:hint="eastAsia" w:ascii="宋体" w:hAnsi="宋体"/>
          <w:color w:val="0000FF"/>
          <w:sz w:val="24"/>
          <w:lang w:val="zh-CN"/>
        </w:rPr>
        <w:t>（提供承诺函，承诺函必须包含相关文字</w:t>
      </w:r>
      <w:r>
        <w:rPr>
          <w:rFonts w:hint="eastAsia" w:ascii="宋体" w:hAnsi="宋体"/>
          <w:color w:val="0000FF"/>
          <w:sz w:val="24"/>
          <w:lang w:val="zh-CN" w:eastAsia="zh-CN"/>
        </w:rPr>
        <w:t>涵义</w:t>
      </w:r>
      <w:r>
        <w:rPr>
          <w:rFonts w:hint="eastAsia" w:ascii="宋体" w:hAnsi="宋体"/>
          <w:color w:val="0000FF"/>
          <w:sz w:val="24"/>
          <w:lang w:val="zh-CN"/>
        </w:rPr>
        <w:t>内容，并加盖供应商公司公章）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近三年内没有违规违纪记录</w:t>
      </w:r>
      <w:r>
        <w:rPr>
          <w:rFonts w:hint="eastAsia" w:ascii="宋体" w:hAnsi="宋体"/>
          <w:color w:val="0000FF"/>
          <w:sz w:val="24"/>
          <w:lang w:val="zh-CN"/>
        </w:rPr>
        <w:t>（需</w:t>
      </w:r>
      <w:r>
        <w:rPr>
          <w:rFonts w:hint="eastAsia" w:ascii="宋体" w:hAnsi="宋体"/>
          <w:color w:val="0000FF"/>
          <w:sz w:val="24"/>
          <w:lang w:val="zh-CN" w:eastAsia="zh-CN"/>
        </w:rPr>
        <w:t>提供</w:t>
      </w:r>
      <w:r>
        <w:rPr>
          <w:rFonts w:hint="eastAsia" w:ascii="宋体" w:hAnsi="宋体"/>
          <w:color w:val="0000FF"/>
          <w:sz w:val="24"/>
          <w:lang w:val="zh-CN"/>
        </w:rPr>
        <w:t>承诺函，格式自拟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2"/>
        </w:numPr>
        <w:spacing w:line="360" w:lineRule="auto"/>
        <w:ind w:firstLineChars="0"/>
        <w:rPr>
          <w:rFonts w:hint="eastAsia" w:ascii="宋体" w:hAnsi="宋体"/>
          <w:color w:val="0000FF"/>
          <w:sz w:val="24"/>
          <w:lang w:val="zh-CN"/>
        </w:rPr>
      </w:pPr>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0"/>
        </w:numPr>
        <w:spacing w:line="360" w:lineRule="auto"/>
        <w:rPr>
          <w:rFonts w:hint="default" w:ascii="宋体" w:hAnsi="宋体"/>
          <w:bCs/>
          <w:color w:val="0000FF"/>
          <w:sz w:val="24"/>
          <w:szCs w:val="24"/>
          <w:lang w:val="en-US" w:eastAsia="zh-CN"/>
        </w:rPr>
      </w:pPr>
    </w:p>
    <w:p>
      <w:pPr>
        <w:pStyle w:val="22"/>
        <w:spacing w:line="360" w:lineRule="auto"/>
        <w:ind w:firstLine="0" w:firstLineChars="0"/>
        <w:rPr>
          <w:rFonts w:ascii="宋体" w:hAnsi="宋体"/>
          <w:sz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16"/>
      </w:pPr>
    </w:p>
    <w:p>
      <w:pPr>
        <w:pStyle w:val="3"/>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31740"/>
      <w:bookmarkStart w:id="15" w:name="_Toc14488"/>
      <w:bookmarkStart w:id="16" w:name="_Toc17375"/>
      <w:bookmarkStart w:id="17" w:name="_Toc6408"/>
      <w:bookmarkStart w:id="18" w:name="_Toc6151"/>
      <w:bookmarkStart w:id="19" w:name="_Toc2852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28"/>
          <w:szCs w:val="28"/>
        </w:rPr>
      </w:pPr>
      <w:bookmarkStart w:id="145" w:name="_GoBack"/>
      <w:bookmarkEnd w:id="145"/>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2"/>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6547"/>
      <w:bookmarkStart w:id="22" w:name="_Toc40346216"/>
      <w:bookmarkStart w:id="23" w:name="_Toc40346375"/>
      <w:bookmarkStart w:id="24" w:name="_Toc7291"/>
      <w:bookmarkStart w:id="25" w:name="_Toc15870"/>
      <w:bookmarkStart w:id="26" w:name="_Toc28703"/>
      <w:bookmarkStart w:id="27" w:name="_Toc40776111"/>
      <w:bookmarkStart w:id="28" w:name="_Toc1994"/>
      <w:bookmarkStart w:id="29" w:name="_Toc8364"/>
      <w:bookmarkStart w:id="30" w:name="_Toc435"/>
      <w:bookmarkStart w:id="31" w:name="_Toc12520"/>
      <w:bookmarkStart w:id="32" w:name="_Toc11305"/>
      <w:bookmarkStart w:id="33" w:name="_Toc11075"/>
      <w:bookmarkStart w:id="34" w:name="_Toc29113"/>
      <w:bookmarkStart w:id="35" w:name="_Toc26267"/>
      <w:bookmarkStart w:id="36" w:name="_Toc21249"/>
      <w:bookmarkStart w:id="37"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40346217"/>
      <w:bookmarkStart w:id="41" w:name="_Toc1743"/>
      <w:bookmarkStart w:id="42" w:name="_Toc20884"/>
      <w:bookmarkStart w:id="43" w:name="_Toc2916"/>
      <w:bookmarkStart w:id="44" w:name="_Toc17709"/>
      <w:bookmarkStart w:id="45" w:name="_Toc27997"/>
    </w:p>
    <w:p>
      <w:pPr>
        <w:widowControl/>
        <w:spacing w:line="360" w:lineRule="auto"/>
        <w:ind w:firstLine="600"/>
        <w:outlineLvl w:val="0"/>
        <w:rPr>
          <w:rFonts w:cs="宋体"/>
          <w:kern w:val="0"/>
          <w:sz w:val="30"/>
          <w:szCs w:val="30"/>
        </w:rPr>
      </w:pPr>
      <w:bookmarkStart w:id="46" w:name="_Toc31538"/>
      <w:bookmarkStart w:id="47" w:name="_Toc11485"/>
      <w:bookmarkStart w:id="48" w:name="_Toc30979"/>
      <w:bookmarkStart w:id="49" w:name="_Toc2029"/>
      <w:bookmarkStart w:id="50" w:name="_Toc23097"/>
      <w:bookmarkStart w:id="51" w:name="_Toc19699"/>
      <w:bookmarkStart w:id="52" w:name="_Toc2012"/>
      <w:bookmarkStart w:id="53" w:name="_Toc5238"/>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1558"/>
      <w:bookmarkStart w:id="57" w:name="_Toc16794"/>
      <w:bookmarkStart w:id="58" w:name="_Toc4013"/>
      <w:bookmarkStart w:id="59" w:name="_Toc12645"/>
      <w:bookmarkStart w:id="60" w:name="_Toc21483"/>
      <w:bookmarkStart w:id="61" w:name="_Toc24763"/>
      <w:bookmarkStart w:id="62" w:name="_Toc27867"/>
      <w:bookmarkStart w:id="63" w:name="_Toc31993"/>
      <w:bookmarkStart w:id="64" w:name="_Toc40346377"/>
      <w:bookmarkStart w:id="65" w:name="_Toc40776113"/>
      <w:bookmarkStart w:id="66" w:name="_Toc14824"/>
      <w:bookmarkStart w:id="67" w:name="_Toc40346218"/>
      <w:bookmarkStart w:id="68" w:name="_Toc17930"/>
      <w:bookmarkStart w:id="69" w:name="_Toc29767"/>
      <w:bookmarkStart w:id="70" w:name="_Toc11141"/>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1334"/>
      <w:bookmarkStart w:id="73" w:name="_Toc40346378"/>
      <w:bookmarkStart w:id="74" w:name="_Toc26029"/>
      <w:bookmarkStart w:id="75" w:name="_Toc14287"/>
      <w:bookmarkStart w:id="76" w:name="_Toc9883"/>
      <w:bookmarkStart w:id="77" w:name="_Toc6438"/>
      <w:bookmarkStart w:id="78" w:name="_Toc1324"/>
      <w:bookmarkStart w:id="79" w:name="_Toc40346219"/>
      <w:bookmarkStart w:id="80" w:name="_Toc17537"/>
      <w:bookmarkStart w:id="81" w:name="_Toc19831"/>
      <w:bookmarkStart w:id="82" w:name="_Toc4563"/>
      <w:bookmarkStart w:id="83" w:name="_Toc32709"/>
      <w:bookmarkStart w:id="84" w:name="_Toc31197"/>
      <w:bookmarkStart w:id="85" w:name="_Toc16813"/>
      <w:bookmarkStart w:id="86" w:name="_Toc27771"/>
      <w:bookmarkStart w:id="87" w:name="_Toc24651"/>
      <w:bookmarkStart w:id="88" w:name="_Toc4077611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189"/>
      <w:bookmarkStart w:id="90" w:name="_Toc17483"/>
      <w:bookmarkStart w:id="91" w:name="_Toc18353"/>
      <w:bookmarkStart w:id="92" w:name="_Toc21940"/>
      <w:bookmarkStart w:id="93" w:name="_Toc30336"/>
      <w:bookmarkStart w:id="94" w:name="_Toc12650"/>
      <w:bookmarkStart w:id="95" w:name="_Toc14586"/>
      <w:bookmarkStart w:id="96" w:name="_Toc20994"/>
      <w:bookmarkStart w:id="97" w:name="_Toc40346379"/>
      <w:bookmarkStart w:id="98" w:name="_Toc27868"/>
      <w:bookmarkStart w:id="99" w:name="_Toc5634"/>
      <w:bookmarkStart w:id="100" w:name="_Toc40346220"/>
      <w:bookmarkStart w:id="101" w:name="_Toc21686"/>
      <w:bookmarkStart w:id="102" w:name="_Toc40776115"/>
      <w:bookmarkStart w:id="103" w:name="_Toc27206"/>
      <w:bookmarkStart w:id="104" w:name="_Toc13222"/>
      <w:bookmarkStart w:id="105" w:name="_Toc389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5220"/>
      <w:bookmarkStart w:id="108" w:name="_Toc12127"/>
      <w:bookmarkStart w:id="109" w:name="_Toc30904"/>
      <w:bookmarkStart w:id="110" w:name="_Toc11547"/>
      <w:bookmarkStart w:id="111" w:name="_Toc32371"/>
      <w:bookmarkStart w:id="112" w:name="_Toc27646"/>
      <w:bookmarkStart w:id="113" w:name="_Toc8526"/>
      <w:bookmarkStart w:id="114" w:name="_Toc10454"/>
      <w:bookmarkStart w:id="115" w:name="_Toc30856"/>
      <w:bookmarkStart w:id="116" w:name="_Toc40346221"/>
      <w:bookmarkStart w:id="117" w:name="_Toc40776116"/>
      <w:bookmarkStart w:id="118" w:name="_Toc3498"/>
      <w:bookmarkStart w:id="119" w:name="_Toc14462"/>
      <w:bookmarkStart w:id="120" w:name="_Toc9282"/>
      <w:bookmarkStart w:id="121" w:name="_Toc40346380"/>
      <w:bookmarkStart w:id="122" w:name="_Toc2144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13184"/>
      <w:bookmarkStart w:id="125" w:name="_Toc6691"/>
      <w:bookmarkStart w:id="126" w:name="_Toc16728"/>
      <w:bookmarkStart w:id="127" w:name="_Toc28747"/>
      <w:bookmarkStart w:id="128" w:name="_Toc31077"/>
      <w:bookmarkStart w:id="129" w:name="_Toc10399"/>
      <w:bookmarkStart w:id="130" w:name="_Toc21213"/>
      <w:bookmarkStart w:id="131" w:name="_Toc15539"/>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ind w:left="420" w:leftChars="0"/>
        <w:rPr>
          <w:rFonts w:hint="eastAsia" w:ascii="宋体" w:hAnsi="宋体"/>
          <w:color w:val="auto"/>
          <w:sz w:val="24"/>
        </w:rPr>
      </w:pP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rPr>
        <w:t>必须是中华人民共和国境内注册的独立法人，持有有效的企业法人营业执照（提交有效的营业执照（或事业法人登记证或身份证等相关证明） 副本复印件。分支机构参与响应的的，须提</w:t>
      </w:r>
      <w:r>
        <w:rPr>
          <w:rFonts w:hint="eastAsia" w:ascii="宋体" w:hAnsi="宋体"/>
          <w:color w:val="auto"/>
          <w:sz w:val="24"/>
        </w:rPr>
        <w:t>供总公司和分公司营业执照副本复印件，总公司出具给分支机构的授权书）；</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5050"/>
      <w:bookmarkStart w:id="137" w:name="_Toc3241"/>
      <w:bookmarkStart w:id="138" w:name="_Toc20854"/>
      <w:bookmarkStart w:id="139" w:name="_Toc18443"/>
      <w:bookmarkStart w:id="140" w:name="_Toc14020"/>
      <w:bookmarkStart w:id="141" w:name="_Toc3758"/>
      <w:bookmarkStart w:id="142" w:name="_Toc7276"/>
      <w:bookmarkStart w:id="143" w:name="_Toc15934"/>
      <w:bookmarkStart w:id="144" w:name="_Toc14853"/>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5"/>
        <w:ind w:firstLine="3960" w:firstLineChars="1100"/>
        <w:outlineLvl w:val="0"/>
        <w:rPr>
          <w:b/>
          <w:bCs/>
          <w:sz w:val="36"/>
          <w:szCs w:val="36"/>
        </w:rPr>
      </w:pPr>
    </w:p>
    <w:bookmarkEnd w:id="132"/>
    <w:bookmarkEnd w:id="133"/>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22"/>
        <w:numPr>
          <w:ilvl w:val="0"/>
          <w:numId w:val="0"/>
        </w:numPr>
        <w:spacing w:line="360" w:lineRule="auto"/>
        <w:ind w:left="420" w:leftChars="0"/>
        <w:rPr>
          <w:rFonts w:hint="eastAsia" w:ascii="宋体" w:hAnsi="宋体"/>
          <w:color w:val="auto"/>
          <w:sz w:val="24"/>
        </w:rPr>
      </w:pPr>
    </w:p>
    <w:p>
      <w:pPr>
        <w:pStyle w:val="22"/>
        <w:numPr>
          <w:ilvl w:val="0"/>
          <w:numId w:val="0"/>
        </w:numPr>
        <w:spacing w:line="360" w:lineRule="auto"/>
        <w:rPr>
          <w:rFonts w:hint="eastAsia" w:ascii="宋体" w:hAnsi="宋体"/>
          <w:color w:val="0000FF"/>
          <w:sz w:val="24"/>
        </w:rPr>
      </w:pPr>
      <w:r>
        <w:rPr>
          <w:rFonts w:hint="eastAsia" w:ascii="宋体" w:hAnsi="宋体"/>
          <w:color w:val="auto"/>
          <w:sz w:val="24"/>
          <w:lang w:val="en-US" w:eastAsia="zh-CN"/>
        </w:rPr>
        <w:t>2.</w:t>
      </w:r>
      <w:r>
        <w:rPr>
          <w:rFonts w:hint="eastAsia" w:ascii="宋体" w:hAnsi="宋体"/>
          <w:color w:val="auto"/>
          <w:sz w:val="24"/>
        </w:rPr>
        <w:t>具有独立承担民事责任的能力</w:t>
      </w:r>
      <w:r>
        <w:rPr>
          <w:rFonts w:hint="eastAsia" w:ascii="宋体" w:hAnsi="宋体"/>
          <w:color w:val="0000FF"/>
          <w:sz w:val="24"/>
        </w:rPr>
        <w:t>（提供承诺函，承诺函必须包含相关文字内容，格式自拟</w:t>
      </w:r>
      <w:r>
        <w:rPr>
          <w:rFonts w:hint="eastAsia" w:ascii="宋体" w:hAnsi="宋体"/>
          <w:color w:val="0000FF"/>
          <w:sz w:val="24"/>
          <w:lang w:eastAsia="zh-CN"/>
        </w:rPr>
        <w:t>，</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rPr>
      </w:pPr>
      <w:r>
        <w:rPr>
          <w:rFonts w:hint="eastAsia" w:ascii="宋体" w:hAnsi="宋体"/>
          <w:color w:val="auto"/>
          <w:sz w:val="24"/>
          <w:lang w:val="en-US" w:eastAsia="zh-CN"/>
        </w:rPr>
        <w:t>3.</w:t>
      </w:r>
      <w:r>
        <w:rPr>
          <w:rFonts w:hint="eastAsia" w:ascii="宋体" w:hAnsi="宋体"/>
          <w:color w:val="auto"/>
          <w:sz w:val="24"/>
        </w:rPr>
        <w:t>具有良好的商业信誉和健全的财务会计制度</w:t>
      </w:r>
      <w:r>
        <w:rPr>
          <w:rFonts w:hint="eastAsia" w:ascii="宋体" w:hAnsi="宋体"/>
          <w:color w:val="0000FF"/>
          <w:sz w:val="24"/>
        </w:rPr>
        <w:t>（提供承诺函，承诺函必须包含相关文字内容，格式自拟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lang w:eastAsia="zh-CN"/>
        </w:rPr>
        <w:t>，</w:t>
      </w:r>
      <w:r>
        <w:rPr>
          <w:rFonts w:hint="eastAsia" w:ascii="宋体" w:hAnsi="宋体"/>
          <w:color w:val="0000FF"/>
          <w:sz w:val="24"/>
        </w:rPr>
        <w:t>）</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rPr>
      </w:pPr>
      <w:r>
        <w:rPr>
          <w:rFonts w:hint="eastAsia" w:ascii="宋体" w:hAnsi="宋体"/>
          <w:color w:val="auto"/>
          <w:sz w:val="24"/>
          <w:lang w:val="en-US" w:eastAsia="zh-CN"/>
        </w:rPr>
        <w:t>4.</w:t>
      </w:r>
      <w:r>
        <w:rPr>
          <w:rFonts w:hint="eastAsia" w:ascii="宋体" w:hAnsi="宋体"/>
          <w:color w:val="auto"/>
          <w:sz w:val="24"/>
        </w:rPr>
        <w:t>具有履行合同所必需的设备和专业技术能力</w:t>
      </w:r>
      <w:r>
        <w:rPr>
          <w:rFonts w:hint="eastAsia" w:ascii="宋体" w:hAnsi="宋体"/>
          <w:color w:val="0000FF"/>
          <w:sz w:val="24"/>
        </w:rPr>
        <w:t>(填报设备及专业技术能力情况或者提供承诺函，承诺函必须包含相关文字内容，格式自拟</w:t>
      </w:r>
      <w:r>
        <w:rPr>
          <w:rFonts w:hint="eastAsia" w:ascii="宋体" w:hAnsi="宋体"/>
          <w:color w:val="0000FF"/>
          <w:sz w:val="24"/>
          <w:lang w:val="zh-CN"/>
        </w:rPr>
        <w:t>并加盖供应商公章</w:t>
      </w:r>
      <w:r>
        <w:rPr>
          <w:rFonts w:hint="eastAsia" w:ascii="宋体" w:hAnsi="宋体"/>
          <w:color w:val="0000FF"/>
          <w:sz w:val="24"/>
        </w:rPr>
        <w:t>)</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5.</w:t>
      </w:r>
      <w:r>
        <w:rPr>
          <w:rFonts w:hint="eastAsia" w:ascii="宋体" w:hAnsi="宋体"/>
          <w:color w:val="auto"/>
          <w:sz w:val="24"/>
        </w:rPr>
        <w:t>具有依法缴纳税收和社会保障资金的良好记录</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6.</w:t>
      </w:r>
      <w:r>
        <w:rPr>
          <w:rFonts w:hint="eastAsia" w:ascii="宋体" w:hAnsi="宋体"/>
          <w:color w:val="auto"/>
          <w:sz w:val="24"/>
        </w:rPr>
        <w:t>本项目不接受联合体投标</w:t>
      </w:r>
      <w:r>
        <w:rPr>
          <w:rFonts w:hint="eastAsia" w:ascii="宋体" w:hAnsi="宋体"/>
          <w:color w:val="auto"/>
          <w:sz w:val="24"/>
          <w:lang w:val="en-US" w:eastAsia="zh-CN"/>
        </w:rPr>
        <w:t>,不允许分包、转包</w:t>
      </w:r>
      <w:r>
        <w:rPr>
          <w:rFonts w:hint="eastAsia" w:ascii="宋体" w:hAnsi="宋体"/>
          <w:color w:val="auto"/>
          <w:sz w:val="24"/>
        </w:rPr>
        <w:t>；</w:t>
      </w:r>
      <w:r>
        <w:rPr>
          <w:rFonts w:hint="eastAsia" w:ascii="宋体" w:hAnsi="宋体"/>
          <w:color w:val="auto"/>
          <w:sz w:val="24"/>
          <w:lang w:val="zh-CN"/>
        </w:rPr>
        <w:t>（</w:t>
      </w:r>
      <w:r>
        <w:rPr>
          <w:rFonts w:hint="eastAsia" w:ascii="宋体" w:hAnsi="宋体"/>
          <w:color w:val="0000FF"/>
          <w:sz w:val="24"/>
          <w:lang w:val="zh-CN"/>
        </w:rPr>
        <w:t>提供承诺函，承诺函必须包含相关文字</w:t>
      </w:r>
      <w:r>
        <w:rPr>
          <w:rFonts w:hint="eastAsia" w:ascii="宋体" w:hAnsi="宋体"/>
          <w:color w:val="0000FF"/>
          <w:sz w:val="24"/>
          <w:lang w:val="zh-CN" w:eastAsia="zh-CN"/>
        </w:rPr>
        <w:t>涵义</w:t>
      </w:r>
      <w:r>
        <w:rPr>
          <w:rFonts w:hint="eastAsia" w:ascii="宋体" w:hAnsi="宋体"/>
          <w:color w:val="0000FF"/>
          <w:sz w:val="24"/>
          <w:lang w:val="zh-CN"/>
        </w:rPr>
        <w:t>内容，并加盖供应商公司公章）</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7.</w:t>
      </w:r>
      <w:r>
        <w:rPr>
          <w:rFonts w:hint="eastAsia" w:ascii="宋体" w:hAnsi="宋体"/>
          <w:color w:val="auto"/>
          <w:sz w:val="24"/>
        </w:rPr>
        <w:t>近三年内没有违规违纪记录</w:t>
      </w:r>
      <w:r>
        <w:rPr>
          <w:rFonts w:hint="eastAsia" w:ascii="宋体" w:hAnsi="宋体"/>
          <w:color w:val="0000FF"/>
          <w:sz w:val="24"/>
          <w:lang w:val="zh-CN"/>
        </w:rPr>
        <w:t>（需</w:t>
      </w:r>
      <w:r>
        <w:rPr>
          <w:rFonts w:hint="eastAsia" w:ascii="宋体" w:hAnsi="宋体"/>
          <w:color w:val="0000FF"/>
          <w:sz w:val="24"/>
          <w:lang w:val="zh-CN" w:eastAsia="zh-CN"/>
        </w:rPr>
        <w:t>提供</w:t>
      </w:r>
      <w:r>
        <w:rPr>
          <w:rFonts w:hint="eastAsia" w:ascii="宋体" w:hAnsi="宋体"/>
          <w:color w:val="0000FF"/>
          <w:sz w:val="24"/>
          <w:lang w:val="zh-CN"/>
        </w:rPr>
        <w:t>承诺函，格式自拟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color w:val="0000FF"/>
          <w:sz w:val="24"/>
          <w:lang w:val="zh-CN"/>
        </w:rPr>
      </w:pPr>
      <w:r>
        <w:rPr>
          <w:rFonts w:hint="eastAsia" w:ascii="宋体" w:hAnsi="宋体"/>
          <w:color w:val="auto"/>
          <w:sz w:val="24"/>
          <w:lang w:val="en-US" w:eastAsia="zh-CN"/>
        </w:rPr>
        <w:t>8.</w:t>
      </w:r>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color w:val="0000FF"/>
          <w:sz w:val="24"/>
          <w:lang w:val="zh-CN"/>
        </w:rPr>
        <w:t>（提供承诺函，承诺函必须包含相关文字内容，格式自拟</w:t>
      </w:r>
      <w:r>
        <w:rPr>
          <w:rFonts w:hint="eastAsia" w:ascii="宋体" w:hAnsi="宋体"/>
          <w:color w:val="0000FF"/>
          <w:sz w:val="24"/>
          <w:lang w:val="zh-CN" w:eastAsia="zh-CN"/>
        </w:rPr>
        <w:t>，</w:t>
      </w:r>
      <w:r>
        <w:rPr>
          <w:rFonts w:hint="eastAsia" w:ascii="宋体" w:hAnsi="宋体"/>
          <w:color w:val="0000FF"/>
          <w:sz w:val="24"/>
          <w:lang w:val="zh-CN"/>
        </w:rPr>
        <w:t>并加盖供应商公章）</w:t>
      </w:r>
    </w:p>
    <w:p>
      <w:pPr>
        <w:pStyle w:val="23"/>
        <w:tabs>
          <w:tab w:val="left" w:pos="1050"/>
          <w:tab w:val="center" w:pos="4535"/>
        </w:tabs>
        <w:spacing w:line="360" w:lineRule="auto"/>
        <w:jc w:val="center"/>
        <w:outlineLvl w:val="0"/>
        <w:rPr>
          <w:b/>
          <w:bCs/>
          <w:sz w:val="32"/>
          <w:szCs w:val="32"/>
        </w:rPr>
      </w:pPr>
    </w:p>
    <w:p>
      <w:pPr>
        <w:pStyle w:val="15"/>
        <w:ind w:firstLine="3960" w:firstLineChars="1100"/>
        <w:outlineLvl w:val="0"/>
        <w:rPr>
          <w:b/>
          <w:bCs/>
          <w:sz w:val="36"/>
          <w:szCs w:val="36"/>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9809B4"/>
    <w:rsid w:val="14C35BD0"/>
    <w:rsid w:val="14EF6DCA"/>
    <w:rsid w:val="17150B6B"/>
    <w:rsid w:val="172327DB"/>
    <w:rsid w:val="1B060F39"/>
    <w:rsid w:val="1BDE084B"/>
    <w:rsid w:val="1BE74D43"/>
    <w:rsid w:val="1D177890"/>
    <w:rsid w:val="1EF609CD"/>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41B5198F"/>
    <w:rsid w:val="429E024C"/>
    <w:rsid w:val="42E531CF"/>
    <w:rsid w:val="42FE1FCA"/>
    <w:rsid w:val="4352242D"/>
    <w:rsid w:val="43845324"/>
    <w:rsid w:val="4582125E"/>
    <w:rsid w:val="468C4D8C"/>
    <w:rsid w:val="46A2484B"/>
    <w:rsid w:val="4C4F110A"/>
    <w:rsid w:val="51701B4D"/>
    <w:rsid w:val="548C5956"/>
    <w:rsid w:val="55252680"/>
    <w:rsid w:val="563C073B"/>
    <w:rsid w:val="597F2160"/>
    <w:rsid w:val="5A9932D8"/>
    <w:rsid w:val="5B125F66"/>
    <w:rsid w:val="5C0C3B83"/>
    <w:rsid w:val="5C5762BC"/>
    <w:rsid w:val="5C952952"/>
    <w:rsid w:val="638E7E05"/>
    <w:rsid w:val="639C77AA"/>
    <w:rsid w:val="64DB34C0"/>
    <w:rsid w:val="65F91CA0"/>
    <w:rsid w:val="66C035C3"/>
    <w:rsid w:val="69E20917"/>
    <w:rsid w:val="6DF1127F"/>
    <w:rsid w:val="6E102F9B"/>
    <w:rsid w:val="6F523856"/>
    <w:rsid w:val="6FB966A4"/>
    <w:rsid w:val="71F86F07"/>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0"/>
    <w:qFormat/>
    <w:uiPriority w:val="0"/>
    <w:pPr>
      <w:ind w:firstLine="420"/>
    </w:pPr>
  </w:style>
  <w:style w:type="paragraph" w:styleId="5">
    <w:name w:val="List Bullet 2"/>
    <w:basedOn w:val="1"/>
    <w:semiHidden/>
    <w:unhideWhenUsed/>
    <w:qFormat/>
    <w:uiPriority w:val="99"/>
    <w:pPr>
      <w:numPr>
        <w:ilvl w:val="0"/>
        <w:numId w:val="1"/>
      </w:numPr>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3"/>
    <w:qFormat/>
    <w:uiPriority w:val="0"/>
    <w:rPr>
      <w:rFonts w:ascii="Arial" w:hAnsi="Arial" w:eastAsia="黑体" w:cs="Times New Roman"/>
      <w:b/>
      <w:bCs/>
      <w:sz w:val="32"/>
      <w:szCs w:val="32"/>
    </w:rPr>
  </w:style>
  <w:style w:type="character" w:customStyle="1" w:styleId="20">
    <w:name w:val="正文缩进 Char"/>
    <w:link w:val="4"/>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2136</Words>
  <Characters>2221</Characters>
  <Lines>16</Lines>
  <Paragraphs>4</Paragraphs>
  <TotalTime>1</TotalTime>
  <ScaleCrop>false</ScaleCrop>
  <LinksUpToDate>false</LinksUpToDate>
  <CharactersWithSpaces>2667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2023-04-13T08:05:07Z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79B1AD99027B41F7AFCA91B4BFC34ED2</vt:lpwstr>
  </property>
</Properties>
</file>