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15628"/>
      <w:r>
        <w:rPr>
          <w:rFonts w:hint="eastAsia" w:ascii="宋体" w:hAnsi="宋体"/>
          <w:b/>
          <w:kern w:val="0"/>
          <w:sz w:val="44"/>
          <w:szCs w:val="44"/>
        </w:rPr>
        <w:t>南方医科大学第五附属医院</w:t>
      </w:r>
      <w:bookmarkEnd w:id="0"/>
    </w:p>
    <w:p>
      <w:pPr>
        <w:jc w:val="center"/>
        <w:rPr>
          <w:rFonts w:ascii="宋体" w:hAnsi="宋体"/>
          <w:b/>
          <w:kern w:val="0"/>
          <w:sz w:val="44"/>
          <w:szCs w:val="44"/>
        </w:rPr>
      </w:pPr>
    </w:p>
    <w:p>
      <w:pPr>
        <w:jc w:val="center"/>
        <w:outlineLvl w:val="0"/>
        <w:rPr>
          <w:rFonts w:hint="eastAsia" w:ascii="宋体" w:hAnsi="宋体" w:eastAsia="宋体" w:cs="Times New Roman"/>
          <w:b/>
          <w:kern w:val="0"/>
          <w:sz w:val="44"/>
          <w:szCs w:val="44"/>
        </w:rPr>
      </w:pPr>
      <w:bookmarkStart w:id="1" w:name="_Toc18003"/>
      <w:r>
        <w:rPr>
          <w:rFonts w:hint="eastAsia" w:ascii="宋体" w:hAnsi="宋体" w:eastAsia="宋体" w:cs="Times New Roman"/>
          <w:b/>
          <w:kern w:val="0"/>
          <w:sz w:val="44"/>
          <w:szCs w:val="44"/>
        </w:rPr>
        <w:t>汽车维保服务项目</w:t>
      </w:r>
      <w:bookmarkEnd w:id="1"/>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2" w:name="_Toc18483"/>
      <w:r>
        <w:rPr>
          <w:rFonts w:hint="eastAsia" w:ascii="宋体" w:hAnsi="宋体"/>
          <w:b/>
          <w:bCs/>
          <w:sz w:val="72"/>
          <w:szCs w:val="72"/>
        </w:rPr>
        <w:t>院内采购文件</w:t>
      </w:r>
      <w:bookmarkEnd w:id="2"/>
    </w:p>
    <w:p>
      <w:pPr>
        <w:spacing w:line="480" w:lineRule="auto"/>
        <w:ind w:firstLine="843" w:firstLineChars="300"/>
        <w:jc w:val="center"/>
        <w:rPr>
          <w:rFonts w:ascii="宋体" w:hAnsi="宋体"/>
          <w:b/>
          <w:bCs/>
          <w:sz w:val="28"/>
          <w:szCs w:val="28"/>
        </w:rPr>
      </w:pPr>
    </w:p>
    <w:p>
      <w:pPr>
        <w:pStyle w:val="26"/>
      </w:pPr>
    </w:p>
    <w:p>
      <w:pPr>
        <w:pStyle w:val="26"/>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3" w:name="_Toc16740"/>
      <w:r>
        <w:rPr>
          <w:rFonts w:hint="eastAsia" w:ascii="宋体" w:hAnsi="宋体"/>
          <w:b/>
          <w:bCs/>
          <w:sz w:val="36"/>
          <w:szCs w:val="36"/>
        </w:rPr>
        <w:t>项目编号：</w:t>
      </w:r>
      <w:r>
        <w:rPr>
          <w:rFonts w:hint="eastAsia" w:ascii="宋体" w:hAnsi="宋体"/>
          <w:b/>
          <w:bCs/>
          <w:sz w:val="32"/>
          <w:szCs w:val="32"/>
        </w:rPr>
        <w:t>NYWYF202200</w:t>
      </w:r>
      <w:r>
        <w:rPr>
          <w:rFonts w:hint="eastAsia" w:ascii="宋体" w:hAnsi="宋体"/>
          <w:b/>
          <w:bCs/>
          <w:sz w:val="32"/>
          <w:szCs w:val="32"/>
          <w:lang w:val="en-US" w:eastAsia="zh-CN"/>
        </w:rPr>
        <w:t>16</w:t>
      </w:r>
      <w:bookmarkEnd w:id="3"/>
    </w:p>
    <w:p>
      <w:pPr>
        <w:pStyle w:val="26"/>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4498"/>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bookmarkEnd w:id="4"/>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eastAsia="宋体" w:cs="Times New Roman"/>
          <w:kern w:val="2"/>
          <w:sz w:val="21"/>
          <w:szCs w:val="24"/>
          <w:lang w:val="en-US" w:eastAsia="zh-CN" w:bidi="ar-SA"/>
        </w:rPr>
        <w:id w:val="147471223"/>
        <w15:color w:val="DBDBDB"/>
        <w:docPartObj>
          <w:docPartGallery w:val="Table of Contents"/>
          <w:docPartUnique/>
        </w:docPartObj>
      </w:sdtPr>
      <w:sdtEndPr>
        <w:rPr>
          <w:rFonts w:ascii="Times New Roman" w:hAnsi="Times New Roman" w:eastAsia="宋体" w:cs="Times New Roman"/>
          <w:b/>
          <w:bCs/>
          <w:kern w:val="0"/>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8"/>
            <w:tabs>
              <w:tab w:val="right" w:leader="dot" w:pos="9638"/>
            </w:tabs>
            <w:spacing w:line="360" w:lineRule="auto"/>
            <w:rPr>
              <w:b/>
              <w:bCs/>
              <w:sz w:val="28"/>
              <w:szCs w:val="28"/>
            </w:rPr>
          </w:pPr>
          <w:r>
            <w:rPr>
              <w:b/>
              <w:bCs/>
              <w:kern w:val="0"/>
              <w:sz w:val="28"/>
              <w:szCs w:val="28"/>
            </w:rPr>
            <w:fldChar w:fldCharType="begin"/>
          </w:r>
          <w:r>
            <w:rPr>
              <w:b/>
              <w:bCs/>
              <w:kern w:val="0"/>
              <w:sz w:val="28"/>
              <w:szCs w:val="28"/>
            </w:rPr>
            <w:instrText xml:space="preserve">TOC \o "1-1" \h \u </w:instrText>
          </w:r>
          <w:r>
            <w:rPr>
              <w:b/>
              <w:bCs/>
              <w:kern w:val="0"/>
              <w:sz w:val="28"/>
              <w:szCs w:val="28"/>
            </w:rPr>
            <w:fldChar w:fldCharType="separate"/>
          </w:r>
        </w:p>
        <w:p>
          <w:pPr>
            <w:pStyle w:val="28"/>
            <w:tabs>
              <w:tab w:val="right" w:leader="dot" w:pos="9638"/>
            </w:tabs>
            <w:spacing w:line="360" w:lineRule="auto"/>
            <w:rPr>
              <w:b/>
              <w:bCs/>
              <w:sz w:val="24"/>
              <w:szCs w:val="24"/>
            </w:rPr>
          </w:pPr>
          <w:r>
            <w:rPr>
              <w:b/>
              <w:bCs/>
              <w:kern w:val="0"/>
              <w:sz w:val="24"/>
              <w:szCs w:val="24"/>
            </w:rPr>
            <w:fldChar w:fldCharType="begin"/>
          </w:r>
          <w:r>
            <w:rPr>
              <w:b/>
              <w:bCs/>
              <w:kern w:val="0"/>
              <w:sz w:val="24"/>
              <w:szCs w:val="24"/>
            </w:rPr>
            <w:instrText xml:space="preserve"> HYPERLINK \l _Toc1338 </w:instrText>
          </w:r>
          <w:r>
            <w:rPr>
              <w:b/>
              <w:bCs/>
              <w:kern w:val="0"/>
              <w:sz w:val="24"/>
              <w:szCs w:val="24"/>
            </w:rPr>
            <w:fldChar w:fldCharType="separate"/>
          </w:r>
          <w:r>
            <w:rPr>
              <w:rFonts w:hint="eastAsia" w:ascii="宋体" w:hAnsi="宋体"/>
              <w:b/>
              <w:bCs/>
              <w:sz w:val="24"/>
              <w:szCs w:val="24"/>
            </w:rPr>
            <w:t>第一部分 报名邀请函</w:t>
          </w:r>
          <w:r>
            <w:rPr>
              <w:b/>
              <w:bCs/>
              <w:sz w:val="24"/>
              <w:szCs w:val="24"/>
            </w:rPr>
            <w:tab/>
          </w:r>
          <w:r>
            <w:rPr>
              <w:b/>
              <w:bCs/>
              <w:sz w:val="24"/>
              <w:szCs w:val="24"/>
            </w:rPr>
            <w:fldChar w:fldCharType="begin"/>
          </w:r>
          <w:r>
            <w:rPr>
              <w:b/>
              <w:bCs/>
              <w:sz w:val="24"/>
              <w:szCs w:val="24"/>
            </w:rPr>
            <w:instrText xml:space="preserve"> PAGEREF _Toc1338 \h </w:instrText>
          </w:r>
          <w:r>
            <w:rPr>
              <w:b/>
              <w:bCs/>
              <w:sz w:val="24"/>
              <w:szCs w:val="24"/>
            </w:rPr>
            <w:fldChar w:fldCharType="separate"/>
          </w:r>
          <w:r>
            <w:rPr>
              <w:b/>
              <w:bCs/>
              <w:sz w:val="24"/>
              <w:szCs w:val="24"/>
            </w:rPr>
            <w:t>1</w:t>
          </w:r>
          <w:r>
            <w:rPr>
              <w:b/>
              <w:bCs/>
              <w:sz w:val="24"/>
              <w:szCs w:val="24"/>
            </w:rPr>
            <w:fldChar w:fldCharType="end"/>
          </w:r>
          <w:r>
            <w:rPr>
              <w:b/>
              <w:bCs/>
              <w:kern w:val="0"/>
              <w:sz w:val="24"/>
              <w:szCs w:val="24"/>
            </w:rPr>
            <w:fldChar w:fldCharType="end"/>
          </w:r>
        </w:p>
        <w:p>
          <w:pPr>
            <w:pStyle w:val="28"/>
            <w:tabs>
              <w:tab w:val="right" w:leader="dot" w:pos="9638"/>
            </w:tabs>
            <w:spacing w:line="360" w:lineRule="auto"/>
            <w:rPr>
              <w:b/>
              <w:bCs/>
              <w:sz w:val="24"/>
              <w:szCs w:val="24"/>
            </w:rPr>
          </w:pPr>
          <w:r>
            <w:rPr>
              <w:b/>
              <w:bCs/>
              <w:kern w:val="0"/>
              <w:sz w:val="24"/>
              <w:szCs w:val="24"/>
            </w:rPr>
            <w:fldChar w:fldCharType="begin"/>
          </w:r>
          <w:r>
            <w:rPr>
              <w:b/>
              <w:bCs/>
              <w:kern w:val="0"/>
              <w:sz w:val="24"/>
              <w:szCs w:val="24"/>
            </w:rPr>
            <w:instrText xml:space="preserve"> HYPERLINK \l _Toc30554 </w:instrText>
          </w:r>
          <w:r>
            <w:rPr>
              <w:b/>
              <w:bCs/>
              <w:kern w:val="0"/>
              <w:sz w:val="24"/>
              <w:szCs w:val="24"/>
            </w:rPr>
            <w:fldChar w:fldCharType="separate"/>
          </w:r>
          <w:r>
            <w:rPr>
              <w:rFonts w:hint="eastAsia" w:ascii="宋体" w:hAnsi="宋体"/>
              <w:b/>
              <w:bCs/>
              <w:sz w:val="24"/>
              <w:szCs w:val="24"/>
            </w:rPr>
            <w:t>第二部分 用户需求书</w:t>
          </w:r>
          <w:r>
            <w:rPr>
              <w:b/>
              <w:bCs/>
              <w:sz w:val="24"/>
              <w:szCs w:val="24"/>
            </w:rPr>
            <w:tab/>
          </w:r>
          <w:r>
            <w:rPr>
              <w:b/>
              <w:bCs/>
              <w:sz w:val="24"/>
              <w:szCs w:val="24"/>
            </w:rPr>
            <w:fldChar w:fldCharType="begin"/>
          </w:r>
          <w:r>
            <w:rPr>
              <w:b/>
              <w:bCs/>
              <w:sz w:val="24"/>
              <w:szCs w:val="24"/>
            </w:rPr>
            <w:instrText xml:space="preserve"> PAGEREF _Toc30554 \h </w:instrText>
          </w:r>
          <w:r>
            <w:rPr>
              <w:b/>
              <w:bCs/>
              <w:sz w:val="24"/>
              <w:szCs w:val="24"/>
            </w:rPr>
            <w:fldChar w:fldCharType="separate"/>
          </w:r>
          <w:r>
            <w:rPr>
              <w:b/>
              <w:bCs/>
              <w:sz w:val="24"/>
              <w:szCs w:val="24"/>
            </w:rPr>
            <w:t>2</w:t>
          </w:r>
          <w:r>
            <w:rPr>
              <w:b/>
              <w:bCs/>
              <w:sz w:val="24"/>
              <w:szCs w:val="24"/>
            </w:rPr>
            <w:fldChar w:fldCharType="end"/>
          </w:r>
          <w:r>
            <w:rPr>
              <w:b/>
              <w:bCs/>
              <w:kern w:val="0"/>
              <w:sz w:val="24"/>
              <w:szCs w:val="24"/>
            </w:rPr>
            <w:fldChar w:fldCharType="end"/>
          </w:r>
        </w:p>
        <w:p>
          <w:pPr>
            <w:pStyle w:val="28"/>
            <w:tabs>
              <w:tab w:val="right" w:leader="dot" w:pos="9638"/>
            </w:tabs>
            <w:spacing w:line="360" w:lineRule="auto"/>
            <w:rPr>
              <w:rFonts w:hint="eastAsia" w:eastAsia="宋体"/>
              <w:b/>
              <w:bCs/>
              <w:sz w:val="24"/>
              <w:szCs w:val="24"/>
              <w:lang w:val="en-US" w:eastAsia="zh-CN"/>
            </w:rPr>
          </w:pPr>
          <w:r>
            <w:rPr>
              <w:b/>
              <w:bCs/>
              <w:kern w:val="0"/>
              <w:sz w:val="24"/>
              <w:szCs w:val="24"/>
            </w:rPr>
            <w:fldChar w:fldCharType="begin"/>
          </w:r>
          <w:r>
            <w:rPr>
              <w:b/>
              <w:bCs/>
              <w:kern w:val="0"/>
              <w:sz w:val="24"/>
              <w:szCs w:val="24"/>
            </w:rPr>
            <w:instrText xml:space="preserve"> HYPERLINK \l _Toc3234 </w:instrText>
          </w:r>
          <w:r>
            <w:rPr>
              <w:b/>
              <w:bCs/>
              <w:kern w:val="0"/>
              <w:sz w:val="24"/>
              <w:szCs w:val="24"/>
            </w:rPr>
            <w:fldChar w:fldCharType="separate"/>
          </w:r>
          <w:r>
            <w:rPr>
              <w:rFonts w:hint="eastAsia"/>
              <w:b/>
              <w:bCs/>
              <w:kern w:val="0"/>
              <w:sz w:val="24"/>
              <w:szCs w:val="24"/>
            </w:rPr>
            <w:t>第三部分  资料整理注意事项</w:t>
          </w:r>
          <w:r>
            <w:rPr>
              <w:b/>
              <w:bCs/>
              <w:sz w:val="24"/>
              <w:szCs w:val="24"/>
            </w:rPr>
            <w:tab/>
          </w:r>
          <w:r>
            <w:rPr>
              <w:rFonts w:hint="eastAsia"/>
              <w:b/>
              <w:bCs/>
              <w:sz w:val="24"/>
              <w:szCs w:val="24"/>
              <w:lang w:val="en-US" w:eastAsia="zh-CN"/>
            </w:rPr>
            <w:t>1</w:t>
          </w:r>
          <w:r>
            <w:rPr>
              <w:b/>
              <w:bCs/>
              <w:kern w:val="0"/>
              <w:sz w:val="24"/>
              <w:szCs w:val="24"/>
            </w:rPr>
            <w:fldChar w:fldCharType="end"/>
          </w:r>
          <w:r>
            <w:rPr>
              <w:rFonts w:hint="eastAsia"/>
              <w:b/>
              <w:bCs/>
              <w:kern w:val="0"/>
              <w:sz w:val="24"/>
              <w:szCs w:val="24"/>
              <w:lang w:val="en-US" w:eastAsia="zh-CN"/>
            </w:rPr>
            <w:t>0</w:t>
          </w:r>
        </w:p>
        <w:p>
          <w:pPr>
            <w:pStyle w:val="28"/>
            <w:tabs>
              <w:tab w:val="right" w:leader="dot" w:pos="9638"/>
            </w:tabs>
            <w:spacing w:line="360" w:lineRule="auto"/>
            <w:rPr>
              <w:rFonts w:hint="eastAsia" w:eastAsia="宋体"/>
              <w:b/>
              <w:bCs/>
              <w:sz w:val="24"/>
              <w:szCs w:val="24"/>
              <w:lang w:val="en-US" w:eastAsia="zh-CN"/>
            </w:rPr>
          </w:pPr>
          <w:r>
            <w:rPr>
              <w:b/>
              <w:bCs/>
              <w:kern w:val="0"/>
              <w:sz w:val="24"/>
              <w:szCs w:val="24"/>
            </w:rPr>
            <w:fldChar w:fldCharType="begin"/>
          </w:r>
          <w:r>
            <w:rPr>
              <w:b/>
              <w:bCs/>
              <w:kern w:val="0"/>
              <w:sz w:val="24"/>
              <w:szCs w:val="24"/>
            </w:rPr>
            <w:instrText xml:space="preserve"> HYPERLINK \l _Toc20737 </w:instrText>
          </w:r>
          <w:r>
            <w:rPr>
              <w:b/>
              <w:bCs/>
              <w:kern w:val="0"/>
              <w:sz w:val="24"/>
              <w:szCs w:val="24"/>
            </w:rPr>
            <w:fldChar w:fldCharType="separate"/>
          </w:r>
          <w:r>
            <w:rPr>
              <w:rFonts w:hint="eastAsia" w:ascii="宋体" w:hAnsi="宋体" w:eastAsia="宋体"/>
              <w:b/>
              <w:bCs/>
              <w:sz w:val="24"/>
              <w:szCs w:val="24"/>
            </w:rPr>
            <w:t>第四部分  相关格式文件</w:t>
          </w:r>
          <w:r>
            <w:rPr>
              <w:b/>
              <w:bCs/>
              <w:sz w:val="24"/>
              <w:szCs w:val="24"/>
            </w:rPr>
            <w:tab/>
          </w:r>
          <w:r>
            <w:rPr>
              <w:rFonts w:hint="eastAsia"/>
              <w:b/>
              <w:bCs/>
              <w:sz w:val="24"/>
              <w:szCs w:val="24"/>
              <w:lang w:val="en-US" w:eastAsia="zh-CN"/>
            </w:rPr>
            <w:t>1</w:t>
          </w:r>
          <w:r>
            <w:rPr>
              <w:b/>
              <w:bCs/>
              <w:kern w:val="0"/>
              <w:sz w:val="24"/>
              <w:szCs w:val="24"/>
            </w:rPr>
            <w:fldChar w:fldCharType="end"/>
          </w:r>
          <w:r>
            <w:rPr>
              <w:rFonts w:hint="eastAsia"/>
              <w:b/>
              <w:bCs/>
              <w:kern w:val="0"/>
              <w:sz w:val="24"/>
              <w:szCs w:val="24"/>
              <w:lang w:val="en-US" w:eastAsia="zh-CN"/>
            </w:rPr>
            <w:t>1</w:t>
          </w:r>
        </w:p>
        <w:p>
          <w:pPr>
            <w:pStyle w:val="28"/>
            <w:tabs>
              <w:tab w:val="right" w:leader="dot" w:pos="9638"/>
            </w:tabs>
            <w:spacing w:line="360" w:lineRule="auto"/>
            <w:rPr>
              <w:rFonts w:hint="eastAsia" w:eastAsia="宋体"/>
              <w:b/>
              <w:bCs/>
              <w:sz w:val="24"/>
              <w:szCs w:val="24"/>
              <w:lang w:val="en-US" w:eastAsia="zh-CN"/>
            </w:rPr>
          </w:pPr>
          <w:r>
            <w:rPr>
              <w:b/>
              <w:bCs/>
              <w:kern w:val="0"/>
              <w:sz w:val="24"/>
              <w:szCs w:val="24"/>
            </w:rPr>
            <w:fldChar w:fldCharType="begin"/>
          </w:r>
          <w:r>
            <w:rPr>
              <w:b/>
              <w:bCs/>
              <w:kern w:val="0"/>
              <w:sz w:val="24"/>
              <w:szCs w:val="24"/>
            </w:rPr>
            <w:instrText xml:space="preserve"> HYPERLINK \l _Toc13317 </w:instrText>
          </w:r>
          <w:r>
            <w:rPr>
              <w:b/>
              <w:bCs/>
              <w:kern w:val="0"/>
              <w:sz w:val="24"/>
              <w:szCs w:val="24"/>
            </w:rPr>
            <w:fldChar w:fldCharType="separate"/>
          </w:r>
          <w:r>
            <w:rPr>
              <w:rFonts w:hint="eastAsia" w:ascii="宋体" w:hAnsi="宋体" w:eastAsia="宋体"/>
              <w:b/>
              <w:bCs/>
              <w:sz w:val="24"/>
              <w:szCs w:val="24"/>
            </w:rPr>
            <w:t>第五部分 合同模板</w:t>
          </w:r>
          <w:r>
            <w:rPr>
              <w:rFonts w:hint="eastAsia" w:ascii="宋体" w:hAnsi="宋体" w:eastAsia="宋体"/>
              <w:b/>
              <w:bCs/>
              <w:sz w:val="24"/>
              <w:szCs w:val="24"/>
              <w:lang w:eastAsia="zh-CN"/>
            </w:rPr>
            <w:t>（另附）</w:t>
          </w:r>
          <w:r>
            <w:rPr>
              <w:b/>
              <w:bCs/>
              <w:sz w:val="24"/>
              <w:szCs w:val="24"/>
            </w:rPr>
            <w:tab/>
          </w:r>
          <w:r>
            <w:rPr>
              <w:rFonts w:hint="eastAsia"/>
              <w:b/>
              <w:bCs/>
              <w:sz w:val="24"/>
              <w:szCs w:val="24"/>
              <w:lang w:val="en-US" w:eastAsia="zh-CN"/>
            </w:rPr>
            <w:t>2</w:t>
          </w:r>
          <w:r>
            <w:rPr>
              <w:b/>
              <w:bCs/>
              <w:kern w:val="0"/>
              <w:sz w:val="24"/>
              <w:szCs w:val="24"/>
            </w:rPr>
            <w:fldChar w:fldCharType="end"/>
          </w:r>
          <w:r>
            <w:rPr>
              <w:rFonts w:hint="eastAsia"/>
              <w:b/>
              <w:bCs/>
              <w:kern w:val="0"/>
              <w:sz w:val="24"/>
              <w:szCs w:val="24"/>
              <w:lang w:val="en-US" w:eastAsia="zh-CN"/>
            </w:rPr>
            <w:t>8</w:t>
          </w:r>
        </w:p>
        <w:p>
          <w:pPr>
            <w:spacing w:line="360" w:lineRule="auto"/>
            <w:jc w:val="center"/>
            <w:rPr>
              <w:b/>
              <w:bCs/>
              <w:kern w:val="0"/>
              <w:sz w:val="28"/>
              <w:szCs w:val="28"/>
            </w:rPr>
          </w:pPr>
          <w:r>
            <w:rPr>
              <w:b/>
              <w:bCs/>
              <w:kern w:val="0"/>
              <w:sz w:val="28"/>
              <w:szCs w:val="28"/>
            </w:rPr>
            <w:fldChar w:fldCharType="end"/>
          </w:r>
        </w:p>
      </w:sdtContent>
    </w:sdt>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5" w:name="_Toc19427"/>
    </w:p>
    <w:p>
      <w:pPr>
        <w:spacing w:line="360" w:lineRule="auto"/>
        <w:jc w:val="center"/>
        <w:outlineLvl w:val="0"/>
        <w:rPr>
          <w:rFonts w:ascii="仿宋" w:hAnsi="仿宋" w:eastAsia="仿宋" w:cs="Helvetica"/>
          <w:sz w:val="30"/>
          <w:szCs w:val="30"/>
        </w:rPr>
      </w:pPr>
      <w:bookmarkStart w:id="6" w:name="_Toc1338"/>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5"/>
      <w:bookmarkEnd w:id="6"/>
    </w:p>
    <w:p>
      <w:pPr>
        <w:pStyle w:val="9"/>
        <w:keepNext w:val="0"/>
        <w:keepLines w:val="0"/>
        <w:pageBreakBefore w:val="0"/>
        <w:kinsoku/>
        <w:wordWrap/>
        <w:overflowPunct/>
        <w:topLinePunct w:val="0"/>
        <w:bidi w:val="0"/>
        <w:spacing w:line="300" w:lineRule="exact"/>
        <w:ind w:firstLine="420" w:firstLineChars="200"/>
        <w:textAlignment w:val="auto"/>
        <w:rPr>
          <w:rFonts w:hint="eastAsia" w:ascii="宋体" w:hAnsi="宋体" w:cs="宋体"/>
          <w:sz w:val="21"/>
          <w:szCs w:val="21"/>
        </w:rPr>
      </w:pPr>
      <w:r>
        <w:rPr>
          <w:rFonts w:hint="eastAsia" w:ascii="宋体" w:hAnsi="宋体" w:cs="宋体"/>
          <w:sz w:val="21"/>
          <w:szCs w:val="21"/>
        </w:rPr>
        <w:t>根据我院业务发展需要，近期拟对</w:t>
      </w:r>
      <w:r>
        <w:rPr>
          <w:rFonts w:hint="eastAsia" w:ascii="宋体" w:hAnsi="宋体" w:cs="宋体"/>
          <w:sz w:val="21"/>
          <w:szCs w:val="21"/>
          <w:lang w:eastAsia="zh-CN"/>
        </w:rPr>
        <w:t>医院</w:t>
      </w:r>
      <w:r>
        <w:rPr>
          <w:rFonts w:hint="eastAsia" w:ascii="宋体" w:hAnsi="宋体" w:eastAsia="宋体" w:cs="宋体"/>
          <w:sz w:val="21"/>
          <w:szCs w:val="21"/>
        </w:rPr>
        <w:t>汽车维保服务项目</w:t>
      </w:r>
      <w:r>
        <w:rPr>
          <w:rFonts w:hint="eastAsia" w:ascii="宋体" w:hAnsi="宋体" w:cs="宋体"/>
          <w:sz w:val="21"/>
          <w:szCs w:val="21"/>
        </w:rPr>
        <w:t>进行采购，现根据相关规定特此公告，欢迎符合条件的供应商参加。</w:t>
      </w:r>
    </w:p>
    <w:p>
      <w:pPr>
        <w:keepNext w:val="0"/>
        <w:keepLines w:val="0"/>
        <w:pageBreakBefore w:val="0"/>
        <w:numPr>
          <w:ilvl w:val="0"/>
          <w:numId w:val="2"/>
        </w:numPr>
        <w:kinsoku/>
        <w:wordWrap/>
        <w:overflowPunct/>
        <w:topLinePunct w:val="0"/>
        <w:bidi w:val="0"/>
        <w:adjustRightInd w:val="0"/>
        <w:snapToGrid w:val="0"/>
        <w:spacing w:line="3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采购需求</w:t>
      </w:r>
    </w:p>
    <w:p>
      <w:pPr>
        <w:keepNext w:val="0"/>
        <w:keepLines w:val="0"/>
        <w:pageBreakBefore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1.项目编号：</w:t>
      </w:r>
      <w:r>
        <w:rPr>
          <w:rFonts w:hint="eastAsia" w:ascii="宋体" w:hAnsi="宋体" w:eastAsia="宋体" w:cs="宋体"/>
          <w:b w:val="0"/>
          <w:bCs w:val="0"/>
          <w:sz w:val="21"/>
          <w:szCs w:val="21"/>
        </w:rPr>
        <w:t>NYWYF202200</w:t>
      </w:r>
      <w:r>
        <w:rPr>
          <w:rFonts w:hint="eastAsia" w:ascii="宋体" w:hAnsi="宋体" w:eastAsia="宋体" w:cs="宋体"/>
          <w:b w:val="0"/>
          <w:bCs w:val="0"/>
          <w:sz w:val="21"/>
          <w:szCs w:val="21"/>
          <w:lang w:val="en-US" w:eastAsia="zh-CN"/>
        </w:rPr>
        <w:t>16</w:t>
      </w:r>
    </w:p>
    <w:p>
      <w:pPr>
        <w:keepNext w:val="0"/>
        <w:keepLines w:val="0"/>
        <w:pageBreakBefore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2.项目名称：</w:t>
      </w:r>
      <w:r>
        <w:rPr>
          <w:rFonts w:hint="eastAsia" w:ascii="宋体" w:hAnsi="宋体" w:eastAsia="宋体" w:cs="宋体"/>
          <w:b w:val="0"/>
          <w:bCs w:val="0"/>
          <w:sz w:val="21"/>
          <w:szCs w:val="21"/>
        </w:rPr>
        <w:t>南方医科大学第五附属医院汽车维保服务项目</w:t>
      </w:r>
    </w:p>
    <w:p>
      <w:pPr>
        <w:keepNext w:val="0"/>
        <w:keepLines w:val="0"/>
        <w:pageBreakBefore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项目限价：</w:t>
      </w:r>
      <w:r>
        <w:rPr>
          <w:rFonts w:hint="eastAsia" w:ascii="宋体" w:hAnsi="宋体" w:eastAsia="宋体" w:cs="宋体"/>
          <w:b w:val="0"/>
          <w:bCs w:val="0"/>
          <w:sz w:val="21"/>
          <w:szCs w:val="21"/>
          <w:lang w:val="en-US" w:eastAsia="zh-CN"/>
        </w:rPr>
        <w:t>23</w:t>
      </w:r>
      <w:r>
        <w:rPr>
          <w:rFonts w:hint="eastAsia" w:ascii="宋体" w:hAnsi="宋体" w:eastAsia="宋体" w:cs="宋体"/>
          <w:b w:val="0"/>
          <w:bCs w:val="0"/>
          <w:sz w:val="21"/>
          <w:szCs w:val="21"/>
        </w:rPr>
        <w:t>万元/年</w:t>
      </w:r>
      <w:r>
        <w:rPr>
          <w:rFonts w:hint="eastAsia" w:ascii="宋体" w:hAnsi="宋体" w:eastAsia="宋体" w:cs="宋体"/>
          <w:b w:val="0"/>
          <w:bCs w:val="0"/>
          <w:sz w:val="21"/>
          <w:szCs w:val="21"/>
          <w:lang w:val="en-US" w:eastAsia="zh-CN"/>
        </w:rPr>
        <w:t>,46万元/两年</w:t>
      </w:r>
      <w:r>
        <w:rPr>
          <w:rFonts w:hint="eastAsia" w:ascii="宋体" w:hAnsi="宋体" w:eastAsia="宋体" w:cs="宋体"/>
          <w:b w:val="0"/>
          <w:bCs w:val="0"/>
          <w:sz w:val="21"/>
          <w:szCs w:val="21"/>
        </w:rPr>
        <w:t>。（以实际产生费用，按月结算）</w:t>
      </w:r>
    </w:p>
    <w:p>
      <w:pPr>
        <w:keepNext w:val="0"/>
        <w:keepLines w:val="0"/>
        <w:pageBreakBefore w:val="0"/>
        <w:kinsoku/>
        <w:wordWrap/>
        <w:overflowPunct/>
        <w:topLinePunct w:val="0"/>
        <w:autoSpaceDE w:val="0"/>
        <w:autoSpaceDN w:val="0"/>
        <w:bidi w:val="0"/>
        <w:spacing w:line="3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.采购内容及要求：</w:t>
      </w:r>
      <w:r>
        <w:rPr>
          <w:rFonts w:hint="eastAsia" w:ascii="宋体" w:hAnsi="宋体" w:eastAsia="宋体" w:cs="宋体"/>
          <w:b w:val="0"/>
          <w:bCs w:val="0"/>
          <w:sz w:val="21"/>
          <w:szCs w:val="21"/>
        </w:rPr>
        <w:t>详见第二部分用户需求书。</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1.报名截止时间：</w:t>
      </w:r>
      <w:r>
        <w:rPr>
          <w:rFonts w:hint="eastAsia" w:ascii="宋体" w:hAnsi="宋体" w:cs="宋体"/>
          <w:sz w:val="21"/>
          <w:szCs w:val="21"/>
        </w:rPr>
        <w:t>2022年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18</w:t>
      </w:r>
      <w:r>
        <w:rPr>
          <w:rFonts w:hint="eastAsia" w:ascii="宋体" w:hAnsi="宋体" w:cs="宋体"/>
          <w:sz w:val="21"/>
          <w:szCs w:val="21"/>
        </w:rPr>
        <w:t>日下午17点30分，</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：详见报名资料。</w:t>
      </w:r>
    </w:p>
    <w:p>
      <w:pPr>
        <w:keepNext w:val="0"/>
        <w:keepLines w:val="0"/>
        <w:pageBreakBefore w:val="0"/>
        <w:kinsoku/>
        <w:wordWrap/>
        <w:overflowPunct/>
        <w:topLinePunct w:val="0"/>
        <w:bidi w:val="0"/>
        <w:spacing w:line="300" w:lineRule="exact"/>
        <w:ind w:firstLine="422" w:firstLineChars="200"/>
        <w:contextualSpacing/>
        <w:textAlignment w:val="auto"/>
        <w:rPr>
          <w:rFonts w:hint="eastAsia" w:ascii="宋体" w:hAnsi="宋体" w:cs="宋体"/>
          <w:b/>
          <w:bCs/>
          <w:color w:val="FF0000"/>
          <w:sz w:val="21"/>
          <w:szCs w:val="21"/>
        </w:rPr>
      </w:pPr>
      <w:r>
        <w:rPr>
          <w:rFonts w:hint="eastAsia" w:ascii="宋体" w:hAnsi="宋体" w:cs="宋体"/>
          <w:b/>
          <w:bCs/>
          <w:color w:val="FF0000"/>
          <w:sz w:val="21"/>
          <w:szCs w:val="21"/>
        </w:rPr>
        <w:t>*温馨告知：</w:t>
      </w:r>
    </w:p>
    <w:p>
      <w:pPr>
        <w:keepNext w:val="0"/>
        <w:keepLines w:val="0"/>
        <w:pageBreakBefore w:val="0"/>
        <w:numPr>
          <w:ilvl w:val="0"/>
          <w:numId w:val="0"/>
        </w:numPr>
        <w:kinsoku/>
        <w:wordWrap/>
        <w:overflowPunct/>
        <w:topLinePunct w:val="0"/>
        <w:bidi w:val="0"/>
        <w:spacing w:line="300" w:lineRule="exact"/>
        <w:ind w:firstLine="420" w:firstLineChars="200"/>
        <w:contextualSpacing/>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eastAsia="宋体" w:cs="宋体"/>
          <w:color w:val="FF0000"/>
          <w:sz w:val="21"/>
          <w:szCs w:val="21"/>
        </w:rPr>
        <w:t>报名</w:t>
      </w:r>
      <w:r>
        <w:rPr>
          <w:rFonts w:hint="eastAsia" w:ascii="宋体" w:hAnsi="宋体" w:cs="宋体"/>
          <w:color w:val="FF0000"/>
          <w:sz w:val="21"/>
          <w:szCs w:val="21"/>
        </w:rPr>
        <w:t>资料除封面外，其他材料须双面打印，打印出来的资料盖章后，扫描成PDF版，各报名供应商应确保所提供报名资料一定要</w:t>
      </w:r>
      <w:r>
        <w:rPr>
          <w:rFonts w:hint="eastAsia" w:ascii="宋体" w:hAnsi="宋体" w:eastAsia="宋体" w:cs="宋体"/>
          <w:color w:val="FF0000"/>
          <w:sz w:val="21"/>
          <w:szCs w:val="21"/>
        </w:rPr>
        <w:t>真实、完整、清晰可辨，报名资料模糊不清、难以辨认，视为未提供处理，由此造成报名不成功、不能进入评审环节等严重后果由供应商自行负责。</w:t>
      </w:r>
    </w:p>
    <w:p>
      <w:pPr>
        <w:keepNext w:val="0"/>
        <w:keepLines w:val="0"/>
        <w:pageBreakBefore w:val="0"/>
        <w:numPr>
          <w:ilvl w:val="0"/>
          <w:numId w:val="0"/>
        </w:numPr>
        <w:kinsoku/>
        <w:wordWrap/>
        <w:overflowPunct/>
        <w:topLinePunct w:val="0"/>
        <w:bidi w:val="0"/>
        <w:spacing w:line="300" w:lineRule="exact"/>
        <w:ind w:firstLine="420" w:firstLineChars="200"/>
        <w:contextualSpacing/>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(2)第一次报名成功的供应商无需重复报名。</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sz w:val="21"/>
          <w:szCs w:val="21"/>
        </w:rPr>
      </w:pPr>
      <w:bookmarkStart w:id="304" w:name="_GoBack"/>
      <w:bookmarkEnd w:id="304"/>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sz w:val="21"/>
          <w:szCs w:val="21"/>
        </w:rPr>
      </w:pPr>
      <w:r>
        <w:rPr>
          <w:rFonts w:hint="eastAsia" w:ascii="宋体" w:hAnsi="宋体" w:cs="宋体"/>
          <w:b/>
          <w:bCs/>
          <w:sz w:val="21"/>
          <w:szCs w:val="21"/>
        </w:rPr>
        <w:t>5.</w:t>
      </w:r>
      <w:r>
        <w:rPr>
          <w:rStyle w:val="22"/>
          <w:rFonts w:hint="eastAsia" w:ascii="宋体" w:hAnsi="宋体" w:cs="宋体"/>
          <w:bCs/>
          <w:color w:val="FF0000"/>
          <w:sz w:val="21"/>
          <w:szCs w:val="21"/>
          <w:shd w:val="clear" w:color="auto" w:fill="FFFFFF"/>
        </w:rPr>
        <w:t>疫情防控要求：</w:t>
      </w:r>
      <w:r>
        <w:rPr>
          <w:rFonts w:hint="eastAsia" w:ascii="宋体" w:hAnsi="宋体" w:cs="宋体"/>
          <w:b/>
          <w:bCs/>
          <w:color w:val="FF0000"/>
          <w:sz w:val="21"/>
          <w:szCs w:val="21"/>
          <w:shd w:val="clear" w:color="auto" w:fill="FFFFFF"/>
        </w:rPr>
        <w:t>参加评审会议供应商必须无流行病学史，需提供健康码绿码、行程码绿码、</w:t>
      </w:r>
      <w:r>
        <w:rPr>
          <w:rFonts w:hint="eastAsia" w:ascii="宋体" w:hAnsi="宋体" w:cs="宋体"/>
          <w:b/>
          <w:bCs/>
          <w:color w:val="FF0000"/>
          <w:sz w:val="21"/>
          <w:szCs w:val="21"/>
          <w:shd w:val="clear" w:color="auto" w:fill="FFFFFF"/>
          <w:lang w:val="en-US" w:eastAsia="zh-CN"/>
        </w:rPr>
        <w:t>48</w:t>
      </w:r>
      <w:r>
        <w:rPr>
          <w:rFonts w:hint="eastAsia" w:ascii="宋体" w:hAnsi="宋体" w:cs="宋体"/>
          <w:b/>
          <w:bCs/>
          <w:color w:val="FF0000"/>
          <w:sz w:val="21"/>
          <w:szCs w:val="21"/>
          <w:shd w:val="clear" w:color="auto" w:fill="FFFFFF"/>
        </w:rPr>
        <w:t>小时核酸检测结果阴性。(如有最新防疫政策要求，按最新的政策要求执行）</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三、</w:t>
      </w:r>
      <w:r>
        <w:rPr>
          <w:rFonts w:hint="eastAsia" w:ascii="宋体" w:hAnsi="宋体" w:cs="宋体"/>
          <w:b/>
          <w:bCs/>
          <w:sz w:val="21"/>
          <w:szCs w:val="21"/>
          <w:lang w:eastAsia="zh-CN"/>
        </w:rPr>
        <w:t>供应商</w:t>
      </w:r>
      <w:r>
        <w:rPr>
          <w:rFonts w:hint="eastAsia" w:ascii="宋体" w:hAnsi="宋体" w:cs="宋体"/>
          <w:b/>
          <w:bCs/>
          <w:sz w:val="21"/>
          <w:szCs w:val="21"/>
        </w:rPr>
        <w:t>资质要求</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供应商必须是具有独立承担民事责任能力的在中华人民共和国境内注册的法人或其他组织，</w:t>
      </w:r>
      <w:r>
        <w:rPr>
          <w:rFonts w:hint="eastAsia" w:ascii="宋体" w:hAnsi="宋体" w:cs="宋体"/>
          <w:color w:val="000000"/>
          <w:sz w:val="21"/>
          <w:szCs w:val="21"/>
          <w:lang w:eastAsia="zh-CN"/>
        </w:rPr>
        <w:t>需</w:t>
      </w:r>
      <w:r>
        <w:rPr>
          <w:rFonts w:hint="eastAsia" w:ascii="宋体" w:hAnsi="宋体" w:eastAsia="宋体" w:cs="宋体"/>
          <w:color w:val="000000"/>
          <w:sz w:val="21"/>
          <w:szCs w:val="21"/>
        </w:rPr>
        <w:t>提交有效的企业法人营业执照（或事业法人登记证等）副本复印件</w:t>
      </w:r>
      <w:r>
        <w:rPr>
          <w:rFonts w:hint="eastAsia" w:ascii="宋体" w:hAnsi="宋体" w:eastAsia="宋体" w:cs="宋体"/>
          <w:color w:val="000000"/>
          <w:sz w:val="21"/>
          <w:szCs w:val="21"/>
          <w:lang w:eastAsia="zh-CN"/>
        </w:rPr>
        <w:t>，并加盖供应商公司公章</w:t>
      </w:r>
      <w:r>
        <w:rPr>
          <w:rFonts w:hint="eastAsia" w:ascii="宋体" w:hAnsi="宋体" w:cs="宋体"/>
          <w:color w:val="000000"/>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供应商必须</w:t>
      </w:r>
      <w:r>
        <w:rPr>
          <w:rFonts w:hint="eastAsia" w:ascii="宋体" w:hAnsi="宋体" w:eastAsia="宋体" w:cs="宋体"/>
          <w:sz w:val="21"/>
          <w:szCs w:val="21"/>
        </w:rPr>
        <w:t>具有</w:t>
      </w:r>
      <w:r>
        <w:rPr>
          <w:rFonts w:hint="eastAsia" w:ascii="宋体" w:hAnsi="宋体" w:eastAsia="宋体" w:cs="宋体"/>
          <w:color w:val="auto"/>
          <w:sz w:val="21"/>
          <w:szCs w:val="21"/>
          <w:lang w:eastAsia="zh-CN"/>
        </w:rPr>
        <w:t>有效期</w:t>
      </w:r>
      <w:r>
        <w:rPr>
          <w:rFonts w:hint="eastAsia" w:ascii="宋体" w:hAnsi="宋体" w:cs="宋体"/>
          <w:color w:val="auto"/>
          <w:sz w:val="21"/>
          <w:szCs w:val="21"/>
          <w:lang w:eastAsia="zh-CN"/>
        </w:rPr>
        <w:t>内</w:t>
      </w:r>
      <w:r>
        <w:rPr>
          <w:rFonts w:hint="eastAsia" w:ascii="宋体" w:hAnsi="宋体" w:cs="宋体"/>
          <w:sz w:val="21"/>
          <w:szCs w:val="21"/>
          <w:lang w:val="en-US" w:eastAsia="zh-CN"/>
        </w:rPr>
        <w:t>机动车维修经营备案表。</w:t>
      </w:r>
      <w:r>
        <w:rPr>
          <w:rFonts w:hint="eastAsia" w:ascii="宋体" w:hAnsi="宋体" w:eastAsia="宋体" w:cs="宋体"/>
          <w:sz w:val="21"/>
          <w:szCs w:val="21"/>
        </w:rPr>
        <w:t>（</w:t>
      </w:r>
      <w:r>
        <w:rPr>
          <w:rFonts w:hint="eastAsia" w:ascii="宋体" w:hAnsi="宋体" w:cs="宋体"/>
          <w:sz w:val="21"/>
          <w:szCs w:val="21"/>
          <w:lang w:eastAsia="zh-CN"/>
        </w:rPr>
        <w:t>需</w:t>
      </w:r>
      <w:r>
        <w:rPr>
          <w:rFonts w:hint="eastAsia" w:ascii="宋体" w:hAnsi="宋体" w:eastAsia="宋体" w:cs="宋体"/>
          <w:sz w:val="21"/>
          <w:szCs w:val="21"/>
        </w:rPr>
        <w:t>提供相关证明文件复印件</w:t>
      </w:r>
      <w:r>
        <w:rPr>
          <w:rFonts w:hint="eastAsia" w:ascii="宋体" w:hAnsi="宋体" w:eastAsia="宋体" w:cs="宋体"/>
          <w:sz w:val="21"/>
          <w:szCs w:val="21"/>
          <w:lang w:eastAsia="zh-CN"/>
        </w:rPr>
        <w:t>并加盖供应商公司公章</w:t>
      </w:r>
      <w:r>
        <w:rPr>
          <w:rFonts w:hint="eastAsia" w:ascii="宋体" w:hAnsi="宋体" w:eastAsia="宋体" w:cs="宋体"/>
          <w:sz w:val="21"/>
          <w:szCs w:val="21"/>
        </w:rPr>
        <w:t>）</w:t>
      </w:r>
    </w:p>
    <w:p>
      <w:pPr>
        <w:widowControl/>
        <w:spacing w:line="400" w:lineRule="exact"/>
        <w:ind w:firstLine="420"/>
        <w:jc w:val="left"/>
        <w:rPr>
          <w:rFonts w:ascii="宋体" w:hAnsi="宋体"/>
          <w:color w:val="000000"/>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本项目不接受联合体投标、不允许分包、转包。</w:t>
      </w:r>
      <w:r>
        <w:rPr>
          <w:rFonts w:hint="eastAsia" w:ascii="宋体" w:hAnsi="宋体"/>
          <w:color w:val="000000"/>
          <w:szCs w:val="21"/>
        </w:rPr>
        <w:t>（</w:t>
      </w:r>
      <w:r>
        <w:rPr>
          <w:rFonts w:hint="eastAsia" w:ascii="宋体" w:hAnsi="宋体"/>
          <w:color w:val="000000"/>
          <w:szCs w:val="21"/>
          <w:lang w:eastAsia="zh-CN"/>
        </w:rPr>
        <w:t>需</w:t>
      </w:r>
      <w:r>
        <w:rPr>
          <w:rFonts w:hint="eastAsia" w:ascii="宋体" w:hAnsi="宋体"/>
          <w:color w:val="000000"/>
          <w:szCs w:val="21"/>
        </w:rPr>
        <w:t>提供</w:t>
      </w:r>
      <w:r>
        <w:rPr>
          <w:rFonts w:hint="eastAsia" w:ascii="宋体" w:hAnsi="宋体"/>
          <w:color w:val="000000"/>
          <w:szCs w:val="21"/>
          <w:lang w:eastAsia="zh-CN"/>
        </w:rPr>
        <w:t>承诺</w:t>
      </w:r>
      <w:r>
        <w:rPr>
          <w:rFonts w:hint="eastAsia" w:ascii="宋体" w:hAnsi="宋体"/>
          <w:color w:val="000000"/>
          <w:szCs w:val="21"/>
        </w:rPr>
        <w:t>函，承诺函必须包含相关内容描述，格式自拟</w:t>
      </w:r>
      <w:r>
        <w:rPr>
          <w:rFonts w:hint="eastAsia" w:ascii="宋体" w:hAnsi="宋体"/>
          <w:color w:val="000000"/>
          <w:szCs w:val="21"/>
          <w:lang w:eastAsia="zh-CN"/>
        </w:rPr>
        <w:t>，并加盖供应商公司公章</w:t>
      </w:r>
      <w:r>
        <w:rPr>
          <w:rFonts w:hint="eastAsia" w:ascii="宋体" w:hAnsi="宋体"/>
          <w:color w:val="000000"/>
          <w:szCs w:val="21"/>
        </w:rPr>
        <w:t>）</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bidi w:val="0"/>
        <w:adjustRightInd w:val="0"/>
        <w:snapToGrid w:val="0"/>
        <w:spacing w:line="3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pPr>
        <w:keepNext w:val="0"/>
        <w:keepLines w:val="0"/>
        <w:pageBreakBefore w:val="0"/>
        <w:widowControl/>
        <w:kinsoku/>
        <w:wordWrap/>
        <w:overflowPunct/>
        <w:topLinePunct w:val="0"/>
        <w:bidi w:val="0"/>
        <w:spacing w:line="3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bidi w:val="0"/>
        <w:spacing w:line="300" w:lineRule="exact"/>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sz w:val="21"/>
          <w:szCs w:val="21"/>
          <w:lang w:eastAsia="zh-CN"/>
        </w:rPr>
        <w:t>徐</w:t>
      </w:r>
      <w:r>
        <w:rPr>
          <w:rFonts w:hint="eastAsia" w:ascii="宋体" w:hAnsi="宋体" w:cs="宋体"/>
          <w:color w:val="auto"/>
          <w:sz w:val="21"/>
          <w:szCs w:val="21"/>
        </w:rPr>
        <w:t>老师：020-6178</w:t>
      </w:r>
      <w:r>
        <w:rPr>
          <w:rFonts w:hint="eastAsia" w:ascii="宋体" w:hAnsi="宋体" w:cs="宋体"/>
          <w:color w:val="auto"/>
          <w:sz w:val="21"/>
          <w:szCs w:val="21"/>
          <w:lang w:val="en-US" w:eastAsia="zh-CN"/>
        </w:rPr>
        <w:t>0303</w:t>
      </w:r>
      <w:r>
        <w:rPr>
          <w:rFonts w:hint="eastAsia" w:ascii="宋体" w:hAnsi="宋体" w:cs="宋体"/>
          <w:color w:val="auto"/>
          <w:sz w:val="21"/>
          <w:szCs w:val="21"/>
        </w:rPr>
        <w:t>（项目需求咨询）</w:t>
      </w:r>
    </w:p>
    <w:p>
      <w:pPr>
        <w:keepNext w:val="0"/>
        <w:keepLines w:val="0"/>
        <w:pageBreakBefore w:val="0"/>
        <w:widowControl/>
        <w:kinsoku/>
        <w:wordWrap/>
        <w:overflowPunct/>
        <w:topLinePunct w:val="0"/>
        <w:bidi w:val="0"/>
        <w:spacing w:line="3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3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联系时间（工作日）：上午 8:30-12:00，下午14:30-17:30</w:t>
      </w:r>
    </w:p>
    <w:p>
      <w:pPr>
        <w:pStyle w:val="26"/>
        <w:keepNext w:val="0"/>
        <w:keepLines w:val="0"/>
        <w:pageBreakBefore w:val="0"/>
        <w:kinsoku/>
        <w:wordWrap/>
        <w:overflowPunct/>
        <w:topLinePunct w:val="0"/>
        <w:bidi w:val="0"/>
        <w:spacing w:line="300" w:lineRule="exact"/>
        <w:ind w:left="1440" w:hanging="1260" w:hangingChars="60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w:t>
      </w:r>
    </w:p>
    <w:p>
      <w:pPr>
        <w:pStyle w:val="26"/>
        <w:keepNext w:val="0"/>
        <w:keepLines w:val="0"/>
        <w:pageBreakBefore w:val="0"/>
        <w:kinsoku/>
        <w:wordWrap/>
        <w:overflowPunct/>
        <w:topLinePunct w:val="0"/>
        <w:bidi w:val="0"/>
        <w:spacing w:line="300" w:lineRule="exact"/>
        <w:ind w:left="1440" w:hanging="1260" w:hangingChars="600"/>
        <w:textAlignment w:val="auto"/>
        <w:rPr>
          <w:rFonts w:hint="default" w:ascii="宋体" w:hAnsi="宋体" w:cs="宋体"/>
          <w:kern w:val="0"/>
          <w:sz w:val="21"/>
          <w:szCs w:val="21"/>
          <w:lang w:val="en-US" w:eastAsia="zh-CN"/>
        </w:rPr>
      </w:pPr>
    </w:p>
    <w:p>
      <w:pPr>
        <w:keepNext w:val="0"/>
        <w:keepLines w:val="0"/>
        <w:pageBreakBefore w:val="0"/>
        <w:widowControl/>
        <w:kinsoku/>
        <w:wordWrap/>
        <w:overflowPunct/>
        <w:topLinePunct w:val="0"/>
        <w:bidi w:val="0"/>
        <w:spacing w:line="300" w:lineRule="exact"/>
        <w:jc w:val="right"/>
        <w:textAlignment w:val="auto"/>
        <w:rPr>
          <w:rFonts w:hint="eastAsia" w:ascii="宋体" w:hAnsi="宋体" w:cs="宋体"/>
          <w:kern w:val="0"/>
          <w:sz w:val="21"/>
          <w:szCs w:val="21"/>
        </w:rPr>
      </w:pPr>
    </w:p>
    <w:p>
      <w:pPr>
        <w:keepNext w:val="0"/>
        <w:keepLines w:val="0"/>
        <w:pageBreakBefore w:val="0"/>
        <w:kinsoku/>
        <w:wordWrap/>
        <w:overflowPunct/>
        <w:topLinePunct w:val="0"/>
        <w:bidi w:val="0"/>
        <w:adjustRightInd w:val="0"/>
        <w:snapToGrid w:val="0"/>
        <w:spacing w:line="300" w:lineRule="exact"/>
        <w:ind w:firstLine="420" w:firstLineChars="200"/>
        <w:jc w:val="right"/>
        <w:textAlignment w:val="auto"/>
        <w:rPr>
          <w:rFonts w:hint="eastAsia" w:ascii="宋体" w:hAnsi="宋体" w:cs="宋体"/>
          <w:sz w:val="21"/>
          <w:szCs w:val="21"/>
          <w:lang w:val="zh-CN"/>
        </w:rPr>
      </w:pPr>
    </w:p>
    <w:p>
      <w:pPr>
        <w:keepNext w:val="0"/>
        <w:keepLines w:val="0"/>
        <w:pageBreakBefore w:val="0"/>
        <w:kinsoku/>
        <w:wordWrap/>
        <w:overflowPunct/>
        <w:topLinePunct w:val="0"/>
        <w:bidi w:val="0"/>
        <w:adjustRightInd w:val="0"/>
        <w:snapToGrid w:val="0"/>
        <w:spacing w:line="300" w:lineRule="exact"/>
        <w:ind w:firstLine="420" w:firstLineChars="200"/>
        <w:jc w:val="right"/>
        <w:textAlignment w:val="auto"/>
        <w:rPr>
          <w:rFonts w:hint="eastAsia" w:ascii="宋体" w:hAnsi="宋体" w:cs="宋体"/>
          <w:sz w:val="21"/>
          <w:szCs w:val="21"/>
          <w:lang w:val="zh-CN"/>
        </w:rPr>
      </w:pPr>
    </w:p>
    <w:p>
      <w:pPr>
        <w:keepNext w:val="0"/>
        <w:keepLines w:val="0"/>
        <w:pageBreakBefore w:val="0"/>
        <w:kinsoku/>
        <w:wordWrap/>
        <w:overflowPunct/>
        <w:topLinePunct w:val="0"/>
        <w:bidi w:val="0"/>
        <w:adjustRightInd w:val="0"/>
        <w:snapToGrid w:val="0"/>
        <w:spacing w:line="30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pStyle w:val="26"/>
        <w:keepNext w:val="0"/>
        <w:keepLines w:val="0"/>
        <w:pageBreakBefore w:val="0"/>
        <w:kinsoku/>
        <w:wordWrap/>
        <w:overflowPunct/>
        <w:topLinePunct w:val="0"/>
        <w:bidi w:val="0"/>
        <w:spacing w:line="300" w:lineRule="exact"/>
        <w:jc w:val="right"/>
        <w:textAlignment w:val="auto"/>
        <w:rPr>
          <w:rFonts w:hint="eastAsia" w:ascii="宋体" w:hAnsi="宋体" w:cs="宋体"/>
          <w:sz w:val="21"/>
          <w:szCs w:val="21"/>
        </w:rPr>
      </w:pPr>
      <w:r>
        <w:rPr>
          <w:rFonts w:hint="eastAsia" w:ascii="宋体" w:hAnsi="宋体" w:cs="宋体"/>
          <w:sz w:val="21"/>
          <w:szCs w:val="21"/>
          <w:lang w:val="zh-CN"/>
        </w:rPr>
        <w:t>202</w:t>
      </w:r>
      <w:r>
        <w:rPr>
          <w:rFonts w:hint="eastAsia" w:ascii="宋体" w:hAnsi="宋体" w:cs="宋体"/>
          <w:sz w:val="21"/>
          <w:szCs w:val="21"/>
        </w:rPr>
        <w:t>2</w:t>
      </w:r>
      <w:r>
        <w:rPr>
          <w:rFonts w:hint="eastAsia" w:ascii="宋体" w:hAnsi="宋体" w:cs="宋体"/>
          <w:sz w:val="21"/>
          <w:szCs w:val="21"/>
          <w:lang w:val="zh-CN"/>
        </w:rPr>
        <w:t>年</w:t>
      </w:r>
      <w:r>
        <w:rPr>
          <w:rFonts w:hint="eastAsia" w:ascii="宋体" w:hAnsi="宋体" w:cs="宋体"/>
          <w:sz w:val="21"/>
          <w:szCs w:val="21"/>
          <w:lang w:val="en-US" w:eastAsia="zh-CN"/>
        </w:rPr>
        <w:t>11</w:t>
      </w:r>
      <w:r>
        <w:rPr>
          <w:rFonts w:hint="eastAsia" w:ascii="宋体" w:hAnsi="宋体" w:cs="宋体"/>
          <w:sz w:val="21"/>
          <w:szCs w:val="21"/>
          <w:lang w:val="zh-CN"/>
        </w:rPr>
        <w:t>月</w:t>
      </w:r>
      <w:r>
        <w:rPr>
          <w:rFonts w:hint="eastAsia" w:ascii="宋体" w:hAnsi="宋体" w:cs="宋体"/>
          <w:sz w:val="21"/>
          <w:szCs w:val="21"/>
          <w:lang w:val="en-US" w:eastAsia="zh-CN"/>
        </w:rPr>
        <w:t>15</w:t>
      </w:r>
      <w:r>
        <w:rPr>
          <w:rFonts w:hint="eastAsia" w:ascii="宋体" w:hAnsi="宋体" w:cs="宋体"/>
          <w:sz w:val="21"/>
          <w:szCs w:val="21"/>
          <w:lang w:val="zh-CN"/>
        </w:rPr>
        <w:t>日</w:t>
      </w:r>
    </w:p>
    <w:p>
      <w:pPr>
        <w:keepNext w:val="0"/>
        <w:keepLines w:val="0"/>
        <w:pageBreakBefore w:val="0"/>
        <w:tabs>
          <w:tab w:val="left" w:pos="5584"/>
        </w:tabs>
        <w:kinsoku/>
        <w:wordWrap/>
        <w:overflowPunct/>
        <w:topLinePunct w:val="0"/>
        <w:bidi w:val="0"/>
        <w:spacing w:line="300" w:lineRule="exact"/>
        <w:jc w:val="left"/>
        <w:textAlignment w:val="auto"/>
        <w:rPr>
          <w:rFonts w:hint="eastAsia"/>
          <w:sz w:val="21"/>
          <w:szCs w:val="21"/>
        </w:rPr>
      </w:pPr>
    </w:p>
    <w:p>
      <w:pPr>
        <w:pStyle w:val="26"/>
        <w:spacing w:line="400" w:lineRule="exact"/>
        <w:jc w:val="right"/>
        <w:rPr>
          <w:rFonts w:ascii="宋体" w:hAnsi="宋体" w:cs="宋体"/>
          <w:szCs w:val="21"/>
        </w:rPr>
      </w:pPr>
    </w:p>
    <w:p>
      <w:pPr>
        <w:pStyle w:val="26"/>
        <w:spacing w:line="400" w:lineRule="exact"/>
        <w:jc w:val="right"/>
        <w:rPr>
          <w:rFonts w:ascii="宋体" w:hAnsi="宋体" w:cs="宋体"/>
          <w:szCs w:val="21"/>
          <w:lang w:val="zh-CN"/>
        </w:rPr>
      </w:pPr>
    </w:p>
    <w:p>
      <w:pPr>
        <w:pStyle w:val="26"/>
        <w:spacing w:line="400" w:lineRule="exact"/>
        <w:jc w:val="right"/>
        <w:rPr>
          <w:rFonts w:ascii="宋体" w:hAnsi="宋体" w:cs="宋体"/>
          <w:szCs w:val="21"/>
          <w:lang w:val="zh-CN"/>
        </w:rPr>
      </w:pPr>
    </w:p>
    <w:p>
      <w:pPr>
        <w:numPr>
          <w:ilvl w:val="0"/>
          <w:numId w:val="3"/>
        </w:numPr>
        <w:spacing w:line="360" w:lineRule="auto"/>
        <w:jc w:val="center"/>
        <w:outlineLvl w:val="0"/>
        <w:rPr>
          <w:rFonts w:ascii="宋体" w:hAnsi="宋体"/>
          <w:b/>
          <w:bCs/>
          <w:sz w:val="30"/>
          <w:szCs w:val="30"/>
        </w:rPr>
      </w:pPr>
      <w:bookmarkStart w:id="7" w:name="_Toc25861"/>
      <w:bookmarkStart w:id="8" w:name="_Toc27350"/>
      <w:r>
        <w:rPr>
          <w:rFonts w:hint="eastAsia" w:ascii="宋体" w:hAnsi="宋体"/>
          <w:b/>
          <w:bCs/>
          <w:sz w:val="30"/>
          <w:szCs w:val="30"/>
        </w:rPr>
        <w:t xml:space="preserve"> </w:t>
      </w:r>
      <w:bookmarkStart w:id="9" w:name="_Toc30554"/>
      <w:r>
        <w:rPr>
          <w:rFonts w:hint="eastAsia" w:ascii="宋体" w:hAnsi="宋体"/>
          <w:b/>
          <w:bCs/>
          <w:sz w:val="30"/>
          <w:szCs w:val="30"/>
        </w:rPr>
        <w:t>用户需求书</w:t>
      </w:r>
      <w:bookmarkEnd w:id="7"/>
      <w:bookmarkEnd w:id="8"/>
      <w:bookmarkEnd w:id="9"/>
    </w:p>
    <w:p>
      <w:pPr>
        <w:pStyle w:val="9"/>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0000FF"/>
          <w:sz w:val="21"/>
          <w:szCs w:val="21"/>
          <w:lang w:eastAsia="zh-CN"/>
        </w:rPr>
      </w:pPr>
      <w:r>
        <w:rPr>
          <w:rFonts w:hint="eastAsia" w:ascii="宋体" w:hAnsi="宋体" w:eastAsia="宋体" w:cs="宋体"/>
          <w:b/>
          <w:bCs/>
          <w:kern w:val="2"/>
          <w:sz w:val="21"/>
          <w:szCs w:val="21"/>
          <w:lang w:val="en-US" w:eastAsia="zh-CN" w:bidi="ar-SA"/>
        </w:rPr>
        <w:t>一、项目概况</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1．项目名称：</w:t>
      </w:r>
      <w:r>
        <w:rPr>
          <w:rFonts w:hint="eastAsia" w:ascii="宋体" w:hAnsi="宋体" w:eastAsia="宋体" w:cs="宋体"/>
          <w:sz w:val="21"/>
          <w:szCs w:val="21"/>
          <w:lang w:eastAsia="zh-CN"/>
        </w:rPr>
        <w:t>南方医科大学第五附属医院</w:t>
      </w:r>
      <w:r>
        <w:rPr>
          <w:rFonts w:hint="eastAsia" w:ascii="宋体" w:hAnsi="宋体" w:eastAsia="宋体" w:cs="宋体"/>
          <w:sz w:val="21"/>
          <w:szCs w:val="21"/>
        </w:rPr>
        <w:t>汽车维保服务项目</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．项目类别：</w:t>
      </w:r>
      <w:r>
        <w:rPr>
          <w:rFonts w:hint="eastAsia" w:ascii="宋体" w:hAnsi="宋体" w:eastAsia="宋体" w:cs="宋体"/>
          <w:sz w:val="21"/>
          <w:szCs w:val="21"/>
        </w:rPr>
        <w:t>服务类</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．项目</w:t>
      </w:r>
      <w:r>
        <w:rPr>
          <w:rFonts w:hint="eastAsia" w:ascii="宋体" w:hAnsi="宋体" w:eastAsia="宋体" w:cs="宋体"/>
          <w:b/>
          <w:bCs/>
          <w:sz w:val="21"/>
          <w:szCs w:val="21"/>
          <w:lang w:eastAsia="zh-CN"/>
        </w:rPr>
        <w:t>限价</w:t>
      </w:r>
      <w:r>
        <w:rPr>
          <w:rFonts w:hint="eastAsia" w:ascii="宋体" w:hAnsi="宋体" w:eastAsia="宋体" w:cs="宋体"/>
          <w:b/>
          <w:bCs/>
          <w:sz w:val="21"/>
          <w:szCs w:val="21"/>
        </w:rPr>
        <w:t>：</w:t>
      </w:r>
      <w:r>
        <w:rPr>
          <w:rFonts w:hint="eastAsia" w:ascii="宋体" w:hAnsi="宋体" w:eastAsia="宋体" w:cs="宋体"/>
          <w:sz w:val="21"/>
          <w:szCs w:val="21"/>
          <w:lang w:val="en-US" w:eastAsia="zh-CN"/>
        </w:rPr>
        <w:t>23</w:t>
      </w:r>
      <w:r>
        <w:rPr>
          <w:rFonts w:hint="eastAsia" w:ascii="宋体" w:hAnsi="宋体" w:eastAsia="宋体" w:cs="宋体"/>
          <w:sz w:val="21"/>
          <w:szCs w:val="21"/>
        </w:rPr>
        <w:t>万元/年</w:t>
      </w:r>
      <w:r>
        <w:rPr>
          <w:rFonts w:hint="eastAsia" w:ascii="宋体" w:hAnsi="宋体" w:eastAsia="宋体" w:cs="宋体"/>
          <w:sz w:val="21"/>
          <w:szCs w:val="21"/>
          <w:lang w:val="en-US" w:eastAsia="zh-CN"/>
        </w:rPr>
        <w:t>,46万元/两年</w:t>
      </w:r>
      <w:r>
        <w:rPr>
          <w:rFonts w:hint="eastAsia" w:ascii="宋体" w:hAnsi="宋体" w:eastAsia="宋体" w:cs="宋体"/>
          <w:sz w:val="21"/>
          <w:szCs w:val="21"/>
        </w:rPr>
        <w:t>。（以实际产生费用，按月结算）</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服务期限：</w:t>
      </w:r>
      <w:r>
        <w:rPr>
          <w:rFonts w:hint="eastAsia" w:ascii="宋体" w:hAnsi="宋体" w:eastAsia="宋体" w:cs="宋体"/>
          <w:sz w:val="21"/>
          <w:szCs w:val="21"/>
          <w:lang w:val="en-US" w:eastAsia="zh-CN"/>
        </w:rPr>
        <w:t>自合同签订之日起</w:t>
      </w:r>
      <w:r>
        <w:rPr>
          <w:rFonts w:hint="eastAsia" w:ascii="宋体" w:hAnsi="宋体" w:cs="宋体"/>
          <w:sz w:val="21"/>
          <w:szCs w:val="21"/>
          <w:lang w:val="en-US" w:eastAsia="zh-CN"/>
        </w:rPr>
        <w:t>两</w:t>
      </w:r>
      <w:r>
        <w:rPr>
          <w:rFonts w:hint="eastAsia" w:ascii="宋体" w:hAnsi="宋体" w:eastAsia="宋体" w:cs="宋体"/>
          <w:sz w:val="21"/>
          <w:szCs w:val="21"/>
          <w:lang w:val="en-US" w:eastAsia="zh-CN"/>
        </w:rPr>
        <w:t>年</w:t>
      </w:r>
      <w:r>
        <w:rPr>
          <w:rFonts w:hint="eastAsia" w:ascii="宋体" w:hAnsi="宋体" w:eastAsia="宋体" w:cs="宋体"/>
          <w:sz w:val="21"/>
          <w:szCs w:val="21"/>
        </w:rPr>
        <w:t>。</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二、项目内容及需求</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1．项目清单：</w:t>
      </w:r>
      <w:r>
        <w:rPr>
          <w:rFonts w:hint="eastAsia" w:ascii="宋体" w:hAnsi="宋体" w:eastAsia="宋体" w:cs="宋体"/>
          <w:color w:val="000000"/>
          <w:sz w:val="21"/>
          <w:szCs w:val="21"/>
        </w:rPr>
        <w:t>详见</w:t>
      </w:r>
      <w:r>
        <w:rPr>
          <w:rFonts w:hint="eastAsia" w:ascii="宋体" w:hAnsi="宋体" w:cs="宋体"/>
          <w:color w:val="000000"/>
          <w:sz w:val="21"/>
          <w:szCs w:val="21"/>
          <w:lang w:eastAsia="zh-CN"/>
        </w:rPr>
        <w:t>表</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《南方医科大学第五附属医院汽车维修项目工时费报价</w:t>
      </w:r>
      <w:r>
        <w:rPr>
          <w:rFonts w:hint="eastAsia" w:ascii="宋体" w:hAnsi="宋体" w:eastAsia="宋体" w:cs="宋体"/>
          <w:color w:val="000000"/>
          <w:sz w:val="21"/>
          <w:szCs w:val="21"/>
          <w:lang w:val="en-US" w:eastAsia="zh-CN"/>
        </w:rPr>
        <w:t>表</w:t>
      </w:r>
      <w:r>
        <w:rPr>
          <w:rFonts w:hint="eastAsia" w:ascii="宋体" w:hAnsi="宋体" w:eastAsia="宋体" w:cs="宋体"/>
          <w:color w:val="000000"/>
          <w:sz w:val="21"/>
          <w:szCs w:val="21"/>
        </w:rPr>
        <w:t>》和</w:t>
      </w:r>
      <w:r>
        <w:rPr>
          <w:rFonts w:hint="eastAsia" w:ascii="宋体" w:hAnsi="宋体" w:cs="宋体"/>
          <w:color w:val="000000"/>
          <w:sz w:val="21"/>
          <w:szCs w:val="21"/>
          <w:lang w:eastAsia="zh-CN"/>
        </w:rPr>
        <w:t>表</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《南方医科大学第五附属医院车辆维修常规材料报价</w:t>
      </w:r>
      <w:r>
        <w:rPr>
          <w:rFonts w:hint="eastAsia" w:ascii="宋体" w:hAnsi="宋体" w:eastAsia="宋体" w:cs="宋体"/>
          <w:color w:val="000000"/>
          <w:sz w:val="21"/>
          <w:szCs w:val="21"/>
          <w:lang w:val="en-US" w:eastAsia="zh-CN"/>
        </w:rPr>
        <w:t>表</w:t>
      </w:r>
      <w:r>
        <w:rPr>
          <w:rFonts w:hint="eastAsia" w:ascii="宋体" w:hAnsi="宋体" w:eastAsia="宋体" w:cs="宋体"/>
          <w:color w:val="000000"/>
          <w:sz w:val="21"/>
          <w:szCs w:val="21"/>
        </w:rPr>
        <w:t>》。</w:t>
      </w:r>
    </w:p>
    <w:p>
      <w:pPr>
        <w:pStyle w:val="26"/>
        <w:keepNext w:val="0"/>
        <w:keepLines w:val="0"/>
        <w:pageBreakBefore w:val="0"/>
        <w:kinsoku/>
        <w:wordWrap/>
        <w:overflowPunct/>
        <w:topLinePunct w:val="0"/>
        <w:bidi w:val="0"/>
        <w:spacing w:line="30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表</w:t>
      </w:r>
      <w:r>
        <w:rPr>
          <w:rFonts w:hint="eastAsia" w:ascii="宋体" w:hAnsi="宋体" w:eastAsia="宋体" w:cs="宋体"/>
          <w:b/>
          <w:bCs/>
          <w:sz w:val="21"/>
          <w:szCs w:val="21"/>
          <w:lang w:val="en-US" w:eastAsia="zh-CN"/>
        </w:rPr>
        <w:t xml:space="preserve">1    </w:t>
      </w:r>
      <w:r>
        <w:rPr>
          <w:rFonts w:hint="eastAsia" w:ascii="宋体" w:hAnsi="宋体" w:eastAsia="宋体" w:cs="宋体"/>
          <w:b/>
          <w:bCs/>
          <w:sz w:val="21"/>
          <w:szCs w:val="21"/>
        </w:rPr>
        <w:t>南方医科大学第五附属医院汽车维修项目工时费报价</w:t>
      </w:r>
      <w:r>
        <w:rPr>
          <w:rFonts w:hint="eastAsia" w:ascii="宋体" w:hAnsi="宋体" w:eastAsia="宋体" w:cs="宋体"/>
          <w:b/>
          <w:bCs/>
          <w:sz w:val="21"/>
          <w:szCs w:val="21"/>
          <w:lang w:val="en-US" w:eastAsia="zh-CN"/>
        </w:rPr>
        <w:t>表</w:t>
      </w:r>
    </w:p>
    <w:p>
      <w:pPr>
        <w:pStyle w:val="26"/>
        <w:keepNext w:val="0"/>
        <w:keepLines w:val="0"/>
        <w:pageBreakBefore w:val="0"/>
        <w:kinsoku/>
        <w:wordWrap/>
        <w:overflowPunct/>
        <w:topLinePunct w:val="0"/>
        <w:bidi w:val="0"/>
        <w:spacing w:line="300" w:lineRule="exact"/>
        <w:jc w:val="center"/>
        <w:rPr>
          <w:rFonts w:hint="eastAsia" w:ascii="宋体" w:hAnsi="宋体" w:eastAsia="宋体" w:cs="宋体"/>
          <w:b/>
          <w:bCs/>
          <w:sz w:val="21"/>
          <w:szCs w:val="21"/>
          <w:lang w:val="en-US" w:eastAsia="zh-CN"/>
        </w:rPr>
      </w:pPr>
    </w:p>
    <w:tbl>
      <w:tblPr>
        <w:tblStyle w:val="19"/>
        <w:tblW w:w="8732" w:type="dxa"/>
        <w:jc w:val="center"/>
        <w:tblLayout w:type="fixed"/>
        <w:tblCellMar>
          <w:top w:w="15" w:type="dxa"/>
          <w:left w:w="15" w:type="dxa"/>
          <w:bottom w:w="15" w:type="dxa"/>
          <w:right w:w="15" w:type="dxa"/>
        </w:tblCellMar>
      </w:tblPr>
      <w:tblGrid>
        <w:gridCol w:w="928"/>
        <w:gridCol w:w="1269"/>
        <w:gridCol w:w="3125"/>
        <w:gridCol w:w="1763"/>
        <w:gridCol w:w="1647"/>
      </w:tblGrid>
      <w:tr>
        <w:tblPrEx>
          <w:tblCellMar>
            <w:top w:w="15" w:type="dxa"/>
            <w:left w:w="15" w:type="dxa"/>
            <w:bottom w:w="15" w:type="dxa"/>
            <w:right w:w="15" w:type="dxa"/>
          </w:tblCellMar>
        </w:tblPrEx>
        <w:trPr>
          <w:trHeight w:val="401"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序号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类别</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维修项目</w:t>
            </w:r>
          </w:p>
        </w:tc>
        <w:tc>
          <w:tcPr>
            <w:tcW w:w="1763"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rPr>
              <w:t>单价限价</w:t>
            </w:r>
            <w:r>
              <w:rPr>
                <w:rFonts w:hint="eastAsia" w:ascii="宋体" w:hAnsi="宋体" w:eastAsia="宋体" w:cs="宋体"/>
                <w:b/>
                <w:bCs/>
                <w:color w:val="000000"/>
                <w:kern w:val="0"/>
                <w:sz w:val="18"/>
                <w:szCs w:val="18"/>
              </w:rPr>
              <w:t>（元）</w:t>
            </w:r>
          </w:p>
        </w:tc>
        <w:tc>
          <w:tcPr>
            <w:tcW w:w="164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备注</w:t>
            </w: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保养项目</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140.00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新车1000KM5000保养</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35.00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运输车辆二级维护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294.00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发动机系统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发动机大修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1568.00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吊装发动机总成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672.00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更换发动机左、右侧支承胶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更换喷油嘴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3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更换汽油泵（电动泵）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175.20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4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更换水箱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121.60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更换冷却风扇马达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更换方向机助力泵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更换气缸垫</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拆装气门室盖</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更换起动机、发电机总成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更换发动机缸盖</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450.00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更换机油集滤器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更换机油泵总成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175.20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更换曲轴皮带轮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拆装或更换水箱，更换防冻液</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拆装排气支管歧管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更换风扇偶合器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更换水泵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188.80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研磨气门（1支）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换发动机全套活塞环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210.00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换连杆轴承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300.00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换发动机活塞、连杆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450.00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更换正时齿轮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300.00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更换火花塞</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76.80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悬架系统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清洗空气滤清器或更换滤芯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41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更换飞轮齿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前、后独立悬挂解体、修理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302.40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更换前、后减震器机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更换前、后轮上下挂臂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拆装或更换转向节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148.00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拆装前、后轮轴承（边）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拆装半轴轴承（边）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更换钢圈、平衡轮胎（条）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更换发动机支架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67.20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换托盘后机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67.20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换普通前后避震器（条）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48.80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换悬挂上、下球头（边）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检查调校前轮定位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调校前轮前速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换前驱动轴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更换前、后轮油封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更换前制动片80</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制动系统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更换后制动片、鼓（碟刹）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更换后制动蹄（鼓刹）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更换手刹片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94.40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光制动盘（个）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33.60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更换前、后制动盘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更换制动底板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镗制动鼓（个）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35.00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检修保养、更换制动分泵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更换真空助力器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更换ABS执行器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266.40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更换ABS转速传感器（个）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更换车轮制动软管（条）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检修、调校四轮刹车（含放空气）</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更换刹车油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67.20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调校刹车隙</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检修ABS系统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四轮定位检测、调整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172.80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转动系统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更换方向助力油泵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拆装转向横拉杆（内球头）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调正方向盘位置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更换方向机横拉杆、防尘套</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更换助力泵油壳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换高低压油管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更换方向机主臂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56.00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141.60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前桥转向系统大修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403.20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换转向机十字轴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换方向减震器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维修或保养离合器总泵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维修或保养离合器分泵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分解、修理自动变速箱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1050.00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分解、修理手动变速箱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600.00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拆装变速箱总成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291.20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更换前驱动半轴（边）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更换半轴内、外球笼（边）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7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更换半轴防尘套、保养球笼（边）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112.00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换传动轴中间轴承或油封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更换变速箱齿轮油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换差速器、半轴油封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更换轮毂轴承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检修挂档机构</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更换变速箱前、后油封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换离合器分离轴承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更换波箱档位显示器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更换传动轴吊胶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56.00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更换差速器油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更换冷气压缩机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168.00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冷气系统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更换电子扇或电子马达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更换冷暖调节开关拉索</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78.40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更换A\C开关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拆装空调鼓风机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96.80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换雪种瓶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18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抽真空加雪种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检修冷气提速开关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换高低压管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更换空调继电器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更换冷气皮带调整轮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冷气风机检修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清洗水箱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86.40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检修空调电路（自动）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更换冷气泵皮带</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7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拆装仪表台</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537.60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检修里程表线路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检修机油压力线路（机油灯亮）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检修充电指示灯线路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32"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调整大灯位置及光轴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拆装雨刮连杆机构</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更换雨刮喷水壶或喷水电机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1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更换左右气袋及电脑</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4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更换升降器总开关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检修电子防盗器系统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100.80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排除供油系统电器故障</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更换机油感应器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53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单价</w:t>
            </w:r>
            <w:r>
              <w:rPr>
                <w:rFonts w:hint="eastAsia" w:ascii="宋体" w:hAnsi="宋体" w:eastAsia="宋体" w:cs="宋体"/>
                <w:color w:val="000000"/>
                <w:kern w:val="0"/>
                <w:sz w:val="18"/>
                <w:szCs w:val="18"/>
              </w:rPr>
              <w:t>合计</w:t>
            </w:r>
            <w:r>
              <w:rPr>
                <w:rFonts w:hint="eastAsia" w:ascii="宋体" w:hAnsi="宋体" w:eastAsia="宋体" w:cs="宋体"/>
                <w:color w:val="000000"/>
                <w:kern w:val="0"/>
                <w:sz w:val="18"/>
                <w:szCs w:val="18"/>
                <w:lang w:val="en-US" w:eastAsia="zh-CN"/>
              </w:rPr>
              <w:t>限价（含</w:t>
            </w:r>
            <w:r>
              <w:rPr>
                <w:rFonts w:hint="eastAsia" w:ascii="宋体" w:hAnsi="宋体" w:eastAsia="宋体" w:cs="宋体"/>
                <w:kern w:val="0"/>
                <w:sz w:val="18"/>
                <w:szCs w:val="18"/>
              </w:rPr>
              <w:t>税）</w:t>
            </w:r>
            <w:r>
              <w:rPr>
                <w:rFonts w:hint="eastAsia" w:ascii="宋体" w:hAnsi="宋体" w:eastAsia="宋体" w:cs="宋体"/>
                <w:color w:val="000000"/>
                <w:kern w:val="0"/>
                <w:sz w:val="18"/>
                <w:szCs w:val="18"/>
              </w:rPr>
              <w:t>：</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18430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bl>
    <w:p>
      <w:pPr>
        <w:pStyle w:val="26"/>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lang w:val="en-US" w:eastAsia="zh-CN"/>
        </w:rPr>
      </w:pPr>
    </w:p>
    <w:p>
      <w:pPr>
        <w:pStyle w:val="26"/>
        <w:keepNext w:val="0"/>
        <w:keepLines w:val="0"/>
        <w:pageBreakBefore w:val="0"/>
        <w:kinsoku/>
        <w:wordWrap/>
        <w:overflowPunct/>
        <w:topLinePunct w:val="0"/>
        <w:bidi w:val="0"/>
        <w:spacing w:line="300" w:lineRule="exact"/>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eastAsia="zh-CN"/>
        </w:rPr>
        <w:t>表</w:t>
      </w:r>
      <w:r>
        <w:rPr>
          <w:rFonts w:hint="eastAsia" w:ascii="宋体" w:hAnsi="宋体" w:eastAsia="宋体" w:cs="宋体"/>
          <w:b/>
          <w:bCs/>
          <w:sz w:val="21"/>
          <w:szCs w:val="21"/>
          <w:lang w:val="en-US" w:eastAsia="zh-CN"/>
        </w:rPr>
        <w:t xml:space="preserve">2 </w:t>
      </w:r>
      <w:r>
        <w:rPr>
          <w:rFonts w:hint="eastAsia" w:ascii="宋体" w:hAnsi="宋体" w:eastAsia="宋体" w:cs="宋体"/>
          <w:b/>
          <w:bCs/>
          <w:sz w:val="21"/>
          <w:szCs w:val="21"/>
        </w:rPr>
        <w:t>南方医科大学第五附属医院汽车维修项目</w:t>
      </w:r>
      <w:r>
        <w:rPr>
          <w:rFonts w:hint="eastAsia" w:ascii="宋体" w:hAnsi="宋体" w:eastAsia="宋体" w:cs="宋体"/>
          <w:b/>
          <w:sz w:val="21"/>
          <w:szCs w:val="21"/>
        </w:rPr>
        <w:t>车辆维修常规材料报价</w:t>
      </w:r>
      <w:r>
        <w:rPr>
          <w:rFonts w:hint="eastAsia" w:ascii="宋体" w:hAnsi="宋体" w:eastAsia="宋体" w:cs="宋体"/>
          <w:b/>
          <w:sz w:val="21"/>
          <w:szCs w:val="21"/>
          <w:lang w:val="en-US" w:eastAsia="zh-CN"/>
        </w:rPr>
        <w:t>表</w:t>
      </w:r>
    </w:p>
    <w:tbl>
      <w:tblPr>
        <w:tblStyle w:val="19"/>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63"/>
        <w:gridCol w:w="4575"/>
        <w:gridCol w:w="37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7"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263"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4575"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lang w:eastAsia="zh-CN"/>
              </w:rPr>
              <w:t>参考</w:t>
            </w:r>
            <w:r>
              <w:rPr>
                <w:rFonts w:hint="eastAsia" w:ascii="宋体" w:hAnsi="宋体" w:eastAsia="宋体" w:cs="宋体"/>
                <w:b/>
                <w:bCs/>
                <w:sz w:val="18"/>
                <w:szCs w:val="18"/>
              </w:rPr>
              <w:t>品牌型号</w:t>
            </w:r>
          </w:p>
        </w:tc>
        <w:tc>
          <w:tcPr>
            <w:tcW w:w="375"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单位</w:t>
            </w:r>
          </w:p>
        </w:tc>
        <w:tc>
          <w:tcPr>
            <w:tcW w:w="1332"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单项</w:t>
            </w:r>
            <w:r>
              <w:rPr>
                <w:rFonts w:hint="eastAsia" w:ascii="宋体" w:hAnsi="宋体" w:eastAsia="宋体" w:cs="宋体"/>
                <w:b/>
                <w:bCs/>
                <w:sz w:val="18"/>
                <w:szCs w:val="18"/>
                <w:lang w:eastAsia="zh-CN"/>
              </w:rPr>
              <w:t>限</w:t>
            </w:r>
            <w:r>
              <w:rPr>
                <w:rFonts w:hint="eastAsia" w:ascii="宋体" w:hAnsi="宋体" w:eastAsia="宋体" w:cs="宋体"/>
                <w:b/>
                <w:bCs/>
                <w:sz w:val="18"/>
                <w:szCs w:val="18"/>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轮胎（一）</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195/70R15（玛吉斯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497.5</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215/75R16（玛吉斯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676.6</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679</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215/55R16（玛吉斯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700R16（玛吉斯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656.7</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215/65R16（玛吉斯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225/60R17（玛吉斯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587.05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6.50R15（玛吉斯</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587.05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轮胎（二）</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195/70R15（邓禄普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477.6</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215/75R16（邓禄普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215/55R16（邓禄普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700R16（邓禄普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215/65R16（邓禄普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517.4</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225/60R17（邓禄普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6.50R15（邓禄普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557.2</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23</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轮胎（三）</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195/70R15（普利司通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517.4</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215/75R16（普利司通普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225/70R15（普利司通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225/75R16（普利司通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215/55R16（普利司通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700R16（普利司通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215/65R16（普利司通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225/60R17（普利司通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225/75R15（普利司通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6.50R15（普利司通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米其林、固特异等同等品牌</w:t>
            </w:r>
            <w:r>
              <w:rPr>
                <w:rFonts w:hint="eastAsia" w:ascii="宋体" w:hAnsi="宋体" w:eastAsia="宋体" w:cs="宋体"/>
                <w:color w:val="000000"/>
                <w:kern w:val="0"/>
                <w:sz w:val="18"/>
                <w:szCs w:val="18"/>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597</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34</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机油（一）</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（5W-40）</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壳牌喜力</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嘉实多磁护、美孚等同等品牌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（5W-40）</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嘉实多磁护、</w:t>
            </w:r>
            <w:r>
              <w:rPr>
                <w:rFonts w:hint="eastAsia" w:ascii="宋体" w:hAnsi="宋体" w:eastAsia="宋体" w:cs="宋体"/>
                <w:color w:val="000000"/>
                <w:kern w:val="0"/>
                <w:sz w:val="18"/>
                <w:szCs w:val="18"/>
              </w:rPr>
              <w:t>壳牌喜力</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美孚等同等品牌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94.5</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36</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机油（二）</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（5W-30）</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壳牌喜力</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嘉实多磁护、美孚等同等品牌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37</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机油（三）</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（20W-50）柴油</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壳牌劲霸</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美孚、速霸王等同等品牌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（20W-50）柴油</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速霸王</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美孚、</w:t>
            </w:r>
            <w:r>
              <w:rPr>
                <w:rFonts w:hint="eastAsia" w:ascii="宋体" w:hAnsi="宋体" w:eastAsia="宋体" w:cs="宋体"/>
                <w:color w:val="000000"/>
                <w:kern w:val="0"/>
                <w:sz w:val="18"/>
                <w:szCs w:val="18"/>
              </w:rPr>
              <w:t>壳牌劲霸</w:t>
            </w:r>
            <w:r>
              <w:rPr>
                <w:rFonts w:hint="eastAsia" w:ascii="宋体" w:hAnsi="宋体" w:eastAsia="宋体" w:cs="宋体"/>
                <w:color w:val="000000"/>
                <w:kern w:val="0"/>
                <w:sz w:val="18"/>
                <w:szCs w:val="18"/>
                <w:lang w:val="en-US" w:eastAsia="zh-CN"/>
              </w:rPr>
              <w:t>等同等品牌</w:t>
            </w:r>
            <w:r>
              <w:rPr>
                <w:rFonts w:hint="eastAsia" w:ascii="宋体" w:hAnsi="宋体" w:eastAsia="宋体" w:cs="宋体"/>
                <w:color w:val="000000"/>
                <w:kern w:val="0"/>
                <w:sz w:val="18"/>
                <w:szCs w:val="18"/>
                <w:lang w:eastAsia="zh-CN"/>
              </w:rPr>
              <w:t>）</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39</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雨刮（一）</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博世</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法雷奥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特瑞科</w:t>
            </w:r>
            <w:r>
              <w:rPr>
                <w:rFonts w:hint="eastAsia" w:ascii="宋体" w:hAnsi="宋体" w:eastAsia="宋体" w:cs="宋体"/>
                <w:color w:val="000000"/>
                <w:kern w:val="0"/>
                <w:sz w:val="18"/>
                <w:szCs w:val="18"/>
                <w:lang w:val="en-US" w:eastAsia="zh-CN"/>
              </w:rPr>
              <w:t>等同等品牌</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40</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雨刮（二）</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法雷奥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博世</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特瑞科</w:t>
            </w:r>
            <w:r>
              <w:rPr>
                <w:rFonts w:hint="eastAsia" w:ascii="宋体" w:hAnsi="宋体" w:eastAsia="宋体" w:cs="宋体"/>
                <w:color w:val="000000"/>
                <w:kern w:val="0"/>
                <w:sz w:val="18"/>
                <w:szCs w:val="18"/>
                <w:lang w:val="en-US" w:eastAsia="zh-CN"/>
              </w:rPr>
              <w:t>等同等品牌</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41</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雨刮（三）</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特瑞科</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法雷奥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博世</w:t>
            </w:r>
            <w:r>
              <w:rPr>
                <w:rFonts w:hint="eastAsia" w:ascii="宋体" w:hAnsi="宋体" w:eastAsia="宋体" w:cs="宋体"/>
                <w:color w:val="000000"/>
                <w:kern w:val="0"/>
                <w:sz w:val="18"/>
                <w:szCs w:val="18"/>
                <w:lang w:val="en-US" w:eastAsia="zh-CN"/>
              </w:rPr>
              <w:t>等同等品牌</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42</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雨刮（四）</w:t>
            </w:r>
          </w:p>
        </w:tc>
        <w:tc>
          <w:tcPr>
            <w:tcW w:w="4575"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电装</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法雷奥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博世</w:t>
            </w:r>
            <w:r>
              <w:rPr>
                <w:rFonts w:hint="eastAsia" w:ascii="宋体" w:hAnsi="宋体" w:eastAsia="宋体" w:cs="宋体"/>
                <w:color w:val="000000"/>
                <w:kern w:val="0"/>
                <w:sz w:val="18"/>
                <w:szCs w:val="18"/>
                <w:lang w:val="en-US" w:eastAsia="zh-CN"/>
              </w:rPr>
              <w:t>等同等品牌</w:t>
            </w:r>
          </w:p>
        </w:tc>
        <w:tc>
          <w:tcPr>
            <w:tcW w:w="37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33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80</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43</w:t>
            </w:r>
          </w:p>
        </w:tc>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蓄电池（一）</w:t>
            </w: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骆驼、博世等同等品牌/</w:t>
            </w:r>
            <w:r>
              <w:rPr>
                <w:rFonts w:hint="eastAsia" w:ascii="宋体" w:hAnsi="宋体" w:eastAsia="宋体" w:cs="宋体"/>
                <w:color w:val="000000"/>
                <w:kern w:val="0"/>
                <w:sz w:val="18"/>
                <w:szCs w:val="18"/>
              </w:rPr>
              <w:t>50A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447.75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骆驼、博世等同等品牌/</w:t>
            </w:r>
            <w:r>
              <w:rPr>
                <w:rFonts w:hint="eastAsia" w:ascii="宋体" w:hAnsi="宋体" w:eastAsia="宋体" w:cs="宋体"/>
                <w:color w:val="000000"/>
                <w:kern w:val="0"/>
                <w:sz w:val="18"/>
                <w:szCs w:val="18"/>
              </w:rPr>
              <w:t>60A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529</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骆驼、博世等同等品牌/</w:t>
            </w:r>
            <w:r>
              <w:rPr>
                <w:rFonts w:hint="eastAsia" w:ascii="宋体" w:hAnsi="宋体" w:eastAsia="宋体" w:cs="宋体"/>
                <w:color w:val="000000"/>
                <w:kern w:val="0"/>
                <w:sz w:val="18"/>
                <w:szCs w:val="18"/>
              </w:rPr>
              <w:t>70A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577.1</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2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骆驼、博世等同等品牌/</w:t>
            </w:r>
            <w:r>
              <w:rPr>
                <w:rFonts w:hint="eastAsia" w:ascii="宋体" w:hAnsi="宋体" w:eastAsia="宋体" w:cs="宋体"/>
                <w:color w:val="000000"/>
                <w:kern w:val="0"/>
                <w:sz w:val="18"/>
                <w:szCs w:val="18"/>
              </w:rPr>
              <w:t>80A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蓄电池（二）</w:t>
            </w: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骆驼</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博世等同等品牌/</w:t>
            </w:r>
            <w:r>
              <w:rPr>
                <w:rFonts w:hint="eastAsia" w:ascii="宋体" w:hAnsi="宋体" w:eastAsia="宋体" w:cs="宋体"/>
                <w:color w:val="000000"/>
                <w:kern w:val="0"/>
                <w:sz w:val="18"/>
                <w:szCs w:val="18"/>
              </w:rPr>
              <w:t>50A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437</w:t>
            </w:r>
            <w:r>
              <w:rPr>
                <w:rFonts w:hint="eastAsia" w:ascii="宋体" w:hAnsi="宋体" w:cs="宋体"/>
                <w:color w:val="000000"/>
                <w:kern w:val="0"/>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骆驼</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博世等同等品牌/</w:t>
            </w:r>
            <w:r>
              <w:rPr>
                <w:rFonts w:hint="eastAsia" w:ascii="宋体" w:hAnsi="宋体" w:eastAsia="宋体" w:cs="宋体"/>
                <w:color w:val="000000"/>
                <w:kern w:val="0"/>
                <w:sz w:val="18"/>
                <w:szCs w:val="18"/>
              </w:rPr>
              <w:t>60A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骆驼</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博世等同等品牌/</w:t>
            </w:r>
            <w:r>
              <w:rPr>
                <w:rFonts w:hint="eastAsia" w:ascii="宋体" w:hAnsi="宋体" w:eastAsia="宋体" w:cs="宋体"/>
                <w:color w:val="000000"/>
                <w:kern w:val="0"/>
                <w:sz w:val="18"/>
                <w:szCs w:val="18"/>
              </w:rPr>
              <w:t>70A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547.25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2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4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骆驼</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瓦尔塔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博世等同等品牌/</w:t>
            </w:r>
            <w:r>
              <w:rPr>
                <w:rFonts w:hint="eastAsia" w:ascii="宋体" w:hAnsi="宋体" w:eastAsia="宋体" w:cs="宋体"/>
                <w:color w:val="000000"/>
                <w:kern w:val="0"/>
                <w:sz w:val="18"/>
                <w:szCs w:val="18"/>
              </w:rPr>
              <w:t>80A</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656.7</w:t>
            </w:r>
            <w:r>
              <w:rPr>
                <w:rFonts w:hint="eastAsia" w:ascii="宋体" w:hAnsi="宋体" w:cs="宋体"/>
                <w:color w:val="000000"/>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2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单价</w:t>
            </w:r>
            <w:r>
              <w:rPr>
                <w:rFonts w:hint="eastAsia" w:ascii="宋体" w:hAnsi="宋体" w:eastAsia="宋体" w:cs="宋体"/>
                <w:sz w:val="18"/>
                <w:szCs w:val="18"/>
              </w:rPr>
              <w:t>合计</w:t>
            </w:r>
            <w:r>
              <w:rPr>
                <w:rFonts w:hint="eastAsia" w:ascii="宋体" w:hAnsi="宋体" w:eastAsia="宋体" w:cs="宋体"/>
                <w:color w:val="0000FF"/>
                <w:sz w:val="18"/>
                <w:szCs w:val="18"/>
                <w:lang w:eastAsia="zh-CN"/>
              </w:rPr>
              <w:t>限价</w:t>
            </w:r>
            <w:r>
              <w:rPr>
                <w:rFonts w:hint="eastAsia" w:ascii="宋体" w:hAnsi="宋体" w:eastAsia="宋体" w:cs="宋体"/>
                <w:sz w:val="18"/>
                <w:szCs w:val="18"/>
              </w:rPr>
              <w:t>（含税）：</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25441.00</w:t>
            </w:r>
          </w:p>
        </w:tc>
      </w:tr>
    </w:tbl>
    <w:p>
      <w:pPr>
        <w:pStyle w:val="11"/>
        <w:widowControl w:val="0"/>
        <w:numPr>
          <w:ilvl w:val="0"/>
          <w:numId w:val="0"/>
        </w:numPr>
        <w:jc w:val="both"/>
        <w:rPr>
          <w:rFonts w:hint="eastAsia"/>
        </w:rPr>
      </w:pPr>
    </w:p>
    <w:p>
      <w:pPr>
        <w:pStyle w:val="26"/>
        <w:jc w:val="left"/>
        <w:rPr>
          <w:rFonts w:hint="eastAsia" w:ascii="宋体" w:hAnsi="宋体" w:cs="宋体"/>
          <w:b/>
          <w:color w:val="0000FF"/>
          <w:sz w:val="21"/>
          <w:szCs w:val="21"/>
          <w:lang w:eastAsia="zh-CN"/>
        </w:rPr>
      </w:pPr>
      <w:r>
        <w:rPr>
          <w:rFonts w:hint="eastAsia" w:ascii="宋体" w:hAnsi="宋体" w:cs="宋体"/>
          <w:b/>
          <w:color w:val="0000FF"/>
          <w:sz w:val="21"/>
          <w:szCs w:val="21"/>
          <w:lang w:eastAsia="zh-CN"/>
        </w:rPr>
        <w:t>备注：</w:t>
      </w:r>
      <w:r>
        <w:rPr>
          <w:rFonts w:hint="eastAsia" w:ascii="宋体" w:hAnsi="宋体" w:cs="宋体"/>
          <w:b/>
          <w:color w:val="0000FF"/>
          <w:sz w:val="21"/>
          <w:szCs w:val="21"/>
          <w:lang w:val="en-US" w:eastAsia="zh-CN"/>
        </w:rPr>
        <w:t>（1)</w:t>
      </w:r>
      <w:r>
        <w:rPr>
          <w:rFonts w:hint="eastAsia" w:ascii="宋体" w:hAnsi="宋体" w:cs="宋体"/>
          <w:b/>
          <w:color w:val="0000FF"/>
          <w:sz w:val="21"/>
          <w:szCs w:val="21"/>
          <w:lang w:eastAsia="zh-CN"/>
        </w:rPr>
        <w:t>供应商所提供的车辆维修常规材料不低于（或同等于）上述参考品牌。</w:t>
      </w:r>
    </w:p>
    <w:p>
      <w:pPr>
        <w:pStyle w:val="26"/>
        <w:ind w:firstLine="632" w:firstLineChars="300"/>
        <w:jc w:val="left"/>
        <w:rPr>
          <w:rFonts w:hint="eastAsia" w:ascii="宋体" w:hAnsi="宋体" w:eastAsia="宋体" w:cs="宋体"/>
          <w:b/>
          <w:color w:val="0000FF"/>
          <w:sz w:val="21"/>
          <w:szCs w:val="21"/>
          <w:lang w:eastAsia="zh-CN"/>
        </w:rPr>
      </w:pPr>
      <w:r>
        <w:rPr>
          <w:rFonts w:hint="eastAsia" w:ascii="宋体" w:hAnsi="宋体" w:cs="宋体"/>
          <w:b/>
          <w:color w:val="0000FF"/>
          <w:sz w:val="21"/>
          <w:szCs w:val="21"/>
          <w:lang w:val="en-US" w:eastAsia="zh-CN"/>
        </w:rPr>
        <w:t>(2）相同型号的零配件须提供不同品牌，举例：序号1：轮胎（一）195/70R15如果公司提供了A品牌，则序号13：轮胎（二）195/70R15不能再提供A品牌。</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2.采购内容：</w:t>
      </w:r>
      <w:r>
        <w:rPr>
          <w:rFonts w:hint="eastAsia" w:ascii="宋体" w:hAnsi="宋体" w:eastAsia="宋体" w:cs="宋体"/>
          <w:sz w:val="21"/>
          <w:szCs w:val="21"/>
        </w:rPr>
        <w:t>救护车、商务车、面包车、小型汽车、大客车含中巴车(小型货车含皮卡、农夫车、含厢式）等1</w:t>
      </w:r>
      <w:r>
        <w:rPr>
          <w:rFonts w:hint="eastAsia" w:ascii="宋体" w:hAnsi="宋体" w:eastAsia="宋体" w:cs="宋体"/>
          <w:sz w:val="21"/>
          <w:szCs w:val="21"/>
          <w:lang w:val="en-US" w:eastAsia="zh-CN"/>
        </w:rPr>
        <w:t>4</w:t>
      </w:r>
      <w:r>
        <w:rPr>
          <w:rFonts w:hint="eastAsia" w:ascii="宋体" w:hAnsi="宋体" w:eastAsia="宋体" w:cs="宋体"/>
          <w:sz w:val="21"/>
          <w:szCs w:val="21"/>
        </w:rPr>
        <w:t>辆汽车维修</w:t>
      </w:r>
      <w:r>
        <w:rPr>
          <w:rFonts w:hint="eastAsia" w:ascii="宋体" w:hAnsi="宋体" w:cs="宋体"/>
          <w:sz w:val="21"/>
          <w:szCs w:val="21"/>
          <w:lang w:eastAsia="zh-CN"/>
        </w:rPr>
        <w:t>、保养等</w:t>
      </w:r>
      <w:r>
        <w:rPr>
          <w:rFonts w:hint="eastAsia" w:ascii="宋体" w:hAnsi="宋体" w:eastAsia="宋体" w:cs="宋体"/>
          <w:sz w:val="21"/>
          <w:szCs w:val="21"/>
        </w:rPr>
        <w:t>，包括整车维修。</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sz w:val="21"/>
          <w:szCs w:val="21"/>
          <w:lang w:eastAsia="zh-CN"/>
        </w:rPr>
      </w:pPr>
      <w:r>
        <w:rPr>
          <w:rFonts w:hint="eastAsia" w:ascii="宋体" w:hAnsi="宋体" w:eastAsia="宋体" w:cs="宋体"/>
          <w:b/>
          <w:sz w:val="21"/>
          <w:szCs w:val="21"/>
        </w:rPr>
        <w:t>3.报价要求：</w:t>
      </w:r>
      <w:r>
        <w:rPr>
          <w:rFonts w:hint="eastAsia" w:ascii="宋体" w:hAnsi="宋体" w:eastAsia="宋体" w:cs="宋体"/>
          <w:sz w:val="21"/>
          <w:szCs w:val="21"/>
        </w:rPr>
        <w:t>每项仅</w:t>
      </w:r>
      <w:r>
        <w:rPr>
          <w:rFonts w:hint="eastAsia" w:ascii="宋体" w:hAnsi="宋体" w:cs="宋体"/>
          <w:sz w:val="21"/>
          <w:szCs w:val="21"/>
          <w:lang w:eastAsia="zh-CN"/>
        </w:rPr>
        <w:t>有一次报价，价格明确，包含但不限于汽车维修费、安装费、调试费、税费等一切维修费用。</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 w:val="21"/>
          <w:szCs w:val="21"/>
          <w:lang w:eastAsia="zh-CN"/>
        </w:rPr>
      </w:pPr>
      <w:r>
        <w:rPr>
          <w:rFonts w:hint="eastAsia" w:ascii="宋体" w:hAnsi="宋体" w:cs="宋体"/>
          <w:sz w:val="21"/>
          <w:szCs w:val="21"/>
          <w:lang w:eastAsia="zh-CN"/>
        </w:rPr>
        <w:t>3.1报价书应按规定的格式填报；</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 w:val="21"/>
          <w:szCs w:val="21"/>
          <w:lang w:eastAsia="zh-CN"/>
        </w:rPr>
      </w:pPr>
      <w:r>
        <w:rPr>
          <w:rFonts w:hint="eastAsia" w:ascii="宋体" w:hAnsi="宋体" w:cs="宋体"/>
          <w:sz w:val="21"/>
          <w:szCs w:val="21"/>
          <w:lang w:eastAsia="zh-CN"/>
        </w:rPr>
        <w:t>3.2</w:t>
      </w:r>
      <w:r>
        <w:rPr>
          <w:rFonts w:hint="eastAsia" w:ascii="宋体" w:hAnsi="宋体" w:cs="宋体"/>
          <w:sz w:val="21"/>
          <w:szCs w:val="21"/>
          <w:lang w:val="en-US" w:eastAsia="zh-CN"/>
        </w:rPr>
        <w:t>本项目的报价方式为折扣率报价，只允许供应商投报一个折扣率。例如：报七折，则填写70.00%，</w:t>
      </w:r>
      <w:r>
        <w:rPr>
          <w:rFonts w:hint="eastAsia" w:ascii="宋体" w:hAnsi="宋体" w:cs="宋体"/>
          <w:sz w:val="21"/>
          <w:szCs w:val="21"/>
          <w:lang w:eastAsia="zh-CN"/>
        </w:rPr>
        <w:t>采购人不接受任何有选择的报价；</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3.3供应商每项单价报价不得高于</w:t>
      </w:r>
      <w:r>
        <w:rPr>
          <w:rFonts w:hint="eastAsia" w:ascii="宋体" w:hAnsi="宋体" w:cs="宋体"/>
          <w:sz w:val="21"/>
          <w:szCs w:val="21"/>
          <w:lang w:eastAsia="zh-CN"/>
        </w:rPr>
        <w:t>表</w:t>
      </w:r>
      <w:r>
        <w:rPr>
          <w:rFonts w:hint="eastAsia" w:ascii="宋体" w:hAnsi="宋体" w:cs="宋体"/>
          <w:sz w:val="21"/>
          <w:szCs w:val="21"/>
          <w:lang w:val="en-US" w:eastAsia="zh-CN"/>
        </w:rPr>
        <w:t>1</w:t>
      </w:r>
      <w:r>
        <w:rPr>
          <w:rFonts w:hint="eastAsia" w:ascii="宋体" w:hAnsi="宋体" w:cs="宋体"/>
          <w:sz w:val="21"/>
          <w:szCs w:val="21"/>
          <w:lang w:eastAsia="zh-CN"/>
        </w:rPr>
        <w:t>和表二</w:t>
      </w:r>
      <w:r>
        <w:rPr>
          <w:rFonts w:hint="eastAsia" w:ascii="宋体" w:hAnsi="宋体" w:cs="宋体"/>
          <w:sz w:val="21"/>
          <w:szCs w:val="21"/>
          <w:lang w:val="en-US" w:eastAsia="zh-CN"/>
        </w:rPr>
        <w:t>的限价</w:t>
      </w:r>
      <w:r>
        <w:rPr>
          <w:rFonts w:hint="eastAsia" w:ascii="宋体" w:hAnsi="宋体" w:cs="宋体"/>
          <w:sz w:val="21"/>
          <w:szCs w:val="21"/>
          <w:lang w:eastAsia="zh-CN"/>
        </w:rPr>
        <w:t>，否则取消参加采购资格。</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w:t>
      </w:r>
      <w:r>
        <w:rPr>
          <w:rFonts w:hint="eastAsia" w:ascii="宋体" w:hAnsi="宋体" w:cs="宋体"/>
          <w:bCs/>
          <w:color w:val="000000"/>
          <w:sz w:val="21"/>
          <w:szCs w:val="21"/>
          <w:lang w:val="en-US" w:eastAsia="zh-CN"/>
        </w:rPr>
        <w:t>4</w:t>
      </w:r>
      <w:r>
        <w:rPr>
          <w:rFonts w:hint="eastAsia" w:ascii="宋体" w:hAnsi="宋体" w:eastAsia="宋体" w:cs="宋体"/>
          <w:bCs/>
          <w:color w:val="000000"/>
          <w:sz w:val="21"/>
          <w:szCs w:val="21"/>
        </w:rPr>
        <w:t>本次采购报价一律用人民币填报，为完税价；</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default" w:eastAsia="宋体"/>
          <w:lang w:val="en-US" w:eastAsia="zh-CN"/>
        </w:rPr>
      </w:pPr>
      <w:r>
        <w:rPr>
          <w:rFonts w:hint="eastAsia" w:ascii="宋体" w:hAnsi="宋体" w:eastAsia="宋体" w:cs="宋体"/>
          <w:bCs/>
          <w:color w:val="000000"/>
          <w:sz w:val="21"/>
          <w:szCs w:val="21"/>
        </w:rPr>
        <w:t>3.</w:t>
      </w:r>
      <w:r>
        <w:rPr>
          <w:rFonts w:hint="eastAsia" w:ascii="宋体" w:hAnsi="宋体" w:cs="宋体"/>
          <w:bCs/>
          <w:color w:val="000000"/>
          <w:sz w:val="21"/>
          <w:szCs w:val="21"/>
          <w:lang w:val="en-US" w:eastAsia="zh-CN"/>
        </w:rPr>
        <w:t>5</w:t>
      </w:r>
      <w:r>
        <w:rPr>
          <w:rFonts w:hint="eastAsia" w:ascii="宋体" w:hAnsi="宋体" w:eastAsia="宋体" w:cs="宋体"/>
          <w:bCs/>
          <w:color w:val="000000"/>
          <w:sz w:val="21"/>
          <w:szCs w:val="21"/>
        </w:rPr>
        <w:t>报价若大小写不符，以大写报价为准。</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三、付款方式</w:t>
      </w:r>
      <w:r>
        <w:rPr>
          <w:rFonts w:hint="eastAsia" w:ascii="宋体" w:hAnsi="宋体" w:eastAsia="宋体" w:cs="宋体"/>
          <w:b/>
          <w:sz w:val="21"/>
          <w:szCs w:val="21"/>
          <w:lang w:val="en-US" w:eastAsia="zh-CN"/>
        </w:rPr>
        <w:t>及履约保证金</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1.付款方式：</w:t>
      </w:r>
      <w:r>
        <w:rPr>
          <w:rFonts w:hint="eastAsia" w:ascii="宋体" w:hAnsi="宋体" w:eastAsia="宋体" w:cs="宋体"/>
          <w:sz w:val="21"/>
          <w:szCs w:val="21"/>
        </w:rPr>
        <w:t>每月30日为当月报账截止日期，</w:t>
      </w:r>
      <w:r>
        <w:rPr>
          <w:rFonts w:hint="eastAsia" w:ascii="宋体" w:hAnsi="宋体" w:eastAsia="宋体" w:cs="宋体"/>
          <w:sz w:val="21"/>
          <w:szCs w:val="21"/>
          <w:lang w:eastAsia="zh-CN"/>
        </w:rPr>
        <w:t>成交供应商</w:t>
      </w:r>
      <w:r>
        <w:rPr>
          <w:rFonts w:hint="eastAsia" w:ascii="宋体" w:hAnsi="宋体" w:eastAsia="宋体" w:cs="宋体"/>
          <w:sz w:val="21"/>
          <w:szCs w:val="21"/>
        </w:rPr>
        <w:t>应于次月10日前将全部结算清单和汽车维修专用发票交由</w:t>
      </w:r>
      <w:r>
        <w:rPr>
          <w:rFonts w:hint="eastAsia" w:ascii="宋体" w:hAnsi="宋体" w:eastAsia="宋体" w:cs="宋体"/>
          <w:sz w:val="21"/>
          <w:szCs w:val="21"/>
          <w:lang w:eastAsia="zh-CN"/>
        </w:rPr>
        <w:t>采购人</w:t>
      </w:r>
      <w:r>
        <w:rPr>
          <w:rFonts w:hint="eastAsia" w:ascii="宋体" w:hAnsi="宋体" w:eastAsia="宋体" w:cs="宋体"/>
          <w:sz w:val="21"/>
          <w:szCs w:val="21"/>
        </w:rPr>
        <w:t>经办人核对后签名，后由</w:t>
      </w:r>
      <w:r>
        <w:rPr>
          <w:rFonts w:hint="eastAsia" w:ascii="宋体" w:hAnsi="宋体" w:eastAsia="宋体" w:cs="宋体"/>
          <w:sz w:val="21"/>
          <w:szCs w:val="21"/>
          <w:lang w:eastAsia="zh-CN"/>
        </w:rPr>
        <w:t>采购人</w:t>
      </w:r>
      <w:r>
        <w:rPr>
          <w:rFonts w:hint="eastAsia" w:ascii="宋体" w:hAnsi="宋体" w:eastAsia="宋体" w:cs="宋体"/>
          <w:sz w:val="21"/>
          <w:szCs w:val="21"/>
        </w:rPr>
        <w:t>审核后使用转账方式</w:t>
      </w:r>
      <w:r>
        <w:rPr>
          <w:rFonts w:hint="eastAsia" w:ascii="宋体" w:hAnsi="宋体" w:eastAsia="宋体" w:cs="宋体"/>
          <w:sz w:val="21"/>
          <w:szCs w:val="21"/>
          <w:lang w:val="en-US" w:eastAsia="zh-CN"/>
        </w:rPr>
        <w:t>三个月</w:t>
      </w:r>
      <w:r>
        <w:rPr>
          <w:rFonts w:hint="eastAsia" w:ascii="宋体" w:hAnsi="宋体" w:eastAsia="宋体" w:cs="宋体"/>
          <w:sz w:val="21"/>
          <w:szCs w:val="21"/>
        </w:rPr>
        <w:t>内办理付款手续。</w:t>
      </w:r>
      <w:r>
        <w:rPr>
          <w:rFonts w:hint="eastAsia" w:ascii="宋体" w:hAnsi="宋体" w:eastAsia="宋体" w:cs="宋体"/>
          <w:sz w:val="21"/>
          <w:szCs w:val="21"/>
          <w:lang w:val="en-US" w:eastAsia="zh-CN"/>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2.履约保证金：</w:t>
      </w:r>
      <w:r>
        <w:rPr>
          <w:rFonts w:hint="eastAsia" w:ascii="宋体" w:hAnsi="宋体" w:eastAsia="宋体" w:cs="宋体"/>
          <w:sz w:val="21"/>
          <w:szCs w:val="21"/>
        </w:rPr>
        <w:t>供应商在签订合同前需向</w:t>
      </w:r>
      <w:r>
        <w:rPr>
          <w:rFonts w:hint="eastAsia" w:ascii="宋体" w:hAnsi="宋体" w:cs="宋体"/>
          <w:sz w:val="21"/>
          <w:szCs w:val="21"/>
          <w:lang w:eastAsia="zh-CN"/>
        </w:rPr>
        <w:t>采购人</w:t>
      </w:r>
      <w:r>
        <w:rPr>
          <w:rFonts w:hint="eastAsia" w:ascii="宋体" w:hAnsi="宋体" w:eastAsia="宋体" w:cs="宋体"/>
          <w:sz w:val="21"/>
          <w:szCs w:val="21"/>
        </w:rPr>
        <w:t>缴纳履约保证金</w:t>
      </w:r>
      <w:r>
        <w:rPr>
          <w:rFonts w:hint="eastAsia" w:ascii="宋体" w:hAnsi="宋体" w:eastAsia="宋体" w:cs="宋体"/>
          <w:sz w:val="21"/>
          <w:szCs w:val="21"/>
          <w:lang w:eastAsia="zh-CN"/>
        </w:rPr>
        <w:t>伍</w:t>
      </w:r>
      <w:r>
        <w:rPr>
          <w:rFonts w:hint="eastAsia" w:ascii="宋体" w:hAnsi="宋体" w:eastAsia="宋体" w:cs="宋体"/>
          <w:sz w:val="21"/>
          <w:szCs w:val="21"/>
        </w:rPr>
        <w:t>仟元，合同到期，</w:t>
      </w:r>
      <w:r>
        <w:rPr>
          <w:rFonts w:hint="eastAsia" w:ascii="宋体" w:hAnsi="宋体" w:eastAsia="宋体" w:cs="宋体"/>
          <w:sz w:val="21"/>
          <w:szCs w:val="21"/>
          <w:lang w:eastAsia="zh-CN"/>
        </w:rPr>
        <w:t>采购人</w:t>
      </w:r>
      <w:r>
        <w:rPr>
          <w:rFonts w:hint="eastAsia" w:ascii="宋体" w:hAnsi="宋体" w:eastAsia="宋体" w:cs="宋体"/>
          <w:sz w:val="21"/>
          <w:szCs w:val="21"/>
        </w:rPr>
        <w:t>确认供应商全部义务履行完毕且无违约责任后30日内，无息返还。</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四、汽车维修服务</w:t>
      </w:r>
      <w:r>
        <w:rPr>
          <w:rFonts w:hint="eastAsia" w:ascii="宋体" w:hAnsi="宋体" w:eastAsia="宋体" w:cs="宋体"/>
          <w:b/>
          <w:bCs/>
          <w:sz w:val="21"/>
          <w:szCs w:val="21"/>
          <w:lang w:eastAsia="zh-CN"/>
        </w:rPr>
        <w:t>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供应商</w:t>
      </w:r>
      <w:r>
        <w:rPr>
          <w:rFonts w:hint="eastAsia" w:ascii="宋体" w:hAnsi="宋体" w:eastAsia="宋体" w:cs="宋体"/>
          <w:sz w:val="21"/>
          <w:szCs w:val="21"/>
        </w:rPr>
        <w:t>必须自觉遵守国家法律、法规，合法经营。严格按有关技术标准及汽车维修规范实施服务，确保维修质量。在定点维修期间保证车辆处于良好技术状态和安全</w:t>
      </w:r>
      <w:r>
        <w:rPr>
          <w:rFonts w:hint="eastAsia" w:ascii="宋体" w:hAnsi="宋体" w:cs="宋体"/>
          <w:sz w:val="21"/>
          <w:szCs w:val="21"/>
          <w:lang w:eastAsia="zh-CN"/>
        </w:rPr>
        <w:t>维修操作</w:t>
      </w:r>
      <w:r>
        <w:rPr>
          <w:rFonts w:hint="eastAsia" w:ascii="宋体" w:hAnsi="宋体" w:eastAsia="宋体" w:cs="宋体"/>
          <w:sz w:val="21"/>
          <w:szCs w:val="21"/>
        </w:rPr>
        <w:t xml:space="preserve">。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供应商</w:t>
      </w:r>
      <w:r>
        <w:rPr>
          <w:rFonts w:hint="eastAsia" w:ascii="宋体" w:hAnsi="宋体" w:eastAsia="宋体" w:cs="宋体"/>
          <w:sz w:val="21"/>
          <w:szCs w:val="21"/>
        </w:rPr>
        <w:t xml:space="preserve">所采用的零部件、必须是纯正部品配件材料，符合国家或部颁标准(汽车生产厂商指定的配件生产企业为其生产的，经由厂商认证的配套零部件)，不得使用假冒伪劣产品或以次充好、以旧顶新。 </w:t>
      </w:r>
    </w:p>
    <w:p>
      <w:pPr>
        <w:keepNext w:val="0"/>
        <w:keepLines w:val="0"/>
        <w:pageBreakBefore w:val="0"/>
        <w:kinsoku/>
        <w:wordWrap/>
        <w:overflowPunct/>
        <w:topLinePunct w:val="0"/>
        <w:bidi w:val="0"/>
        <w:spacing w:line="300" w:lineRule="exact"/>
        <w:ind w:left="1" w:firstLine="420" w:firstLineChars="200"/>
        <w:rPr>
          <w:rFonts w:hint="eastAsia" w:ascii="宋体" w:hAnsi="宋体" w:eastAsia="宋体" w:cs="宋体"/>
          <w:color w:val="000000"/>
          <w:sz w:val="21"/>
          <w:szCs w:val="21"/>
        </w:rPr>
      </w:pPr>
      <w:r>
        <w:rPr>
          <w:rFonts w:hint="eastAsia" w:ascii="宋体" w:hAnsi="宋体" w:eastAsia="宋体" w:cs="宋体"/>
          <w:sz w:val="21"/>
          <w:szCs w:val="21"/>
        </w:rPr>
        <w:t>3.全年每天24小时施救、维修服务,设立应急电话,实行24小时专人值班制度。车辆在广东省内区域内外出途中发生故障需急修的，应及时派员抢修。从化区内30分钟-1小时内、省内3-5小时内到达现场</w:t>
      </w:r>
      <w:r>
        <w:rPr>
          <w:rFonts w:hint="eastAsia" w:ascii="宋体" w:hAnsi="宋体" w:eastAsia="宋体" w:cs="宋体"/>
          <w:color w:val="000000"/>
          <w:sz w:val="21"/>
          <w:szCs w:val="21"/>
        </w:rPr>
        <w:t xml:space="preserve">。其中拯救拖车发生在广州市内免费（含从化、增城、花都、番禺、南沙）。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4.在规定的时限内完成维修服务，保障单位车辆用车需要。车辆维修随到随修，车辆小修1日内完工，经车辆使用单位指定有关人员验收认可。</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5.必须按规定建立车辆技术档案和车辆维修档案。提供日常免费技术咨询服务。设立咨询电话专线。</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6.车辆维修完工质量保证不低于《广州市汽车维修质量管理办法》和</w:t>
      </w:r>
      <w:r>
        <w:rPr>
          <w:rFonts w:hint="eastAsia" w:ascii="宋体" w:hAnsi="宋体" w:eastAsia="宋体" w:cs="宋体"/>
          <w:sz w:val="21"/>
          <w:szCs w:val="21"/>
          <w:lang w:eastAsia="zh-CN"/>
        </w:rPr>
        <w:t>响应文件最终</w:t>
      </w:r>
      <w:r>
        <w:rPr>
          <w:rFonts w:hint="eastAsia" w:ascii="宋体" w:hAnsi="宋体" w:eastAsia="宋体" w:cs="宋体"/>
          <w:sz w:val="21"/>
          <w:szCs w:val="21"/>
        </w:rPr>
        <w:t>承诺的标准，如因维修质量问题，造成损失的，由车辆维修厂承担全部责任。</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7.保证医院维修车辆在修理期间的安全，做到不丢失、不损坏，否则车辆维修厂承担全部损失。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8.建立投诉制度，接受</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对维修质量进行监督检查，对发现和修车单位投诉的问题进行调查处理。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9.不乱收费，严格按</w:t>
      </w:r>
      <w:r>
        <w:rPr>
          <w:rFonts w:hint="eastAsia" w:ascii="宋体" w:hAnsi="宋体" w:eastAsia="宋体" w:cs="宋体"/>
          <w:sz w:val="21"/>
          <w:szCs w:val="21"/>
          <w:lang w:eastAsia="zh-CN"/>
        </w:rPr>
        <w:t>成交</w:t>
      </w:r>
      <w:r>
        <w:rPr>
          <w:rFonts w:hint="eastAsia" w:ascii="宋体" w:hAnsi="宋体" w:eastAsia="宋体" w:cs="宋体"/>
          <w:sz w:val="21"/>
          <w:szCs w:val="21"/>
        </w:rPr>
        <w:t>价的标准收取工时费，不偷工减料。</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10.因履行本合同发生争议，由当事人协商解决，协商不成的，依法向采购人当地所在地人民法院诉讼解决。                        </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供应商</w:t>
      </w:r>
      <w:r>
        <w:rPr>
          <w:rFonts w:hint="eastAsia" w:ascii="宋体" w:hAnsi="宋体" w:eastAsia="宋体" w:cs="宋体"/>
          <w:sz w:val="21"/>
          <w:szCs w:val="21"/>
        </w:rPr>
        <w:t>的汽车维修从业人员</w:t>
      </w:r>
      <w:r>
        <w:rPr>
          <w:rFonts w:hint="eastAsia" w:ascii="宋体" w:hAnsi="宋体" w:eastAsia="宋体" w:cs="宋体"/>
          <w:sz w:val="21"/>
          <w:szCs w:val="21"/>
          <w:lang w:eastAsia="zh-CN"/>
        </w:rPr>
        <w:t>，</w:t>
      </w:r>
      <w:r>
        <w:rPr>
          <w:rFonts w:hint="eastAsia" w:ascii="宋体" w:hAnsi="宋体" w:eastAsia="宋体" w:cs="宋体"/>
          <w:sz w:val="21"/>
          <w:szCs w:val="21"/>
        </w:rPr>
        <w:t>必须具备</w:t>
      </w:r>
      <w:r>
        <w:rPr>
          <w:rFonts w:hint="eastAsia" w:ascii="宋体" w:hAnsi="宋体" w:eastAsia="宋体" w:cs="宋体"/>
          <w:sz w:val="21"/>
          <w:szCs w:val="21"/>
          <w:lang w:eastAsia="zh-CN"/>
        </w:rPr>
        <w:t>有效期内</w:t>
      </w:r>
      <w:r>
        <w:rPr>
          <w:rFonts w:hint="eastAsia" w:ascii="宋体" w:hAnsi="宋体" w:eastAsia="宋体" w:cs="宋体"/>
          <w:sz w:val="21"/>
          <w:szCs w:val="21"/>
        </w:rPr>
        <w:t>汽修维修上岗证；</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b/>
          <w:sz w:val="21"/>
          <w:szCs w:val="21"/>
        </w:rPr>
      </w:pPr>
      <w:r>
        <w:rPr>
          <w:rFonts w:hint="eastAsia" w:ascii="宋体" w:hAnsi="宋体" w:cs="宋体"/>
          <w:b/>
          <w:sz w:val="21"/>
          <w:szCs w:val="21"/>
          <w:lang w:eastAsia="zh-CN"/>
        </w:rPr>
        <w:t>五</w:t>
      </w:r>
      <w:r>
        <w:rPr>
          <w:rFonts w:hint="eastAsia" w:ascii="宋体" w:hAnsi="宋体" w:eastAsia="宋体" w:cs="宋体"/>
          <w:b/>
          <w:sz w:val="21"/>
          <w:szCs w:val="21"/>
        </w:rPr>
        <w:t>、服务要求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供应商</w:t>
      </w:r>
      <w:r>
        <w:rPr>
          <w:rFonts w:hint="eastAsia" w:ascii="宋体" w:hAnsi="宋体" w:eastAsia="宋体" w:cs="宋体"/>
          <w:sz w:val="21"/>
          <w:szCs w:val="21"/>
        </w:rPr>
        <w:t>必须承诺严格遵守广州市汽车维修企业四个规定,即《优质服务规范》、《接车规范》、《现场生产管理规范》和《竣工交车规范》。</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2.场地、设施要求：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2.1店面符合国家规定的安全标准，并且交通便利（或设有合理、明显的指示标志）；</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2.2厂区整洁，厂方洁净；</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2.3修理车间布局合理、车间设施良好、修理工位标示明确；</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2.4厂区内标志清晰、业户资质证明、员工资格证明、营业时间要明确展示；</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2.5保留足够的停车场地和接待区，接待区要有满足客户登记和休息的设施。</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3.设备要求：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喷、烤漆工作间，车身及车架检测、整形设备，汽车电控系统检测诊断设备，车辆举升设备，适用高强度钢惰性气体保护焊接设备，外出急修设备，符合行业标准的通用设备、专用设备、试验检测设备、计量仪具、手工工具。</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eastAsia="zh-CN"/>
        </w:rPr>
        <w:t>供应商</w:t>
      </w:r>
      <w:r>
        <w:rPr>
          <w:rFonts w:hint="eastAsia" w:ascii="宋体" w:hAnsi="宋体" w:eastAsia="宋体" w:cs="宋体"/>
          <w:sz w:val="21"/>
          <w:szCs w:val="21"/>
        </w:rPr>
        <w:t>的服务项目、服务收费、服务承诺等应向公开。</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供应商</w:t>
      </w:r>
      <w:r>
        <w:rPr>
          <w:rFonts w:hint="eastAsia" w:ascii="宋体" w:hAnsi="宋体" w:eastAsia="宋体" w:cs="宋体"/>
          <w:sz w:val="21"/>
          <w:szCs w:val="21"/>
        </w:rPr>
        <w:t>日常运作（接车、生产、交车、结算、投诉、索赔）要做到规范化、制度化，实行定人定岗定现，严格落实岗位责任制度，形成岗位责任追究制度，促进生产管理活动有秩序地进行。</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6.要求采购人出示车辆单位证明，才能按照公务车收费标准和服务标准进行报价、维修和结算。</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eastAsia="zh-CN"/>
        </w:rPr>
        <w:t>供应商</w:t>
      </w:r>
      <w:r>
        <w:rPr>
          <w:rFonts w:hint="eastAsia" w:ascii="宋体" w:hAnsi="宋体" w:eastAsia="宋体" w:cs="宋体"/>
          <w:sz w:val="21"/>
          <w:szCs w:val="21"/>
        </w:rPr>
        <w:t>接受委托维修时，维修项目和维修费用（工时费和配件费）都必须是客户签名认可的，</w:t>
      </w:r>
      <w:r>
        <w:rPr>
          <w:rFonts w:hint="eastAsia" w:ascii="宋体" w:hAnsi="宋体" w:cs="宋体"/>
          <w:sz w:val="21"/>
          <w:szCs w:val="21"/>
          <w:lang w:eastAsia="zh-CN"/>
        </w:rPr>
        <w:t>供应商</w:t>
      </w:r>
      <w:r>
        <w:rPr>
          <w:rFonts w:hint="eastAsia" w:ascii="宋体" w:hAnsi="宋体" w:eastAsia="宋体" w:cs="宋体"/>
          <w:sz w:val="21"/>
          <w:szCs w:val="21"/>
        </w:rPr>
        <w:t>在标价时，应编制维修工时明细表，确保</w:t>
      </w:r>
      <w:r>
        <w:rPr>
          <w:rFonts w:hint="eastAsia" w:ascii="宋体" w:hAnsi="宋体" w:cs="宋体"/>
          <w:sz w:val="21"/>
          <w:szCs w:val="21"/>
          <w:lang w:eastAsia="zh-CN"/>
        </w:rPr>
        <w:t>采购人</w:t>
      </w:r>
      <w:r>
        <w:rPr>
          <w:rFonts w:hint="eastAsia" w:ascii="宋体" w:hAnsi="宋体" w:eastAsia="宋体" w:cs="宋体"/>
          <w:sz w:val="21"/>
          <w:szCs w:val="21"/>
        </w:rPr>
        <w:t>对维修内容及其细节的知情权。</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cs="宋体"/>
          <w:sz w:val="21"/>
          <w:szCs w:val="21"/>
          <w:lang w:eastAsia="zh-CN"/>
        </w:rPr>
        <w:t>供应商</w:t>
      </w:r>
      <w:r>
        <w:rPr>
          <w:rFonts w:hint="eastAsia" w:ascii="宋体" w:hAnsi="宋体" w:eastAsia="宋体" w:cs="宋体"/>
          <w:sz w:val="21"/>
          <w:szCs w:val="21"/>
        </w:rPr>
        <w:t>要严格按照维修合同的交车时限来安排生产，不能在规定时限内交车的，要提前与</w:t>
      </w:r>
      <w:r>
        <w:rPr>
          <w:rFonts w:hint="eastAsia" w:ascii="宋体" w:hAnsi="宋体" w:cs="宋体"/>
          <w:sz w:val="21"/>
          <w:szCs w:val="21"/>
          <w:lang w:eastAsia="zh-CN"/>
        </w:rPr>
        <w:t>采购人</w:t>
      </w:r>
      <w:r>
        <w:rPr>
          <w:rFonts w:hint="eastAsia" w:ascii="宋体" w:hAnsi="宋体" w:eastAsia="宋体" w:cs="宋体"/>
          <w:sz w:val="21"/>
          <w:szCs w:val="21"/>
        </w:rPr>
        <w:t>联系，取得的谅解。</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9.检验人员必须在现场对车辆进行诊断，初步确定维修项目，并要充分征求</w:t>
      </w:r>
      <w:r>
        <w:rPr>
          <w:rFonts w:hint="eastAsia" w:ascii="宋体" w:hAnsi="宋体" w:cs="宋体"/>
          <w:sz w:val="21"/>
          <w:szCs w:val="21"/>
          <w:lang w:eastAsia="zh-CN"/>
        </w:rPr>
        <w:t>采购人</w:t>
      </w:r>
      <w:r>
        <w:rPr>
          <w:rFonts w:hint="eastAsia" w:ascii="宋体" w:hAnsi="宋体" w:eastAsia="宋体" w:cs="宋体"/>
          <w:sz w:val="21"/>
          <w:szCs w:val="21"/>
        </w:rPr>
        <w:t>的意见。</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cs="宋体"/>
          <w:sz w:val="21"/>
          <w:szCs w:val="21"/>
          <w:lang w:eastAsia="zh-CN"/>
        </w:rPr>
        <w:t>供应商</w:t>
      </w:r>
      <w:r>
        <w:rPr>
          <w:rFonts w:hint="eastAsia" w:ascii="宋体" w:hAnsi="宋体" w:eastAsia="宋体" w:cs="宋体"/>
          <w:sz w:val="21"/>
          <w:szCs w:val="21"/>
        </w:rPr>
        <w:t>制作估价单后，应详细向采购人说明维修的项目、作业的内容、配件的来源渠道及价格、维修时间和维修费用。</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11.工作单上没有的项目，维修过程中发现某些项目必须追加的，维修人员应立即告知生产调度或技术负责人，确认后，在维修前应事先通知</w:t>
      </w:r>
      <w:r>
        <w:rPr>
          <w:rFonts w:hint="eastAsia" w:ascii="宋体" w:hAnsi="宋体" w:cs="宋体"/>
          <w:sz w:val="21"/>
          <w:szCs w:val="21"/>
          <w:lang w:eastAsia="zh-CN"/>
        </w:rPr>
        <w:t>采购人</w:t>
      </w:r>
      <w:r>
        <w:rPr>
          <w:rFonts w:hint="eastAsia" w:ascii="宋体" w:hAnsi="宋体" w:eastAsia="宋体" w:cs="宋体"/>
          <w:sz w:val="21"/>
          <w:szCs w:val="21"/>
        </w:rPr>
        <w:t>，征得同意，方能增加费用开始施工，并同时要追加工作单或在原工作单上补项。</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12.配件质量：必须用原厂配件，不得使用假冒伪劣配件；或者按使用单位意见购买配件。</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13.维修人员更换配件时，应以旧件换取库房的新件，同时旧件应交库房保存，维修人员不得私自保存。车辆竣工出厂后时，旧件应归还采购人，采购人不需要时，按</w:t>
      </w:r>
      <w:r>
        <w:rPr>
          <w:rFonts w:hint="eastAsia" w:ascii="宋体" w:hAnsi="宋体" w:cs="宋体"/>
          <w:sz w:val="21"/>
          <w:szCs w:val="21"/>
          <w:lang w:eastAsia="zh-CN"/>
        </w:rPr>
        <w:t>供应商</w:t>
      </w:r>
      <w:r>
        <w:rPr>
          <w:rFonts w:hint="eastAsia" w:ascii="宋体" w:hAnsi="宋体" w:eastAsia="宋体" w:cs="宋体"/>
          <w:sz w:val="21"/>
          <w:szCs w:val="21"/>
        </w:rPr>
        <w:t>的</w:t>
      </w:r>
      <w:r>
        <w:rPr>
          <w:rFonts w:hint="eastAsia" w:ascii="宋体" w:hAnsi="宋体" w:cs="宋体"/>
          <w:sz w:val="21"/>
          <w:szCs w:val="21"/>
          <w:lang w:eastAsia="zh-CN"/>
        </w:rPr>
        <w:t>相关</w:t>
      </w:r>
      <w:r>
        <w:rPr>
          <w:rFonts w:hint="eastAsia" w:ascii="宋体" w:hAnsi="宋体" w:eastAsia="宋体" w:cs="宋体"/>
          <w:sz w:val="21"/>
          <w:szCs w:val="21"/>
        </w:rPr>
        <w:t>制度处理。</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14.更换的配件由</w:t>
      </w:r>
      <w:r>
        <w:rPr>
          <w:rFonts w:hint="eastAsia" w:ascii="宋体" w:hAnsi="宋体" w:cs="宋体"/>
          <w:sz w:val="21"/>
          <w:szCs w:val="21"/>
          <w:lang w:eastAsia="zh-CN"/>
        </w:rPr>
        <w:t>采购人</w:t>
      </w:r>
      <w:r>
        <w:rPr>
          <w:rFonts w:hint="eastAsia" w:ascii="宋体" w:hAnsi="宋体" w:eastAsia="宋体" w:cs="宋体"/>
          <w:sz w:val="21"/>
          <w:szCs w:val="21"/>
        </w:rPr>
        <w:t>带来或按意见购买的，首先应进行质量鉴定，实事求是地向</w:t>
      </w:r>
      <w:r>
        <w:rPr>
          <w:rFonts w:hint="eastAsia" w:ascii="宋体" w:hAnsi="宋体" w:cs="宋体"/>
          <w:sz w:val="21"/>
          <w:szCs w:val="21"/>
          <w:lang w:eastAsia="zh-CN"/>
        </w:rPr>
        <w:t>采购人</w:t>
      </w:r>
      <w:r>
        <w:rPr>
          <w:rFonts w:hint="eastAsia" w:ascii="宋体" w:hAnsi="宋体" w:eastAsia="宋体" w:cs="宋体"/>
          <w:sz w:val="21"/>
          <w:szCs w:val="21"/>
        </w:rPr>
        <w:t>提供意见，分清责任。采用提供的配件，要填写《顾客自带配件登记表》，配件由主修人保管，并作好标识。汽车竣工出厂后，必须在维修结算清单上注明配件的来源渠道及价格。</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15.汽车竣工出厂后，报价人应建立用户档案（包括用户名称、地址、电话、联系人、车牌号、维修资料等），以便今后联系、调查和服务。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 汽车竣工出厂后，要按《广东省汽车、摩托车维修质量管理办法》第十条规定的责任保障期限执行；车辆质量保障不少于下列规定：第十三条规定的责任保障期限执行，车辆质量保障期不少于下列规定，整车大修和总成大修10000 公里或90天；车辆 二级维护1500公里或15天；车辆一级维护：30公里或3天；车辆小修700公里或7天。</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17.在质量保证期内，因维修质量造成的车辆故障或损坏，</w:t>
      </w:r>
      <w:r>
        <w:rPr>
          <w:rFonts w:hint="eastAsia" w:ascii="宋体" w:hAnsi="宋体" w:cs="宋体"/>
          <w:sz w:val="21"/>
          <w:szCs w:val="21"/>
          <w:lang w:eastAsia="zh-CN"/>
        </w:rPr>
        <w:t>供应商</w:t>
      </w:r>
      <w:r>
        <w:rPr>
          <w:rFonts w:hint="eastAsia" w:ascii="宋体" w:hAnsi="宋体" w:eastAsia="宋体" w:cs="宋体"/>
          <w:sz w:val="21"/>
          <w:szCs w:val="21"/>
        </w:rPr>
        <w:t>应负责及时返修，由于维修质量问题造成的车辆异常损坏或车辆机件事故，由</w:t>
      </w:r>
      <w:r>
        <w:rPr>
          <w:rFonts w:hint="eastAsia" w:ascii="宋体" w:hAnsi="宋体" w:cs="宋体"/>
          <w:sz w:val="21"/>
          <w:szCs w:val="21"/>
          <w:lang w:eastAsia="zh-CN"/>
        </w:rPr>
        <w:t>供应商</w:t>
      </w:r>
      <w:r>
        <w:rPr>
          <w:rFonts w:hint="eastAsia" w:ascii="宋体" w:hAnsi="宋体" w:eastAsia="宋体" w:cs="宋体"/>
          <w:sz w:val="21"/>
          <w:szCs w:val="21"/>
        </w:rPr>
        <w:t>负责。</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cs="宋体"/>
          <w:sz w:val="21"/>
          <w:szCs w:val="21"/>
          <w:lang w:eastAsia="zh-CN"/>
        </w:rPr>
        <w:t>.供应商</w:t>
      </w:r>
      <w:r>
        <w:rPr>
          <w:rFonts w:hint="eastAsia" w:ascii="宋体" w:hAnsi="宋体" w:eastAsia="宋体" w:cs="宋体"/>
          <w:sz w:val="21"/>
          <w:szCs w:val="21"/>
        </w:rPr>
        <w:t>应严格执行在报价文件中提出的服务承诺。</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19.</w:t>
      </w:r>
      <w:r>
        <w:rPr>
          <w:rFonts w:hint="eastAsia" w:ascii="宋体" w:hAnsi="宋体" w:cs="宋体"/>
          <w:sz w:val="21"/>
          <w:szCs w:val="21"/>
          <w:lang w:eastAsia="zh-CN"/>
        </w:rPr>
        <w:t>供应商</w:t>
      </w:r>
      <w:r>
        <w:rPr>
          <w:rFonts w:hint="eastAsia" w:ascii="宋体" w:hAnsi="宋体" w:eastAsia="宋体" w:cs="宋体"/>
          <w:sz w:val="21"/>
          <w:szCs w:val="21"/>
        </w:rPr>
        <w:t>必须接受、配合采购人的定期检查工作。</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20.给予采购人公务车在广州市区范围内免费提供24小时拖车服务。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21.给予采购人公务车提供免费接送维修服务。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22.给予采购人公务车优先维修的服务。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23.采购人公务车进厂修理，</w:t>
      </w:r>
      <w:r>
        <w:rPr>
          <w:rFonts w:hint="eastAsia" w:ascii="宋体" w:hAnsi="宋体" w:cs="宋体"/>
          <w:sz w:val="21"/>
          <w:szCs w:val="21"/>
          <w:lang w:eastAsia="zh-CN"/>
        </w:rPr>
        <w:t>供应商</w:t>
      </w:r>
      <w:r>
        <w:rPr>
          <w:rFonts w:hint="eastAsia" w:ascii="宋体" w:hAnsi="宋体" w:eastAsia="宋体" w:cs="宋体"/>
          <w:sz w:val="21"/>
          <w:szCs w:val="21"/>
        </w:rPr>
        <w:t>不得以任何借口动用该公务车，未经允许不得将车开出厂试车或作它用。</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24.每修完一辆公务车，都必须按照采购人</w:t>
      </w:r>
      <w:r>
        <w:rPr>
          <w:rFonts w:hint="eastAsia" w:ascii="宋体" w:hAnsi="宋体" w:cs="宋体"/>
          <w:sz w:val="21"/>
          <w:szCs w:val="21"/>
          <w:highlight w:val="none"/>
          <w:lang w:eastAsia="zh-CN"/>
        </w:rPr>
        <w:t>的要求</w:t>
      </w:r>
      <w:r>
        <w:rPr>
          <w:rFonts w:hint="eastAsia" w:ascii="宋体" w:hAnsi="宋体" w:eastAsia="宋体" w:cs="宋体"/>
          <w:sz w:val="21"/>
          <w:szCs w:val="21"/>
          <w:highlight w:val="none"/>
        </w:rPr>
        <w:t>在每个月的1-5号向</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递交书面报表并附带维修清单复印件）</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b/>
          <w:sz w:val="21"/>
          <w:szCs w:val="21"/>
        </w:rPr>
      </w:pPr>
      <w:r>
        <w:rPr>
          <w:rFonts w:hint="eastAsia" w:ascii="宋体" w:hAnsi="宋体" w:cs="宋体"/>
          <w:b/>
          <w:sz w:val="21"/>
          <w:szCs w:val="21"/>
          <w:lang w:eastAsia="zh-CN"/>
        </w:rPr>
        <w:t>六</w:t>
      </w:r>
      <w:r>
        <w:rPr>
          <w:rFonts w:hint="eastAsia" w:ascii="宋体" w:hAnsi="宋体" w:eastAsia="宋体" w:cs="宋体"/>
          <w:b/>
          <w:sz w:val="21"/>
          <w:szCs w:val="21"/>
        </w:rPr>
        <w:t>、管理要求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1．生产管理制度、财务管理制度、岗位责任制度、质量控制制度健全、有效、合理；</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2．汽修维修流程环节清楚、合理、有序；</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3．人员着装整洁、能够提供文明、优质的服务；</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4．有明确的符合规定的出厂的质检工序；</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5．按规定使用维修合同；</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6.重要检测维修设备操作规程实施有效，专人对设备的使用进行管理，保证状态良好</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7.车辆出</w:t>
      </w:r>
      <w:r>
        <w:rPr>
          <w:rFonts w:hint="eastAsia" w:ascii="宋体" w:hAnsi="宋体" w:eastAsia="宋体" w:cs="宋体"/>
          <w:color w:val="auto"/>
          <w:sz w:val="21"/>
          <w:szCs w:val="21"/>
        </w:rPr>
        <w:t>入厂手续、维修手续严格按采购人要求执行。</w:t>
      </w:r>
    </w:p>
    <w:p>
      <w:pPr>
        <w:keepNext w:val="0"/>
        <w:keepLines w:val="0"/>
        <w:pageBreakBefore w:val="0"/>
        <w:kinsoku/>
        <w:wordWrap/>
        <w:overflowPunct/>
        <w:topLinePunct w:val="0"/>
        <w:bidi w:val="0"/>
        <w:spacing w:line="3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eastAsia="zh-CN"/>
        </w:rPr>
        <w:t>七</w:t>
      </w:r>
      <w:r>
        <w:rPr>
          <w:rFonts w:hint="eastAsia" w:ascii="宋体" w:hAnsi="宋体" w:eastAsia="宋体" w:cs="宋体"/>
          <w:b/>
          <w:color w:val="auto"/>
          <w:sz w:val="21"/>
          <w:szCs w:val="21"/>
        </w:rPr>
        <w:t>、</w:t>
      </w:r>
      <w:r>
        <w:rPr>
          <w:rFonts w:hint="eastAsia" w:ascii="宋体" w:hAnsi="宋体" w:cs="宋体"/>
          <w:b/>
          <w:color w:val="auto"/>
          <w:sz w:val="21"/>
          <w:szCs w:val="21"/>
          <w:lang w:eastAsia="zh-CN"/>
        </w:rPr>
        <w:t>服务</w:t>
      </w:r>
      <w:r>
        <w:rPr>
          <w:rFonts w:hint="eastAsia" w:ascii="宋体" w:hAnsi="宋体" w:eastAsia="宋体" w:cs="宋体"/>
          <w:b/>
          <w:color w:val="auto"/>
          <w:sz w:val="21"/>
          <w:szCs w:val="21"/>
        </w:rPr>
        <w:t>承诺</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1.以维修为主，能维修的尽量维修；</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2.维修质量执行标准:</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《机动车运行安全技术条件》GB7258—2017；</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《汽车维护、检测、诊断技术规范》GB/T18344—2016；</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所有车辆维修须遵照执行包括但不限于上述各项标准；原车辆制造商的质量标准优于上述标准的，应当在满足上述标准的前提下尽量靠近原制造商公布的标准（是否遵照原制造商标准由报价人自行决定并作出承诺）；上述标准中未列明的维修项目，应执行原制造商公布的标准；</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3.配件质量：不使用假冒伪劣配件；</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4.维修价格：维修价格不得高于定损价格；</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5.公开性承诺：相关信息公开，接受监督（包括配件进货渠道、修理项目、出厂标准等）；</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cs="宋体"/>
          <w:sz w:val="21"/>
          <w:szCs w:val="21"/>
          <w:lang w:eastAsia="zh-CN"/>
        </w:rPr>
        <w:t>供应商</w:t>
      </w:r>
      <w:r>
        <w:rPr>
          <w:rFonts w:hint="eastAsia" w:ascii="宋体" w:hAnsi="宋体" w:eastAsia="宋体" w:cs="宋体"/>
          <w:sz w:val="21"/>
          <w:szCs w:val="21"/>
        </w:rPr>
        <w:t>必须对采购文件中提出的服务内容和各项要求做出明确的承诺，说明是否可以达到相应的标准以及如何达到；</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7.相关服务承诺必须真实可靠，否则一切后果</w:t>
      </w:r>
      <w:r>
        <w:rPr>
          <w:rFonts w:hint="eastAsia" w:ascii="宋体" w:hAnsi="宋体" w:cs="宋体"/>
          <w:sz w:val="21"/>
          <w:szCs w:val="21"/>
          <w:lang w:eastAsia="zh-CN"/>
        </w:rPr>
        <w:t>由供应商</w:t>
      </w:r>
      <w:r>
        <w:rPr>
          <w:rFonts w:hint="eastAsia" w:ascii="宋体" w:hAnsi="宋体" w:eastAsia="宋体" w:cs="宋体"/>
          <w:color w:val="auto"/>
          <w:sz w:val="21"/>
          <w:szCs w:val="21"/>
        </w:rPr>
        <w:t>自</w:t>
      </w:r>
      <w:r>
        <w:rPr>
          <w:rFonts w:hint="eastAsia" w:ascii="宋体" w:hAnsi="宋体" w:cs="宋体"/>
          <w:color w:val="auto"/>
          <w:sz w:val="21"/>
          <w:szCs w:val="21"/>
          <w:lang w:eastAsia="zh-CN"/>
        </w:rPr>
        <w:t>行</w:t>
      </w:r>
      <w:r>
        <w:rPr>
          <w:rFonts w:hint="eastAsia" w:ascii="宋体" w:hAnsi="宋体" w:eastAsia="宋体" w:cs="宋体"/>
          <w:color w:val="auto"/>
          <w:sz w:val="21"/>
          <w:szCs w:val="21"/>
        </w:rPr>
        <w:t>负</w:t>
      </w:r>
      <w:r>
        <w:rPr>
          <w:rFonts w:hint="eastAsia" w:ascii="宋体" w:hAnsi="宋体" w:cs="宋体"/>
          <w:color w:val="auto"/>
          <w:sz w:val="21"/>
          <w:szCs w:val="21"/>
          <w:lang w:eastAsia="zh-CN"/>
        </w:rPr>
        <w:t>责</w:t>
      </w:r>
      <w:r>
        <w:rPr>
          <w:rFonts w:hint="eastAsia" w:ascii="宋体" w:hAnsi="宋体" w:eastAsia="宋体" w:cs="宋体"/>
          <w:color w:val="auto"/>
          <w:sz w:val="21"/>
          <w:szCs w:val="21"/>
        </w:rPr>
        <w:t>。</w:t>
      </w:r>
    </w:p>
    <w:p>
      <w:pPr>
        <w:keepNext w:val="0"/>
        <w:keepLines w:val="0"/>
        <w:pageBreakBefore w:val="0"/>
        <w:kinsoku/>
        <w:wordWrap/>
        <w:overflowPunct/>
        <w:topLinePunct w:val="0"/>
        <w:bidi w:val="0"/>
        <w:spacing w:line="300" w:lineRule="exact"/>
        <w:ind w:firstLine="316" w:firstLineChars="150"/>
        <w:rPr>
          <w:rFonts w:hint="eastAsia" w:ascii="宋体" w:hAnsi="宋体" w:eastAsia="宋体" w:cs="宋体"/>
          <w:b/>
          <w:sz w:val="21"/>
          <w:szCs w:val="21"/>
        </w:rPr>
      </w:pPr>
      <w:r>
        <w:rPr>
          <w:rFonts w:hint="eastAsia" w:ascii="宋体" w:hAnsi="宋体" w:cs="宋体"/>
          <w:b/>
          <w:sz w:val="21"/>
          <w:szCs w:val="21"/>
          <w:lang w:eastAsia="zh-CN"/>
        </w:rPr>
        <w:t>九</w:t>
      </w:r>
      <w:r>
        <w:rPr>
          <w:rFonts w:hint="eastAsia" w:ascii="宋体" w:hAnsi="宋体" w:eastAsia="宋体" w:cs="宋体"/>
          <w:b/>
          <w:sz w:val="21"/>
          <w:szCs w:val="21"/>
        </w:rPr>
        <w:t>、其它要求</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1.采购文件中应附有本公司包括正门、主要车间、主要维修设备、厂内环境、材料库房、员工等在内的彩色图片。</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2.采购文件中应列明</w:t>
      </w:r>
      <w:r>
        <w:rPr>
          <w:rFonts w:hint="eastAsia" w:ascii="宋体" w:hAnsi="宋体" w:cs="宋体"/>
          <w:sz w:val="21"/>
          <w:szCs w:val="21"/>
          <w:lang w:eastAsia="zh-CN"/>
        </w:rPr>
        <w:t>供应商</w:t>
      </w:r>
      <w:r>
        <w:rPr>
          <w:rFonts w:hint="eastAsia" w:ascii="宋体" w:hAnsi="宋体" w:eastAsia="宋体" w:cs="宋体"/>
          <w:sz w:val="21"/>
          <w:szCs w:val="21"/>
        </w:rPr>
        <w:t>的配件进货渠道及供应商的联系电话，以便成交后采购人监督材料管理费率的执行标准。</w:t>
      </w:r>
    </w:p>
    <w:p>
      <w:pPr>
        <w:spacing w:line="400" w:lineRule="exact"/>
        <w:ind w:firstLine="422" w:firstLineChars="200"/>
        <w:rPr>
          <w:rFonts w:ascii="宋体" w:hAnsi="宋体" w:cs="宋体"/>
          <w:b/>
          <w:color w:val="0000FF"/>
          <w:szCs w:val="21"/>
        </w:rPr>
      </w:pPr>
      <w:r>
        <w:rPr>
          <w:rFonts w:hint="eastAsia" w:ascii="宋体" w:hAnsi="宋体" w:cs="宋体"/>
          <w:b/>
          <w:color w:val="0000FF"/>
          <w:szCs w:val="21"/>
          <w:lang w:eastAsia="zh-CN"/>
        </w:rPr>
        <w:t>十</w:t>
      </w:r>
      <w:r>
        <w:rPr>
          <w:rFonts w:hint="eastAsia" w:ascii="宋体" w:hAnsi="宋体" w:cs="宋体"/>
          <w:b/>
          <w:color w:val="0000FF"/>
          <w:szCs w:val="21"/>
        </w:rPr>
        <w:t>、</w:t>
      </w:r>
      <w:bookmarkStart w:id="10" w:name="_Toc28850"/>
      <w:bookmarkStart w:id="11" w:name="_Toc8122"/>
      <w:bookmarkStart w:id="12" w:name="_Toc27614"/>
      <w:bookmarkStart w:id="13" w:name="_Toc6416"/>
      <w:bookmarkStart w:id="14" w:name="_Toc26796"/>
      <w:bookmarkStart w:id="15" w:name="_Toc20606"/>
      <w:bookmarkStart w:id="16" w:name="_Toc20762"/>
      <w:r>
        <w:rPr>
          <w:rFonts w:hint="eastAsia" w:ascii="宋体" w:hAnsi="宋体" w:cs="宋体"/>
          <w:b/>
          <w:color w:val="0000FF"/>
          <w:szCs w:val="21"/>
        </w:rPr>
        <w:t>疫情防控要求</w:t>
      </w:r>
    </w:p>
    <w:p>
      <w:pPr>
        <w:tabs>
          <w:tab w:val="left" w:pos="284"/>
          <w:tab w:val="left" w:pos="426"/>
        </w:tabs>
        <w:spacing w:line="400" w:lineRule="exact"/>
        <w:ind w:firstLine="420" w:firstLineChars="200"/>
        <w:rPr>
          <w:rStyle w:val="22"/>
          <w:rFonts w:ascii="宋体" w:hAnsi="宋体" w:cs="宋体"/>
          <w:b w:val="0"/>
          <w:bCs w:val="0"/>
          <w:color w:val="0000FF"/>
          <w:spacing w:val="0"/>
          <w:sz w:val="21"/>
          <w:szCs w:val="21"/>
          <w:shd w:val="clear" w:color="auto" w:fill="FFFFFF"/>
        </w:rPr>
      </w:pPr>
      <w:r>
        <w:rPr>
          <w:rStyle w:val="22"/>
          <w:rFonts w:hint="eastAsia" w:ascii="宋体" w:hAnsi="宋体" w:cs="宋体"/>
          <w:b w:val="0"/>
          <w:bCs w:val="0"/>
          <w:color w:val="0000FF"/>
          <w:spacing w:val="0"/>
          <w:sz w:val="21"/>
          <w:szCs w:val="21"/>
          <w:shd w:val="clear" w:color="auto" w:fill="FFFFFF"/>
        </w:rPr>
        <w:t>参加评审会议供应商必须无流行病学史，需提供健康码绿码、行程码绿码、48小时核酸检测结果阴性。(如有最新防疫政策要求，按最新的政策要求执行）</w:t>
      </w:r>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6"/>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0"/>
      <w:bookmarkEnd w:id="11"/>
      <w:bookmarkEnd w:id="12"/>
      <w:bookmarkEnd w:id="13"/>
      <w:bookmarkEnd w:id="14"/>
      <w:bookmarkEnd w:id="15"/>
      <w:bookmarkEnd w:id="16"/>
      <w:bookmarkStart w:id="17" w:name="_Toc11917"/>
      <w:bookmarkStart w:id="18" w:name="_Toc4075"/>
      <w:bookmarkStart w:id="19" w:name="_Toc3222"/>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400" w:lineRule="exact"/>
        <w:jc w:val="center"/>
        <w:outlineLvl w:val="9"/>
        <w:rPr>
          <w:rFonts w:ascii="宋体" w:hAnsi="宋体" w:cs="宋体"/>
          <w:b/>
          <w:bCs/>
          <w:kern w:val="0"/>
          <w:szCs w:val="21"/>
        </w:rPr>
      </w:pPr>
    </w:p>
    <w:p>
      <w:pPr>
        <w:spacing w:line="400" w:lineRule="exact"/>
        <w:jc w:val="center"/>
        <w:outlineLvl w:val="9"/>
        <w:rPr>
          <w:rFonts w:ascii="宋体" w:hAnsi="宋体" w:cs="宋体"/>
          <w:b/>
          <w:bCs/>
          <w:kern w:val="0"/>
          <w:szCs w:val="21"/>
        </w:rPr>
      </w:pPr>
    </w:p>
    <w:p>
      <w:pPr>
        <w:jc w:val="center"/>
        <w:outlineLvl w:val="9"/>
        <w:rPr>
          <w:b/>
          <w:bCs/>
          <w:kern w:val="0"/>
          <w:sz w:val="32"/>
          <w:szCs w:val="36"/>
        </w:rPr>
      </w:pPr>
    </w:p>
    <w:p>
      <w:pPr>
        <w:jc w:val="center"/>
        <w:outlineLvl w:val="9"/>
        <w:rPr>
          <w:b/>
          <w:bCs/>
          <w:kern w:val="0"/>
          <w:sz w:val="32"/>
          <w:szCs w:val="36"/>
        </w:rPr>
      </w:pPr>
    </w:p>
    <w:p>
      <w:pPr>
        <w:jc w:val="center"/>
        <w:outlineLvl w:val="9"/>
        <w:rPr>
          <w:b/>
          <w:bCs/>
          <w:kern w:val="0"/>
          <w:sz w:val="32"/>
          <w:szCs w:val="36"/>
        </w:rPr>
      </w:pPr>
    </w:p>
    <w:p>
      <w:pPr>
        <w:jc w:val="center"/>
        <w:outlineLvl w:val="0"/>
        <w:rPr>
          <w:rFonts w:ascii="宋体" w:hAnsi="宋体"/>
          <w:sz w:val="30"/>
          <w:szCs w:val="30"/>
        </w:rPr>
      </w:pPr>
      <w:bookmarkStart w:id="20" w:name="_Toc3234"/>
      <w:r>
        <w:rPr>
          <w:rFonts w:hint="eastAsia"/>
          <w:b/>
          <w:bCs/>
          <w:kern w:val="0"/>
          <w:sz w:val="30"/>
          <w:szCs w:val="30"/>
        </w:rPr>
        <w:t xml:space="preserve">第三部分  </w:t>
      </w:r>
      <w:bookmarkStart w:id="21" w:name="_Toc270"/>
      <w:r>
        <w:rPr>
          <w:rFonts w:hint="eastAsia"/>
          <w:b/>
          <w:bCs/>
          <w:kern w:val="0"/>
          <w:sz w:val="30"/>
          <w:szCs w:val="30"/>
        </w:rPr>
        <w:t>资料整理注意事项</w:t>
      </w:r>
      <w:bookmarkEnd w:id="17"/>
      <w:bookmarkEnd w:id="18"/>
      <w:bookmarkEnd w:id="19"/>
      <w:bookmarkEnd w:id="20"/>
      <w:bookmarkEnd w:id="21"/>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highlight w:val="yellow"/>
        </w:rPr>
      </w:pPr>
      <w:r>
        <w:rPr>
          <w:rFonts w:hint="eastAsia" w:ascii="宋体" w:hAnsi="宋体"/>
          <w:b/>
          <w:bCs/>
          <w:szCs w:val="21"/>
          <w:highlight w:val="yellow"/>
        </w:rPr>
        <w:t>2.响应文件除封面外，其他材料须双面打印，各报名供应商应确保所提供响应文件资料一定要</w:t>
      </w:r>
      <w:r>
        <w:rPr>
          <w:rFonts w:hint="eastAsia" w:ascii="宋体" w:hAnsi="宋体"/>
          <w:b/>
          <w:bCs/>
          <w:color w:val="FF0000"/>
          <w:szCs w:val="21"/>
          <w:highlight w:val="yellow"/>
        </w:rPr>
        <w:t>真实、完整、清晰可辨</w:t>
      </w:r>
      <w:r>
        <w:rPr>
          <w:rFonts w:hint="eastAsia" w:ascii="宋体" w:hAnsi="宋体"/>
          <w:b/>
          <w:bCs/>
          <w:szCs w:val="21"/>
          <w:highlight w:val="yellow"/>
        </w:rPr>
        <w:t>，响应文件模糊不清、难以</w:t>
      </w:r>
      <w:r>
        <w:rPr>
          <w:rFonts w:hint="eastAsia" w:ascii="宋体" w:hAnsi="宋体"/>
          <w:b/>
          <w:bCs/>
          <w:color w:val="FF0000"/>
          <w:szCs w:val="21"/>
          <w:highlight w:val="yellow"/>
        </w:rPr>
        <w:t>辨认，</w:t>
      </w:r>
      <w:r>
        <w:rPr>
          <w:rFonts w:hint="eastAsia" w:ascii="宋体" w:hAnsi="宋体"/>
          <w:b/>
          <w:bCs/>
          <w:szCs w:val="21"/>
          <w:highlight w:val="yellow"/>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Cs w:val="21"/>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5"/>
        <w:jc w:val="center"/>
        <w:outlineLvl w:val="9"/>
        <w:rPr>
          <w:rFonts w:ascii="宋体" w:hAnsi="宋体" w:eastAsia="宋体"/>
          <w:sz w:val="40"/>
        </w:rPr>
      </w:pPr>
      <w:bookmarkStart w:id="22" w:name="_Toc30326"/>
      <w:bookmarkStart w:id="23" w:name="_Toc2647"/>
      <w:bookmarkStart w:id="24" w:name="_Toc32228"/>
      <w:bookmarkStart w:id="25" w:name="_Toc5829"/>
      <w:bookmarkStart w:id="26" w:name="_Toc9461"/>
      <w:bookmarkStart w:id="27" w:name="_Toc40346213"/>
      <w:bookmarkStart w:id="28" w:name="_Toc7581"/>
      <w:bookmarkStart w:id="29" w:name="_Toc30230"/>
      <w:bookmarkStart w:id="30" w:name="_Toc32164"/>
      <w:bookmarkStart w:id="31" w:name="_Toc13814"/>
      <w:bookmarkStart w:id="32" w:name="_Toc1634"/>
      <w:bookmarkStart w:id="33" w:name="_Toc40776108"/>
      <w:bookmarkStart w:id="34" w:name="_Toc2347"/>
      <w:bookmarkStart w:id="35" w:name="_Toc19354"/>
    </w:p>
    <w:p>
      <w:pPr>
        <w:pStyle w:val="5"/>
        <w:jc w:val="center"/>
        <w:outlineLvl w:val="9"/>
        <w:rPr>
          <w:rFonts w:ascii="宋体" w:hAnsi="宋体" w:eastAsia="宋体"/>
          <w:sz w:val="40"/>
        </w:rPr>
      </w:pPr>
    </w:p>
    <w:p>
      <w:pPr>
        <w:pStyle w:val="5"/>
        <w:jc w:val="center"/>
        <w:outlineLvl w:val="0"/>
        <w:rPr>
          <w:rFonts w:ascii="宋体" w:hAnsi="宋体" w:eastAsia="宋体" w:cs="Courier New"/>
          <w:sz w:val="40"/>
        </w:rPr>
      </w:pPr>
      <w:bookmarkStart w:id="36" w:name="_Toc20737"/>
      <w:r>
        <w:rPr>
          <w:rFonts w:hint="eastAsia" w:ascii="宋体" w:hAnsi="宋体" w:eastAsia="宋体"/>
          <w:sz w:val="40"/>
        </w:rPr>
        <w:t>第四部分  相关格式文件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27"/>
      </w:pPr>
      <w:bookmarkStart w:id="37" w:name="_Toc23126"/>
      <w:bookmarkStart w:id="38" w:name="_Toc30201"/>
      <w:bookmarkStart w:id="39" w:name="_Toc17987"/>
      <w:bookmarkStart w:id="40" w:name="_Toc13972"/>
      <w:bookmarkStart w:id="41" w:name="_Toc26336"/>
      <w:bookmarkStart w:id="42" w:name="_Toc10842"/>
      <w:bookmarkStart w:id="43" w:name="_Toc11236"/>
      <w:bookmarkStart w:id="44" w:name="_Toc10941"/>
      <w:bookmarkStart w:id="45" w:name="_Toc40776109"/>
      <w:bookmarkStart w:id="46" w:name="_Toc40346373"/>
      <w:bookmarkStart w:id="47" w:name="_Toc40346214"/>
    </w:p>
    <w:p>
      <w:pPr>
        <w:pStyle w:val="27"/>
      </w:pPr>
    </w:p>
    <w:p>
      <w:pPr>
        <w:pStyle w:val="27"/>
      </w:pPr>
    </w:p>
    <w:p>
      <w:pPr>
        <w:pStyle w:val="27"/>
      </w:pPr>
    </w:p>
    <w:p>
      <w:pPr>
        <w:pStyle w:val="27"/>
      </w:pPr>
    </w:p>
    <w:p>
      <w:pPr>
        <w:pStyle w:val="27"/>
      </w:pPr>
    </w:p>
    <w:p>
      <w:pPr>
        <w:pStyle w:val="27"/>
      </w:pPr>
    </w:p>
    <w:p>
      <w:pPr>
        <w:pStyle w:val="27"/>
      </w:pPr>
    </w:p>
    <w:p>
      <w:pPr>
        <w:widowControl/>
        <w:spacing w:line="360" w:lineRule="auto"/>
        <w:jc w:val="left"/>
        <w:rPr>
          <w:rFonts w:ascii="仿宋" w:hAnsi="仿宋" w:eastAsia="仿宋" w:cs="宋体"/>
          <w:b/>
          <w:kern w:val="0"/>
          <w:sz w:val="24"/>
          <w:szCs w:val="32"/>
        </w:rPr>
      </w:pPr>
      <w:bookmarkStart w:id="48" w:name="_Toc13293"/>
      <w:bookmarkStart w:id="49" w:name="_Toc3033"/>
      <w:bookmarkStart w:id="50" w:name="_Toc12695"/>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bookmarkStart w:id="51" w:name="_Toc2926"/>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52" w:name="_Toc25007"/>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jc w:val="center"/>
        <w:rPr>
          <w:rFonts w:ascii="宋体" w:hAnsi="宋体" w:cs="宋体"/>
          <w:b/>
          <w:kern w:val="0"/>
          <w:sz w:val="52"/>
          <w:szCs w:val="52"/>
        </w:rPr>
      </w:pPr>
      <w:bookmarkStart w:id="53" w:name="_Toc22864"/>
      <w:bookmarkStart w:id="54" w:name="_Toc18837"/>
      <w:bookmarkStart w:id="55" w:name="_Toc9134"/>
      <w:bookmarkStart w:id="56" w:name="_Toc40346381"/>
      <w:bookmarkStart w:id="57" w:name="_Toc10213"/>
      <w:bookmarkStart w:id="58" w:name="_Toc23156"/>
      <w:bookmarkStart w:id="59" w:name="_Toc4407"/>
      <w:bookmarkStart w:id="60" w:name="_Toc28217"/>
      <w:bookmarkStart w:id="61" w:name="_Toc40776117"/>
      <w:bookmarkStart w:id="62" w:name="_Toc3784"/>
      <w:bookmarkStart w:id="63" w:name="_Toc12431"/>
      <w:bookmarkStart w:id="64" w:name="_Toc40346222"/>
      <w:bookmarkStart w:id="65" w:name="_Toc25470"/>
      <w:bookmarkStart w:id="66" w:name="_Toc22145"/>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7" w:name="_Toc6547"/>
      <w:bookmarkStart w:id="68" w:name="_Toc21249"/>
      <w:bookmarkStart w:id="69" w:name="_Toc11305"/>
      <w:bookmarkStart w:id="70" w:name="_Toc29113"/>
      <w:bookmarkStart w:id="71" w:name="_Toc11075"/>
      <w:bookmarkStart w:id="72" w:name="_Toc435"/>
      <w:bookmarkStart w:id="73" w:name="_Toc40776111"/>
      <w:bookmarkStart w:id="74" w:name="_Toc28703"/>
      <w:bookmarkStart w:id="75" w:name="_Toc8364"/>
      <w:bookmarkStart w:id="76" w:name="_Toc40346216"/>
      <w:bookmarkStart w:id="77" w:name="_Toc15870"/>
      <w:bookmarkStart w:id="78" w:name="_Toc26267"/>
      <w:bookmarkStart w:id="79" w:name="_Toc3471"/>
      <w:bookmarkStart w:id="80" w:name="_Toc1994"/>
      <w:bookmarkStart w:id="81" w:name="_Toc40346375"/>
      <w:bookmarkStart w:id="82" w:name="_Toc7291"/>
      <w:bookmarkStart w:id="83" w:name="_Toc12520"/>
    </w:p>
    <w:p>
      <w:pPr>
        <w:widowControl/>
        <w:spacing w:line="360" w:lineRule="auto"/>
        <w:ind w:firstLine="600"/>
        <w:outlineLvl w:val="0"/>
      </w:pPr>
      <w:bookmarkStart w:id="84" w:name="_Toc4769"/>
      <w:bookmarkStart w:id="85" w:name="_Toc5883"/>
      <w:r>
        <w:rPr>
          <w:rFonts w:ascii="宋体" w:hAnsi="宋体" w:cs="宋体"/>
          <w:kern w:val="0"/>
          <w:sz w:val="30"/>
          <w:szCs w:val="30"/>
        </w:rPr>
        <w:t>项目编号：</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6" w:name="_Toc40776112"/>
      <w:bookmarkStart w:id="87" w:name="_Toc20884"/>
      <w:bookmarkStart w:id="88" w:name="_Toc17709"/>
      <w:bookmarkStart w:id="89" w:name="_Toc1743"/>
      <w:bookmarkStart w:id="90" w:name="_Toc2916"/>
      <w:bookmarkStart w:id="91" w:name="_Toc40346376"/>
      <w:bookmarkStart w:id="92" w:name="_Toc27997"/>
      <w:bookmarkStart w:id="93" w:name="_Toc40346217"/>
    </w:p>
    <w:p>
      <w:pPr>
        <w:widowControl/>
        <w:spacing w:line="360" w:lineRule="auto"/>
        <w:ind w:firstLine="600"/>
        <w:outlineLvl w:val="0"/>
        <w:rPr>
          <w:rFonts w:cs="宋体"/>
          <w:kern w:val="0"/>
          <w:sz w:val="30"/>
          <w:szCs w:val="30"/>
        </w:rPr>
      </w:pPr>
      <w:bookmarkStart w:id="94" w:name="_Toc29102"/>
      <w:bookmarkStart w:id="95" w:name="_Toc32513"/>
      <w:bookmarkStart w:id="96" w:name="_Toc11485"/>
      <w:bookmarkStart w:id="97" w:name="_Toc23992"/>
      <w:bookmarkStart w:id="98" w:name="_Toc2012"/>
      <w:bookmarkStart w:id="99" w:name="_Toc23097"/>
      <w:bookmarkStart w:id="100" w:name="_Toc19699"/>
      <w:bookmarkStart w:id="101" w:name="_Toc30979"/>
      <w:bookmarkStart w:id="102" w:name="_Toc2029"/>
      <w:bookmarkStart w:id="103" w:name="_Toc5238"/>
      <w:bookmarkStart w:id="104" w:name="_Toc31538"/>
      <w:r>
        <w:rPr>
          <w:rFonts w:ascii="宋体" w:hAnsi="宋体" w:cs="宋体"/>
          <w:kern w:val="0"/>
          <w:sz w:val="30"/>
          <w:szCs w:val="30"/>
        </w:rPr>
        <w:t>公司名称：</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widowControl/>
        <w:spacing w:line="360" w:lineRule="auto"/>
        <w:ind w:firstLine="600"/>
        <w:outlineLvl w:val="0"/>
        <w:rPr>
          <w:rFonts w:cs="宋体"/>
          <w:kern w:val="0"/>
          <w:sz w:val="30"/>
          <w:szCs w:val="30"/>
        </w:rPr>
      </w:pPr>
      <w:bookmarkStart w:id="105" w:name="_Toc14824"/>
      <w:bookmarkStart w:id="106" w:name="_Toc28064"/>
      <w:bookmarkStart w:id="107" w:name="_Toc4013"/>
      <w:bookmarkStart w:id="108" w:name="_Toc11558"/>
      <w:bookmarkStart w:id="109" w:name="_Toc40346377"/>
      <w:bookmarkStart w:id="110" w:name="_Toc40776113"/>
      <w:bookmarkStart w:id="111" w:name="_Toc13660"/>
      <w:bookmarkStart w:id="112" w:name="_Toc7052"/>
      <w:bookmarkStart w:id="113" w:name="_Toc24763"/>
      <w:bookmarkStart w:id="114" w:name="_Toc27867"/>
      <w:bookmarkStart w:id="115" w:name="_Toc21483"/>
      <w:bookmarkStart w:id="116" w:name="_Toc17930"/>
      <w:bookmarkStart w:id="117" w:name="_Toc11141"/>
      <w:bookmarkStart w:id="118" w:name="_Toc29767"/>
      <w:bookmarkStart w:id="119" w:name="_Toc40346218"/>
      <w:bookmarkStart w:id="120" w:name="_Toc16794"/>
      <w:bookmarkStart w:id="121" w:name="_Toc12645"/>
      <w:bookmarkStart w:id="122" w:name="_Toc31993"/>
      <w:bookmarkStart w:id="123" w:name="_Toc12113"/>
      <w:r>
        <w:rPr>
          <w:rFonts w:ascii="宋体" w:hAnsi="宋体" w:cs="宋体"/>
          <w:kern w:val="0"/>
          <w:sz w:val="30"/>
          <w:szCs w:val="30"/>
        </w:rPr>
        <w:t>业务代表：</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spacing w:line="360" w:lineRule="auto"/>
        <w:ind w:firstLine="600"/>
        <w:outlineLvl w:val="0"/>
        <w:rPr>
          <w:rFonts w:cs="宋体"/>
          <w:kern w:val="0"/>
          <w:sz w:val="30"/>
          <w:szCs w:val="30"/>
        </w:rPr>
      </w:pPr>
      <w:bookmarkStart w:id="124" w:name="_Toc40776114"/>
      <w:bookmarkStart w:id="125" w:name="_Toc11334"/>
      <w:bookmarkStart w:id="126" w:name="_Toc9883"/>
      <w:bookmarkStart w:id="127" w:name="_Toc29815"/>
      <w:bookmarkStart w:id="128" w:name="_Toc40346378"/>
      <w:bookmarkStart w:id="129" w:name="_Toc17537"/>
      <w:bookmarkStart w:id="130" w:name="_Toc6438"/>
      <w:bookmarkStart w:id="131" w:name="_Toc31197"/>
      <w:bookmarkStart w:id="132" w:name="_Toc40346219"/>
      <w:bookmarkStart w:id="133" w:name="_Toc26029"/>
      <w:bookmarkStart w:id="134" w:name="_Toc32709"/>
      <w:bookmarkStart w:id="135" w:name="_Toc27771"/>
      <w:bookmarkStart w:id="136" w:name="_Toc19831"/>
      <w:bookmarkStart w:id="137" w:name="_Toc16813"/>
      <w:bookmarkStart w:id="138" w:name="_Toc14287"/>
      <w:bookmarkStart w:id="139" w:name="_Toc25370"/>
      <w:bookmarkStart w:id="140" w:name="_Toc24651"/>
      <w:bookmarkStart w:id="141" w:name="_Toc1324"/>
      <w:bookmarkStart w:id="142" w:name="_Toc4563"/>
      <w:r>
        <w:rPr>
          <w:rFonts w:ascii="宋体" w:hAnsi="宋体" w:cs="宋体"/>
          <w:kern w:val="0"/>
          <w:sz w:val="30"/>
          <w:szCs w:val="30"/>
        </w:rPr>
        <w:t>联系电话：</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kern w:val="0"/>
          <w:sz w:val="30"/>
          <w:szCs w:val="30"/>
        </w:rPr>
      </w:pPr>
      <w:bookmarkStart w:id="143" w:name="_Toc27868"/>
      <w:bookmarkStart w:id="144" w:name="_Toc21940"/>
      <w:bookmarkStart w:id="145" w:name="_Toc13222"/>
      <w:bookmarkStart w:id="146" w:name="_Toc40776115"/>
      <w:bookmarkStart w:id="147" w:name="_Toc18518"/>
      <w:bookmarkStart w:id="148" w:name="_Toc14586"/>
      <w:bookmarkStart w:id="149" w:name="_Toc3895"/>
      <w:bookmarkStart w:id="150" w:name="_Toc18353"/>
      <w:bookmarkStart w:id="151" w:name="_Toc17483"/>
      <w:bookmarkStart w:id="152" w:name="_Toc40346220"/>
      <w:bookmarkStart w:id="153" w:name="_Toc19057"/>
      <w:bookmarkStart w:id="154" w:name="_Toc12650"/>
      <w:bookmarkStart w:id="155" w:name="_Toc5189"/>
      <w:bookmarkStart w:id="156" w:name="_Toc27206"/>
      <w:bookmarkStart w:id="157" w:name="_Toc30336"/>
      <w:bookmarkStart w:id="158" w:name="_Toc21686"/>
      <w:bookmarkStart w:id="159" w:name="_Toc40346379"/>
      <w:bookmarkStart w:id="160" w:name="_Toc5634"/>
      <w:bookmarkStart w:id="161" w:name="_Toc20994"/>
      <w:r>
        <w:rPr>
          <w:rFonts w:ascii="宋体" w:hAnsi="宋体" w:cs="宋体"/>
          <w:kern w:val="0"/>
          <w:sz w:val="30"/>
          <w:szCs w:val="30"/>
        </w:rPr>
        <w:t>联系邮箱：</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widowControl/>
        <w:spacing w:line="360" w:lineRule="auto"/>
        <w:ind w:firstLine="600"/>
        <w:outlineLvl w:val="0"/>
        <w:rPr>
          <w:rFonts w:cs="宋体"/>
          <w:kern w:val="0"/>
          <w:sz w:val="30"/>
          <w:szCs w:val="30"/>
        </w:rPr>
      </w:pPr>
      <w:bookmarkStart w:id="162" w:name="_Toc11547"/>
      <w:bookmarkStart w:id="163" w:name="_Toc10454"/>
      <w:bookmarkStart w:id="164" w:name="_Toc8526"/>
      <w:bookmarkStart w:id="165" w:name="_Toc27646"/>
      <w:bookmarkStart w:id="166" w:name="_Toc40776116"/>
      <w:bookmarkStart w:id="167" w:name="_Toc40346221"/>
      <w:bookmarkStart w:id="168" w:name="_Toc22276"/>
      <w:bookmarkStart w:id="169" w:name="_Toc40346380"/>
      <w:bookmarkStart w:id="170" w:name="_Toc3498"/>
      <w:bookmarkStart w:id="171" w:name="_Toc30904"/>
      <w:bookmarkStart w:id="172" w:name="_Toc12127"/>
      <w:bookmarkStart w:id="173" w:name="_Toc14462"/>
      <w:bookmarkStart w:id="174" w:name="_Toc5220"/>
      <w:bookmarkStart w:id="175" w:name="_Toc21449"/>
      <w:bookmarkStart w:id="176" w:name="_Toc32371"/>
      <w:bookmarkStart w:id="177" w:name="_Toc30856"/>
      <w:bookmarkStart w:id="178" w:name="_Toc27009"/>
      <w:bookmarkStart w:id="179" w:name="_Toc9282"/>
      <w:bookmarkStart w:id="180" w:name="_Toc12819"/>
      <w:r>
        <w:rPr>
          <w:rFonts w:ascii="宋体" w:hAnsi="宋体" w:cs="宋体"/>
          <w:kern w:val="0"/>
          <w:sz w:val="30"/>
          <w:szCs w:val="30"/>
        </w:rPr>
        <w:t>日    期：</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81" w:name="_Toc14843"/>
      <w:bookmarkStart w:id="182" w:name="_Toc18806"/>
      <w:r>
        <w:rPr>
          <w:rFonts w:hint="eastAsia" w:ascii="仿宋" w:hAnsi="仿宋" w:eastAsia="仿宋" w:cs="宋体"/>
          <w:b/>
          <w:kern w:val="0"/>
          <w:sz w:val="24"/>
          <w:szCs w:val="32"/>
        </w:rPr>
        <w:t>目录模板</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181"/>
      <w:bookmarkEnd w:id="182"/>
    </w:p>
    <w:p>
      <w:pPr>
        <w:pStyle w:val="26"/>
        <w:ind w:firstLine="3975" w:firstLineChars="1100"/>
        <w:rPr>
          <w:b/>
          <w:bCs/>
          <w:sz w:val="36"/>
          <w:szCs w:val="36"/>
        </w:rPr>
      </w:pPr>
      <w:bookmarkStart w:id="183" w:name="_Toc31006"/>
      <w:bookmarkStart w:id="184" w:name="_Toc24584"/>
      <w:bookmarkStart w:id="185" w:name="_Toc6985"/>
      <w:bookmarkStart w:id="186" w:name="_Toc27920"/>
      <w:r>
        <w:rPr>
          <w:rFonts w:hint="eastAsia"/>
          <w:b/>
          <w:bCs/>
          <w:sz w:val="36"/>
          <w:szCs w:val="36"/>
        </w:rPr>
        <w:t>目  录</w:t>
      </w:r>
      <w:bookmarkEnd w:id="183"/>
      <w:bookmarkEnd w:id="184"/>
      <w:bookmarkEnd w:id="185"/>
      <w:bookmarkEnd w:id="186"/>
    </w:p>
    <w:tbl>
      <w:tblPr>
        <w:tblStyle w:val="19"/>
        <w:tblW w:w="10766" w:type="dxa"/>
        <w:jc w:val="center"/>
        <w:tblLayout w:type="fixed"/>
        <w:tblCellMar>
          <w:top w:w="0" w:type="dxa"/>
          <w:left w:w="108" w:type="dxa"/>
          <w:bottom w:w="0" w:type="dxa"/>
          <w:right w:w="108" w:type="dxa"/>
        </w:tblCellMar>
      </w:tblPr>
      <w:tblGrid>
        <w:gridCol w:w="876"/>
        <w:gridCol w:w="8066"/>
        <w:gridCol w:w="1824"/>
      </w:tblGrid>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Cs w:val="21"/>
              </w:rPr>
            </w:pPr>
            <w:r>
              <w:rPr>
                <w:rFonts w:hint="eastAsia" w:ascii="宋体" w:hAnsi="宋体"/>
                <w:szCs w:val="21"/>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Cs w:val="21"/>
              </w:rPr>
            </w:pPr>
            <w:r>
              <w:rPr>
                <w:rFonts w:hint="eastAsia" w:ascii="宋体" w:hAnsi="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bCs/>
                <w:szCs w:val="21"/>
              </w:rPr>
            </w:pPr>
            <w:r>
              <w:rPr>
                <w:rFonts w:hint="eastAsia" w:ascii="宋体" w:hAnsi="宋体"/>
                <w:bCs/>
                <w:szCs w:val="21"/>
              </w:rPr>
              <w:t>8</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bCs/>
                <w:szCs w:val="21"/>
              </w:rPr>
            </w:pPr>
            <w:r>
              <w:rPr>
                <w:rFonts w:hint="eastAsia" w:ascii="宋体" w:hAnsi="宋体" w:eastAsia="宋体" w:cs="宋体"/>
                <w:sz w:val="21"/>
                <w:szCs w:val="21"/>
              </w:rPr>
              <w:t>具有</w:t>
            </w:r>
            <w:r>
              <w:rPr>
                <w:rFonts w:hint="eastAsia" w:ascii="宋体" w:hAnsi="宋体" w:eastAsia="宋体" w:cs="宋体"/>
                <w:sz w:val="21"/>
                <w:szCs w:val="21"/>
                <w:lang w:eastAsia="zh-CN"/>
              </w:rPr>
              <w:t>有效期</w:t>
            </w:r>
            <w:r>
              <w:rPr>
                <w:rFonts w:hint="eastAsia" w:ascii="宋体" w:hAnsi="宋体" w:cs="宋体"/>
                <w:sz w:val="21"/>
                <w:szCs w:val="21"/>
                <w:lang w:eastAsia="zh-CN"/>
              </w:rPr>
              <w:t>内</w:t>
            </w:r>
            <w:r>
              <w:rPr>
                <w:rFonts w:hint="eastAsia" w:ascii="宋体" w:hAnsi="宋体" w:cs="宋体"/>
                <w:sz w:val="21"/>
                <w:szCs w:val="21"/>
                <w:lang w:val="en-US" w:eastAsia="zh-CN"/>
              </w:rPr>
              <w:t>机动车维修经营备案表</w:t>
            </w:r>
            <w:r>
              <w:rPr>
                <w:rFonts w:hint="eastAsia" w:ascii="宋体" w:hAnsi="宋体" w:eastAsia="宋体" w:cs="宋体"/>
                <w:sz w:val="21"/>
                <w:szCs w:val="21"/>
              </w:rPr>
              <w:t>（提供相关证明文件复印件</w:t>
            </w:r>
            <w:r>
              <w:rPr>
                <w:rFonts w:hint="eastAsia" w:ascii="宋体" w:hAnsi="宋体" w:eastAsia="宋体" w:cs="宋体"/>
                <w:sz w:val="21"/>
                <w:szCs w:val="21"/>
                <w:lang w:eastAsia="zh-CN"/>
              </w:rPr>
              <w:t>并加盖供应商公司公章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bCs/>
                <w:szCs w:val="21"/>
              </w:rPr>
            </w:pPr>
            <w:r>
              <w:rPr>
                <w:rFonts w:hint="eastAsia" w:ascii="宋体" w:hAnsi="宋体"/>
                <w:bCs/>
                <w:szCs w:val="21"/>
              </w:rPr>
              <w:t>9</w:t>
            </w:r>
          </w:p>
        </w:tc>
        <w:tc>
          <w:tcPr>
            <w:tcW w:w="8066" w:type="dxa"/>
            <w:tcBorders>
              <w:top w:val="single" w:color="000000" w:sz="4" w:space="0"/>
              <w:left w:val="nil"/>
              <w:bottom w:val="single" w:color="000000" w:sz="4" w:space="0"/>
              <w:right w:val="single" w:color="000000" w:sz="4" w:space="0"/>
            </w:tcBorders>
            <w:vAlign w:val="center"/>
          </w:tcPr>
          <w:p>
            <w:pPr>
              <w:spacing w:line="240" w:lineRule="auto"/>
              <w:rPr>
                <w:rFonts w:ascii="宋体" w:hAnsi="宋体"/>
                <w:bCs/>
                <w:szCs w:val="21"/>
              </w:rPr>
            </w:pPr>
            <w:r>
              <w:rPr>
                <w:rFonts w:hint="eastAsia" w:ascii="宋体" w:hAnsi="宋体" w:eastAsia="宋体" w:cs="宋体"/>
                <w:sz w:val="21"/>
                <w:szCs w:val="21"/>
              </w:rPr>
              <w:t>本项目不接受联合体投标、不允许分包、转包。</w:t>
            </w:r>
            <w:r>
              <w:rPr>
                <w:rFonts w:hint="eastAsia" w:ascii="宋体" w:hAnsi="宋体"/>
                <w:bCs/>
                <w:szCs w:val="21"/>
              </w:rPr>
              <w:t>（</w:t>
            </w:r>
            <w:r>
              <w:rPr>
                <w:rFonts w:hint="eastAsia" w:ascii="宋体" w:hAnsi="宋体" w:eastAsia="宋体" w:cs="宋体"/>
                <w:kern w:val="2"/>
                <w:sz w:val="21"/>
                <w:szCs w:val="21"/>
                <w:lang w:val="en-US" w:eastAsia="zh-CN" w:bidi="ar-SA"/>
              </w:rPr>
              <w:t>提供声明函，承诺函必须包含相关内容描述，格式自拟，并加盖供应商公司公章）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bCs/>
                <w:szCs w:val="21"/>
              </w:rPr>
            </w:pPr>
            <w:r>
              <w:rPr>
                <w:rFonts w:hint="eastAsia" w:ascii="宋体" w:hAnsi="宋体"/>
                <w:bCs/>
                <w:szCs w:val="21"/>
              </w:rPr>
              <w:t>10</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hint="eastAsia" w:ascii="宋体" w:hAnsi="宋体" w:eastAsia="宋体"/>
                <w:bCs/>
                <w:szCs w:val="21"/>
                <w:lang w:eastAsia="zh-CN"/>
              </w:rPr>
            </w:pPr>
            <w:r>
              <w:rPr>
                <w:rFonts w:hint="eastAsia" w:ascii="宋体" w:hAnsi="宋体"/>
                <w:bCs/>
                <w:szCs w:val="21"/>
                <w:lang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bCs/>
                <w:szCs w:val="21"/>
              </w:rPr>
            </w:pPr>
            <w:r>
              <w:rPr>
                <w:rFonts w:hint="eastAsia" w:ascii="宋体" w:hAnsi="宋体"/>
                <w:bCs/>
                <w:szCs w:val="21"/>
              </w:rPr>
              <w:t>11</w:t>
            </w:r>
          </w:p>
        </w:tc>
        <w:tc>
          <w:tcPr>
            <w:tcW w:w="8066"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bCs/>
                <w:szCs w:val="21"/>
              </w:rPr>
            </w:pPr>
            <w:r>
              <w:rPr>
                <w:rFonts w:hint="eastAsia" w:ascii="宋体" w:hAnsi="宋体"/>
                <w:bCs/>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39"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bCs/>
                <w:szCs w:val="21"/>
              </w:rPr>
            </w:pPr>
            <w:r>
              <w:rPr>
                <w:rFonts w:hint="eastAsia" w:ascii="宋体" w:hAnsi="宋体"/>
                <w:bCs/>
                <w:szCs w:val="21"/>
              </w:rPr>
              <w:t>12</w:t>
            </w:r>
          </w:p>
        </w:tc>
        <w:tc>
          <w:tcPr>
            <w:tcW w:w="8066" w:type="dxa"/>
            <w:tcBorders>
              <w:top w:val="single" w:color="000000" w:sz="4" w:space="0"/>
              <w:left w:val="nil"/>
              <w:bottom w:val="single" w:color="000000" w:sz="4" w:space="0"/>
              <w:right w:val="single" w:color="000000" w:sz="4" w:space="0"/>
            </w:tcBorders>
            <w:vAlign w:val="center"/>
          </w:tcPr>
          <w:p>
            <w:pPr>
              <w:pStyle w:val="29"/>
              <w:numPr>
                <w:ilvl w:val="0"/>
                <w:numId w:val="0"/>
              </w:numPr>
              <w:spacing w:line="360" w:lineRule="auto"/>
              <w:rPr>
                <w:rFonts w:ascii="宋体" w:hAnsi="宋体"/>
                <w:bCs/>
                <w:szCs w:val="21"/>
              </w:rPr>
            </w:pPr>
            <w:r>
              <w:rPr>
                <w:rFonts w:hint="eastAsia" w:ascii="宋体" w:hAnsi="宋体" w:eastAsia="宋体" w:cs="Times New Roman"/>
                <w:bCs/>
                <w:szCs w:val="21"/>
                <w:lang w:eastAsia="zh-CN"/>
              </w:rPr>
              <w:t>厂内环境和设备（如有彩页，提供彩页）</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bCs/>
                <w:szCs w:val="21"/>
              </w:rPr>
            </w:pPr>
            <w:r>
              <w:rPr>
                <w:rFonts w:hint="eastAsia" w:ascii="宋体" w:hAnsi="宋体"/>
                <w:bCs/>
                <w:szCs w:val="21"/>
              </w:rPr>
              <w:t>13</w:t>
            </w:r>
          </w:p>
        </w:tc>
        <w:tc>
          <w:tcPr>
            <w:tcW w:w="8066" w:type="dxa"/>
            <w:tcBorders>
              <w:top w:val="single" w:color="000000" w:sz="4" w:space="0"/>
              <w:left w:val="nil"/>
              <w:bottom w:val="single" w:color="000000" w:sz="4" w:space="0"/>
              <w:right w:val="single" w:color="000000" w:sz="4" w:space="0"/>
            </w:tcBorders>
            <w:vAlign w:val="center"/>
          </w:tcPr>
          <w:p>
            <w:pPr>
              <w:pStyle w:val="29"/>
              <w:numPr>
                <w:ilvl w:val="0"/>
                <w:numId w:val="0"/>
              </w:num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汽车维修从业人员维修资质（提供相关人员的证书复印件，并加盖供应商公章；提供劳动合同复印件或本项目报名截止日之前六个月内任意一个月的投标单位代缴的投保单或社会保险参保人员缴费证明。）</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14</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28"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15</w:t>
            </w:r>
          </w:p>
        </w:tc>
        <w:tc>
          <w:tcPr>
            <w:tcW w:w="8066" w:type="dxa"/>
            <w:tcBorders>
              <w:top w:val="single" w:color="000000" w:sz="4" w:space="0"/>
              <w:left w:val="nil"/>
              <w:bottom w:val="single" w:color="000000" w:sz="4" w:space="0"/>
              <w:right w:val="single" w:color="000000" w:sz="4" w:space="0"/>
            </w:tcBorders>
            <w:vAlign w:val="center"/>
          </w:tcPr>
          <w:p>
            <w:pPr>
              <w:pStyle w:val="29"/>
              <w:numPr>
                <w:ilvl w:val="0"/>
                <w:numId w:val="0"/>
              </w:num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售后服务承诺书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16</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2020</w:t>
            </w:r>
            <w:r>
              <w:rPr>
                <w:rFonts w:hint="eastAsia" w:ascii="宋体" w:hAnsi="宋体" w:eastAsia="宋体" w:cs="宋体"/>
                <w:kern w:val="2"/>
                <w:sz w:val="21"/>
                <w:szCs w:val="21"/>
                <w:lang w:val="en-US" w:eastAsia="zh-CN" w:bidi="ar-SA"/>
              </w:rPr>
              <w:t>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17</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18</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Cs w:val="21"/>
                <w:lang w:val="en-US" w:eastAsia="zh-CN"/>
              </w:rPr>
            </w:pPr>
            <w:r>
              <w:rPr>
                <w:rFonts w:hint="eastAsia" w:ascii="宋体" w:hAnsi="宋体"/>
                <w:bCs/>
                <w:szCs w:val="21"/>
                <w:lang w:val="en-US" w:eastAsia="zh-CN"/>
              </w:rPr>
              <w:t>19</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9"/>
              <w:ind w:firstLine="0" w:firstLineChars="0"/>
              <w:jc w:val="center"/>
              <w:rPr>
                <w:rFonts w:ascii="宋体" w:hAnsi="宋体"/>
                <w:bCs/>
                <w:szCs w:val="21"/>
              </w:rPr>
            </w:pPr>
            <w:r>
              <w:rPr>
                <w:rFonts w:hint="eastAsia" w:ascii="宋体" w:hAnsi="宋体"/>
                <w:bCs/>
                <w:szCs w:val="21"/>
              </w:rPr>
              <w:t>第(       )页</w:t>
            </w:r>
          </w:p>
        </w:tc>
      </w:tr>
    </w:tbl>
    <w:p>
      <w:pPr>
        <w:widowControl/>
        <w:spacing w:line="360" w:lineRule="auto"/>
        <w:jc w:val="left"/>
        <w:rPr>
          <w:rFonts w:ascii="仿宋" w:hAnsi="仿宋" w:eastAsia="仿宋" w:cs="宋体"/>
          <w:b/>
          <w:kern w:val="0"/>
          <w:sz w:val="24"/>
          <w:szCs w:val="32"/>
        </w:rPr>
      </w:pPr>
      <w:bookmarkStart w:id="187" w:name="_Toc562"/>
      <w:bookmarkStart w:id="188" w:name="_Toc24508"/>
      <w:bookmarkStart w:id="189" w:name="_Toc21936"/>
      <w:bookmarkStart w:id="190" w:name="_Toc11232"/>
    </w:p>
    <w:p>
      <w:pPr>
        <w:widowControl/>
        <w:spacing w:line="360" w:lineRule="auto"/>
        <w:jc w:val="left"/>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91" w:name="_Toc13148"/>
      <w:bookmarkStart w:id="192" w:name="_Toc18896"/>
      <w:r>
        <w:rPr>
          <w:rFonts w:hint="eastAsia" w:ascii="仿宋" w:hAnsi="仿宋" w:eastAsia="仿宋" w:cs="宋体"/>
          <w:b/>
          <w:kern w:val="0"/>
          <w:sz w:val="24"/>
          <w:szCs w:val="32"/>
        </w:rPr>
        <w:t>用户需求偏离表模板</w:t>
      </w:r>
      <w:bookmarkEnd w:id="187"/>
      <w:bookmarkEnd w:id="188"/>
      <w:bookmarkEnd w:id="189"/>
      <w:bookmarkEnd w:id="190"/>
      <w:bookmarkEnd w:id="191"/>
      <w:bookmarkEnd w:id="192"/>
    </w:p>
    <w:p>
      <w:pPr>
        <w:pStyle w:val="30"/>
        <w:tabs>
          <w:tab w:val="left" w:pos="1050"/>
          <w:tab w:val="center" w:pos="4535"/>
        </w:tabs>
        <w:jc w:val="center"/>
        <w:outlineLvl w:val="0"/>
        <w:rPr>
          <w:b/>
          <w:bCs/>
          <w:szCs w:val="21"/>
        </w:rPr>
      </w:pPr>
      <w:bookmarkStart w:id="193" w:name="_Toc31025"/>
      <w:bookmarkStart w:id="194" w:name="_Toc9683"/>
      <w:bookmarkStart w:id="195" w:name="_Toc10605"/>
      <w:bookmarkStart w:id="196" w:name="_Toc11212"/>
      <w:bookmarkStart w:id="197" w:name="_Toc28877"/>
      <w:bookmarkStart w:id="198" w:name="_Toc20065"/>
      <w:bookmarkStart w:id="199" w:name="_Toc26391"/>
      <w:bookmarkStart w:id="200" w:name="_Toc29101"/>
      <w:bookmarkStart w:id="201" w:name="_Toc12961"/>
      <w:bookmarkStart w:id="202" w:name="_Toc8481"/>
      <w:bookmarkStart w:id="203" w:name="_Toc31804"/>
      <w:bookmarkStart w:id="204" w:name="_Toc24565"/>
      <w:bookmarkStart w:id="205" w:name="_Toc25102"/>
      <w:bookmarkStart w:id="206" w:name="_Toc20169"/>
      <w:bookmarkStart w:id="207" w:name="_Toc10771"/>
      <w:r>
        <w:rPr>
          <w:rFonts w:hint="eastAsia"/>
          <w:b/>
          <w:bCs/>
        </w:rPr>
        <w:t>用户需求偏离表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Start w:id="208" w:name="_Toc6232"/>
      <w:bookmarkStart w:id="209" w:name="_Toc7019"/>
      <w:bookmarkStart w:id="210" w:name="_Toc24550"/>
      <w:bookmarkStart w:id="211" w:name="_Toc10398"/>
      <w:bookmarkStart w:id="212" w:name="_Toc32295"/>
      <w:bookmarkStart w:id="213" w:name="_Toc15079"/>
      <w:bookmarkStart w:id="214" w:name="_Toc24286"/>
    </w:p>
    <w:p>
      <w:pPr>
        <w:keepNext w:val="0"/>
        <w:keepLines w:val="0"/>
        <w:pageBreakBefore w:val="0"/>
        <w:kinsoku/>
        <w:wordWrap/>
        <w:overflowPunct/>
        <w:topLinePunct w:val="0"/>
        <w:bidi w:val="0"/>
        <w:spacing w:line="300" w:lineRule="exact"/>
        <w:ind w:firstLine="442" w:firstLineChars="200"/>
        <w:rPr>
          <w:rFonts w:asciiTheme="majorEastAsia" w:hAnsiTheme="majorEastAsia"/>
          <w:b/>
          <w:sz w:val="22"/>
        </w:rPr>
      </w:pPr>
      <w:bookmarkStart w:id="215" w:name="_Toc21905"/>
      <w:bookmarkStart w:id="216" w:name="_Toc13551"/>
      <w:bookmarkStart w:id="217" w:name="_Toc17416"/>
      <w:bookmarkStart w:id="218" w:name="_Toc1548"/>
      <w:bookmarkStart w:id="219" w:name="_Toc31638"/>
      <w:bookmarkStart w:id="220" w:name="_Toc14009"/>
      <w:r>
        <w:rPr>
          <w:rFonts w:hint="eastAsia" w:asciiTheme="majorEastAsia" w:hAnsiTheme="majorEastAsia" w:eastAsiaTheme="majorEastAsia"/>
          <w:b/>
          <w:sz w:val="22"/>
        </w:rPr>
        <w:t>一、</w:t>
      </w:r>
      <w:bookmarkEnd w:id="215"/>
      <w:bookmarkEnd w:id="216"/>
      <w:bookmarkEnd w:id="217"/>
      <w:bookmarkEnd w:id="218"/>
      <w:bookmarkEnd w:id="219"/>
      <w:bookmarkEnd w:id="220"/>
      <w:r>
        <w:rPr>
          <w:rFonts w:hint="eastAsia" w:ascii="宋体" w:hAnsi="宋体" w:eastAsia="宋体" w:cs="宋体"/>
          <w:b/>
          <w:bCs/>
          <w:sz w:val="21"/>
          <w:szCs w:val="21"/>
        </w:rPr>
        <w:t>项目内容及需求</w:t>
      </w:r>
    </w:p>
    <w:bookmarkEnd w:id="208"/>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asciiTheme="majorEastAsia" w:hAnsiTheme="majorEastAsia" w:eastAsiaTheme="majorEastAsia"/>
          <w:b/>
          <w:sz w:val="22"/>
        </w:rPr>
      </w:pPr>
      <w:bookmarkStart w:id="221" w:name="_Toc26114"/>
      <w:bookmarkStart w:id="222" w:name="_Toc19330"/>
      <w:bookmarkStart w:id="223" w:name="_Toc15903"/>
      <w:bookmarkStart w:id="224" w:name="_Toc28342"/>
      <w:bookmarkStart w:id="225" w:name="_Toc14718"/>
      <w:bookmarkStart w:id="226" w:name="_Toc16131"/>
      <w:bookmarkStart w:id="227" w:name="_Toc31897"/>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ind w:firstLine="442" w:firstLineChars="200"/>
        <w:textAlignment w:val="auto"/>
        <w:rPr>
          <w:rFonts w:asciiTheme="majorEastAsia" w:hAnsiTheme="majorEastAsia" w:eastAsiaTheme="majorEastAsia"/>
          <w:b/>
          <w:sz w:val="22"/>
        </w:rPr>
      </w:pPr>
      <w:r>
        <w:rPr>
          <w:rFonts w:hint="eastAsia" w:asciiTheme="majorEastAsia" w:hAnsiTheme="majorEastAsia" w:eastAsiaTheme="majorEastAsia"/>
          <w:b/>
          <w:sz w:val="22"/>
        </w:rPr>
        <w:t>二、</w:t>
      </w:r>
      <w:bookmarkEnd w:id="209"/>
      <w:bookmarkEnd w:id="210"/>
      <w:bookmarkEnd w:id="211"/>
      <w:bookmarkEnd w:id="212"/>
      <w:bookmarkEnd w:id="213"/>
      <w:bookmarkEnd w:id="214"/>
      <w:bookmarkEnd w:id="221"/>
      <w:bookmarkEnd w:id="222"/>
      <w:bookmarkEnd w:id="223"/>
      <w:bookmarkEnd w:id="224"/>
      <w:bookmarkEnd w:id="225"/>
      <w:bookmarkEnd w:id="226"/>
      <w:bookmarkEnd w:id="227"/>
      <w:r>
        <w:rPr>
          <w:rFonts w:hint="eastAsia" w:ascii="宋体" w:hAnsi="宋体" w:eastAsia="宋体" w:cs="宋体"/>
          <w:b/>
          <w:sz w:val="21"/>
          <w:szCs w:val="21"/>
        </w:rPr>
        <w:t>付款方式</w:t>
      </w:r>
      <w:r>
        <w:rPr>
          <w:rFonts w:hint="eastAsia" w:ascii="宋体" w:hAnsi="宋体" w:eastAsia="宋体" w:cs="宋体"/>
          <w:b/>
          <w:sz w:val="21"/>
          <w:szCs w:val="21"/>
          <w:lang w:val="en-US" w:eastAsia="zh-CN"/>
        </w:rPr>
        <w:t>及履约保证金</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asciiTheme="majorEastAsia" w:hAnsiTheme="majorEastAsia" w:eastAsiaTheme="majorEastAsia"/>
          <w:b/>
          <w:sz w:val="22"/>
        </w:rPr>
      </w:pPr>
    </w:p>
    <w:p>
      <w:pPr>
        <w:widowControl/>
        <w:spacing w:line="360" w:lineRule="auto"/>
        <w:ind w:left="420" w:leftChars="200" w:firstLine="221" w:firstLineChars="100"/>
        <w:rPr>
          <w:rFonts w:hint="eastAsia" w:ascii="宋体" w:hAnsi="宋体" w:eastAsia="宋体" w:cs="宋体"/>
          <w:b/>
          <w:sz w:val="21"/>
          <w:szCs w:val="21"/>
        </w:rPr>
      </w:pPr>
      <w:r>
        <w:rPr>
          <w:rFonts w:hint="eastAsia" w:asciiTheme="majorEastAsia" w:hAnsiTheme="majorEastAsia" w:eastAsiaTheme="majorEastAsia"/>
          <w:b/>
          <w:sz w:val="22"/>
        </w:rPr>
        <w:t>三、</w:t>
      </w:r>
      <w:r>
        <w:rPr>
          <w:rFonts w:hint="eastAsia" w:ascii="宋体" w:hAnsi="宋体" w:eastAsia="宋体" w:cs="宋体"/>
          <w:b/>
          <w:sz w:val="21"/>
          <w:szCs w:val="21"/>
        </w:rPr>
        <w:t>汽车维修服务</w:t>
      </w:r>
      <w:r>
        <w:rPr>
          <w:rFonts w:hint="eastAsia" w:ascii="宋体" w:hAnsi="宋体" w:eastAsia="宋体" w:cs="宋体"/>
          <w:b/>
          <w:sz w:val="21"/>
          <w:szCs w:val="21"/>
          <w:lang w:eastAsia="zh-CN"/>
        </w:rPr>
        <w:t>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hint="eastAsia" w:asciiTheme="majorEastAsia" w:hAnsiTheme="majorEastAsia" w:eastAsiaTheme="majorEastAsia"/>
          <w:b/>
          <w:sz w:val="22"/>
        </w:rPr>
      </w:pPr>
      <w:r>
        <w:rPr>
          <w:rFonts w:hint="eastAsia" w:ascii="宋体" w:hAnsi="宋体"/>
          <w:b/>
          <w:bCs/>
          <w:szCs w:val="21"/>
        </w:rPr>
        <w:t xml:space="preserve">     </w:t>
      </w:r>
      <w:r>
        <w:rPr>
          <w:rFonts w:hint="eastAsia" w:asciiTheme="majorEastAsia" w:hAnsiTheme="majorEastAsia" w:eastAsiaTheme="majorEastAsia"/>
          <w:b/>
          <w:sz w:val="22"/>
        </w:rPr>
        <w:t xml:space="preserve"> </w:t>
      </w:r>
    </w:p>
    <w:p>
      <w:pPr>
        <w:pStyle w:val="26"/>
        <w:ind w:firstLine="663" w:firstLineChars="300"/>
        <w:rPr>
          <w:rFonts w:hint="eastAsia" w:asciiTheme="majorEastAsia" w:hAnsiTheme="majorEastAsia" w:eastAsiaTheme="majorEastAsia"/>
          <w:b/>
          <w:sz w:val="22"/>
        </w:rPr>
      </w:pPr>
      <w:r>
        <w:rPr>
          <w:rFonts w:hint="eastAsia" w:asciiTheme="majorEastAsia" w:hAnsiTheme="majorEastAsia" w:eastAsiaTheme="majorEastAsia"/>
          <w:b/>
          <w:sz w:val="22"/>
          <w:lang w:eastAsia="zh-CN"/>
        </w:rPr>
        <w:t>四、</w:t>
      </w:r>
      <w:r>
        <w:rPr>
          <w:rFonts w:hint="eastAsia" w:ascii="宋体" w:hAnsi="宋体" w:eastAsia="宋体" w:cs="宋体"/>
          <w:b/>
          <w:sz w:val="21"/>
          <w:szCs w:val="21"/>
        </w:rPr>
        <w:t>服务要求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ind w:firstLine="663" w:firstLineChars="300"/>
        <w:outlineLvl w:val="9"/>
        <w:rPr>
          <w:rFonts w:hint="eastAsia" w:asciiTheme="majorEastAsia" w:hAnsiTheme="majorEastAsia" w:eastAsiaTheme="majorEastAsia"/>
          <w:b/>
          <w:sz w:val="22"/>
        </w:rPr>
      </w:pPr>
    </w:p>
    <w:p>
      <w:pPr>
        <w:numPr>
          <w:ilvl w:val="0"/>
          <w:numId w:val="4"/>
        </w:numPr>
        <w:spacing w:line="300" w:lineRule="auto"/>
        <w:ind w:left="208" w:leftChars="0" w:firstLine="632" w:firstLineChars="0"/>
        <w:outlineLvl w:val="1"/>
        <w:rPr>
          <w:rFonts w:hint="eastAsia" w:ascii="宋体" w:hAnsi="宋体" w:eastAsia="宋体" w:cs="宋体"/>
          <w:b/>
          <w:sz w:val="21"/>
          <w:szCs w:val="21"/>
        </w:rPr>
      </w:pPr>
      <w:r>
        <w:rPr>
          <w:rFonts w:hint="eastAsia" w:ascii="宋体" w:hAnsi="宋体" w:eastAsia="宋体" w:cs="宋体"/>
          <w:b/>
          <w:sz w:val="21"/>
          <w:szCs w:val="21"/>
        </w:rPr>
        <w:t>管理要求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pStyle w:val="26"/>
        <w:widowControl w:val="0"/>
        <w:numPr>
          <w:ilvl w:val="0"/>
          <w:numId w:val="0"/>
        </w:numPr>
        <w:jc w:val="both"/>
        <w:rPr>
          <w:rFonts w:hint="eastAsia"/>
          <w:lang w:eastAsia="zh-CN"/>
        </w:rPr>
      </w:pPr>
    </w:p>
    <w:p>
      <w:pPr>
        <w:spacing w:line="300" w:lineRule="auto"/>
        <w:ind w:firstLine="663" w:firstLineChars="300"/>
        <w:outlineLvl w:val="1"/>
        <w:rPr>
          <w:rFonts w:hint="eastAsia" w:cs="Times New Roman" w:asciiTheme="majorEastAsia" w:hAnsiTheme="majorEastAsia" w:eastAsiaTheme="majorEastAsia"/>
          <w:b/>
          <w:sz w:val="22"/>
          <w:lang w:eastAsia="zh-CN"/>
        </w:rPr>
      </w:pPr>
      <w:r>
        <w:rPr>
          <w:rFonts w:hint="eastAsia" w:cs="Times New Roman" w:asciiTheme="majorEastAsia" w:hAnsiTheme="majorEastAsia" w:eastAsiaTheme="majorEastAsia"/>
          <w:b/>
          <w:sz w:val="22"/>
          <w:lang w:eastAsia="zh-CN"/>
        </w:rPr>
        <w:t>六、服务</w:t>
      </w:r>
      <w:r>
        <w:rPr>
          <w:rFonts w:hint="eastAsia" w:cs="Times New Roman" w:asciiTheme="majorEastAsia" w:hAnsiTheme="majorEastAsia" w:eastAsiaTheme="majorEastAsia"/>
          <w:b/>
          <w:sz w:val="22"/>
        </w:rPr>
        <w:t>承诺</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ind w:firstLine="663" w:firstLineChars="300"/>
        <w:outlineLvl w:val="9"/>
        <w:rPr>
          <w:rFonts w:hint="eastAsia" w:cs="Times New Roman" w:asciiTheme="majorEastAsia" w:hAnsiTheme="majorEastAsia" w:eastAsiaTheme="majorEastAsia"/>
          <w:b/>
          <w:sz w:val="22"/>
        </w:rPr>
      </w:pPr>
    </w:p>
    <w:p>
      <w:pPr>
        <w:spacing w:line="300" w:lineRule="auto"/>
        <w:ind w:firstLine="663" w:firstLineChars="300"/>
        <w:outlineLvl w:val="9"/>
        <w:rPr>
          <w:rFonts w:hint="eastAsia" w:asciiTheme="majorEastAsia" w:hAnsiTheme="majorEastAsia" w:eastAsiaTheme="majorEastAsia"/>
          <w:b/>
          <w:sz w:val="22"/>
        </w:rPr>
      </w:pPr>
    </w:p>
    <w:p>
      <w:pPr>
        <w:numPr>
          <w:ilvl w:val="0"/>
          <w:numId w:val="0"/>
        </w:numPr>
        <w:spacing w:line="300" w:lineRule="auto"/>
        <w:ind w:left="840" w:leftChars="0"/>
        <w:outlineLvl w:val="1"/>
        <w:rPr>
          <w:rFonts w:hint="eastAsia" w:asciiTheme="majorEastAsia" w:hAnsiTheme="majorEastAsia" w:eastAsiaTheme="majorEastAsia"/>
          <w:b/>
          <w:sz w:val="22"/>
        </w:rPr>
      </w:pPr>
      <w:r>
        <w:rPr>
          <w:rFonts w:hint="eastAsia" w:asciiTheme="majorEastAsia" w:hAnsiTheme="majorEastAsia" w:eastAsiaTheme="majorEastAsia"/>
          <w:b/>
          <w:sz w:val="22"/>
          <w:lang w:eastAsia="zh-CN"/>
        </w:rPr>
        <w:t>七、</w:t>
      </w:r>
      <w:r>
        <w:rPr>
          <w:rFonts w:hint="eastAsia" w:asciiTheme="majorEastAsia" w:hAnsiTheme="majorEastAsia" w:eastAsiaTheme="majorEastAsia"/>
          <w:b/>
          <w:sz w:val="22"/>
        </w:rPr>
        <w:t>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pStyle w:val="4"/>
        <w:outlineLvl w:val="9"/>
        <w:sectPr>
          <w:pgSz w:w="11906" w:h="16838"/>
          <w:pgMar w:top="850" w:right="454" w:bottom="850" w:left="454" w:header="851" w:footer="992" w:gutter="0"/>
          <w:cols w:space="720" w:num="1"/>
          <w:docGrid w:linePitch="312" w:charSpace="0"/>
        </w:sectPr>
      </w:pPr>
    </w:p>
    <w:p>
      <w:pPr>
        <w:pStyle w:val="26"/>
        <w:jc w:val="center"/>
        <w:outlineLvl w:val="0"/>
        <w:rPr>
          <w:rFonts w:hint="eastAsia"/>
          <w:b/>
          <w:bCs/>
          <w:sz w:val="30"/>
          <w:szCs w:val="30"/>
          <w:lang w:val="en-US" w:eastAsia="zh-CN"/>
        </w:rPr>
      </w:pPr>
      <w:bookmarkStart w:id="228" w:name="_Toc17290"/>
      <w:bookmarkStart w:id="229" w:name="_Toc27108"/>
      <w:bookmarkStart w:id="230" w:name="_Toc22418"/>
      <w:bookmarkStart w:id="231" w:name="_Toc22152"/>
      <w:bookmarkStart w:id="232" w:name="_Toc6214"/>
      <w:bookmarkStart w:id="233" w:name="_Toc21213"/>
      <w:bookmarkStart w:id="234" w:name="_Toc31077"/>
      <w:bookmarkStart w:id="235" w:name="_Toc28851"/>
      <w:bookmarkStart w:id="236" w:name="_Toc31674"/>
      <w:bookmarkStart w:id="237" w:name="_Toc21561"/>
      <w:r>
        <w:rPr>
          <w:rFonts w:hint="default"/>
          <w:b/>
          <w:bCs/>
          <w:sz w:val="30"/>
          <w:szCs w:val="30"/>
          <w:lang w:val="en-US" w:eastAsia="zh-CN"/>
        </w:rPr>
        <w:t>南方医科大学第五附属医院</w:t>
      </w:r>
      <w:r>
        <w:rPr>
          <w:rFonts w:hint="eastAsia"/>
          <w:b/>
          <w:bCs/>
          <w:sz w:val="30"/>
          <w:szCs w:val="30"/>
          <w:lang w:val="en-US" w:eastAsia="zh-CN"/>
        </w:rPr>
        <w:t>汽车维保服务项目初始报价表</w:t>
      </w:r>
      <w:bookmarkEnd w:id="228"/>
      <w:bookmarkEnd w:id="229"/>
      <w:bookmarkEnd w:id="230"/>
      <w:bookmarkEnd w:id="231"/>
    </w:p>
    <w:p>
      <w:pPr>
        <w:keepNext w:val="0"/>
        <w:keepLines w:val="0"/>
        <w:widowControl/>
        <w:suppressLineNumbers w:val="0"/>
        <w:jc w:val="left"/>
        <w:rPr>
          <w:rFonts w:hint="eastAsia" w:ascii="宋体" w:hAnsi="宋体" w:eastAsia="宋体" w:cs="宋体"/>
          <w:b/>
          <w:color w:val="000000"/>
          <w:kern w:val="0"/>
          <w:sz w:val="21"/>
          <w:szCs w:val="21"/>
          <w:lang w:val="en-US" w:eastAsia="zh-CN" w:bidi="ar"/>
        </w:rPr>
      </w:pPr>
    </w:p>
    <w:tbl>
      <w:tblPr>
        <w:tblStyle w:val="19"/>
        <w:tblpPr w:leftFromText="180" w:rightFromText="180" w:vertAnchor="text" w:horzAnchor="page" w:tblpXSpec="center" w:tblpY="104"/>
        <w:tblOverlap w:val="never"/>
        <w:tblW w:w="8453" w:type="dxa"/>
        <w:jc w:val="center"/>
        <w:tblLayout w:type="fixed"/>
        <w:tblCellMar>
          <w:top w:w="0" w:type="dxa"/>
          <w:left w:w="30" w:type="dxa"/>
          <w:bottom w:w="0" w:type="dxa"/>
          <w:right w:w="30" w:type="dxa"/>
        </w:tblCellMar>
      </w:tblPr>
      <w:tblGrid>
        <w:gridCol w:w="596"/>
        <w:gridCol w:w="4312"/>
        <w:gridCol w:w="1895"/>
        <w:gridCol w:w="1650"/>
      </w:tblGrid>
      <w:tr>
        <w:trPr>
          <w:trHeight w:val="333"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43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折扣率（</w:t>
            </w:r>
            <w:r>
              <w:rPr>
                <w:rFonts w:hint="eastAsia" w:ascii="宋体" w:hAnsi="宋体" w:cs="宋体"/>
                <w:b/>
                <w:bCs/>
                <w:color w:val="auto"/>
                <w:sz w:val="24"/>
                <w:szCs w:val="24"/>
                <w:lang w:val="en-US" w:eastAsia="zh-CN"/>
              </w:rPr>
              <w:t>%</w:t>
            </w:r>
            <w:r>
              <w:rPr>
                <w:rFonts w:hint="eastAsia" w:ascii="宋体" w:hAnsi="宋体" w:cs="宋体"/>
                <w:b/>
                <w:bCs/>
                <w:color w:val="auto"/>
                <w:sz w:val="24"/>
                <w:szCs w:val="24"/>
                <w:lang w:eastAsia="zh-CN"/>
              </w:rPr>
              <w:t>）</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服务期限</w:t>
            </w:r>
          </w:p>
        </w:tc>
      </w:tr>
      <w:tr>
        <w:tblPrEx>
          <w:tblCellMar>
            <w:top w:w="0" w:type="dxa"/>
            <w:left w:w="30" w:type="dxa"/>
            <w:bottom w:w="0" w:type="dxa"/>
            <w:right w:w="30" w:type="dxa"/>
          </w:tblCellMar>
        </w:tblPrEx>
        <w:trPr>
          <w:trHeight w:val="663"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43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left"/>
              <w:rPr>
                <w:rFonts w:hint="eastAsia" w:ascii="宋体" w:hAnsi="宋体" w:eastAsia="宋体" w:cs="宋体"/>
                <w:b w:val="0"/>
                <w:bCs w:val="0"/>
                <w:color w:val="auto"/>
                <w:sz w:val="24"/>
                <w:szCs w:val="24"/>
                <w:lang w:eastAsia="zh-CN"/>
              </w:rPr>
            </w:pPr>
            <w:r>
              <w:rPr>
                <w:rFonts w:hint="eastAsia" w:ascii="宋体" w:hAnsi="宋体" w:eastAsia="宋体" w:cs="宋体"/>
                <w:bCs/>
                <w:color w:val="000000"/>
                <w:sz w:val="24"/>
                <w:szCs w:val="24"/>
              </w:rPr>
              <w:t>汽车维修项目工时费报价</w:t>
            </w:r>
            <w:r>
              <w:rPr>
                <w:rFonts w:hint="eastAsia" w:ascii="宋体" w:hAnsi="宋体" w:eastAsia="宋体" w:cs="宋体"/>
                <w:bCs/>
                <w:color w:val="000000"/>
                <w:sz w:val="24"/>
                <w:szCs w:val="24"/>
                <w:lang w:val="en-US" w:eastAsia="zh-CN"/>
              </w:rPr>
              <w:t>表</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4"/>
                <w:szCs w:val="24"/>
              </w:rPr>
            </w:pPr>
          </w:p>
        </w:tc>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两年</w:t>
            </w:r>
          </w:p>
        </w:tc>
      </w:tr>
      <w:tr>
        <w:tblPrEx>
          <w:tblCellMar>
            <w:top w:w="0" w:type="dxa"/>
            <w:left w:w="30" w:type="dxa"/>
            <w:bottom w:w="0" w:type="dxa"/>
            <w:right w:w="30" w:type="dxa"/>
          </w:tblCellMar>
        </w:tblPrEx>
        <w:trPr>
          <w:trHeight w:val="776"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431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kinsoku/>
              <w:wordWrap/>
              <w:overflowPunct/>
              <w:topLinePunct w:val="0"/>
              <w:bidi w:val="0"/>
              <w:spacing w:line="300" w:lineRule="exact"/>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汽车维修项目车辆维修常规材料报价表</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Cs/>
                <w:color w:val="000000"/>
                <w:kern w:val="2"/>
                <w:sz w:val="24"/>
                <w:szCs w:val="24"/>
                <w:lang w:val="en-US"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both"/>
              <w:rPr>
                <w:rFonts w:hint="eastAsia" w:ascii="宋体" w:hAnsi="宋体" w:cs="宋体"/>
                <w:bCs/>
                <w:color w:val="auto"/>
                <w:sz w:val="24"/>
                <w:szCs w:val="24"/>
                <w:lang w:val="en-US" w:eastAsia="zh-CN"/>
              </w:rPr>
            </w:pPr>
          </w:p>
        </w:tc>
      </w:tr>
    </w:tbl>
    <w:p>
      <w:pPr>
        <w:pStyle w:val="26"/>
        <w:spacing w:line="360" w:lineRule="auto"/>
        <w:rPr>
          <w:rFonts w:hint="eastAsia" w:ascii="宋体" w:hAnsi="宋体"/>
          <w:b/>
          <w:bCs/>
          <w:sz w:val="24"/>
          <w:szCs w:val="24"/>
          <w:lang w:val="en-US" w:eastAsia="zh-CN"/>
        </w:rPr>
      </w:pPr>
    </w:p>
    <w:p>
      <w:pPr>
        <w:pStyle w:val="26"/>
        <w:spacing w:line="360" w:lineRule="auto"/>
        <w:jc w:val="left"/>
        <w:rPr>
          <w:rFonts w:hint="eastAsia" w:ascii="宋体" w:hAnsi="宋体"/>
          <w:b/>
          <w:bCs/>
          <w:sz w:val="24"/>
          <w:szCs w:val="24"/>
          <w:lang w:val="en-US" w:eastAsia="zh-CN"/>
        </w:rPr>
      </w:pPr>
    </w:p>
    <w:p>
      <w:pPr>
        <w:pStyle w:val="26"/>
        <w:spacing w:line="360" w:lineRule="auto"/>
        <w:jc w:val="left"/>
        <w:rPr>
          <w:rFonts w:hint="eastAsia" w:ascii="宋体" w:hAnsi="宋体"/>
          <w:b/>
          <w:bCs/>
          <w:sz w:val="24"/>
          <w:szCs w:val="24"/>
          <w:lang w:val="en-US" w:eastAsia="zh-CN"/>
        </w:rPr>
      </w:pPr>
    </w:p>
    <w:p>
      <w:pPr>
        <w:pStyle w:val="26"/>
        <w:spacing w:line="360" w:lineRule="auto"/>
        <w:jc w:val="left"/>
        <w:rPr>
          <w:rFonts w:hint="eastAsia" w:ascii="宋体" w:hAnsi="宋体"/>
          <w:b/>
          <w:bCs/>
          <w:sz w:val="24"/>
          <w:szCs w:val="24"/>
          <w:lang w:val="en-US" w:eastAsia="zh-CN"/>
        </w:rPr>
      </w:pPr>
    </w:p>
    <w:p>
      <w:pPr>
        <w:pStyle w:val="26"/>
        <w:spacing w:line="360" w:lineRule="auto"/>
        <w:jc w:val="left"/>
        <w:rPr>
          <w:rFonts w:hint="eastAsia" w:ascii="宋体" w:hAnsi="宋体"/>
          <w:b/>
          <w:bCs/>
          <w:sz w:val="24"/>
          <w:szCs w:val="24"/>
          <w:lang w:val="en-US" w:eastAsia="zh-CN"/>
        </w:rPr>
      </w:pPr>
    </w:p>
    <w:p>
      <w:pPr>
        <w:pStyle w:val="26"/>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备注：</w:t>
      </w:r>
    </w:p>
    <w:p>
      <w:pPr>
        <w:pStyle w:val="26"/>
        <w:spacing w:line="360" w:lineRule="auto"/>
        <w:jc w:val="left"/>
        <w:rPr>
          <w:rFonts w:hint="eastAsia" w:ascii="黑体" w:hAnsi="黑体" w:eastAsia="黑体"/>
          <w:sz w:val="24"/>
          <w:szCs w:val="24"/>
          <w:lang w:val="en-US" w:eastAsia="zh-CN"/>
        </w:rPr>
      </w:pPr>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szCs w:val="24"/>
        </w:rPr>
        <w:t>壹、贰、叁、肆、伍、陆、柒、捌、玖、拾 、佰、仟、万</w:t>
      </w: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2.报价说明：</w:t>
      </w:r>
    </w:p>
    <w:p>
      <w:pPr>
        <w:tabs>
          <w:tab w:val="left" w:pos="180"/>
          <w:tab w:val="left" w:pos="1620"/>
        </w:tabs>
        <w:spacing w:line="360" w:lineRule="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(1)本项目的报价方式为折扣率报价，只允许供应商投报一个折扣率。例如：报七折，则填写70.00%,</w:t>
      </w:r>
      <w:r>
        <w:rPr>
          <w:rFonts w:hint="eastAsia" w:ascii="宋体" w:hAnsi="宋体" w:eastAsia="宋体" w:cs="宋体"/>
          <w:bCs/>
          <w:color w:val="000000"/>
          <w:sz w:val="24"/>
          <w:szCs w:val="24"/>
        </w:rPr>
        <w:t>采购人不接受任何有选择的报价</w:t>
      </w:r>
      <w:r>
        <w:rPr>
          <w:rFonts w:hint="eastAsia" w:ascii="宋体" w:hAnsi="宋体" w:eastAsia="宋体" w:cs="宋体"/>
          <w:bCs/>
          <w:color w:val="000000"/>
          <w:sz w:val="24"/>
          <w:szCs w:val="24"/>
          <w:lang w:eastAsia="zh-CN"/>
        </w:rPr>
        <w:t>。</w:t>
      </w:r>
    </w:p>
    <w:p>
      <w:pPr>
        <w:tabs>
          <w:tab w:val="left" w:pos="180"/>
          <w:tab w:val="left" w:pos="1620"/>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  报价方式如下：</w:t>
      </w: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a.</w:t>
      </w:r>
      <w:r>
        <w:rPr>
          <w:rFonts w:hint="eastAsia" w:ascii="宋体" w:hAnsi="宋体" w:eastAsia="宋体" w:cs="宋体"/>
          <w:bCs/>
          <w:color w:val="000000"/>
          <w:sz w:val="24"/>
          <w:szCs w:val="24"/>
        </w:rPr>
        <w:t>汽车维修项目工时费报价</w:t>
      </w:r>
      <w:r>
        <w:rPr>
          <w:rFonts w:hint="eastAsia" w:ascii="宋体" w:hAnsi="宋体" w:eastAsia="宋体" w:cs="宋体"/>
          <w:bCs/>
          <w:color w:val="000000"/>
          <w:sz w:val="24"/>
          <w:szCs w:val="24"/>
          <w:lang w:val="en-US" w:eastAsia="zh-CN"/>
        </w:rPr>
        <w:t>表</w:t>
      </w:r>
      <w:r>
        <w:rPr>
          <w:rFonts w:hint="eastAsia" w:ascii="宋体" w:hAnsi="宋体" w:eastAsia="宋体" w:cs="宋体"/>
          <w:bCs/>
          <w:color w:val="000000"/>
          <w:sz w:val="24"/>
          <w:szCs w:val="24"/>
          <w:lang w:eastAsia="zh-CN"/>
        </w:rPr>
        <w:t>折扣率</w:t>
      </w:r>
    </w:p>
    <w:p>
      <w:pPr>
        <w:tabs>
          <w:tab w:val="left" w:pos="180"/>
          <w:tab w:val="left" w:pos="1620"/>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供应商</w:t>
      </w:r>
      <w:r>
        <w:rPr>
          <w:rFonts w:hint="eastAsia" w:ascii="宋体" w:hAnsi="宋体" w:eastAsia="宋体" w:cs="宋体"/>
          <w:bCs/>
          <w:color w:val="000000"/>
          <w:sz w:val="24"/>
          <w:szCs w:val="24"/>
        </w:rPr>
        <w:t>以采购人发布的《汽车维修项目工时费报价</w:t>
      </w:r>
      <w:r>
        <w:rPr>
          <w:rFonts w:hint="eastAsia" w:ascii="宋体" w:hAnsi="宋体" w:eastAsia="宋体" w:cs="宋体"/>
          <w:bCs/>
          <w:color w:val="000000"/>
          <w:sz w:val="24"/>
          <w:szCs w:val="24"/>
          <w:lang w:val="en-US" w:eastAsia="zh-CN"/>
        </w:rPr>
        <w:t>表</w:t>
      </w:r>
      <w:r>
        <w:rPr>
          <w:rFonts w:hint="eastAsia" w:ascii="宋体" w:hAnsi="宋体" w:eastAsia="宋体" w:cs="宋体"/>
          <w:bCs/>
          <w:color w:val="000000"/>
          <w:sz w:val="24"/>
          <w:szCs w:val="24"/>
        </w:rPr>
        <w:t>》为基准，报出统一的</w:t>
      </w:r>
      <w:r>
        <w:rPr>
          <w:rFonts w:hint="eastAsia" w:ascii="宋体" w:hAnsi="宋体" w:eastAsia="宋体" w:cs="宋体"/>
          <w:bCs/>
          <w:color w:val="000000"/>
          <w:sz w:val="24"/>
          <w:szCs w:val="24"/>
          <w:lang w:eastAsia="zh-CN"/>
        </w:rPr>
        <w:t>折扣</w:t>
      </w:r>
      <w:r>
        <w:rPr>
          <w:rFonts w:hint="eastAsia" w:ascii="宋体" w:hAnsi="宋体" w:eastAsia="宋体" w:cs="宋体"/>
          <w:bCs/>
          <w:color w:val="000000"/>
          <w:sz w:val="24"/>
          <w:szCs w:val="24"/>
        </w:rPr>
        <w:t>率。</w:t>
      </w:r>
    </w:p>
    <w:p>
      <w:pPr>
        <w:tabs>
          <w:tab w:val="left" w:pos="180"/>
          <w:tab w:val="left" w:pos="1620"/>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b.汽车维修项目车辆维修常规材料报价表折扣率</w:t>
      </w:r>
    </w:p>
    <w:p>
      <w:pPr>
        <w:tabs>
          <w:tab w:val="left" w:pos="180"/>
          <w:tab w:val="left" w:pos="1620"/>
        </w:tabs>
        <w:spacing w:line="36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供应商以采购人发布的《汽车维修项目车辆维修常规材料报价表》为基准，报出统一的折率。</w:t>
      </w:r>
    </w:p>
    <w:p>
      <w:pPr>
        <w:widowControl/>
        <w:spacing w:line="360" w:lineRule="auto"/>
        <w:jc w:val="left"/>
        <w:rPr>
          <w:rFonts w:hint="eastAsia"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lang w:eastAsia="zh-CN"/>
        </w:rPr>
        <w:t>项目承诺</w:t>
      </w:r>
      <w:r>
        <w:rPr>
          <w:rFonts w:hint="eastAsia" w:ascii="宋体" w:hAnsi="宋体"/>
          <w:b/>
          <w:bCs/>
          <w:sz w:val="24"/>
          <w:szCs w:val="24"/>
        </w:rPr>
        <w:t>：</w:t>
      </w:r>
    </w:p>
    <w:p>
      <w:pPr>
        <w:widowControl/>
        <w:numPr>
          <w:ilvl w:val="0"/>
          <w:numId w:val="0"/>
        </w:numPr>
        <w:spacing w:line="360" w:lineRule="auto"/>
        <w:jc w:val="left"/>
        <w:rPr>
          <w:rFonts w:hint="eastAsia"/>
          <w:b w:val="0"/>
          <w:bCs w:val="0"/>
          <w:sz w:val="24"/>
          <w:szCs w:val="24"/>
          <w:lang w:val="en-US" w:eastAsia="zh-CN"/>
        </w:rPr>
      </w:pPr>
      <w:r>
        <w:rPr>
          <w:rFonts w:hint="eastAsia"/>
          <w:b w:val="0"/>
          <w:bCs w:val="0"/>
          <w:sz w:val="24"/>
          <w:szCs w:val="24"/>
          <w:lang w:val="en-US" w:eastAsia="zh-CN"/>
        </w:rPr>
        <w:t>3.1</w:t>
      </w:r>
      <w:r>
        <w:rPr>
          <w:rFonts w:hint="default"/>
          <w:b w:val="0"/>
          <w:bCs w:val="0"/>
          <w:sz w:val="24"/>
          <w:szCs w:val="24"/>
          <w:lang w:val="en-US" w:eastAsia="zh-CN"/>
        </w:rPr>
        <w:t>应急</w:t>
      </w:r>
      <w:r>
        <w:rPr>
          <w:rFonts w:hint="eastAsia"/>
          <w:b w:val="0"/>
          <w:bCs w:val="0"/>
          <w:sz w:val="24"/>
          <w:szCs w:val="24"/>
          <w:lang w:val="en-US" w:eastAsia="zh-CN"/>
        </w:rPr>
        <w:t>抢修</w:t>
      </w:r>
      <w:r>
        <w:rPr>
          <w:rFonts w:hint="default"/>
          <w:b w:val="0"/>
          <w:bCs w:val="0"/>
          <w:sz w:val="24"/>
          <w:szCs w:val="24"/>
          <w:lang w:val="en-US" w:eastAsia="zh-CN"/>
        </w:rPr>
        <w:t>时间：接到院方</w:t>
      </w:r>
      <w:r>
        <w:rPr>
          <w:rFonts w:hint="eastAsia"/>
          <w:b w:val="0"/>
          <w:bCs w:val="0"/>
          <w:sz w:val="24"/>
          <w:szCs w:val="24"/>
          <w:lang w:val="en-US" w:eastAsia="zh-CN"/>
        </w:rPr>
        <w:t>通知</w:t>
      </w:r>
      <w:r>
        <w:rPr>
          <w:rFonts w:hint="default"/>
          <w:b w:val="0"/>
          <w:bCs w:val="0"/>
          <w:sz w:val="24"/>
          <w:szCs w:val="24"/>
          <w:lang w:val="en-US" w:eastAsia="zh-CN"/>
        </w:rPr>
        <w:t>应急</w:t>
      </w:r>
      <w:r>
        <w:rPr>
          <w:rFonts w:hint="eastAsia"/>
          <w:b w:val="0"/>
          <w:bCs w:val="0"/>
          <w:sz w:val="24"/>
          <w:szCs w:val="24"/>
          <w:lang w:val="en-US" w:eastAsia="zh-CN"/>
        </w:rPr>
        <w:t>响应，从化区内</w:t>
      </w:r>
      <w:r>
        <w:rPr>
          <w:rFonts w:hint="eastAsia"/>
          <w:b w:val="0"/>
          <w:bCs w:val="0"/>
          <w:sz w:val="24"/>
          <w:szCs w:val="24"/>
          <w:u w:val="single"/>
          <w:lang w:val="en-US" w:eastAsia="zh-CN"/>
        </w:rPr>
        <w:t xml:space="preserve">      </w:t>
      </w:r>
      <w:r>
        <w:rPr>
          <w:rFonts w:hint="eastAsia"/>
          <w:b w:val="0"/>
          <w:bCs w:val="0"/>
          <w:sz w:val="24"/>
          <w:szCs w:val="24"/>
          <w:lang w:val="en-US" w:eastAsia="zh-CN"/>
        </w:rPr>
        <w:t>分钟到达现场处理；从化区外广州市内</w:t>
      </w:r>
      <w:r>
        <w:rPr>
          <w:rFonts w:hint="eastAsia"/>
          <w:b w:val="0"/>
          <w:bCs w:val="0"/>
          <w:sz w:val="24"/>
          <w:szCs w:val="24"/>
          <w:u w:val="single"/>
          <w:lang w:val="en-US" w:eastAsia="zh-CN"/>
        </w:rPr>
        <w:t xml:space="preserve">     </w:t>
      </w:r>
      <w:r>
        <w:rPr>
          <w:rFonts w:hint="eastAsia"/>
          <w:b w:val="0"/>
          <w:bCs w:val="0"/>
          <w:sz w:val="24"/>
          <w:szCs w:val="24"/>
          <w:u w:val="none"/>
          <w:lang w:val="en-US" w:eastAsia="zh-CN"/>
        </w:rPr>
        <w:t>小时到达现场处理；广州市外广东省内</w:t>
      </w:r>
      <w:r>
        <w:rPr>
          <w:rFonts w:hint="eastAsia"/>
          <w:b w:val="0"/>
          <w:bCs w:val="0"/>
          <w:sz w:val="24"/>
          <w:szCs w:val="24"/>
          <w:u w:val="single"/>
          <w:lang w:val="en-US" w:eastAsia="zh-CN"/>
        </w:rPr>
        <w:t xml:space="preserve">       </w:t>
      </w:r>
      <w:r>
        <w:rPr>
          <w:rFonts w:hint="default"/>
          <w:b w:val="0"/>
          <w:bCs w:val="0"/>
          <w:sz w:val="24"/>
          <w:szCs w:val="24"/>
          <w:lang w:val="en-US" w:eastAsia="zh-CN"/>
        </w:rPr>
        <w:t>小时内</w:t>
      </w:r>
      <w:r>
        <w:rPr>
          <w:rFonts w:hint="eastAsia"/>
          <w:b w:val="0"/>
          <w:bCs w:val="0"/>
          <w:sz w:val="24"/>
          <w:szCs w:val="24"/>
          <w:lang w:val="en-US" w:eastAsia="zh-CN"/>
        </w:rPr>
        <w:t>到达现场处理。</w:t>
      </w:r>
    </w:p>
    <w:p>
      <w:pPr>
        <w:pStyle w:val="26"/>
        <w:numPr>
          <w:ilvl w:val="0"/>
          <w:numId w:val="0"/>
        </w:numPr>
        <w:rPr>
          <w:rFonts w:hint="eastAsia"/>
          <w:sz w:val="24"/>
          <w:szCs w:val="24"/>
          <w:lang w:val="en-US" w:eastAsia="zh-CN"/>
        </w:rPr>
      </w:pPr>
      <w:r>
        <w:rPr>
          <w:rFonts w:hint="eastAsia"/>
          <w:sz w:val="24"/>
          <w:szCs w:val="24"/>
          <w:lang w:val="en-US" w:eastAsia="zh-CN"/>
        </w:rPr>
        <w:t>3.2其他承诺：</w:t>
      </w:r>
    </w:p>
    <w:p>
      <w:pPr>
        <w:pStyle w:val="26"/>
        <w:widowControl w:val="0"/>
        <w:numPr>
          <w:ilvl w:val="0"/>
          <w:numId w:val="0"/>
        </w:numPr>
        <w:jc w:val="both"/>
        <w:rPr>
          <w:rFonts w:hint="default"/>
          <w:sz w:val="24"/>
          <w:szCs w:val="24"/>
          <w:lang w:val="en-US" w:eastAsia="zh-CN"/>
        </w:rPr>
      </w:pPr>
    </w:p>
    <w:p>
      <w:pPr>
        <w:pStyle w:val="26"/>
        <w:widowControl w:val="0"/>
        <w:numPr>
          <w:ilvl w:val="0"/>
          <w:numId w:val="0"/>
        </w:numPr>
        <w:jc w:val="both"/>
        <w:rPr>
          <w:rFonts w:hint="default"/>
          <w:sz w:val="24"/>
          <w:szCs w:val="24"/>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widowControl/>
        <w:spacing w:line="360" w:lineRule="auto"/>
        <w:ind w:firstLine="4440" w:firstLineChars="1850"/>
        <w:jc w:val="left"/>
        <w:rPr>
          <w:rFonts w:hint="eastAsia" w:ascii="宋体" w:hAnsi="宋体"/>
          <w:sz w:val="24"/>
        </w:rPr>
      </w:pPr>
      <w:r>
        <w:rPr>
          <w:rFonts w:hint="eastAsia" w:ascii="宋体" w:hAnsi="宋体"/>
          <w:sz w:val="24"/>
          <w:lang w:eastAsia="zh-CN"/>
        </w:rPr>
        <w:t>公司</w:t>
      </w:r>
      <w:r>
        <w:rPr>
          <w:rFonts w:hint="eastAsia" w:ascii="宋体" w:hAnsi="宋体"/>
          <w:sz w:val="24"/>
          <w:lang w:val="en-US" w:eastAsia="zh-CN"/>
        </w:rPr>
        <w:t>名称（加盖公章）</w:t>
      </w:r>
      <w:r>
        <w:rPr>
          <w:rFonts w:hint="eastAsia" w:ascii="宋体" w:hAnsi="宋体"/>
          <w:sz w:val="24"/>
          <w:lang w:eastAsia="zh-CN"/>
        </w:rPr>
        <w:t>：</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  年   月    日</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sectPr>
          <w:pgSz w:w="11906" w:h="16838"/>
          <w:pgMar w:top="1440" w:right="1134" w:bottom="1440" w:left="1134" w:header="851" w:footer="992" w:gutter="0"/>
          <w:cols w:space="720" w:num="1"/>
          <w:docGrid w:linePitch="312" w:charSpace="0"/>
        </w:sectPr>
      </w:pPr>
    </w:p>
    <w:p>
      <w:pPr>
        <w:pStyle w:val="26"/>
        <w:keepNext w:val="0"/>
        <w:keepLines w:val="0"/>
        <w:pageBreakBefore w:val="0"/>
        <w:kinsoku/>
        <w:wordWrap/>
        <w:overflowPunct/>
        <w:topLinePunct w:val="0"/>
        <w:bidi w:val="0"/>
        <w:spacing w:line="300" w:lineRule="exact"/>
        <w:jc w:val="both"/>
        <w:rPr>
          <w:rFonts w:hint="eastAsia" w:ascii="Times New Roman" w:hAnsi="Times New Roman" w:eastAsia="宋体" w:cs="Times New Roman"/>
          <w:b w:val="0"/>
          <w:bCs w:val="0"/>
          <w:kern w:val="2"/>
          <w:sz w:val="24"/>
          <w:szCs w:val="24"/>
          <w:lang w:val="en-US" w:eastAsia="zh-CN" w:bidi="ar-SA"/>
        </w:rPr>
      </w:pPr>
      <w:bookmarkStart w:id="238" w:name="_Toc11748"/>
      <w:bookmarkStart w:id="239" w:name="_Toc6622"/>
      <w:r>
        <w:rPr>
          <w:rFonts w:hint="eastAsia" w:ascii="Times New Roman" w:hAnsi="Times New Roman" w:eastAsia="宋体" w:cs="Times New Roman"/>
          <w:b w:val="0"/>
          <w:bCs w:val="0"/>
          <w:kern w:val="2"/>
          <w:sz w:val="24"/>
          <w:szCs w:val="24"/>
          <w:lang w:val="en-US" w:eastAsia="zh-CN" w:bidi="ar-SA"/>
        </w:rPr>
        <w:t>分项报价表</w:t>
      </w:r>
      <w:r>
        <w:rPr>
          <w:rFonts w:hint="eastAsia" w:cs="Times New Roman"/>
          <w:b w:val="0"/>
          <w:bCs w:val="0"/>
          <w:kern w:val="2"/>
          <w:sz w:val="24"/>
          <w:szCs w:val="24"/>
          <w:lang w:val="en-US" w:eastAsia="zh-CN" w:bidi="ar-SA"/>
        </w:rPr>
        <w:t>：</w:t>
      </w:r>
    </w:p>
    <w:p>
      <w:pPr>
        <w:pStyle w:val="26"/>
        <w:keepNext w:val="0"/>
        <w:keepLines w:val="0"/>
        <w:pageBreakBefore w:val="0"/>
        <w:kinsoku/>
        <w:wordWrap/>
        <w:overflowPunct/>
        <w:topLinePunct w:val="0"/>
        <w:bidi w:val="0"/>
        <w:spacing w:line="30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表</w:t>
      </w:r>
      <w:r>
        <w:rPr>
          <w:rFonts w:hint="eastAsia" w:ascii="宋体" w:hAnsi="宋体" w:eastAsia="宋体" w:cs="宋体"/>
          <w:b/>
          <w:bCs/>
          <w:sz w:val="21"/>
          <w:szCs w:val="21"/>
          <w:lang w:val="en-US" w:eastAsia="zh-CN"/>
        </w:rPr>
        <w:t xml:space="preserve">1    </w:t>
      </w:r>
      <w:r>
        <w:rPr>
          <w:rFonts w:hint="eastAsia" w:ascii="宋体" w:hAnsi="宋体" w:eastAsia="宋体" w:cs="宋体"/>
          <w:b/>
          <w:bCs/>
          <w:sz w:val="21"/>
          <w:szCs w:val="21"/>
        </w:rPr>
        <w:t>南方医科大学第五附属医院汽车维修项目工时费报价</w:t>
      </w:r>
      <w:r>
        <w:rPr>
          <w:rFonts w:hint="eastAsia" w:ascii="宋体" w:hAnsi="宋体" w:eastAsia="宋体" w:cs="宋体"/>
          <w:b/>
          <w:bCs/>
          <w:sz w:val="21"/>
          <w:szCs w:val="21"/>
          <w:lang w:val="en-US" w:eastAsia="zh-CN"/>
        </w:rPr>
        <w:t>表</w:t>
      </w:r>
    </w:p>
    <w:p>
      <w:pPr>
        <w:pStyle w:val="26"/>
        <w:keepNext w:val="0"/>
        <w:keepLines w:val="0"/>
        <w:pageBreakBefore w:val="0"/>
        <w:kinsoku/>
        <w:wordWrap/>
        <w:overflowPunct/>
        <w:topLinePunct w:val="0"/>
        <w:bidi w:val="0"/>
        <w:spacing w:line="300" w:lineRule="exact"/>
        <w:jc w:val="center"/>
        <w:rPr>
          <w:rFonts w:hint="eastAsia" w:ascii="宋体" w:hAnsi="宋体" w:eastAsia="宋体" w:cs="宋体"/>
          <w:b/>
          <w:bCs/>
          <w:sz w:val="21"/>
          <w:szCs w:val="21"/>
          <w:lang w:val="en-US" w:eastAsia="zh-CN"/>
        </w:rPr>
      </w:pPr>
    </w:p>
    <w:tbl>
      <w:tblPr>
        <w:tblStyle w:val="19"/>
        <w:tblW w:w="8732" w:type="dxa"/>
        <w:jc w:val="center"/>
        <w:tblLayout w:type="fixed"/>
        <w:tblCellMar>
          <w:top w:w="15" w:type="dxa"/>
          <w:left w:w="15" w:type="dxa"/>
          <w:bottom w:w="15" w:type="dxa"/>
          <w:right w:w="15" w:type="dxa"/>
        </w:tblCellMar>
      </w:tblPr>
      <w:tblGrid>
        <w:gridCol w:w="928"/>
        <w:gridCol w:w="1269"/>
        <w:gridCol w:w="3125"/>
        <w:gridCol w:w="1763"/>
        <w:gridCol w:w="1647"/>
      </w:tblGrid>
      <w:tr>
        <w:tblPrEx>
          <w:tblCellMar>
            <w:top w:w="15" w:type="dxa"/>
            <w:left w:w="15" w:type="dxa"/>
            <w:bottom w:w="15" w:type="dxa"/>
            <w:right w:w="15" w:type="dxa"/>
          </w:tblCellMar>
        </w:tblPrEx>
        <w:trPr>
          <w:trHeight w:val="401"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序号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类别</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维修项目</w:t>
            </w:r>
          </w:p>
        </w:tc>
        <w:tc>
          <w:tcPr>
            <w:tcW w:w="1763"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rPr>
              <w:t>单价</w:t>
            </w:r>
            <w:r>
              <w:rPr>
                <w:rFonts w:hint="eastAsia" w:ascii="宋体" w:hAnsi="宋体" w:eastAsia="宋体" w:cs="宋体"/>
                <w:b/>
                <w:bCs/>
                <w:color w:val="000000"/>
                <w:kern w:val="0"/>
                <w:sz w:val="18"/>
                <w:szCs w:val="18"/>
              </w:rPr>
              <w:t>（元）</w:t>
            </w:r>
          </w:p>
        </w:tc>
        <w:tc>
          <w:tcPr>
            <w:tcW w:w="164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备注</w:t>
            </w: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保养项目</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新车1000KM5000保养</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运输车辆二级维护</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发动机系统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发动机大修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吊装发动机总成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更换发动机左、右侧支承胶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更换喷油嘴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3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更换汽油泵（电动泵）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4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更换水箱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更换冷却风扇马达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更换方向机助力泵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更换气缸垫</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拆装气门室盖</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更换起动机、发电机总成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更换发动机缸盖</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更换机油集滤器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更换机油泵总成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更换曲轴皮带轮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拆装或更换水箱，更换防冻液</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拆装排气支管歧管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更换风扇偶合器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更换水泵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研磨气门（1支）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换发动机全套活塞环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换连杆轴承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换发动机活塞、连杆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更换正时齿轮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更换火花塞</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悬架系统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清洗空气滤清器或更换滤芯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41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更换飞轮齿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前、后独立悬挂解体、修理</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更换前、后减震器机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更换前、后轮上下挂臂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拆装或更换转向节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拆装前、后轮轴承（边）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拆装半轴轴承（边）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更换钢圈、平衡轮胎（条）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更换发动机支架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换托盘后机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换普通前后避震器（条）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换悬挂上、下球头（边）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检查调校前轮定位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调校前轮前速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换前驱动轴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更换前、后轮油封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更换前制动片80</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制动系统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更换后制动片、鼓（碟刹）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更换后制动蹄（鼓刹）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更换手刹片</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光制动盘（个）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更换前、后制动盘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更换制动底板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镗制动鼓（个）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检修保养、更换制动分泵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更换真空助力器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更换ABS执行器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更换ABS转速传感器（个）</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更换车轮制动软管（条）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检修、调校四轮刹车（含放空气）</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更换刹车油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调校刹车隙</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检修ABS系统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四轮定位检测、调整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转动系统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更换方向助力油泵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拆装转向横拉杆（内球头）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调正方向盘位置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69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更换方向机横拉杆、防尘套</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更换助力泵油壳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换高低压油管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更换方向机主臂</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更换方向盘</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前桥转向系统大修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换转向机十字轴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换方向减震器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维修或保养离合器总泵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维修或保养离合器分泵</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79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分解、修理自动变速箱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分解、修理手动变速箱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拆装变速箱总成</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sz w:val="18"/>
                <w:szCs w:val="18"/>
                <w:lang w:val="en-US"/>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更换前驱动半轴（边）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更换半轴内、外球笼（边）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7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更换半轴防尘套、保养球笼（边）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换传动轴中间轴承或油封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更换变速箱齿轮油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换差速器、半轴油封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更换轮毂轴承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检修挂档机构</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更换变速箱前、后油封</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换离合器分离轴承</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更换波箱档位显示器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更换传动轴吊胶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更换差速器油</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更换冷气压缩机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冷气系统</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更换电子扇或电子马达</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更换冷暖调节开关拉索</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8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更换A\C开关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99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拆装空调鼓风机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换雪种瓶</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18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抽真空加雪种</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检修冷气提速开关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换高低压管</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更换空调继电器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更换冷气皮带调整轮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冷气风机检修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清洗水箱</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检修空调电路（自动）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109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更换冷气泵皮带</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7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拆装仪表台</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检修里程表线路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112</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检修机油压力线路（机油灯亮）</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113</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检修充电指示灯线路</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32"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114</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调整大灯位置及光轴</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115</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拆装雨刮连杆机构</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116</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更换雨刮喷水壶或喷水电机</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1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117</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更换左右气袋及电脑</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34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118</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更换升降器总开关</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119</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检修电子防盗器系统</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120</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排除供油系统电器故障</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121</w:t>
            </w: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color w:val="000000"/>
                <w:sz w:val="18"/>
                <w:szCs w:val="18"/>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更换机油感应器</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color w:val="000000"/>
                <w:kern w:val="2"/>
                <w:sz w:val="18"/>
                <w:szCs w:val="18"/>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23" w:hRule="atLeast"/>
          <w:jc w:val="center"/>
        </w:trPr>
        <w:tc>
          <w:tcPr>
            <w:tcW w:w="53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单价</w:t>
            </w:r>
            <w:r>
              <w:rPr>
                <w:rFonts w:hint="eastAsia" w:ascii="宋体" w:hAnsi="宋体" w:eastAsia="宋体" w:cs="宋体"/>
                <w:color w:val="000000"/>
                <w:kern w:val="0"/>
                <w:sz w:val="18"/>
                <w:szCs w:val="18"/>
              </w:rPr>
              <w:t>合计</w:t>
            </w:r>
            <w:r>
              <w:rPr>
                <w:rFonts w:hint="eastAsia" w:ascii="宋体" w:hAnsi="宋体" w:eastAsia="宋体" w:cs="宋体"/>
                <w:color w:val="0000FF"/>
                <w:kern w:val="0"/>
                <w:sz w:val="18"/>
                <w:szCs w:val="18"/>
              </w:rPr>
              <w:t>（</w:t>
            </w:r>
            <w:r>
              <w:rPr>
                <w:rFonts w:hint="eastAsia" w:ascii="宋体" w:hAnsi="宋体" w:eastAsia="宋体" w:cs="宋体"/>
                <w:kern w:val="0"/>
                <w:sz w:val="18"/>
                <w:szCs w:val="18"/>
              </w:rPr>
              <w:t>含税）</w:t>
            </w:r>
            <w:r>
              <w:rPr>
                <w:rFonts w:hint="eastAsia" w:ascii="宋体" w:hAnsi="宋体" w:eastAsia="宋体" w:cs="宋体"/>
                <w:color w:val="000000"/>
                <w:kern w:val="0"/>
                <w:sz w:val="18"/>
                <w:szCs w:val="18"/>
              </w:rPr>
              <w:t>：</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300" w:lineRule="exact"/>
              <w:rPr>
                <w:rFonts w:hint="eastAsia" w:ascii="宋体" w:hAnsi="宋体" w:eastAsia="宋体" w:cs="宋体"/>
                <w:color w:val="000000"/>
                <w:sz w:val="18"/>
                <w:szCs w:val="18"/>
              </w:rPr>
            </w:pPr>
          </w:p>
        </w:tc>
      </w:tr>
    </w:tbl>
    <w:p>
      <w:pPr>
        <w:pStyle w:val="26"/>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lang w:val="en-US" w:eastAsia="zh-CN"/>
        </w:rPr>
      </w:pPr>
    </w:p>
    <w:p>
      <w:pPr>
        <w:pStyle w:val="26"/>
        <w:keepNext w:val="0"/>
        <w:keepLines w:val="0"/>
        <w:pageBreakBefore w:val="0"/>
        <w:kinsoku/>
        <w:wordWrap/>
        <w:overflowPunct/>
        <w:topLinePunct w:val="0"/>
        <w:bidi w:val="0"/>
        <w:spacing w:line="300" w:lineRule="exact"/>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eastAsia="zh-CN"/>
        </w:rPr>
        <w:t>表</w:t>
      </w:r>
      <w:r>
        <w:rPr>
          <w:rFonts w:hint="eastAsia" w:ascii="宋体" w:hAnsi="宋体" w:eastAsia="宋体" w:cs="宋体"/>
          <w:b/>
          <w:bCs/>
          <w:sz w:val="21"/>
          <w:szCs w:val="21"/>
          <w:lang w:val="en-US" w:eastAsia="zh-CN"/>
        </w:rPr>
        <w:t xml:space="preserve">2 </w:t>
      </w:r>
      <w:r>
        <w:rPr>
          <w:rFonts w:hint="eastAsia" w:ascii="宋体" w:hAnsi="宋体" w:eastAsia="宋体" w:cs="宋体"/>
          <w:b/>
          <w:bCs/>
          <w:sz w:val="21"/>
          <w:szCs w:val="21"/>
        </w:rPr>
        <w:t>南方医科大学第五附属医院汽车维修项目</w:t>
      </w:r>
      <w:r>
        <w:rPr>
          <w:rFonts w:hint="eastAsia" w:ascii="宋体" w:hAnsi="宋体" w:eastAsia="宋体" w:cs="宋体"/>
          <w:b/>
          <w:sz w:val="21"/>
          <w:szCs w:val="21"/>
        </w:rPr>
        <w:t>车辆维修常规材料报价</w:t>
      </w:r>
      <w:r>
        <w:rPr>
          <w:rFonts w:hint="eastAsia" w:ascii="宋体" w:hAnsi="宋体" w:eastAsia="宋体" w:cs="宋体"/>
          <w:b/>
          <w:sz w:val="21"/>
          <w:szCs w:val="21"/>
          <w:lang w:val="en-US" w:eastAsia="zh-CN"/>
        </w:rPr>
        <w:t>表</w:t>
      </w:r>
    </w:p>
    <w:tbl>
      <w:tblPr>
        <w:tblStyle w:val="1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63"/>
        <w:gridCol w:w="2062"/>
        <w:gridCol w:w="1563"/>
        <w:gridCol w:w="176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7"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263"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2062"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品牌</w:t>
            </w:r>
          </w:p>
        </w:tc>
        <w:tc>
          <w:tcPr>
            <w:tcW w:w="1563"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lang w:eastAsia="zh-CN"/>
              </w:rPr>
            </w:pPr>
            <w:r>
              <w:rPr>
                <w:rFonts w:hint="eastAsia" w:ascii="宋体" w:hAnsi="宋体" w:cs="宋体"/>
                <w:b/>
                <w:bCs/>
                <w:sz w:val="18"/>
                <w:szCs w:val="18"/>
                <w:lang w:eastAsia="zh-CN"/>
              </w:rPr>
              <w:t>型号</w:t>
            </w:r>
          </w:p>
        </w:tc>
        <w:tc>
          <w:tcPr>
            <w:tcW w:w="1769"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单位</w:t>
            </w:r>
          </w:p>
        </w:tc>
        <w:tc>
          <w:tcPr>
            <w:tcW w:w="1925" w:type="dxa"/>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b/>
                <w:bCs/>
                <w:sz w:val="18"/>
                <w:szCs w:val="18"/>
              </w:rPr>
            </w:pPr>
            <w:r>
              <w:rPr>
                <w:rFonts w:hint="eastAsia" w:ascii="宋体" w:hAnsi="宋体" w:eastAsia="宋体" w:cs="宋体"/>
                <w:b/>
                <w:bCs/>
                <w:sz w:val="18"/>
                <w:szCs w:val="1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轮胎（一）</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轮胎（二）</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23</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轮胎（三）</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24</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26</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27</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29</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30</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31</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32</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33</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34</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机油（一）</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35</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36</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机油（二）</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37</w:t>
            </w:r>
          </w:p>
        </w:tc>
        <w:tc>
          <w:tcPr>
            <w:tcW w:w="1263" w:type="dxa"/>
            <w:vMerge w:val="restart"/>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机油（三）</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38</w:t>
            </w:r>
          </w:p>
        </w:tc>
        <w:tc>
          <w:tcPr>
            <w:tcW w:w="1263" w:type="dxa"/>
            <w:vMerge w:val="continue"/>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39</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雨刮（一）</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40</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雨刮（二）</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41</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雨刮（三）</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42</w:t>
            </w:r>
          </w:p>
        </w:tc>
        <w:tc>
          <w:tcPr>
            <w:tcW w:w="12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雨刮（四）</w:t>
            </w:r>
          </w:p>
        </w:tc>
        <w:tc>
          <w:tcPr>
            <w:tcW w:w="2062" w:type="dxa"/>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1925" w:type="dxa"/>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43</w:t>
            </w:r>
          </w:p>
        </w:tc>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蓄电池（一）</w:t>
            </w: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44</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46</w:t>
            </w:r>
          </w:p>
        </w:tc>
        <w:tc>
          <w:tcPr>
            <w:tcW w:w="12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47</w:t>
            </w:r>
          </w:p>
        </w:tc>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蓄电池（二）</w:t>
            </w: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49</w:t>
            </w:r>
          </w:p>
        </w:tc>
        <w:tc>
          <w:tcPr>
            <w:tcW w:w="12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12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00" w:lineRule="exact"/>
              <w:jc w:val="center"/>
              <w:textAlignment w:val="center"/>
              <w:rPr>
                <w:rFonts w:hint="default" w:ascii="宋体" w:hAnsi="宋体" w:eastAsia="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95"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单价</w:t>
            </w:r>
            <w:r>
              <w:rPr>
                <w:rFonts w:hint="eastAsia" w:ascii="宋体" w:hAnsi="宋体" w:eastAsia="宋体" w:cs="宋体"/>
                <w:sz w:val="18"/>
                <w:szCs w:val="18"/>
              </w:rPr>
              <w:t>合</w:t>
            </w:r>
            <w:r>
              <w:rPr>
                <w:rFonts w:hint="eastAsia" w:ascii="宋体" w:hAnsi="宋体" w:eastAsia="宋体" w:cs="宋体"/>
                <w:color w:val="auto"/>
                <w:sz w:val="18"/>
                <w:szCs w:val="18"/>
              </w:rPr>
              <w:t>计</w:t>
            </w:r>
            <w:r>
              <w:rPr>
                <w:rFonts w:hint="eastAsia" w:ascii="宋体" w:hAnsi="宋体" w:eastAsia="宋体" w:cs="宋体"/>
                <w:color w:val="auto"/>
                <w:sz w:val="18"/>
                <w:szCs w:val="18"/>
                <w:lang w:eastAsia="zh-CN"/>
              </w:rPr>
              <w:t>限价</w:t>
            </w:r>
            <w:r>
              <w:rPr>
                <w:rFonts w:hint="eastAsia" w:ascii="宋体" w:hAnsi="宋体" w:eastAsia="宋体" w:cs="宋体"/>
                <w:color w:val="auto"/>
                <w:sz w:val="18"/>
                <w:szCs w:val="18"/>
              </w:rPr>
              <w:t>（</w:t>
            </w:r>
            <w:r>
              <w:rPr>
                <w:rFonts w:hint="eastAsia" w:ascii="宋体" w:hAnsi="宋体" w:eastAsia="宋体" w:cs="宋体"/>
                <w:sz w:val="18"/>
                <w:szCs w:val="18"/>
              </w:rPr>
              <w:t>含税）：</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宋体" w:hAnsi="宋体" w:eastAsia="宋体" w:cs="宋体"/>
                <w:sz w:val="18"/>
                <w:szCs w:val="18"/>
                <w:lang w:val="en-US" w:eastAsia="zh-CN"/>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line="300" w:lineRule="exact"/>
              <w:jc w:val="center"/>
              <w:textAlignment w:val="center"/>
              <w:rPr>
                <w:rFonts w:hint="default" w:ascii="宋体" w:hAnsi="宋体" w:eastAsia="宋体" w:cs="宋体"/>
                <w:i w:val="0"/>
                <w:iCs w:val="0"/>
                <w:color w:val="000000"/>
                <w:kern w:val="2"/>
                <w:sz w:val="18"/>
                <w:szCs w:val="18"/>
                <w:u w:val="none"/>
                <w:lang w:val="en-US" w:eastAsia="zh-CN" w:bidi="ar-SA"/>
              </w:rPr>
            </w:pPr>
          </w:p>
        </w:tc>
      </w:tr>
    </w:tbl>
    <w:p>
      <w:pPr>
        <w:pStyle w:val="11"/>
        <w:widowControl w:val="0"/>
        <w:numPr>
          <w:ilvl w:val="0"/>
          <w:numId w:val="0"/>
        </w:numPr>
        <w:jc w:val="both"/>
        <w:rPr>
          <w:rFonts w:hint="eastAsia"/>
        </w:rPr>
      </w:pPr>
    </w:p>
    <w:p>
      <w:pPr>
        <w:pStyle w:val="26"/>
        <w:jc w:val="left"/>
        <w:rPr>
          <w:rFonts w:hint="eastAsia" w:ascii="宋体" w:hAnsi="宋体" w:cs="宋体"/>
          <w:b/>
          <w:color w:val="0000FF"/>
          <w:sz w:val="21"/>
          <w:szCs w:val="21"/>
          <w:lang w:eastAsia="zh-CN"/>
        </w:rPr>
      </w:pPr>
      <w:r>
        <w:rPr>
          <w:rFonts w:hint="eastAsia" w:ascii="宋体" w:hAnsi="宋体" w:cs="宋体"/>
          <w:b/>
          <w:color w:val="0000FF"/>
          <w:sz w:val="21"/>
          <w:szCs w:val="21"/>
          <w:lang w:eastAsia="zh-CN"/>
        </w:rPr>
        <w:t>备注：</w:t>
      </w:r>
      <w:r>
        <w:rPr>
          <w:rFonts w:hint="eastAsia" w:ascii="宋体" w:hAnsi="宋体" w:cs="宋体"/>
          <w:b/>
          <w:color w:val="0000FF"/>
          <w:sz w:val="21"/>
          <w:szCs w:val="21"/>
          <w:lang w:val="en-US" w:eastAsia="zh-CN"/>
        </w:rPr>
        <w:t>（1)</w:t>
      </w:r>
      <w:r>
        <w:rPr>
          <w:rFonts w:hint="eastAsia" w:ascii="宋体" w:hAnsi="宋体" w:cs="宋体"/>
          <w:b/>
          <w:color w:val="0000FF"/>
          <w:sz w:val="21"/>
          <w:szCs w:val="21"/>
          <w:lang w:eastAsia="zh-CN"/>
        </w:rPr>
        <w:t>供应商所提供的车辆维修常规材料不低于（或同等于）上述参考品牌。</w:t>
      </w:r>
    </w:p>
    <w:p>
      <w:pPr>
        <w:pStyle w:val="26"/>
        <w:ind w:firstLine="632" w:firstLineChars="300"/>
        <w:jc w:val="left"/>
        <w:rPr>
          <w:rFonts w:hint="eastAsia" w:ascii="宋体" w:hAnsi="宋体" w:eastAsia="宋体" w:cs="宋体"/>
          <w:b/>
          <w:color w:val="0000FF"/>
          <w:sz w:val="21"/>
          <w:szCs w:val="21"/>
          <w:lang w:eastAsia="zh-CN"/>
        </w:rPr>
      </w:pPr>
      <w:r>
        <w:rPr>
          <w:rFonts w:hint="eastAsia" w:ascii="宋体" w:hAnsi="宋体" w:cs="宋体"/>
          <w:b/>
          <w:color w:val="0000FF"/>
          <w:sz w:val="21"/>
          <w:szCs w:val="21"/>
          <w:lang w:val="en-US" w:eastAsia="zh-CN"/>
        </w:rPr>
        <w:t>(2）相同型号的零配件须提供不同品牌，举例：序号1：轮胎（一）195/70R15如果公司提供了A品牌，则序号13：轮胎（二）195/70R15不能再提供A品牌。</w:t>
      </w:r>
    </w:p>
    <w:p>
      <w:pPr>
        <w:pStyle w:val="30"/>
        <w:tabs>
          <w:tab w:val="left" w:pos="1050"/>
          <w:tab w:val="center" w:pos="4535"/>
        </w:tabs>
        <w:spacing w:line="360" w:lineRule="auto"/>
        <w:jc w:val="both"/>
        <w:outlineLvl w:val="0"/>
        <w:rPr>
          <w:rFonts w:hint="eastAsia" w:ascii="Times New Roman" w:hAnsi="Times New Roman" w:eastAsia="宋体" w:cs="Times New Roman"/>
          <w:b w:val="0"/>
          <w:bCs w:val="0"/>
          <w:kern w:val="2"/>
          <w:sz w:val="24"/>
          <w:szCs w:val="24"/>
          <w:lang w:val="en-US" w:eastAsia="zh-CN" w:bidi="ar-SA"/>
        </w:rPr>
      </w:pPr>
    </w:p>
    <w:p>
      <w:pPr>
        <w:pStyle w:val="30"/>
        <w:tabs>
          <w:tab w:val="left" w:pos="1050"/>
          <w:tab w:val="center" w:pos="4535"/>
        </w:tabs>
        <w:spacing w:line="360" w:lineRule="auto"/>
        <w:jc w:val="both"/>
        <w:outlineLvl w:val="0"/>
        <w:rPr>
          <w:rFonts w:hint="eastAsia" w:ascii="Times New Roman" w:hAnsi="Times New Roman" w:eastAsia="宋体" w:cs="Times New Roman"/>
          <w:b w:val="0"/>
          <w:bCs w:val="0"/>
          <w:kern w:val="2"/>
          <w:sz w:val="24"/>
          <w:szCs w:val="24"/>
          <w:lang w:val="en-US" w:eastAsia="zh-CN" w:bidi="ar-SA"/>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both"/>
        <w:outlineLvl w:val="0"/>
        <w:rPr>
          <w:rFonts w:hint="eastAsia"/>
          <w:b/>
          <w:bCs/>
          <w:sz w:val="32"/>
          <w:szCs w:val="32"/>
        </w:rPr>
      </w:pPr>
    </w:p>
    <w:p>
      <w:pPr>
        <w:pStyle w:val="30"/>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32"/>
      <w:bookmarkEnd w:id="233"/>
      <w:bookmarkEnd w:id="234"/>
      <w:bookmarkEnd w:id="235"/>
      <w:bookmarkEnd w:id="238"/>
      <w:bookmarkEnd w:id="239"/>
    </w:p>
    <w:p>
      <w:pPr>
        <w:pStyle w:val="30"/>
        <w:spacing w:line="360" w:lineRule="auto"/>
        <w:jc w:val="center"/>
        <w:rPr>
          <w:b/>
          <w:bCs/>
          <w:sz w:val="30"/>
          <w:szCs w:val="30"/>
        </w:rPr>
      </w:pPr>
    </w:p>
    <w:p>
      <w:pPr>
        <w:pStyle w:val="30"/>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30"/>
        <w:spacing w:line="360" w:lineRule="auto"/>
        <w:ind w:firstLine="560"/>
        <w:rPr>
          <w:sz w:val="28"/>
          <w:szCs w:val="28"/>
        </w:rPr>
      </w:pPr>
    </w:p>
    <w:p>
      <w:pPr>
        <w:pStyle w:val="30"/>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30"/>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30"/>
        <w:spacing w:line="360" w:lineRule="auto"/>
        <w:rPr>
          <w:b/>
          <w:bCs/>
          <w:sz w:val="28"/>
          <w:szCs w:val="28"/>
        </w:rPr>
      </w:pPr>
    </w:p>
    <w:p>
      <w:pPr>
        <w:pStyle w:val="30"/>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30"/>
        <w:spacing w:line="360" w:lineRule="auto"/>
        <w:jc w:val="center"/>
        <w:outlineLvl w:val="0"/>
        <w:rPr>
          <w:rFonts w:hint="eastAsia"/>
          <w:b/>
          <w:bCs/>
          <w:sz w:val="32"/>
          <w:szCs w:val="32"/>
        </w:rPr>
      </w:pPr>
      <w:bookmarkStart w:id="240" w:name="_Toc17965"/>
      <w:bookmarkStart w:id="241" w:name="_Toc3241"/>
      <w:bookmarkStart w:id="242" w:name="_Toc15050"/>
      <w:bookmarkStart w:id="243" w:name="_Toc14591"/>
      <w:bookmarkStart w:id="244" w:name="_Toc3758"/>
      <w:bookmarkStart w:id="245" w:name="_Toc7276"/>
      <w:bookmarkStart w:id="246" w:name="_Toc14020"/>
      <w:bookmarkStart w:id="247" w:name="_Toc11289"/>
      <w:bookmarkStart w:id="248" w:name="_Toc22175"/>
      <w:bookmarkStart w:id="249" w:name="_Toc14853"/>
      <w:bookmarkStart w:id="250" w:name="_Toc23685"/>
      <w:bookmarkStart w:id="251" w:name="_Toc18443"/>
      <w:bookmarkStart w:id="252" w:name="_Toc28957"/>
    </w:p>
    <w:p>
      <w:pPr>
        <w:pStyle w:val="30"/>
        <w:spacing w:line="360" w:lineRule="auto"/>
        <w:jc w:val="center"/>
        <w:outlineLvl w:val="0"/>
        <w:rPr>
          <w:b/>
          <w:bCs/>
          <w:sz w:val="32"/>
          <w:szCs w:val="32"/>
        </w:rPr>
      </w:pPr>
      <w:r>
        <w:rPr>
          <w:rFonts w:hint="eastAsia"/>
          <w:b/>
          <w:bCs/>
          <w:sz w:val="32"/>
          <w:szCs w:val="32"/>
        </w:rPr>
        <w:t>法定代表人授权委托书</w:t>
      </w:r>
      <w:bookmarkEnd w:id="240"/>
      <w:bookmarkEnd w:id="241"/>
      <w:bookmarkEnd w:id="242"/>
      <w:bookmarkEnd w:id="243"/>
      <w:bookmarkEnd w:id="244"/>
      <w:bookmarkEnd w:id="245"/>
      <w:bookmarkEnd w:id="246"/>
      <w:bookmarkEnd w:id="247"/>
      <w:bookmarkEnd w:id="248"/>
      <w:bookmarkEnd w:id="249"/>
      <w:bookmarkEnd w:id="250"/>
      <w:bookmarkEnd w:id="251"/>
      <w:bookmarkEnd w:id="252"/>
    </w:p>
    <w:p>
      <w:pPr>
        <w:pStyle w:val="31"/>
        <w:spacing w:line="360" w:lineRule="auto"/>
        <w:jc w:val="left"/>
        <w:rPr>
          <w:b/>
          <w:bCs/>
          <w:sz w:val="28"/>
          <w:szCs w:val="28"/>
        </w:rPr>
      </w:pPr>
      <w:r>
        <w:rPr>
          <w:rFonts w:hint="eastAsia"/>
          <w:b/>
          <w:bCs/>
          <w:sz w:val="28"/>
          <w:szCs w:val="28"/>
        </w:rPr>
        <w:t>本授权书声明：</w:t>
      </w:r>
    </w:p>
    <w:p>
      <w:pPr>
        <w:pStyle w:val="30"/>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30"/>
        <w:spacing w:line="360" w:lineRule="auto"/>
        <w:ind w:firstLine="560"/>
        <w:rPr>
          <w:sz w:val="28"/>
          <w:szCs w:val="28"/>
        </w:rPr>
      </w:pPr>
      <w:r>
        <w:rPr>
          <w:rFonts w:hint="eastAsia"/>
          <w:sz w:val="28"/>
          <w:szCs w:val="28"/>
        </w:rPr>
        <w:t>本授权书在签字盖章后生效，特此声明。</w:t>
      </w:r>
    </w:p>
    <w:p>
      <w:pPr>
        <w:pStyle w:val="30"/>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30"/>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30"/>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6"/>
        <w:ind w:firstLine="3975" w:firstLineChars="1100"/>
        <w:rPr>
          <w:b/>
          <w:bCs/>
          <w:sz w:val="36"/>
          <w:szCs w:val="36"/>
        </w:rPr>
      </w:pPr>
    </w:p>
    <w:p>
      <w:pPr>
        <w:pStyle w:val="30"/>
        <w:tabs>
          <w:tab w:val="left" w:pos="1050"/>
          <w:tab w:val="center" w:pos="4535"/>
        </w:tabs>
        <w:spacing w:line="360" w:lineRule="auto"/>
        <w:jc w:val="center"/>
        <w:rPr>
          <w:b/>
          <w:bCs/>
          <w:sz w:val="32"/>
          <w:szCs w:val="32"/>
        </w:rPr>
      </w:pPr>
    </w:p>
    <w:p>
      <w:pPr>
        <w:pStyle w:val="30"/>
        <w:tabs>
          <w:tab w:val="left" w:pos="1050"/>
          <w:tab w:val="center" w:pos="4535"/>
        </w:tabs>
        <w:spacing w:line="360" w:lineRule="auto"/>
        <w:rPr>
          <w:b/>
          <w:bCs/>
          <w:sz w:val="32"/>
          <w:szCs w:val="32"/>
        </w:rPr>
      </w:pPr>
    </w:p>
    <w:p>
      <w:pPr>
        <w:pStyle w:val="30"/>
        <w:tabs>
          <w:tab w:val="left" w:pos="1050"/>
          <w:tab w:val="center" w:pos="4535"/>
        </w:tabs>
        <w:spacing w:line="360" w:lineRule="auto"/>
        <w:jc w:val="center"/>
        <w:outlineLvl w:val="0"/>
        <w:rPr>
          <w:rFonts w:hint="eastAsia"/>
          <w:b/>
          <w:bCs/>
          <w:sz w:val="32"/>
          <w:szCs w:val="32"/>
        </w:rPr>
      </w:pPr>
      <w:bookmarkStart w:id="253" w:name="_Toc31757"/>
      <w:bookmarkStart w:id="254" w:name="_Toc5115"/>
      <w:bookmarkStart w:id="255" w:name="_Toc32281"/>
      <w:bookmarkStart w:id="256" w:name="_Toc10212"/>
    </w:p>
    <w:p>
      <w:pPr>
        <w:pStyle w:val="30"/>
        <w:tabs>
          <w:tab w:val="left" w:pos="1050"/>
          <w:tab w:val="center" w:pos="4535"/>
        </w:tabs>
        <w:spacing w:line="360" w:lineRule="auto"/>
        <w:jc w:val="center"/>
        <w:outlineLvl w:val="0"/>
        <w:rPr>
          <w:b/>
          <w:bCs/>
          <w:sz w:val="32"/>
          <w:szCs w:val="32"/>
        </w:rPr>
      </w:pPr>
      <w:r>
        <w:rPr>
          <w:rFonts w:hint="eastAsia"/>
          <w:b/>
          <w:bCs/>
          <w:sz w:val="32"/>
          <w:szCs w:val="32"/>
        </w:rPr>
        <w:t>20</w:t>
      </w:r>
      <w:r>
        <w:rPr>
          <w:rFonts w:hint="eastAsia"/>
          <w:b/>
          <w:bCs/>
          <w:sz w:val="32"/>
          <w:szCs w:val="32"/>
          <w:lang w:val="en-US" w:eastAsia="zh-CN"/>
        </w:rPr>
        <w:t>20</w:t>
      </w:r>
      <w:r>
        <w:rPr>
          <w:rFonts w:hint="eastAsia"/>
          <w:b/>
          <w:bCs/>
          <w:sz w:val="32"/>
          <w:szCs w:val="32"/>
        </w:rPr>
        <w:t>年1月1日以来同类项目经验情况一览表</w:t>
      </w:r>
      <w:bookmarkEnd w:id="236"/>
      <w:bookmarkEnd w:id="237"/>
      <w:bookmarkEnd w:id="253"/>
      <w:bookmarkEnd w:id="254"/>
      <w:bookmarkEnd w:id="255"/>
      <w:bookmarkEnd w:id="256"/>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6"/>
        <w:rPr>
          <w:rFonts w:ascii="宋体" w:hAnsi="宋体"/>
          <w:sz w:val="24"/>
        </w:rPr>
      </w:pPr>
    </w:p>
    <w:p>
      <w:pPr>
        <w:pStyle w:val="26"/>
        <w:spacing w:line="360" w:lineRule="auto"/>
        <w:ind w:firstLine="480" w:firstLineChars="200"/>
        <w:outlineLvl w:val="0"/>
        <w:rPr>
          <w:b/>
          <w:bCs/>
          <w:sz w:val="36"/>
          <w:szCs w:val="36"/>
        </w:rPr>
      </w:pPr>
      <w:bookmarkStart w:id="257" w:name="_Toc20817"/>
      <w:bookmarkStart w:id="258" w:name="_Toc6536"/>
      <w:bookmarkStart w:id="259" w:name="_Toc16613"/>
      <w:bookmarkStart w:id="260" w:name="_Toc3109"/>
      <w:r>
        <w:rPr>
          <w:rFonts w:hint="eastAsia" w:ascii="宋体" w:hAnsi="宋体"/>
          <w:sz w:val="24"/>
        </w:rPr>
        <w:t>注：20</w:t>
      </w:r>
      <w:r>
        <w:rPr>
          <w:rFonts w:hint="eastAsia" w:ascii="宋体" w:hAnsi="宋体"/>
          <w:sz w:val="24"/>
          <w:lang w:val="en-US" w:eastAsia="zh-CN"/>
        </w:rPr>
        <w:t>20</w:t>
      </w:r>
      <w:r>
        <w:rPr>
          <w:rFonts w:hint="eastAsia" w:ascii="宋体" w:hAnsi="宋体"/>
          <w:sz w:val="24"/>
        </w:rPr>
        <w:t>年至今同类项目的业绩用户名单及证明材料（（需提供合同关键页复印件或中标通知书复印件，并加盖供应商公章）</w:t>
      </w:r>
      <w:bookmarkEnd w:id="257"/>
      <w:bookmarkEnd w:id="258"/>
      <w:bookmarkEnd w:id="259"/>
      <w:bookmarkEnd w:id="260"/>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61" w:name="_Toc20164"/>
      <w:bookmarkStart w:id="262" w:name="_Toc30558"/>
      <w:bookmarkStart w:id="263" w:name="_Toc40346226"/>
      <w:bookmarkStart w:id="264" w:name="_Toc16505"/>
      <w:bookmarkStart w:id="265" w:name="_Toc24877"/>
      <w:bookmarkStart w:id="266" w:name="_Toc21435"/>
      <w:bookmarkStart w:id="267" w:name="_Toc40776119"/>
      <w:bookmarkStart w:id="268" w:name="_Toc23732"/>
      <w:bookmarkStart w:id="269" w:name="_Toc9749"/>
      <w:bookmarkStart w:id="270" w:name="_Toc40346385"/>
      <w:bookmarkStart w:id="271" w:name="_Toc27180"/>
      <w:bookmarkStart w:id="272" w:name="_Toc17929"/>
    </w:p>
    <w:bookmarkEnd w:id="261"/>
    <w:bookmarkEnd w:id="262"/>
    <w:bookmarkEnd w:id="263"/>
    <w:bookmarkEnd w:id="264"/>
    <w:bookmarkEnd w:id="265"/>
    <w:bookmarkEnd w:id="266"/>
    <w:bookmarkEnd w:id="267"/>
    <w:bookmarkEnd w:id="268"/>
    <w:bookmarkEnd w:id="269"/>
    <w:bookmarkEnd w:id="270"/>
    <w:bookmarkEnd w:id="271"/>
    <w:bookmarkEnd w:id="272"/>
    <w:p>
      <w:pPr>
        <w:widowControl/>
        <w:spacing w:line="360" w:lineRule="auto"/>
        <w:ind w:firstLine="3213" w:firstLineChars="1000"/>
        <w:outlineLvl w:val="0"/>
        <w:rPr>
          <w:rFonts w:ascii="宋体" w:hAnsi="宋体" w:cs="宋体"/>
          <w:b/>
          <w:bCs/>
          <w:kern w:val="0"/>
          <w:sz w:val="32"/>
          <w:szCs w:val="32"/>
        </w:rPr>
      </w:pPr>
      <w:bookmarkStart w:id="273" w:name="_Toc15272"/>
      <w:bookmarkStart w:id="274" w:name="_Toc5499"/>
      <w:bookmarkStart w:id="275" w:name="_Toc2114"/>
      <w:r>
        <w:rPr>
          <w:rFonts w:hint="eastAsia" w:ascii="宋体" w:hAnsi="宋体" w:cs="宋体"/>
          <w:b/>
          <w:bCs/>
          <w:kern w:val="0"/>
          <w:sz w:val="32"/>
          <w:szCs w:val="32"/>
        </w:rPr>
        <w:t>项目投入人员一览表</w:t>
      </w:r>
      <w:bookmarkEnd w:id="273"/>
      <w:bookmarkEnd w:id="274"/>
      <w:bookmarkEnd w:id="275"/>
    </w:p>
    <w:p>
      <w:pPr>
        <w:pStyle w:val="26"/>
        <w:rPr>
          <w:rFonts w:ascii="宋体" w:hAnsi="宋体" w:cs="宋体"/>
          <w:b/>
          <w:bCs/>
          <w:kern w:val="0"/>
          <w:sz w:val="32"/>
          <w:szCs w:val="32"/>
        </w:rPr>
      </w:pPr>
    </w:p>
    <w:p>
      <w:pPr>
        <w:pStyle w:val="9"/>
      </w:pPr>
    </w:p>
    <w:tbl>
      <w:tblPr>
        <w:tblStyle w:val="19"/>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widowControl/>
              <w:jc w:val="left"/>
            </w:pPr>
            <w:r>
              <w:rPr>
                <w:rFonts w:hint="eastAsia" w:ascii="宋体" w:hAnsi="宋体" w:cs="宋体"/>
                <w:b/>
                <w:bCs/>
                <w:color w:val="000000"/>
                <w:kern w:val="0"/>
                <w:szCs w:val="21"/>
                <w:lang w:bidi="ar"/>
              </w:rPr>
              <w:t xml:space="preserve">资料所在页码 </w:t>
            </w:r>
          </w:p>
          <w:p>
            <w:pPr>
              <w:widowControl/>
              <w:jc w:val="left"/>
              <w:rPr>
                <w:rFonts w:ascii="Calibri" w:hAnsi="Calibri"/>
                <w:b/>
                <w:bCs/>
                <w:sz w:val="24"/>
              </w:rPr>
            </w:pPr>
            <w:r>
              <w:rPr>
                <w:rFonts w:hint="eastAsia" w:ascii="宋体" w:hAnsi="宋体" w:cs="宋体"/>
                <w:b/>
                <w:bCs/>
                <w:color w:val="000000"/>
                <w:kern w:val="0"/>
                <w:szCs w:val="21"/>
                <w:lang w:bidi="ar"/>
              </w:rPr>
              <w:t>范围（必填项）</w:t>
            </w:r>
          </w:p>
        </w:tc>
      </w:tr>
      <w:tr>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7"/>
        <w:ind w:firstLine="0"/>
        <w:rPr>
          <w:b/>
          <w:sz w:val="24"/>
        </w:rPr>
      </w:pPr>
    </w:p>
    <w:p>
      <w:pPr>
        <w:widowControl/>
        <w:jc w:val="left"/>
        <w:rPr>
          <w:bCs/>
          <w:sz w:val="24"/>
        </w:rPr>
      </w:pPr>
      <w:r>
        <w:rPr>
          <w:rFonts w:hint="eastAsia"/>
          <w:bCs/>
          <w:sz w:val="24"/>
        </w:rPr>
        <w:t>注：</w:t>
      </w:r>
    </w:p>
    <w:p>
      <w:pPr>
        <w:widowControl/>
        <w:jc w:val="left"/>
        <w:rPr>
          <w:bCs/>
          <w:sz w:val="24"/>
        </w:rPr>
      </w:pPr>
      <w:r>
        <w:rPr>
          <w:rFonts w:hint="eastAsia"/>
          <w:bCs/>
          <w:sz w:val="24"/>
        </w:rPr>
        <w:t xml:space="preserve">1.供应商须提供投入人员职称复印件，并加盖供应商公章； </w:t>
      </w:r>
    </w:p>
    <w:p>
      <w:pPr>
        <w:widowControl/>
        <w:jc w:val="left"/>
        <w:rPr>
          <w:bCs/>
          <w:sz w:val="24"/>
          <w:highlight w:val="yellow"/>
        </w:rPr>
      </w:pPr>
      <w:r>
        <w:rPr>
          <w:rFonts w:hint="eastAsia"/>
          <w:bCs/>
          <w:sz w:val="24"/>
        </w:rPr>
        <w:t>2.提供劳动合同复印件或本项目报名截止日之前六个月内任意一个月的投标单位代缴的投保单或社会保险参保人员缴费证明。</w:t>
      </w:r>
    </w:p>
    <w:p>
      <w:pPr>
        <w:widowControl/>
        <w:jc w:val="left"/>
        <w:rPr>
          <w:bCs/>
          <w:sz w:val="24"/>
        </w:rPr>
      </w:pPr>
      <w:r>
        <w:rPr>
          <w:rFonts w:hint="eastAsia"/>
          <w:bCs/>
          <w:sz w:val="24"/>
        </w:rPr>
        <w:t>3. 供应商未按上表和要求填写的，视为无效材料。</w:t>
      </w:r>
    </w:p>
    <w:p>
      <w:pPr>
        <w:widowControl/>
        <w:jc w:val="left"/>
        <w:rPr>
          <w:b/>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ind w:firstLine="4480" w:firstLineChars="1600"/>
        <w:jc w:val="left"/>
        <w:rPr>
          <w:rFonts w:ascii="宋体" w:hAnsi="宋体" w:cs="宋体"/>
          <w:color w:val="000000"/>
          <w:kern w:val="0"/>
          <w:sz w:val="24"/>
          <w:lang w:bidi="ar"/>
        </w:rPr>
      </w:pPr>
      <w:r>
        <w:rPr>
          <w:rFonts w:hint="eastAsia"/>
          <w:color w:val="0000FF"/>
          <w:sz w:val="28"/>
          <w:szCs w:val="28"/>
        </w:rPr>
        <w:t xml:space="preserve"> </w:t>
      </w:r>
      <w:r>
        <w:rPr>
          <w:rFonts w:hint="eastAsia" w:ascii="宋体" w:hAnsi="宋体" w:cs="宋体"/>
          <w:color w:val="000000"/>
          <w:kern w:val="0"/>
          <w:sz w:val="24"/>
          <w:lang w:bidi="ar"/>
        </w:rPr>
        <w:t xml:space="preserve"> 供应商公司名称（签章）：</w:t>
      </w:r>
    </w:p>
    <w:p>
      <w:pPr>
        <w:widowControl/>
        <w:jc w:val="left"/>
        <w:rPr>
          <w:rFonts w:ascii="宋体" w:hAnsi="宋体" w:cs="宋体"/>
          <w:color w:val="000000"/>
          <w:kern w:val="0"/>
          <w:sz w:val="24"/>
          <w:lang w:bidi="ar"/>
        </w:rPr>
      </w:pPr>
    </w:p>
    <w:p>
      <w:pPr>
        <w:widowControl/>
        <w:ind w:firstLine="1920" w:firstLineChars="800"/>
        <w:jc w:val="left"/>
        <w:rPr>
          <w:rFonts w:ascii="宋体" w:hAnsi="宋体" w:cs="宋体"/>
          <w:color w:val="000000"/>
          <w:kern w:val="0"/>
          <w:sz w:val="24"/>
          <w:lang w:bidi="ar"/>
        </w:rPr>
      </w:pPr>
      <w:r>
        <w:rPr>
          <w:rFonts w:hint="eastAsia" w:ascii="宋体" w:hAnsi="宋体" w:cs="宋体"/>
          <w:color w:val="000000"/>
          <w:kern w:val="0"/>
          <w:sz w:val="24"/>
          <w:lang w:bidi="ar"/>
        </w:rPr>
        <w:t xml:space="preserve">供应商法定代表人/负责人（或授权人）签字或签章：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日 期： 年  月   日</w:t>
      </w:r>
    </w:p>
    <w:p>
      <w:pPr>
        <w:widowControl/>
        <w:spacing w:line="500" w:lineRule="atLeast"/>
        <w:jc w:val="righ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30"/>
        <w:spacing w:line="360" w:lineRule="auto"/>
        <w:jc w:val="center"/>
        <w:outlineLvl w:val="0"/>
        <w:rPr>
          <w:b/>
          <w:bCs/>
          <w:sz w:val="32"/>
          <w:szCs w:val="32"/>
        </w:rPr>
      </w:pPr>
      <w:bookmarkStart w:id="276" w:name="_Toc2196"/>
      <w:bookmarkStart w:id="277" w:name="_Toc14093"/>
      <w:bookmarkStart w:id="278" w:name="_Toc17932"/>
      <w:bookmarkStart w:id="279" w:name="_Toc1521"/>
      <w:bookmarkStart w:id="280" w:name="_Toc5396"/>
      <w:bookmarkStart w:id="281" w:name="_Toc31988"/>
      <w:bookmarkStart w:id="282" w:name="_Toc19803"/>
      <w:bookmarkStart w:id="283" w:name="_Toc14321"/>
      <w:bookmarkStart w:id="284" w:name="_Toc16816"/>
      <w:bookmarkStart w:id="285" w:name="_Toc25012"/>
      <w:bookmarkStart w:id="286" w:name="_Toc27834"/>
      <w:bookmarkStart w:id="287" w:name="_Toc11527"/>
      <w:bookmarkStart w:id="288" w:name="_Toc24705"/>
      <w:r>
        <w:rPr>
          <w:rFonts w:hint="eastAsia"/>
          <w:b/>
          <w:bCs/>
          <w:sz w:val="32"/>
          <w:szCs w:val="32"/>
        </w:rPr>
        <w:t>公平竞争承诺书</w:t>
      </w:r>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widowControl/>
        <w:spacing w:line="500" w:lineRule="atLeast"/>
        <w:rPr>
          <w:rFonts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30"/>
        <w:spacing w:line="360" w:lineRule="auto"/>
        <w:jc w:val="center"/>
        <w:outlineLvl w:val="0"/>
        <w:rPr>
          <w:b/>
          <w:bCs/>
          <w:sz w:val="32"/>
          <w:szCs w:val="32"/>
        </w:rPr>
      </w:pPr>
      <w:bookmarkStart w:id="289" w:name="_Toc12567"/>
      <w:bookmarkStart w:id="290" w:name="_Toc9813"/>
      <w:bookmarkStart w:id="291" w:name="_Toc6773"/>
      <w:bookmarkStart w:id="292" w:name="_Toc24225"/>
      <w:bookmarkStart w:id="293" w:name="_Toc20949"/>
      <w:bookmarkStart w:id="294" w:name="_Toc9085"/>
      <w:bookmarkStart w:id="295" w:name="_Toc9308"/>
      <w:bookmarkStart w:id="296" w:name="_Toc22349"/>
      <w:bookmarkStart w:id="297" w:name="_Toc4538"/>
      <w:bookmarkStart w:id="298" w:name="_Toc9333"/>
      <w:bookmarkStart w:id="299" w:name="_Toc5237"/>
      <w:bookmarkStart w:id="300" w:name="_Toc29986"/>
      <w:bookmarkStart w:id="301" w:name="_Toc12986"/>
      <w:r>
        <w:rPr>
          <w:rFonts w:hint="eastAsia"/>
          <w:b/>
          <w:bCs/>
          <w:sz w:val="32"/>
          <w:szCs w:val="32"/>
        </w:rPr>
        <w:t>关于资格和响应文件的声明函</w:t>
      </w:r>
      <w:bookmarkEnd w:id="289"/>
      <w:bookmarkEnd w:id="290"/>
      <w:bookmarkEnd w:id="291"/>
      <w:bookmarkEnd w:id="292"/>
      <w:bookmarkEnd w:id="293"/>
      <w:bookmarkEnd w:id="294"/>
      <w:bookmarkEnd w:id="295"/>
      <w:bookmarkEnd w:id="296"/>
      <w:bookmarkEnd w:id="297"/>
      <w:bookmarkEnd w:id="298"/>
      <w:bookmarkEnd w:id="299"/>
      <w:bookmarkEnd w:id="300"/>
      <w:bookmarkEnd w:id="301"/>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5.我方在参加政府采购活动前3年内在经营活动中没有重大违法、违规、违纪、违约记录；</w:t>
      </w:r>
    </w:p>
    <w:p>
      <w:pPr>
        <w:spacing w:line="276" w:lineRule="auto"/>
        <w:rPr>
          <w:rFonts w:ascii="宋体" w:hAnsi="宋体"/>
          <w:sz w:val="24"/>
        </w:rPr>
      </w:pPr>
      <w:r>
        <w:rPr>
          <w:rFonts w:hint="eastAsia" w:ascii="宋体" w:hAnsi="宋体"/>
          <w:sz w:val="24"/>
          <w:lang w:val="en-US" w:eastAsia="zh-CN"/>
        </w:rPr>
        <w:t>6</w:t>
      </w:r>
      <w:r>
        <w:rPr>
          <w:rFonts w:hint="eastAsia" w:ascii="宋体" w:hAnsi="宋体"/>
          <w:sz w:val="24"/>
        </w:rPr>
        <w:t>.我方不存在以下情况：以联合体形式参加本项目院内采购活动。</w:t>
      </w:r>
    </w:p>
    <w:p>
      <w:pPr>
        <w:spacing w:line="276" w:lineRule="auto"/>
        <w:rPr>
          <w:rFonts w:ascii="宋体" w:hAnsi="宋体"/>
          <w:sz w:val="24"/>
        </w:rPr>
      </w:pPr>
      <w:r>
        <w:rPr>
          <w:rFonts w:hint="eastAsia" w:ascii="宋体" w:hAnsi="宋体"/>
          <w:sz w:val="24"/>
          <w:lang w:val="en-US" w:eastAsia="zh-CN"/>
        </w:rPr>
        <w:t>7</w:t>
      </w:r>
      <w:r>
        <w:rPr>
          <w:rFonts w:hint="eastAsia" w:ascii="宋体" w:hAnsi="宋体"/>
          <w:sz w:val="24"/>
        </w:rPr>
        <w:t>.我方不存在转包、分包情况。</w:t>
      </w:r>
    </w:p>
    <w:p>
      <w:pPr>
        <w:spacing w:line="276" w:lineRule="auto"/>
        <w:rPr>
          <w:rFonts w:ascii="宋体" w:hAnsi="宋体"/>
          <w:sz w:val="24"/>
        </w:rPr>
      </w:pPr>
      <w:r>
        <w:rPr>
          <w:rFonts w:hint="eastAsia" w:ascii="宋体" w:hAnsi="宋体"/>
          <w:sz w:val="24"/>
          <w:lang w:val="en-US" w:eastAsia="zh-CN"/>
        </w:rPr>
        <w:t>8</w:t>
      </w:r>
      <w:r>
        <w:rPr>
          <w:rFonts w:hint="eastAsia" w:ascii="宋体" w:hAnsi="宋体"/>
          <w:sz w:val="24"/>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lang w:val="en-US" w:eastAsia="zh-CN"/>
        </w:rPr>
        <w:t>9</w:t>
      </w:r>
      <w:r>
        <w:rPr>
          <w:rFonts w:hint="eastAsia" w:ascii="宋体" w:hAnsi="宋体"/>
          <w:sz w:val="24"/>
        </w:rPr>
        <w:t>.我方为本次磋商所提交的所有证明其合格和资格的文件是真实的和正确的，并愿为其真实性和正确性承担法律责任；</w:t>
      </w: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6"/>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6"/>
        <w:jc w:val="left"/>
      </w:pPr>
    </w:p>
    <w:p>
      <w:pPr>
        <w:spacing w:line="360" w:lineRule="auto"/>
        <w:jc w:val="left"/>
        <w:rPr>
          <w:rFonts w:ascii="宋体" w:hAnsi="宋体"/>
          <w:sz w:val="24"/>
        </w:rPr>
      </w:pPr>
      <w:r>
        <w:rPr>
          <w:rFonts w:hint="eastAsia" w:ascii="宋体" w:hAnsi="宋体"/>
          <w:sz w:val="24"/>
        </w:rPr>
        <w:t>日期：　　年　  月　  日</w:t>
      </w:r>
    </w:p>
    <w:p>
      <w:pPr>
        <w:pStyle w:val="26"/>
        <w:jc w:val="left"/>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pPr>
    </w:p>
    <w:p>
      <w:pPr>
        <w:pStyle w:val="5"/>
        <w:numPr>
          <w:ilvl w:val="0"/>
          <w:numId w:val="5"/>
        </w:numPr>
        <w:jc w:val="center"/>
        <w:outlineLvl w:val="0"/>
        <w:rPr>
          <w:rFonts w:ascii="宋体" w:hAnsi="宋体" w:eastAsia="宋体"/>
          <w:sz w:val="40"/>
        </w:rPr>
      </w:pPr>
      <w:r>
        <w:rPr>
          <w:rFonts w:hint="eastAsia" w:ascii="宋体" w:hAnsi="宋体" w:eastAsia="宋体"/>
          <w:sz w:val="40"/>
        </w:rPr>
        <w:t xml:space="preserve"> </w:t>
      </w:r>
      <w:bookmarkStart w:id="302" w:name="_Toc17933"/>
      <w:bookmarkStart w:id="303" w:name="_Toc13317"/>
      <w:r>
        <w:rPr>
          <w:rFonts w:hint="eastAsia" w:ascii="宋体" w:hAnsi="宋体" w:eastAsia="宋体"/>
          <w:sz w:val="40"/>
        </w:rPr>
        <w:t>合同模板</w:t>
      </w:r>
      <w:bookmarkEnd w:id="302"/>
      <w:r>
        <w:rPr>
          <w:rFonts w:hint="eastAsia" w:ascii="宋体" w:hAnsi="宋体" w:eastAsia="宋体"/>
          <w:sz w:val="40"/>
          <w:lang w:eastAsia="zh-CN"/>
        </w:rPr>
        <w:t>（另附）</w:t>
      </w:r>
      <w:bookmarkEnd w:id="303"/>
    </w:p>
    <w:p/>
    <w:p>
      <w:pPr>
        <w:pStyle w:val="26"/>
      </w:pPr>
    </w:p>
    <w:p>
      <w:pPr>
        <w:pStyle w:val="26"/>
      </w:pPr>
    </w:p>
    <w:p>
      <w:pPr>
        <w:pStyle w:val="26"/>
      </w:pPr>
    </w:p>
    <w:p>
      <w:pPr>
        <w:pStyle w:val="26"/>
      </w:pPr>
    </w:p>
    <w:p>
      <w:pPr>
        <w:pStyle w:val="26"/>
      </w:pPr>
    </w:p>
    <w:p>
      <w:pPr>
        <w:pStyle w:val="27"/>
        <w:spacing w:line="288" w:lineRule="auto"/>
        <w:rPr>
          <w:rFonts w:ascii="宋体" w:hAnsi="宋体" w:cs="宋体"/>
          <w:szCs w:val="21"/>
        </w:rPr>
      </w:pPr>
    </w:p>
    <w:p>
      <w:pPr>
        <w:rPr>
          <w:rFonts w:hAnsi="宋体" w:cs="宋体"/>
        </w:rPr>
      </w:pPr>
    </w:p>
    <w:p>
      <w:pPr>
        <w:pStyle w:val="17"/>
        <w:ind w:left="0" w:leftChars="0"/>
      </w:pPr>
    </w:p>
    <w:p>
      <w:pPr>
        <w:pStyle w:val="17"/>
        <w:ind w:left="0" w:leftChars="0"/>
      </w:pPr>
    </w:p>
    <w:p>
      <w:pPr>
        <w:pStyle w:val="17"/>
        <w:ind w:left="0" w:leftChars="0"/>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spacing w:line="360" w:lineRule="auto"/>
        <w:rPr>
          <w:rFonts w:hint="eastAsia" w:ascii="黑体" w:hAnsi="黑体" w:eastAsia="黑体" w:cs="黑体"/>
          <w:b/>
          <w:bCs/>
          <w:sz w:val="28"/>
          <w:szCs w:val="28"/>
        </w:rPr>
      </w:pPr>
    </w:p>
    <w:p>
      <w:pPr>
        <w:ind w:firstLine="562" w:firstLineChars="200"/>
        <w:rPr>
          <w:rFonts w:ascii="黑体" w:hAnsi="黑体" w:eastAsia="黑体" w:cs="黑体"/>
          <w:b/>
          <w:bCs/>
          <w:sz w:val="28"/>
          <w:szCs w:val="28"/>
        </w:rPr>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9F7CDD-8B72-4F6B-896D-F355F0567083}"/>
  </w:font>
  <w:font w:name="Courier New">
    <w:panose1 w:val="02070309020205020404"/>
    <w:charset w:val="01"/>
    <w:family w:val="modern"/>
    <w:pitch w:val="default"/>
    <w:sig w:usb0="E0002AFF" w:usb1="C0007843" w:usb2="00000009" w:usb3="00000000" w:csb0="400001FF" w:csb1="FFFF0000"/>
    <w:embedRegular r:id="rId2" w:fontKey="{C95DC15A-0572-4323-88A6-14CEDC359BE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11DF3DF3-3EFE-40E2-9BEC-F5F41E531FDD}"/>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F092FFF5-F365-46A0-9E50-B792C542C22F}"/>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embedRegular r:id="rId5" w:fontKey="{2E82A68C-A91B-4149-9D89-8AA606D9E43C}"/>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embedRegular r:id="rId6" w:fontKey="{E28E96C0-0383-490D-8472-50EF8FF53C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28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28</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lang w:val="en-US" w:eastAsia="zh-CN"/>
                      </w:rPr>
                      <w:t>28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4719"/>
    <w:multiLevelType w:val="singleLevel"/>
    <w:tmpl w:val="89E14719"/>
    <w:lvl w:ilvl="0" w:tentative="0">
      <w:start w:val="5"/>
      <w:numFmt w:val="chineseCounting"/>
      <w:suff w:val="nothing"/>
      <w:lvlText w:val="%1、"/>
      <w:lvlJc w:val="left"/>
      <w:pPr>
        <w:ind w:left="208"/>
      </w:pPr>
      <w:rPr>
        <w:rFonts w:hint="eastAsia"/>
      </w:rPr>
    </w:lvl>
  </w:abstractNum>
  <w:abstractNum w:abstractNumId="1">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5CAE089B"/>
    <w:multiLevelType w:val="singleLevel"/>
    <w:tmpl w:val="5CAE089B"/>
    <w:lvl w:ilvl="0" w:tentative="0">
      <w:start w:val="2"/>
      <w:numFmt w:val="chineseCounting"/>
      <w:suff w:val="space"/>
      <w:lvlText w:val="第%1部分"/>
      <w:lvlJc w:val="left"/>
      <w:rPr>
        <w:rFonts w:hint="eastAsia"/>
      </w:rPr>
    </w:lvl>
  </w:abstractNum>
  <w:abstractNum w:abstractNumId="4">
    <w:nsid w:val="6B018060"/>
    <w:multiLevelType w:val="singleLevel"/>
    <w:tmpl w:val="6B018060"/>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22993"/>
    <w:rsid w:val="000333B3"/>
    <w:rsid w:val="000359A3"/>
    <w:rsid w:val="0003631E"/>
    <w:rsid w:val="00037ECF"/>
    <w:rsid w:val="000716CC"/>
    <w:rsid w:val="00092452"/>
    <w:rsid w:val="000A3636"/>
    <w:rsid w:val="000A4F42"/>
    <w:rsid w:val="000C20F2"/>
    <w:rsid w:val="000F1EB0"/>
    <w:rsid w:val="00101514"/>
    <w:rsid w:val="00110D15"/>
    <w:rsid w:val="00120B10"/>
    <w:rsid w:val="001259C2"/>
    <w:rsid w:val="001539DE"/>
    <w:rsid w:val="00165A7F"/>
    <w:rsid w:val="00180931"/>
    <w:rsid w:val="001B3325"/>
    <w:rsid w:val="001C6714"/>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5B1F"/>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3C02"/>
    <w:rsid w:val="0067762C"/>
    <w:rsid w:val="006818D6"/>
    <w:rsid w:val="00681F9A"/>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06AC"/>
    <w:rsid w:val="008F2853"/>
    <w:rsid w:val="0090067A"/>
    <w:rsid w:val="009069D3"/>
    <w:rsid w:val="00906BCB"/>
    <w:rsid w:val="00906FB9"/>
    <w:rsid w:val="009162AB"/>
    <w:rsid w:val="009235D2"/>
    <w:rsid w:val="00934814"/>
    <w:rsid w:val="009360DE"/>
    <w:rsid w:val="00947FA4"/>
    <w:rsid w:val="00950FB8"/>
    <w:rsid w:val="00963D43"/>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47830"/>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80F47"/>
    <w:rsid w:val="00B93EB4"/>
    <w:rsid w:val="00BA06CE"/>
    <w:rsid w:val="00BA631D"/>
    <w:rsid w:val="00BB32FC"/>
    <w:rsid w:val="00BB4CC5"/>
    <w:rsid w:val="00BC107C"/>
    <w:rsid w:val="00BC46B3"/>
    <w:rsid w:val="00BE3B71"/>
    <w:rsid w:val="00BF4947"/>
    <w:rsid w:val="00C01163"/>
    <w:rsid w:val="00C0441A"/>
    <w:rsid w:val="00C32498"/>
    <w:rsid w:val="00C33302"/>
    <w:rsid w:val="00C44318"/>
    <w:rsid w:val="00C52E26"/>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2AB7"/>
    <w:rsid w:val="00E2604C"/>
    <w:rsid w:val="00E426B7"/>
    <w:rsid w:val="00E535C8"/>
    <w:rsid w:val="00E601B2"/>
    <w:rsid w:val="00E80372"/>
    <w:rsid w:val="00E81A6E"/>
    <w:rsid w:val="00EB731A"/>
    <w:rsid w:val="00EC444E"/>
    <w:rsid w:val="00EC774C"/>
    <w:rsid w:val="00ED63A0"/>
    <w:rsid w:val="00EE1612"/>
    <w:rsid w:val="00EE4E5B"/>
    <w:rsid w:val="00EF50DB"/>
    <w:rsid w:val="00F146CF"/>
    <w:rsid w:val="00F14E2C"/>
    <w:rsid w:val="00F15436"/>
    <w:rsid w:val="00F21ECB"/>
    <w:rsid w:val="00F229BC"/>
    <w:rsid w:val="00F26779"/>
    <w:rsid w:val="00F32CF7"/>
    <w:rsid w:val="00F33A31"/>
    <w:rsid w:val="00F33EEF"/>
    <w:rsid w:val="00F35E93"/>
    <w:rsid w:val="00F375C0"/>
    <w:rsid w:val="00F44EEF"/>
    <w:rsid w:val="00F53078"/>
    <w:rsid w:val="00F54A78"/>
    <w:rsid w:val="00F60284"/>
    <w:rsid w:val="00F63149"/>
    <w:rsid w:val="00F7528E"/>
    <w:rsid w:val="00F86E2B"/>
    <w:rsid w:val="00F870B6"/>
    <w:rsid w:val="00FA3158"/>
    <w:rsid w:val="00FB37B4"/>
    <w:rsid w:val="00FB4E2C"/>
    <w:rsid w:val="00FC406A"/>
    <w:rsid w:val="00FD0E67"/>
    <w:rsid w:val="00FD1381"/>
    <w:rsid w:val="0141572E"/>
    <w:rsid w:val="01AE423C"/>
    <w:rsid w:val="02BE3A7E"/>
    <w:rsid w:val="02F51CFD"/>
    <w:rsid w:val="031C04E2"/>
    <w:rsid w:val="034404CF"/>
    <w:rsid w:val="035A45AA"/>
    <w:rsid w:val="039B179B"/>
    <w:rsid w:val="03FE5F42"/>
    <w:rsid w:val="0407735B"/>
    <w:rsid w:val="04151569"/>
    <w:rsid w:val="048E4CB4"/>
    <w:rsid w:val="04E57AC0"/>
    <w:rsid w:val="04EE7118"/>
    <w:rsid w:val="04FB60C1"/>
    <w:rsid w:val="0543317C"/>
    <w:rsid w:val="054E169D"/>
    <w:rsid w:val="05907E7A"/>
    <w:rsid w:val="05FB0B46"/>
    <w:rsid w:val="066F5ED2"/>
    <w:rsid w:val="06A01BDE"/>
    <w:rsid w:val="070261C2"/>
    <w:rsid w:val="070769E1"/>
    <w:rsid w:val="074C23F8"/>
    <w:rsid w:val="07862043"/>
    <w:rsid w:val="079C2FAC"/>
    <w:rsid w:val="07ED2710"/>
    <w:rsid w:val="07ED5D2D"/>
    <w:rsid w:val="08A76D63"/>
    <w:rsid w:val="09867089"/>
    <w:rsid w:val="0A926349"/>
    <w:rsid w:val="0A9C5E28"/>
    <w:rsid w:val="0AA45825"/>
    <w:rsid w:val="0B07259F"/>
    <w:rsid w:val="0B27461F"/>
    <w:rsid w:val="0BCD2048"/>
    <w:rsid w:val="0C1C35A2"/>
    <w:rsid w:val="0C490708"/>
    <w:rsid w:val="0C705246"/>
    <w:rsid w:val="0CAD27D4"/>
    <w:rsid w:val="0D1F6A7A"/>
    <w:rsid w:val="0E237B27"/>
    <w:rsid w:val="0E970697"/>
    <w:rsid w:val="0ED05230"/>
    <w:rsid w:val="0EE9378D"/>
    <w:rsid w:val="0F2B5904"/>
    <w:rsid w:val="10284A96"/>
    <w:rsid w:val="10402DD2"/>
    <w:rsid w:val="10D65F8A"/>
    <w:rsid w:val="11B73ED3"/>
    <w:rsid w:val="12795449"/>
    <w:rsid w:val="12AB16B8"/>
    <w:rsid w:val="12C312C4"/>
    <w:rsid w:val="12EB2AD0"/>
    <w:rsid w:val="136354E7"/>
    <w:rsid w:val="13AB25E3"/>
    <w:rsid w:val="142E0F15"/>
    <w:rsid w:val="14331D3D"/>
    <w:rsid w:val="14907BE5"/>
    <w:rsid w:val="14DF7EC1"/>
    <w:rsid w:val="152C7B6C"/>
    <w:rsid w:val="15325191"/>
    <w:rsid w:val="158C2B6D"/>
    <w:rsid w:val="15A9050B"/>
    <w:rsid w:val="15D22F3B"/>
    <w:rsid w:val="16133E5E"/>
    <w:rsid w:val="164C7363"/>
    <w:rsid w:val="169C3C7F"/>
    <w:rsid w:val="17087F4C"/>
    <w:rsid w:val="17562ADF"/>
    <w:rsid w:val="17687698"/>
    <w:rsid w:val="18714DB4"/>
    <w:rsid w:val="18B40CCA"/>
    <w:rsid w:val="18BD6C39"/>
    <w:rsid w:val="18DE6649"/>
    <w:rsid w:val="18DF1F77"/>
    <w:rsid w:val="18E360FC"/>
    <w:rsid w:val="18E76E41"/>
    <w:rsid w:val="19A1106F"/>
    <w:rsid w:val="1A697189"/>
    <w:rsid w:val="1A812401"/>
    <w:rsid w:val="1AC74E69"/>
    <w:rsid w:val="1AF93CE3"/>
    <w:rsid w:val="1B90034D"/>
    <w:rsid w:val="1B977D90"/>
    <w:rsid w:val="1C517C05"/>
    <w:rsid w:val="1CAC7FE6"/>
    <w:rsid w:val="1CB42DF5"/>
    <w:rsid w:val="1D1E2032"/>
    <w:rsid w:val="1DE30DB3"/>
    <w:rsid w:val="1E34368D"/>
    <w:rsid w:val="1E4F22B0"/>
    <w:rsid w:val="1F187406"/>
    <w:rsid w:val="20995391"/>
    <w:rsid w:val="20B81B4B"/>
    <w:rsid w:val="21282075"/>
    <w:rsid w:val="21AD42B4"/>
    <w:rsid w:val="21BA464B"/>
    <w:rsid w:val="21CF3215"/>
    <w:rsid w:val="21D627A8"/>
    <w:rsid w:val="22A53EBB"/>
    <w:rsid w:val="22F85FBE"/>
    <w:rsid w:val="22FB2B87"/>
    <w:rsid w:val="23156796"/>
    <w:rsid w:val="23410884"/>
    <w:rsid w:val="23FE269A"/>
    <w:rsid w:val="25066E01"/>
    <w:rsid w:val="25394189"/>
    <w:rsid w:val="254863CC"/>
    <w:rsid w:val="255D353C"/>
    <w:rsid w:val="25673FA5"/>
    <w:rsid w:val="262F2952"/>
    <w:rsid w:val="26712973"/>
    <w:rsid w:val="26C20E41"/>
    <w:rsid w:val="26CD1C32"/>
    <w:rsid w:val="26F058DC"/>
    <w:rsid w:val="272975C1"/>
    <w:rsid w:val="274618E3"/>
    <w:rsid w:val="27715F5E"/>
    <w:rsid w:val="27D538F3"/>
    <w:rsid w:val="27E21FC8"/>
    <w:rsid w:val="28084236"/>
    <w:rsid w:val="282633A8"/>
    <w:rsid w:val="28716EFA"/>
    <w:rsid w:val="2886681A"/>
    <w:rsid w:val="28EF5E90"/>
    <w:rsid w:val="296C128F"/>
    <w:rsid w:val="297A2811"/>
    <w:rsid w:val="298D7034"/>
    <w:rsid w:val="2A241B69"/>
    <w:rsid w:val="2A8A0209"/>
    <w:rsid w:val="2AA74AF5"/>
    <w:rsid w:val="2B062BB7"/>
    <w:rsid w:val="2B694EC9"/>
    <w:rsid w:val="2BD8709E"/>
    <w:rsid w:val="2BE11C14"/>
    <w:rsid w:val="2BE44CCE"/>
    <w:rsid w:val="2C1134D3"/>
    <w:rsid w:val="2C35024D"/>
    <w:rsid w:val="2C695F59"/>
    <w:rsid w:val="2D07550B"/>
    <w:rsid w:val="2D412FED"/>
    <w:rsid w:val="2D957D5C"/>
    <w:rsid w:val="2DA7679B"/>
    <w:rsid w:val="2F076D3F"/>
    <w:rsid w:val="2F6B2487"/>
    <w:rsid w:val="2F7B7E7D"/>
    <w:rsid w:val="2FB56247"/>
    <w:rsid w:val="2FD823C2"/>
    <w:rsid w:val="2FD82C2E"/>
    <w:rsid w:val="2FE14059"/>
    <w:rsid w:val="300F2D70"/>
    <w:rsid w:val="30120A8D"/>
    <w:rsid w:val="30DE34BB"/>
    <w:rsid w:val="311010E0"/>
    <w:rsid w:val="31120C66"/>
    <w:rsid w:val="31321852"/>
    <w:rsid w:val="316B154C"/>
    <w:rsid w:val="31EA386E"/>
    <w:rsid w:val="32C24615"/>
    <w:rsid w:val="336B3CCC"/>
    <w:rsid w:val="355732FA"/>
    <w:rsid w:val="35D354B8"/>
    <w:rsid w:val="36917A9F"/>
    <w:rsid w:val="370B587C"/>
    <w:rsid w:val="377A2F71"/>
    <w:rsid w:val="37DA60BB"/>
    <w:rsid w:val="380B2F5F"/>
    <w:rsid w:val="384F4A95"/>
    <w:rsid w:val="38622708"/>
    <w:rsid w:val="38E823FB"/>
    <w:rsid w:val="390B75A6"/>
    <w:rsid w:val="39395860"/>
    <w:rsid w:val="39D13924"/>
    <w:rsid w:val="39F00790"/>
    <w:rsid w:val="3A534537"/>
    <w:rsid w:val="3AAC43A2"/>
    <w:rsid w:val="3B195509"/>
    <w:rsid w:val="3B5331FB"/>
    <w:rsid w:val="3BA11444"/>
    <w:rsid w:val="3C683C2C"/>
    <w:rsid w:val="3C943841"/>
    <w:rsid w:val="3CF94A44"/>
    <w:rsid w:val="3D361B6B"/>
    <w:rsid w:val="3D6A0B18"/>
    <w:rsid w:val="3DBB7F93"/>
    <w:rsid w:val="3DBE51F4"/>
    <w:rsid w:val="3E5D51F2"/>
    <w:rsid w:val="3EA57EE8"/>
    <w:rsid w:val="3EBA1C45"/>
    <w:rsid w:val="3F1A6226"/>
    <w:rsid w:val="3F794EB1"/>
    <w:rsid w:val="3F8955E2"/>
    <w:rsid w:val="3FF52FF7"/>
    <w:rsid w:val="40065B1F"/>
    <w:rsid w:val="407B764C"/>
    <w:rsid w:val="416135FA"/>
    <w:rsid w:val="41B60C35"/>
    <w:rsid w:val="41CD076A"/>
    <w:rsid w:val="42A321BA"/>
    <w:rsid w:val="42AF6223"/>
    <w:rsid w:val="435B5C8B"/>
    <w:rsid w:val="44062D00"/>
    <w:rsid w:val="443A04B0"/>
    <w:rsid w:val="44546201"/>
    <w:rsid w:val="44581F51"/>
    <w:rsid w:val="449832F3"/>
    <w:rsid w:val="451E6F60"/>
    <w:rsid w:val="45244DEA"/>
    <w:rsid w:val="45617CBE"/>
    <w:rsid w:val="45F8631E"/>
    <w:rsid w:val="46D069DB"/>
    <w:rsid w:val="485129D4"/>
    <w:rsid w:val="48EE2DDF"/>
    <w:rsid w:val="48F44CB0"/>
    <w:rsid w:val="49040430"/>
    <w:rsid w:val="49054F84"/>
    <w:rsid w:val="492F3D3A"/>
    <w:rsid w:val="49386EF2"/>
    <w:rsid w:val="499A10DB"/>
    <w:rsid w:val="4A3B6FBA"/>
    <w:rsid w:val="4A8A2EEF"/>
    <w:rsid w:val="4A950DCF"/>
    <w:rsid w:val="4B09713B"/>
    <w:rsid w:val="4B0C61BF"/>
    <w:rsid w:val="4C603C95"/>
    <w:rsid w:val="4C981BA5"/>
    <w:rsid w:val="4CAF6F6C"/>
    <w:rsid w:val="4CED0E45"/>
    <w:rsid w:val="4D72553A"/>
    <w:rsid w:val="4DAC34B5"/>
    <w:rsid w:val="4DDF729F"/>
    <w:rsid w:val="4E011820"/>
    <w:rsid w:val="4E2D698F"/>
    <w:rsid w:val="4E4C452A"/>
    <w:rsid w:val="4E5B17A7"/>
    <w:rsid w:val="4E5E5E11"/>
    <w:rsid w:val="4E98699E"/>
    <w:rsid w:val="4ECF4067"/>
    <w:rsid w:val="4ED23FAB"/>
    <w:rsid w:val="508A3B18"/>
    <w:rsid w:val="50C82D96"/>
    <w:rsid w:val="50FC2A30"/>
    <w:rsid w:val="51403B6E"/>
    <w:rsid w:val="51461694"/>
    <w:rsid w:val="514C42EA"/>
    <w:rsid w:val="51A73BDA"/>
    <w:rsid w:val="51AF3A51"/>
    <w:rsid w:val="51C413B8"/>
    <w:rsid w:val="52726854"/>
    <w:rsid w:val="53725443"/>
    <w:rsid w:val="538051EA"/>
    <w:rsid w:val="538E410D"/>
    <w:rsid w:val="53A776AF"/>
    <w:rsid w:val="53F868F1"/>
    <w:rsid w:val="54610552"/>
    <w:rsid w:val="54634D71"/>
    <w:rsid w:val="55232E54"/>
    <w:rsid w:val="55BF6A67"/>
    <w:rsid w:val="55D55D03"/>
    <w:rsid w:val="56187F25"/>
    <w:rsid w:val="5623033B"/>
    <w:rsid w:val="56553C8D"/>
    <w:rsid w:val="5658445F"/>
    <w:rsid w:val="568F6108"/>
    <w:rsid w:val="579161E1"/>
    <w:rsid w:val="584A1AA0"/>
    <w:rsid w:val="5851284C"/>
    <w:rsid w:val="58D76A1B"/>
    <w:rsid w:val="59287F31"/>
    <w:rsid w:val="59FE640F"/>
    <w:rsid w:val="5A092F2B"/>
    <w:rsid w:val="5A3A4D0D"/>
    <w:rsid w:val="5A4B59E1"/>
    <w:rsid w:val="5A6E3589"/>
    <w:rsid w:val="5A9814EF"/>
    <w:rsid w:val="5ACD6F1C"/>
    <w:rsid w:val="5B245060"/>
    <w:rsid w:val="5B6836FC"/>
    <w:rsid w:val="5C8E6CC1"/>
    <w:rsid w:val="5CD4150B"/>
    <w:rsid w:val="5CFC008B"/>
    <w:rsid w:val="5D284FF2"/>
    <w:rsid w:val="5D453D32"/>
    <w:rsid w:val="5D6F1865"/>
    <w:rsid w:val="5D8E3A90"/>
    <w:rsid w:val="5DC65AD7"/>
    <w:rsid w:val="5DDA4E1C"/>
    <w:rsid w:val="5E927E82"/>
    <w:rsid w:val="5ED21E8E"/>
    <w:rsid w:val="5ED7519A"/>
    <w:rsid w:val="5EEE5C79"/>
    <w:rsid w:val="5F0B7BE8"/>
    <w:rsid w:val="5F6869EF"/>
    <w:rsid w:val="5F7243E2"/>
    <w:rsid w:val="601D78EB"/>
    <w:rsid w:val="60423FDD"/>
    <w:rsid w:val="60636240"/>
    <w:rsid w:val="60AB196A"/>
    <w:rsid w:val="61306A6A"/>
    <w:rsid w:val="614B10EF"/>
    <w:rsid w:val="62FC7815"/>
    <w:rsid w:val="63360D84"/>
    <w:rsid w:val="635941B3"/>
    <w:rsid w:val="63D27641"/>
    <w:rsid w:val="641E2A62"/>
    <w:rsid w:val="64432C13"/>
    <w:rsid w:val="64B74179"/>
    <w:rsid w:val="64C02086"/>
    <w:rsid w:val="65877B96"/>
    <w:rsid w:val="658925AF"/>
    <w:rsid w:val="66845C96"/>
    <w:rsid w:val="66C26AA6"/>
    <w:rsid w:val="673451CA"/>
    <w:rsid w:val="6772399F"/>
    <w:rsid w:val="6780006F"/>
    <w:rsid w:val="684D2239"/>
    <w:rsid w:val="689C77C3"/>
    <w:rsid w:val="68B72DD1"/>
    <w:rsid w:val="69C82BBA"/>
    <w:rsid w:val="6A274C05"/>
    <w:rsid w:val="6B1B462D"/>
    <w:rsid w:val="6D6F26C8"/>
    <w:rsid w:val="6D971A88"/>
    <w:rsid w:val="6DA25BA6"/>
    <w:rsid w:val="6DDD6AE7"/>
    <w:rsid w:val="6DF7372A"/>
    <w:rsid w:val="6E1B2A29"/>
    <w:rsid w:val="6E562EDE"/>
    <w:rsid w:val="6EB74476"/>
    <w:rsid w:val="6ED16491"/>
    <w:rsid w:val="6F32730A"/>
    <w:rsid w:val="705C256B"/>
    <w:rsid w:val="709D4BC6"/>
    <w:rsid w:val="7139323E"/>
    <w:rsid w:val="71782D70"/>
    <w:rsid w:val="71D35F01"/>
    <w:rsid w:val="71F6334C"/>
    <w:rsid w:val="72705D84"/>
    <w:rsid w:val="73093017"/>
    <w:rsid w:val="73DF28C9"/>
    <w:rsid w:val="74042107"/>
    <w:rsid w:val="743D52CE"/>
    <w:rsid w:val="751F6B51"/>
    <w:rsid w:val="752A0A70"/>
    <w:rsid w:val="752E6281"/>
    <w:rsid w:val="754135B9"/>
    <w:rsid w:val="75524DAA"/>
    <w:rsid w:val="75656114"/>
    <w:rsid w:val="757F6892"/>
    <w:rsid w:val="75D4789D"/>
    <w:rsid w:val="7624070E"/>
    <w:rsid w:val="76727098"/>
    <w:rsid w:val="776963DA"/>
    <w:rsid w:val="77A7135E"/>
    <w:rsid w:val="77BD5C4C"/>
    <w:rsid w:val="783919C4"/>
    <w:rsid w:val="787E7D96"/>
    <w:rsid w:val="78AE7030"/>
    <w:rsid w:val="78D00495"/>
    <w:rsid w:val="78FA1F51"/>
    <w:rsid w:val="795067BF"/>
    <w:rsid w:val="79CB3169"/>
    <w:rsid w:val="79FA6E97"/>
    <w:rsid w:val="7A597865"/>
    <w:rsid w:val="7A6F193F"/>
    <w:rsid w:val="7B0E33F0"/>
    <w:rsid w:val="7B1665E7"/>
    <w:rsid w:val="7BB0043A"/>
    <w:rsid w:val="7BC55433"/>
    <w:rsid w:val="7C4A0BE1"/>
    <w:rsid w:val="7C66738C"/>
    <w:rsid w:val="7C6737CC"/>
    <w:rsid w:val="7CC01DE0"/>
    <w:rsid w:val="7D79252F"/>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5"/>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7">
    <w:name w:val="Normal Indent"/>
    <w:basedOn w:val="1"/>
    <w:qFormat/>
    <w:uiPriority w:val="99"/>
    <w:pPr>
      <w:ind w:firstLine="420"/>
    </w:pPr>
  </w:style>
  <w:style w:type="paragraph" w:styleId="8">
    <w:name w:val="annotation text"/>
    <w:basedOn w:val="1"/>
    <w:unhideWhenUsed/>
    <w:qFormat/>
    <w:uiPriority w:val="0"/>
    <w:pPr>
      <w:jc w:val="left"/>
    </w:pPr>
  </w:style>
  <w:style w:type="paragraph" w:styleId="9">
    <w:name w:val="Body Text"/>
    <w:basedOn w:val="1"/>
    <w:next w:val="1"/>
    <w:link w:val="42"/>
    <w:qFormat/>
    <w:uiPriority w:val="0"/>
    <w:pPr>
      <w:spacing w:after="120"/>
    </w:p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index 4"/>
    <w:basedOn w:val="1"/>
    <w:next w:val="1"/>
    <w:unhideWhenUsed/>
    <w:qFormat/>
    <w:uiPriority w:val="99"/>
    <w:pPr>
      <w:ind w:left="600" w:leftChars="600"/>
    </w:pPr>
  </w:style>
  <w:style w:type="paragraph" w:styleId="13">
    <w:name w:val="Plain Text"/>
    <w:basedOn w:val="1"/>
    <w:qFormat/>
    <w:uiPriority w:val="0"/>
    <w:rPr>
      <w:rFonts w:ascii="宋体" w:hAnsi="Courier New" w:cs="Courier New"/>
      <w:szCs w:val="21"/>
    </w:rPr>
  </w:style>
  <w:style w:type="paragraph" w:styleId="14">
    <w:name w:val="Balloon Text"/>
    <w:basedOn w:val="1"/>
    <w:link w:val="34"/>
    <w:qFormat/>
    <w:uiPriority w:val="0"/>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character" w:styleId="25">
    <w:name w:val="annotation reference"/>
    <w:basedOn w:val="21"/>
    <w:unhideWhenUsed/>
    <w:qFormat/>
    <w:uiPriority w:val="0"/>
    <w:rPr>
      <w:sz w:val="21"/>
      <w:szCs w:val="21"/>
    </w:rPr>
  </w:style>
  <w:style w:type="paragraph" w:customStyle="1" w:styleId="2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styleId="29">
    <w:name w:val="List Paragraph"/>
    <w:basedOn w:val="1"/>
    <w:qFormat/>
    <w:uiPriority w:val="0"/>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paragraph" w:customStyle="1" w:styleId="3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qFormat/>
    <w:uiPriority w:val="0"/>
  </w:style>
  <w:style w:type="character" w:customStyle="1" w:styleId="34">
    <w:name w:val="批注框文本 Char"/>
    <w:basedOn w:val="21"/>
    <w:link w:val="14"/>
    <w:qFormat/>
    <w:uiPriority w:val="0"/>
    <w:rPr>
      <w:rFonts w:ascii="Times New Roman" w:hAnsi="Times New Roman" w:eastAsia="宋体" w:cs="Times New Roman"/>
      <w:kern w:val="2"/>
      <w:sz w:val="18"/>
      <w:szCs w:val="18"/>
    </w:rPr>
  </w:style>
  <w:style w:type="character" w:customStyle="1" w:styleId="35">
    <w:name w:val="标题 3 Char"/>
    <w:basedOn w:val="21"/>
    <w:link w:val="6"/>
    <w:semiHidden/>
    <w:qFormat/>
    <w:uiPriority w:val="0"/>
    <w:rPr>
      <w:rFonts w:ascii="Times New Roman" w:hAnsi="Times New Roman" w:eastAsia="宋体" w:cs="Times New Roman"/>
      <w:b/>
      <w:bCs/>
      <w:kern w:val="2"/>
      <w:sz w:val="32"/>
      <w:szCs w:val="32"/>
    </w:rPr>
  </w:style>
  <w:style w:type="paragraph" w:customStyle="1" w:styleId="36">
    <w:name w:val="--规划正文"/>
    <w:basedOn w:val="1"/>
    <w:qFormat/>
    <w:uiPriority w:val="0"/>
    <w:pPr>
      <w:spacing w:line="360" w:lineRule="auto"/>
      <w:ind w:firstLine="200" w:firstLineChars="200"/>
    </w:pPr>
    <w:rPr>
      <w:rFonts w:ascii="宋体"/>
      <w:kern w:val="0"/>
      <w:sz w:val="24"/>
      <w:szCs w:val="20"/>
    </w:rPr>
  </w:style>
  <w:style w:type="paragraph" w:customStyle="1" w:styleId="3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1"/>
    <w:link w:val="15"/>
    <w:qFormat/>
    <w:uiPriority w:val="99"/>
    <w:rPr>
      <w:rFonts w:ascii="Times New Roman" w:hAnsi="Times New Roman" w:eastAsia="宋体" w:cs="Times New Roman"/>
      <w:kern w:val="2"/>
      <w:sz w:val="18"/>
      <w:szCs w:val="18"/>
    </w:rPr>
  </w:style>
  <w:style w:type="paragraph" w:customStyle="1" w:styleId="41">
    <w:name w:val="Table Paragraph"/>
    <w:basedOn w:val="1"/>
    <w:qFormat/>
    <w:uiPriority w:val="1"/>
    <w:pPr>
      <w:spacing w:before="58"/>
    </w:pPr>
    <w:rPr>
      <w:rFonts w:ascii="华文仿宋" w:hAnsi="华文仿宋" w:eastAsia="华文仿宋" w:cs="华文仿宋"/>
      <w:lang w:val="zh-CN" w:bidi="zh-CN"/>
    </w:rPr>
  </w:style>
  <w:style w:type="character" w:customStyle="1" w:styleId="42">
    <w:name w:val="正文文本 Char"/>
    <w:basedOn w:val="21"/>
    <w:link w:val="9"/>
    <w:qFormat/>
    <w:uiPriority w:val="0"/>
    <w:rPr>
      <w:rFonts w:ascii="Times New Roman" w:hAnsi="Times New Roman" w:eastAsia="宋体" w:cs="Times New Roman"/>
      <w:kern w:val="2"/>
      <w:sz w:val="21"/>
      <w:szCs w:val="24"/>
    </w:rPr>
  </w:style>
  <w:style w:type="paragraph" w:customStyle="1" w:styleId="43">
    <w:name w:val="正文文本_0"/>
    <w:basedOn w:val="1"/>
    <w:qFormat/>
    <w:uiPriority w:val="0"/>
    <w:pPr>
      <w:spacing w:after="120" w:line="276" w:lineRule="auto"/>
    </w:pPr>
    <w:rPr>
      <w:rFonts w:ascii="Tahoma" w:hAnsi="Tahoma"/>
      <w:kern w:val="0"/>
      <w:sz w:val="20"/>
      <w:szCs w:val="20"/>
    </w:rPr>
  </w:style>
  <w:style w:type="paragraph" w:customStyle="1" w:styleId="44">
    <w:name w:val="普通(网站)1"/>
    <w:basedOn w:val="1"/>
    <w:qFormat/>
    <w:uiPriority w:val="0"/>
    <w:pPr>
      <w:widowControl/>
    </w:pPr>
    <w:rPr>
      <w:rFonts w:hAnsi="宋体"/>
      <w:sz w:val="15"/>
      <w:szCs w:val="15"/>
    </w:rPr>
  </w:style>
  <w:style w:type="paragraph" w:customStyle="1" w:styleId="4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30</Pages>
  <Words>12201</Words>
  <Characters>14120</Characters>
  <Lines>137</Lines>
  <Paragraphs>38</Paragraphs>
  <TotalTime>0</TotalTime>
  <ScaleCrop>false</ScaleCrop>
  <LinksUpToDate>false</LinksUpToDate>
  <CharactersWithSpaces>15108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2022-11-07T08:09:00Z</cp:lastPrinted>
  <dcterms:modified xsi:type="dcterms:W3CDTF">2022-11-15T09:34:41Z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47429C040DC449BB8D491E4A4BA5268A</vt:lpwstr>
  </property>
</Properties>
</file>