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rPr>
          <w:rFonts w:ascii="宋体" w:hAnsi="宋体"/>
          <w:b/>
          <w:kern w:val="0"/>
          <w:sz w:val="44"/>
          <w:szCs w:val="44"/>
        </w:rPr>
      </w:pPr>
      <w:r>
        <w:rPr>
          <w:rFonts w:hint="eastAsia" w:ascii="宋体" w:hAnsi="宋体"/>
          <w:b/>
          <w:kern w:val="0"/>
          <w:sz w:val="44"/>
          <w:szCs w:val="44"/>
        </w:rPr>
        <w:t>病理项目外送检验服务</w:t>
      </w:r>
    </w:p>
    <w:p>
      <w:pPr>
        <w:jc w:val="center"/>
        <w:rPr>
          <w:rFonts w:ascii="宋体" w:hAnsi="宋体"/>
          <w:b/>
          <w:kern w:val="0"/>
          <w:sz w:val="48"/>
          <w:szCs w:val="4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2530" w:firstLineChars="700"/>
        <w:rPr>
          <w:rFonts w:ascii="宋体" w:hAnsi="宋体"/>
          <w:b/>
          <w:bCs/>
          <w:sz w:val="36"/>
          <w:szCs w:val="36"/>
        </w:rPr>
      </w:pPr>
      <w:r>
        <w:rPr>
          <w:rFonts w:hint="eastAsia" w:ascii="宋体" w:hAnsi="宋体"/>
          <w:b/>
          <w:bCs/>
          <w:sz w:val="36"/>
          <w:szCs w:val="36"/>
        </w:rPr>
        <w:t>项目编号：</w:t>
      </w:r>
      <w:r>
        <w:rPr>
          <w:rFonts w:hint="eastAsia" w:ascii="宋体" w:hAnsi="宋体"/>
          <w:b/>
          <w:bCs/>
          <w:sz w:val="32"/>
          <w:szCs w:val="32"/>
        </w:rPr>
        <w:t>NYWYF20220012</w:t>
      </w:r>
    </w:p>
    <w:p>
      <w:pPr>
        <w:pStyle w:val="2"/>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期：2022年1</w:t>
      </w:r>
      <w:r>
        <w:rPr>
          <w:rFonts w:hint="eastAsia" w:ascii="宋体" w:hAnsi="宋体"/>
          <w:b/>
          <w:bCs/>
          <w:sz w:val="32"/>
          <w:szCs w:val="32"/>
          <w:lang w:val="en-US" w:eastAsia="zh-CN"/>
        </w:rPr>
        <w:t>1</w:t>
      </w:r>
      <w:r>
        <w:rPr>
          <w:rFonts w:hint="eastAsia" w:ascii="宋体" w:hAnsi="宋体"/>
          <w:b/>
          <w:bCs/>
          <w:sz w:val="32"/>
          <w:szCs w:val="32"/>
        </w:rPr>
        <w:t>月</w:t>
      </w:r>
    </w:p>
    <w:p>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rPr>
        <w:id w:val="147455384"/>
        <w:docPartObj>
          <w:docPartGallery w:val="Table of Contents"/>
          <w:docPartUnique/>
        </w:docPartObj>
      </w:sdtPr>
      <w:sdtEndPr>
        <w:rPr>
          <w:rFonts w:hint="eastAsia" w:ascii="黑体" w:hAnsi="黑体" w:eastAsia="黑体" w:cs="黑体"/>
          <w:bCs/>
          <w:kern w:val="0"/>
          <w:sz w:val="30"/>
          <w:szCs w:val="30"/>
        </w:rPr>
      </w:sdtEndPr>
      <w:sdtContent>
        <w:p>
          <w:pPr>
            <w:spacing w:line="360" w:lineRule="auto"/>
            <w:jc w:val="center"/>
            <w:rPr>
              <w:rFonts w:ascii="黑体" w:hAnsi="黑体" w:eastAsia="黑体" w:cs="黑体"/>
              <w:sz w:val="44"/>
              <w:szCs w:val="44"/>
            </w:rPr>
          </w:pPr>
          <w:r>
            <w:rPr>
              <w:rFonts w:hint="eastAsia" w:ascii="黑体" w:hAnsi="黑体" w:eastAsia="黑体" w:cs="黑体"/>
              <w:sz w:val="44"/>
              <w:szCs w:val="44"/>
            </w:rPr>
            <w:t>目  录</w:t>
          </w:r>
        </w:p>
        <w:p>
          <w:pPr>
            <w:pStyle w:val="27"/>
            <w:tabs>
              <w:tab w:val="right" w:leader="dot" w:pos="9638"/>
            </w:tabs>
            <w:spacing w:line="360" w:lineRule="auto"/>
            <w:rPr>
              <w:rFonts w:ascii="宋体" w:hAnsi="宋体" w:cs="宋体"/>
              <w:b/>
              <w:sz w:val="30"/>
              <w:szCs w:val="30"/>
            </w:rPr>
          </w:pPr>
          <w:r>
            <w:rPr>
              <w:rFonts w:hint="eastAsia" w:ascii="宋体" w:hAnsi="宋体" w:cs="宋体"/>
              <w:b/>
              <w:sz w:val="30"/>
              <w:szCs w:val="30"/>
            </w:rPr>
            <w:fldChar w:fldCharType="begin"/>
          </w:r>
          <w:r>
            <w:rPr>
              <w:rFonts w:hint="eastAsia" w:ascii="宋体" w:hAnsi="宋体" w:cs="宋体"/>
              <w:b/>
              <w:sz w:val="30"/>
              <w:szCs w:val="30"/>
            </w:rPr>
            <w:instrText xml:space="preserve">TOC \o "1-1" \h \u </w:instrText>
          </w:r>
          <w:r>
            <w:rPr>
              <w:rFonts w:hint="eastAsia" w:ascii="宋体" w:hAnsi="宋体" w:cs="宋体"/>
              <w:b/>
              <w:sz w:val="30"/>
              <w:szCs w:val="30"/>
            </w:rPr>
            <w:fldChar w:fldCharType="separate"/>
          </w:r>
          <w:r>
            <w:fldChar w:fldCharType="begin"/>
          </w:r>
          <w:r>
            <w:instrText xml:space="preserve"> HYPERLINK \l "_Toc14957" </w:instrText>
          </w:r>
          <w:r>
            <w:fldChar w:fldCharType="separate"/>
          </w:r>
          <w:r>
            <w:rPr>
              <w:rFonts w:hint="eastAsia" w:ascii="宋体" w:hAnsi="宋体" w:cs="宋体"/>
              <w:b/>
              <w:sz w:val="30"/>
              <w:szCs w:val="30"/>
            </w:rPr>
            <w:t>第一部分 报名邀请函</w:t>
          </w:r>
          <w:r>
            <w:rPr>
              <w:rFonts w:hint="eastAsia" w:ascii="宋体" w:hAnsi="宋体" w:cs="宋体"/>
              <w:b/>
              <w:sz w:val="30"/>
              <w:szCs w:val="30"/>
            </w:rPr>
            <w:tab/>
          </w:r>
          <w:r>
            <w:rPr>
              <w:rFonts w:hint="eastAsia" w:ascii="宋体" w:hAnsi="宋体" w:cs="宋体"/>
              <w:b/>
              <w:sz w:val="30"/>
              <w:szCs w:val="30"/>
            </w:rPr>
            <w:fldChar w:fldCharType="begin"/>
          </w:r>
          <w:r>
            <w:rPr>
              <w:rFonts w:hint="eastAsia" w:ascii="宋体" w:hAnsi="宋体" w:cs="宋体"/>
              <w:b/>
              <w:sz w:val="30"/>
              <w:szCs w:val="30"/>
            </w:rPr>
            <w:instrText xml:space="preserve"> PAGEREF _Toc14957 \h </w:instrText>
          </w:r>
          <w:r>
            <w:rPr>
              <w:rFonts w:hint="eastAsia" w:ascii="宋体" w:hAnsi="宋体" w:cs="宋体"/>
              <w:b/>
              <w:sz w:val="30"/>
              <w:szCs w:val="30"/>
            </w:rPr>
            <w:fldChar w:fldCharType="separate"/>
          </w:r>
          <w:r>
            <w:rPr>
              <w:rFonts w:hint="eastAsia" w:ascii="宋体" w:hAnsi="宋体" w:cs="宋体"/>
              <w:b/>
              <w:sz w:val="30"/>
              <w:szCs w:val="30"/>
            </w:rPr>
            <w:t>1</w:t>
          </w:r>
          <w:r>
            <w:rPr>
              <w:rFonts w:hint="eastAsia" w:ascii="宋体" w:hAnsi="宋体" w:cs="宋体"/>
              <w:b/>
              <w:sz w:val="30"/>
              <w:szCs w:val="30"/>
            </w:rPr>
            <w:fldChar w:fldCharType="end"/>
          </w:r>
          <w:r>
            <w:rPr>
              <w:rFonts w:hint="eastAsia" w:ascii="宋体" w:hAnsi="宋体" w:cs="宋体"/>
              <w:b/>
              <w:sz w:val="30"/>
              <w:szCs w:val="30"/>
            </w:rPr>
            <w:fldChar w:fldCharType="end"/>
          </w:r>
        </w:p>
        <w:p>
          <w:pPr>
            <w:pStyle w:val="27"/>
            <w:tabs>
              <w:tab w:val="right" w:leader="dot" w:pos="9638"/>
            </w:tabs>
            <w:spacing w:line="360" w:lineRule="auto"/>
            <w:rPr>
              <w:rFonts w:ascii="宋体" w:hAnsi="宋体" w:cs="宋体"/>
              <w:b/>
              <w:sz w:val="30"/>
              <w:szCs w:val="30"/>
            </w:rPr>
          </w:pPr>
          <w:r>
            <w:fldChar w:fldCharType="begin"/>
          </w:r>
          <w:r>
            <w:instrText xml:space="preserve"> HYPERLINK \l "_Toc1526" </w:instrText>
          </w:r>
          <w:r>
            <w:fldChar w:fldCharType="separate"/>
          </w:r>
          <w:r>
            <w:rPr>
              <w:rFonts w:hint="eastAsia" w:ascii="宋体" w:hAnsi="宋体" w:cs="宋体"/>
              <w:b/>
              <w:sz w:val="30"/>
              <w:szCs w:val="30"/>
            </w:rPr>
            <w:t>第二部分  用户需求书</w:t>
          </w:r>
          <w:r>
            <w:rPr>
              <w:rFonts w:hint="eastAsia" w:ascii="宋体" w:hAnsi="宋体" w:cs="宋体"/>
              <w:b/>
              <w:sz w:val="30"/>
              <w:szCs w:val="30"/>
            </w:rPr>
            <w:tab/>
          </w:r>
          <w:r>
            <w:rPr>
              <w:rFonts w:hint="eastAsia" w:ascii="宋体" w:hAnsi="宋体" w:cs="宋体"/>
              <w:b/>
              <w:sz w:val="30"/>
              <w:szCs w:val="30"/>
            </w:rPr>
            <w:t>3</w:t>
          </w:r>
          <w:r>
            <w:rPr>
              <w:rFonts w:hint="eastAsia" w:ascii="宋体" w:hAnsi="宋体" w:cs="宋体"/>
              <w:b/>
              <w:sz w:val="30"/>
              <w:szCs w:val="30"/>
            </w:rPr>
            <w:fldChar w:fldCharType="end"/>
          </w:r>
        </w:p>
        <w:p>
          <w:pPr>
            <w:pStyle w:val="27"/>
            <w:tabs>
              <w:tab w:val="right" w:leader="dot" w:pos="9638"/>
            </w:tabs>
            <w:spacing w:line="360" w:lineRule="auto"/>
            <w:rPr>
              <w:rFonts w:ascii="宋体" w:hAnsi="宋体" w:cs="宋体"/>
              <w:b/>
              <w:sz w:val="30"/>
              <w:szCs w:val="30"/>
            </w:rPr>
          </w:pPr>
          <w:r>
            <w:fldChar w:fldCharType="begin"/>
          </w:r>
          <w:r>
            <w:instrText xml:space="preserve"> HYPERLINK \l "_Toc2432" </w:instrText>
          </w:r>
          <w:r>
            <w:fldChar w:fldCharType="separate"/>
          </w:r>
          <w:r>
            <w:rPr>
              <w:rFonts w:hint="eastAsia" w:ascii="宋体" w:hAnsi="宋体" w:cs="宋体"/>
              <w:b/>
              <w:sz w:val="30"/>
              <w:szCs w:val="30"/>
            </w:rPr>
            <w:t>第三部分  资料整理注意事项</w:t>
          </w:r>
          <w:r>
            <w:rPr>
              <w:rFonts w:hint="eastAsia" w:ascii="宋体" w:hAnsi="宋体" w:cs="宋体"/>
              <w:b/>
              <w:sz w:val="30"/>
              <w:szCs w:val="30"/>
            </w:rPr>
            <w:tab/>
          </w:r>
          <w:r>
            <w:rPr>
              <w:rFonts w:hint="eastAsia" w:ascii="宋体" w:hAnsi="宋体" w:cs="宋体"/>
              <w:b/>
              <w:sz w:val="30"/>
              <w:szCs w:val="30"/>
            </w:rPr>
            <w:t>7</w:t>
          </w:r>
          <w:r>
            <w:rPr>
              <w:rFonts w:hint="eastAsia" w:ascii="宋体" w:hAnsi="宋体" w:cs="宋体"/>
              <w:b/>
              <w:sz w:val="30"/>
              <w:szCs w:val="30"/>
            </w:rPr>
            <w:fldChar w:fldCharType="end"/>
          </w:r>
        </w:p>
        <w:p>
          <w:pPr>
            <w:pStyle w:val="27"/>
            <w:tabs>
              <w:tab w:val="right" w:leader="dot" w:pos="9638"/>
            </w:tabs>
            <w:spacing w:line="360" w:lineRule="auto"/>
            <w:rPr>
              <w:rFonts w:ascii="宋体" w:hAnsi="宋体" w:cs="宋体"/>
              <w:b/>
              <w:sz w:val="30"/>
              <w:szCs w:val="30"/>
            </w:rPr>
          </w:pPr>
          <w:r>
            <w:fldChar w:fldCharType="begin"/>
          </w:r>
          <w:r>
            <w:instrText xml:space="preserve"> HYPERLINK \l "_Toc1634" </w:instrText>
          </w:r>
          <w:r>
            <w:fldChar w:fldCharType="separate"/>
          </w:r>
          <w:r>
            <w:rPr>
              <w:rFonts w:hint="eastAsia" w:ascii="宋体" w:hAnsi="宋体" w:cs="宋体"/>
              <w:b/>
              <w:sz w:val="30"/>
              <w:szCs w:val="30"/>
            </w:rPr>
            <w:t>第四部分  相关格式文件(含评分自查表）</w:t>
          </w:r>
          <w:r>
            <w:rPr>
              <w:rFonts w:hint="eastAsia" w:ascii="宋体" w:hAnsi="宋体" w:cs="宋体"/>
              <w:b/>
              <w:sz w:val="30"/>
              <w:szCs w:val="30"/>
            </w:rPr>
            <w:tab/>
          </w:r>
          <w:r>
            <w:rPr>
              <w:rFonts w:hint="eastAsia" w:ascii="宋体" w:hAnsi="宋体" w:cs="宋体"/>
              <w:b/>
              <w:sz w:val="30"/>
              <w:szCs w:val="30"/>
            </w:rPr>
            <w:t>8</w:t>
          </w:r>
          <w:r>
            <w:rPr>
              <w:rFonts w:hint="eastAsia" w:ascii="宋体" w:hAnsi="宋体" w:cs="宋体"/>
              <w:b/>
              <w:sz w:val="30"/>
              <w:szCs w:val="30"/>
            </w:rPr>
            <w:fldChar w:fldCharType="end"/>
          </w:r>
        </w:p>
        <w:p>
          <w:pPr>
            <w:pStyle w:val="27"/>
            <w:tabs>
              <w:tab w:val="right" w:leader="dot" w:pos="9638"/>
            </w:tabs>
            <w:spacing w:line="360" w:lineRule="auto"/>
            <w:rPr>
              <w:rFonts w:ascii="宋体" w:hAnsi="宋体" w:cs="宋体"/>
              <w:b/>
              <w:sz w:val="30"/>
              <w:szCs w:val="30"/>
            </w:rPr>
          </w:pPr>
          <w:r>
            <w:fldChar w:fldCharType="begin"/>
          </w:r>
          <w:r>
            <w:instrText xml:space="preserve"> HYPERLINK \l "_Toc26773" </w:instrText>
          </w:r>
          <w:r>
            <w:fldChar w:fldCharType="separate"/>
          </w:r>
          <w:r>
            <w:rPr>
              <w:rFonts w:hint="eastAsia" w:ascii="宋体" w:hAnsi="宋体" w:cs="宋体"/>
              <w:b/>
              <w:sz w:val="30"/>
              <w:szCs w:val="30"/>
            </w:rPr>
            <w:t>第五部分 合同模板</w:t>
          </w:r>
          <w:r>
            <w:rPr>
              <w:rFonts w:hint="eastAsia" w:ascii="宋体" w:hAnsi="宋体" w:cs="宋体"/>
              <w:b/>
              <w:sz w:val="30"/>
              <w:szCs w:val="30"/>
            </w:rPr>
            <w:tab/>
          </w:r>
          <w:r>
            <w:rPr>
              <w:rFonts w:hint="eastAsia" w:ascii="宋体" w:hAnsi="宋体" w:cs="宋体"/>
              <w:b/>
              <w:sz w:val="30"/>
              <w:szCs w:val="30"/>
            </w:rPr>
            <w:fldChar w:fldCharType="end"/>
          </w:r>
          <w:r>
            <w:rPr>
              <w:rFonts w:hint="eastAsia" w:ascii="宋体" w:hAnsi="宋体" w:cs="宋体"/>
              <w:b/>
              <w:sz w:val="30"/>
              <w:szCs w:val="30"/>
            </w:rPr>
            <w:t>21</w:t>
          </w:r>
        </w:p>
        <w:p>
          <w:pPr>
            <w:spacing w:line="360" w:lineRule="auto"/>
            <w:jc w:val="center"/>
            <w:rPr>
              <w:rFonts w:ascii="黑体" w:hAnsi="黑体" w:eastAsia="黑体" w:cs="黑体"/>
              <w:b/>
              <w:bCs/>
              <w:kern w:val="0"/>
              <w:sz w:val="30"/>
              <w:szCs w:val="30"/>
            </w:rPr>
          </w:pPr>
          <w:r>
            <w:rPr>
              <w:rFonts w:hint="eastAsia" w:ascii="宋体" w:hAnsi="宋体" w:cs="宋体"/>
              <w:b/>
              <w:kern w:val="0"/>
              <w:sz w:val="30"/>
              <w:szCs w:val="30"/>
            </w:rPr>
            <w:fldChar w:fldCharType="end"/>
          </w:r>
        </w:p>
      </w:sdtContent>
    </w:sdt>
    <w:p>
      <w:pPr>
        <w:jc w:val="center"/>
        <w:rPr>
          <w:b/>
          <w:bCs/>
          <w:kern w:val="0"/>
          <w:sz w:val="28"/>
          <w:szCs w:val="36"/>
        </w:rPr>
      </w:pPr>
    </w:p>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0" w:name="_Toc19427"/>
    </w:p>
    <w:p>
      <w:pPr>
        <w:spacing w:line="360" w:lineRule="auto"/>
        <w:jc w:val="center"/>
        <w:outlineLvl w:val="0"/>
        <w:rPr>
          <w:rFonts w:ascii="仿宋" w:hAnsi="仿宋" w:eastAsia="仿宋" w:cs="Helvetica"/>
          <w:sz w:val="30"/>
          <w:szCs w:val="30"/>
        </w:rPr>
      </w:pPr>
      <w:bookmarkStart w:id="1" w:name="_Toc14957"/>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0"/>
      <w:bookmarkEnd w:id="1"/>
    </w:p>
    <w:p>
      <w:pPr>
        <w:autoSpaceDE w:val="0"/>
        <w:autoSpaceDN w:val="0"/>
        <w:spacing w:line="400" w:lineRule="exact"/>
        <w:ind w:firstLine="420" w:firstLineChars="200"/>
        <w:rPr>
          <w:rFonts w:ascii="宋体" w:hAnsi="宋体" w:cs="宋体"/>
          <w:szCs w:val="21"/>
        </w:rPr>
      </w:pPr>
      <w:r>
        <w:rPr>
          <w:rFonts w:hint="eastAsia" w:ascii="宋体" w:hAnsi="宋体" w:cs="宋体"/>
          <w:szCs w:val="21"/>
        </w:rPr>
        <w:t>根据我院业务发展需要，近期拟对</w:t>
      </w:r>
      <w:r>
        <w:rPr>
          <w:rFonts w:hint="eastAsia" w:ascii="宋体" w:hAnsi="宋体"/>
          <w:color w:val="000000"/>
          <w:szCs w:val="21"/>
        </w:rPr>
        <w:t>病理项目外送检验服务</w:t>
      </w:r>
      <w:r>
        <w:rPr>
          <w:rFonts w:hint="eastAsia" w:ascii="宋体" w:hAnsi="宋体" w:cs="宋体"/>
          <w:szCs w:val="21"/>
        </w:rPr>
        <w:t>进行采购，现根据相关规定特此公告，欢迎符合条件的供应商参加。</w:t>
      </w:r>
    </w:p>
    <w:p>
      <w:pPr>
        <w:numPr>
          <w:ilvl w:val="0"/>
          <w:numId w:val="2"/>
        </w:numPr>
        <w:adjustRightInd w:val="0"/>
        <w:snapToGrid w:val="0"/>
        <w:spacing w:line="400" w:lineRule="exact"/>
        <w:ind w:firstLine="422" w:firstLineChars="200"/>
        <w:rPr>
          <w:rFonts w:ascii="宋体" w:hAnsi="宋体" w:cs="宋体"/>
          <w:b/>
          <w:bCs/>
          <w:szCs w:val="21"/>
        </w:rPr>
      </w:pPr>
      <w:r>
        <w:rPr>
          <w:rFonts w:hint="eastAsia" w:ascii="宋体" w:hAnsi="宋体" w:cs="宋体"/>
          <w:b/>
          <w:bCs/>
          <w:szCs w:val="21"/>
        </w:rPr>
        <w:t>采购需求</w:t>
      </w:r>
    </w:p>
    <w:p>
      <w:pPr>
        <w:autoSpaceDE w:val="0"/>
        <w:autoSpaceDN w:val="0"/>
        <w:spacing w:line="400" w:lineRule="exact"/>
        <w:ind w:firstLine="422" w:firstLineChars="200"/>
        <w:rPr>
          <w:rFonts w:ascii="宋体" w:hAnsi="宋体" w:cs="宋体"/>
          <w:szCs w:val="21"/>
        </w:rPr>
      </w:pPr>
      <w:r>
        <w:rPr>
          <w:rFonts w:hint="eastAsia" w:ascii="宋体" w:hAnsi="宋体" w:cs="宋体"/>
          <w:b/>
          <w:bCs/>
          <w:szCs w:val="21"/>
        </w:rPr>
        <w:t>1.项目编号：</w:t>
      </w:r>
      <w:r>
        <w:rPr>
          <w:rFonts w:hint="eastAsia" w:ascii="宋体" w:hAnsi="宋体" w:cs="宋体"/>
          <w:szCs w:val="21"/>
        </w:rPr>
        <w:t>NYWYF20220012</w:t>
      </w:r>
    </w:p>
    <w:p>
      <w:pPr>
        <w:autoSpaceDE w:val="0"/>
        <w:autoSpaceDN w:val="0"/>
        <w:spacing w:line="400" w:lineRule="exact"/>
        <w:ind w:firstLine="422" w:firstLineChars="200"/>
        <w:rPr>
          <w:rFonts w:ascii="宋体" w:hAnsi="宋体" w:cs="宋体"/>
          <w:szCs w:val="21"/>
        </w:rPr>
      </w:pPr>
      <w:r>
        <w:rPr>
          <w:rFonts w:hint="eastAsia" w:ascii="宋体" w:hAnsi="宋体" w:cs="宋体"/>
          <w:b/>
          <w:bCs/>
          <w:szCs w:val="21"/>
        </w:rPr>
        <w:t>2.项目名称：</w:t>
      </w:r>
      <w:r>
        <w:rPr>
          <w:rFonts w:hint="eastAsia" w:ascii="宋体" w:hAnsi="宋体" w:cs="宋体"/>
          <w:szCs w:val="21"/>
        </w:rPr>
        <w:t>南方医科大学第五附属医院病理项目外送检验服务项目</w:t>
      </w:r>
    </w:p>
    <w:p>
      <w:pPr>
        <w:autoSpaceDE w:val="0"/>
        <w:autoSpaceDN w:val="0"/>
        <w:spacing w:line="400" w:lineRule="exact"/>
        <w:ind w:firstLine="422" w:firstLineChars="200"/>
        <w:rPr>
          <w:rFonts w:ascii="宋体" w:hAnsi="宋体" w:cs="宋体"/>
          <w:szCs w:val="21"/>
        </w:rPr>
      </w:pPr>
      <w:r>
        <w:rPr>
          <w:rFonts w:hint="eastAsia" w:ascii="宋体" w:hAnsi="宋体" w:cs="宋体"/>
          <w:b/>
          <w:bCs/>
          <w:szCs w:val="21"/>
        </w:rPr>
        <w:t>3.项目限价：</w:t>
      </w:r>
      <w:r>
        <w:rPr>
          <w:rFonts w:hint="eastAsia" w:ascii="宋体" w:hAnsi="宋体" w:cs="宋体"/>
          <w:szCs w:val="21"/>
        </w:rPr>
        <w:t>15万元/年。</w:t>
      </w:r>
    </w:p>
    <w:p>
      <w:pPr>
        <w:autoSpaceDE w:val="0"/>
        <w:autoSpaceDN w:val="0"/>
        <w:spacing w:line="400" w:lineRule="exact"/>
        <w:ind w:firstLine="422" w:firstLineChars="200"/>
        <w:rPr>
          <w:rFonts w:ascii="宋体" w:hAnsi="宋体" w:cs="宋体"/>
          <w:szCs w:val="21"/>
        </w:rPr>
      </w:pPr>
      <w:r>
        <w:rPr>
          <w:rFonts w:hint="eastAsia" w:ascii="宋体" w:hAnsi="宋体" w:cs="宋体"/>
          <w:b/>
          <w:bCs/>
          <w:szCs w:val="21"/>
        </w:rPr>
        <w:t>4.采购内容及要求：</w:t>
      </w:r>
      <w:r>
        <w:rPr>
          <w:rFonts w:hint="eastAsia" w:ascii="宋体" w:hAnsi="宋体" w:cs="宋体"/>
          <w:szCs w:val="21"/>
        </w:rPr>
        <w:t>详见附件1采购文件第二部分用户需求书。</w:t>
      </w:r>
    </w:p>
    <w:p>
      <w:pPr>
        <w:adjustRightInd w:val="0"/>
        <w:snapToGrid w:val="0"/>
        <w:spacing w:line="400" w:lineRule="exact"/>
        <w:ind w:firstLine="422" w:firstLineChars="200"/>
        <w:rPr>
          <w:rFonts w:ascii="宋体" w:hAnsi="宋体" w:cs="宋体"/>
          <w:b/>
          <w:bCs/>
          <w:szCs w:val="21"/>
        </w:rPr>
      </w:pPr>
      <w:r>
        <w:rPr>
          <w:rFonts w:hint="eastAsia" w:ascii="宋体" w:hAnsi="宋体" w:cs="宋体"/>
          <w:b/>
          <w:bCs/>
          <w:szCs w:val="21"/>
        </w:rPr>
        <w:t>二、提供资料相关事项</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1.报名截止时间：</w:t>
      </w:r>
      <w:r>
        <w:rPr>
          <w:rFonts w:hint="eastAsia" w:ascii="宋体" w:hAnsi="宋体" w:cs="宋体"/>
          <w:szCs w:val="21"/>
        </w:rPr>
        <w:t>2022年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日下午17点30分，</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2.报名方式：</w:t>
      </w:r>
      <w:r>
        <w:rPr>
          <w:rFonts w:hint="eastAsia" w:ascii="宋体" w:hAnsi="宋体" w:cs="宋体"/>
          <w:szCs w:val="21"/>
        </w:rPr>
        <w:t>电子邮件报名。</w:t>
      </w:r>
    </w:p>
    <w:p>
      <w:pPr>
        <w:adjustRightInd w:val="0"/>
        <w:snapToGrid w:val="0"/>
        <w:spacing w:line="400" w:lineRule="exact"/>
        <w:ind w:firstLine="422" w:firstLineChars="200"/>
        <w:rPr>
          <w:rFonts w:ascii="宋体" w:hAnsi="宋体" w:cs="宋体"/>
          <w:color w:val="FF0000"/>
          <w:szCs w:val="21"/>
        </w:rPr>
      </w:pPr>
      <w:r>
        <w:rPr>
          <w:rFonts w:hint="eastAsia" w:ascii="宋体" w:hAnsi="宋体" w:cs="宋体"/>
          <w:b/>
          <w:color w:val="FF0000"/>
          <w:szCs w:val="21"/>
        </w:rPr>
        <w:t>3.报名所需提供资料及要求</w:t>
      </w:r>
      <w:r>
        <w:rPr>
          <w:rFonts w:hint="eastAsia" w:ascii="宋体" w:hAnsi="宋体" w:cs="宋体"/>
          <w:color w:val="FF0000"/>
          <w:szCs w:val="21"/>
        </w:rPr>
        <w:t>：详见报名资料。</w:t>
      </w:r>
      <w:bookmarkStart w:id="277" w:name="_GoBack"/>
      <w:bookmarkEnd w:id="277"/>
    </w:p>
    <w:p>
      <w:pPr>
        <w:spacing w:line="400" w:lineRule="exact"/>
        <w:ind w:firstLine="420" w:firstLineChars="200"/>
        <w:contextualSpacing/>
        <w:rPr>
          <w:rFonts w:ascii="宋体" w:hAnsi="宋体" w:cs="宋体"/>
          <w:b/>
          <w:bCs/>
          <w:color w:val="FF0000"/>
          <w:szCs w:val="21"/>
        </w:rPr>
      </w:pPr>
      <w:r>
        <w:rPr>
          <w:rFonts w:hint="eastAsia"/>
          <w:szCs w:val="21"/>
        </w:rPr>
        <w:t xml:space="preserve"> </w:t>
      </w:r>
      <w:r>
        <w:rPr>
          <w:rFonts w:hint="eastAsia" w:ascii="宋体" w:hAnsi="宋体" w:cs="宋体"/>
          <w:b/>
          <w:bCs/>
          <w:color w:val="FF0000"/>
          <w:szCs w:val="21"/>
        </w:rPr>
        <w:t>*温馨告知：</w:t>
      </w:r>
      <w:r>
        <w:rPr>
          <w:rFonts w:hint="eastAsia" w:ascii="宋体" w:hAnsi="宋体" w:cs="宋体"/>
          <w:color w:val="FF0000"/>
          <w:szCs w:val="21"/>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4.评审时间及地点：</w:t>
      </w:r>
      <w:r>
        <w:rPr>
          <w:rFonts w:hint="eastAsia" w:ascii="宋体" w:hAnsi="宋体" w:cs="宋体"/>
          <w:szCs w:val="21"/>
        </w:rPr>
        <w:t>待定（根据医院工作安排通知符合要求报名公司）</w:t>
      </w:r>
    </w:p>
    <w:p>
      <w:pPr>
        <w:adjustRightInd w:val="0"/>
        <w:snapToGrid w:val="0"/>
        <w:spacing w:line="400" w:lineRule="exact"/>
        <w:ind w:firstLine="422" w:firstLineChars="200"/>
        <w:rPr>
          <w:szCs w:val="21"/>
        </w:rPr>
      </w:pPr>
      <w:r>
        <w:rPr>
          <w:rFonts w:hint="eastAsia" w:ascii="宋体" w:hAnsi="宋体" w:cs="宋体"/>
          <w:b/>
          <w:bCs/>
          <w:szCs w:val="21"/>
        </w:rPr>
        <w:t>5.</w:t>
      </w:r>
      <w:r>
        <w:rPr>
          <w:rStyle w:val="22"/>
          <w:rFonts w:hint="eastAsia" w:ascii="宋体" w:hAnsi="宋体" w:cs="宋体"/>
          <w:color w:val="FF0000"/>
          <w:sz w:val="21"/>
          <w:szCs w:val="21"/>
          <w:shd w:val="clear" w:color="auto" w:fill="FFFFFF"/>
        </w:rPr>
        <w:t>疫情防控要求：</w:t>
      </w:r>
      <w:r>
        <w:rPr>
          <w:rFonts w:hint="eastAsia" w:ascii="宋体" w:hAnsi="宋体" w:cs="宋体"/>
          <w:b/>
          <w:bCs/>
          <w:color w:val="FF0000"/>
          <w:szCs w:val="21"/>
          <w:shd w:val="clear" w:color="auto" w:fill="FFFFFF"/>
        </w:rPr>
        <w:t>参加评审会议供应商必须无流行病学史，需提供健康码绿码、行程码绿码、</w:t>
      </w:r>
      <w:r>
        <w:rPr>
          <w:rFonts w:hint="eastAsia" w:ascii="宋体" w:hAnsi="宋体" w:cs="宋体"/>
          <w:b/>
          <w:bCs/>
          <w:color w:val="FF0000"/>
          <w:szCs w:val="21"/>
          <w:shd w:val="clear" w:color="auto" w:fill="FFFFFF"/>
          <w:lang w:val="en-US" w:eastAsia="zh-CN"/>
        </w:rPr>
        <w:t>48</w:t>
      </w:r>
      <w:r>
        <w:rPr>
          <w:rFonts w:hint="eastAsia" w:ascii="宋体" w:hAnsi="宋体" w:cs="宋体"/>
          <w:b/>
          <w:bCs/>
          <w:color w:val="FF0000"/>
          <w:szCs w:val="21"/>
          <w:shd w:val="clear" w:color="auto" w:fill="FFFFFF"/>
        </w:rPr>
        <w:t>小时核酸检测结果阴性。(如有最新防疫政策要求，按最新的政策要求执行）</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三、供应商资质要求</w:t>
      </w:r>
    </w:p>
    <w:p>
      <w:pPr>
        <w:autoSpaceDE w:val="0"/>
        <w:autoSpaceDN w:val="0"/>
        <w:spacing w:line="400" w:lineRule="exact"/>
        <w:ind w:firstLine="420" w:firstLineChars="200"/>
        <w:rPr>
          <w:rFonts w:ascii="宋体" w:hAnsi="宋体" w:cs="宋体"/>
          <w:szCs w:val="21"/>
        </w:rPr>
      </w:pPr>
      <w:r>
        <w:rPr>
          <w:rFonts w:hint="eastAsia" w:ascii="宋体" w:hAnsi="宋体" w:cs="宋体"/>
          <w:szCs w:val="21"/>
        </w:rPr>
        <w:t>1.具备《中华人民共和国政府采购法》第二十二条规定的条件：</w:t>
      </w:r>
    </w:p>
    <w:p>
      <w:pPr>
        <w:pStyle w:val="2"/>
        <w:spacing w:line="400" w:lineRule="exact"/>
        <w:ind w:firstLine="420" w:firstLineChars="200"/>
        <w:rPr>
          <w:rFonts w:ascii="宋体" w:hAnsi="宋体" w:cs="宋体"/>
          <w:szCs w:val="21"/>
        </w:rPr>
      </w:pPr>
      <w:r>
        <w:rPr>
          <w:rFonts w:hint="eastAsia" w:ascii="宋体" w:hAnsi="宋体" w:cs="宋体"/>
          <w:szCs w:val="21"/>
        </w:rPr>
        <w:t>1.1须具有独立承担民事责任能力的在中华人民共和国境内注册的法人或其他组织或自然人（提供在中华人民共和国境内注册的法人或其他组织的营业执照或事业单位法人证书或社会团体法人登记证书复印件加盖供应商公章，如供应商为自然人的提供自然人身份证明复印件并自然人签字）</w:t>
      </w:r>
    </w:p>
    <w:p>
      <w:pPr>
        <w:widowControl/>
        <w:spacing w:line="400" w:lineRule="exact"/>
        <w:ind w:firstLine="420"/>
        <w:jc w:val="left"/>
        <w:rPr>
          <w:rFonts w:ascii="宋体" w:hAnsi="宋体" w:cs="宋体"/>
          <w:szCs w:val="21"/>
        </w:rPr>
      </w:pPr>
      <w:r>
        <w:rPr>
          <w:rFonts w:hint="eastAsia" w:ascii="宋体" w:hAnsi="宋体" w:cs="宋体"/>
          <w:szCs w:val="21"/>
        </w:rPr>
        <w:t>1.2具有独立承担民事责任的能力（提供承诺函，承诺函必须包含相关文字内容，格式自拟）；</w:t>
      </w:r>
    </w:p>
    <w:p>
      <w:pPr>
        <w:widowControl/>
        <w:spacing w:line="400" w:lineRule="exact"/>
        <w:ind w:firstLine="420"/>
        <w:jc w:val="left"/>
        <w:rPr>
          <w:rFonts w:ascii="宋体" w:hAnsi="宋体" w:cs="宋体"/>
          <w:szCs w:val="21"/>
        </w:rPr>
      </w:pPr>
      <w:r>
        <w:rPr>
          <w:rFonts w:hint="eastAsia" w:ascii="宋体" w:hAnsi="宋体" w:cs="宋体"/>
          <w:szCs w:val="21"/>
        </w:rPr>
        <w:t>1.3具有履行合同所必需的设备和专业技术能力(填报设备及专业技术能力情况或者提供承诺函，承诺函必须包含相关文字内容，格式自拟)；</w:t>
      </w:r>
    </w:p>
    <w:p>
      <w:pPr>
        <w:widowControl/>
        <w:spacing w:line="400" w:lineRule="exact"/>
        <w:ind w:firstLine="420"/>
        <w:jc w:val="left"/>
        <w:rPr>
          <w:rFonts w:ascii="宋体" w:hAnsi="宋体" w:cs="宋体"/>
          <w:szCs w:val="21"/>
        </w:rPr>
      </w:pPr>
      <w:r>
        <w:rPr>
          <w:rFonts w:hint="eastAsia" w:ascii="宋体" w:hAnsi="宋体" w:cs="宋体"/>
          <w:szCs w:val="21"/>
        </w:rPr>
        <w:t>1.4具有依法缴纳税收和社会保障资金的良好记录（提供承诺函，承诺函必须包含相关文字内容，格式自拟）；</w:t>
      </w:r>
    </w:p>
    <w:p>
      <w:pPr>
        <w:widowControl/>
        <w:spacing w:line="400" w:lineRule="exact"/>
        <w:ind w:firstLine="420"/>
        <w:jc w:val="left"/>
        <w:rPr>
          <w:rFonts w:ascii="宋体" w:hAnsi="宋体" w:cs="宋体"/>
          <w:szCs w:val="21"/>
        </w:rPr>
      </w:pPr>
      <w:r>
        <w:rPr>
          <w:rFonts w:hint="eastAsia" w:ascii="宋体" w:hAnsi="宋体" w:cs="宋体"/>
          <w:szCs w:val="21"/>
        </w:rPr>
        <w:t>1.5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提供“信用中国”网站或全国法院被执行人信息查询的网页截图）；</w:t>
      </w:r>
    </w:p>
    <w:p>
      <w:pPr>
        <w:widowControl/>
        <w:spacing w:line="400" w:lineRule="exact"/>
        <w:ind w:firstLine="420" w:firstLineChars="200"/>
        <w:jc w:val="left"/>
        <w:rPr>
          <w:rFonts w:ascii="宋体" w:hAnsi="宋体"/>
          <w:color w:val="000000"/>
          <w:szCs w:val="21"/>
        </w:rPr>
      </w:pPr>
      <w:r>
        <w:rPr>
          <w:rFonts w:hint="eastAsia" w:ascii="宋体" w:hAnsi="宋体"/>
          <w:color w:val="000000"/>
          <w:szCs w:val="21"/>
        </w:rPr>
        <w:t xml:space="preserve">2.具有中华人民共和国卫生行政部门颁发的医疗机构执业许可证（各级疾控中心参与的无需提供《医疗机构执业许可证》）（提供相关证件复印件，并加盖公章） </w:t>
      </w:r>
    </w:p>
    <w:p>
      <w:pPr>
        <w:widowControl/>
        <w:spacing w:line="400" w:lineRule="exact"/>
        <w:ind w:firstLine="420"/>
        <w:jc w:val="left"/>
        <w:rPr>
          <w:rFonts w:ascii="宋体" w:hAnsi="宋体"/>
          <w:color w:val="000000"/>
          <w:szCs w:val="21"/>
        </w:rPr>
      </w:pPr>
      <w:r>
        <w:rPr>
          <w:rFonts w:hint="eastAsia" w:ascii="宋体" w:hAnsi="宋体"/>
          <w:color w:val="000000"/>
          <w:szCs w:val="21"/>
        </w:rPr>
        <w:t>3.法定代表人或单位负责人为同一人或者存在直接控股、管理关系的不同响应单位，不得参加同一合同项下的政府采购活动（提供承诺函，承诺函必须包含相关文字内容，格式自拟）</w:t>
      </w:r>
    </w:p>
    <w:p>
      <w:pPr>
        <w:widowControl/>
        <w:spacing w:line="400" w:lineRule="exact"/>
        <w:ind w:firstLine="420"/>
        <w:jc w:val="left"/>
        <w:rPr>
          <w:rFonts w:ascii="宋体" w:hAnsi="宋体"/>
          <w:color w:val="000000"/>
          <w:szCs w:val="21"/>
        </w:rPr>
      </w:pPr>
      <w:r>
        <w:rPr>
          <w:rFonts w:hint="eastAsia" w:ascii="宋体" w:hAnsi="宋体"/>
          <w:color w:val="000000"/>
          <w:szCs w:val="21"/>
        </w:rPr>
        <w:t>4.本项目不接受联合体。（提供声明函，承诺函必须包含相关内容描述，格式自拟）。</w:t>
      </w:r>
    </w:p>
    <w:p>
      <w:pPr>
        <w:adjustRightInd w:val="0"/>
        <w:snapToGrid w:val="0"/>
        <w:spacing w:line="400" w:lineRule="exact"/>
        <w:ind w:firstLine="422" w:firstLineChars="200"/>
        <w:rPr>
          <w:rFonts w:ascii="宋体" w:hAnsi="宋体" w:cs="宋体"/>
          <w:b/>
          <w:bCs/>
          <w:szCs w:val="21"/>
          <w:lang w:val="zh-CN"/>
        </w:rPr>
      </w:pPr>
      <w:r>
        <w:rPr>
          <w:rFonts w:hint="eastAsia" w:ascii="宋体" w:hAnsi="宋体" w:cs="宋体"/>
          <w:b/>
          <w:bCs/>
          <w:szCs w:val="21"/>
          <w:lang w:val="zh-CN"/>
        </w:rPr>
        <w:t>注：供应商若不能同时满足以上条件则视为投标参与无效。（如发现提供虚假材料者，取消其参加评审资格和成交资格）</w:t>
      </w:r>
    </w:p>
    <w:p>
      <w:pPr>
        <w:adjustRightInd w:val="0"/>
        <w:snapToGrid w:val="0"/>
        <w:spacing w:line="400" w:lineRule="exact"/>
        <w:ind w:firstLine="422" w:firstLineChars="200"/>
        <w:rPr>
          <w:rFonts w:ascii="宋体" w:hAnsi="宋体" w:cs="宋体"/>
          <w:b/>
          <w:bCs/>
          <w:szCs w:val="21"/>
          <w:lang w:val="zh-CN"/>
        </w:rPr>
      </w:pPr>
      <w:r>
        <w:rPr>
          <w:rFonts w:hint="eastAsia" w:ascii="宋体" w:hAnsi="宋体" w:cs="宋体"/>
          <w:b/>
          <w:bCs/>
          <w:szCs w:val="21"/>
          <w:lang w:val="zh-CN"/>
        </w:rPr>
        <w:t>四、联系方式</w:t>
      </w:r>
    </w:p>
    <w:p>
      <w:pPr>
        <w:widowControl/>
        <w:spacing w:line="400" w:lineRule="exact"/>
        <w:ind w:firstLine="315" w:firstLineChars="150"/>
        <w:jc w:val="left"/>
        <w:rPr>
          <w:rFonts w:ascii="宋体" w:hAnsi="宋体" w:cs="宋体"/>
          <w:kern w:val="0"/>
          <w:szCs w:val="21"/>
        </w:rPr>
      </w:pPr>
      <w:r>
        <w:rPr>
          <w:rFonts w:hint="eastAsia" w:ascii="宋体" w:hAnsi="宋体" w:cs="宋体"/>
          <w:kern w:val="0"/>
          <w:szCs w:val="21"/>
        </w:rPr>
        <w:t>冯老师：020-61780580（采购业务咨询）  邮箱：</w:t>
      </w:r>
      <w:r>
        <w:rPr>
          <w:rFonts w:ascii="宋体" w:hAnsi="宋体" w:cs="宋体"/>
          <w:kern w:val="0"/>
          <w:szCs w:val="21"/>
        </w:rPr>
        <w:t>nywycgb@126.com</w:t>
      </w:r>
    </w:p>
    <w:p>
      <w:pPr>
        <w:widowControl/>
        <w:spacing w:line="400" w:lineRule="exact"/>
        <w:ind w:firstLine="315" w:firstLineChars="150"/>
        <w:jc w:val="left"/>
        <w:rPr>
          <w:rFonts w:ascii="宋体" w:hAnsi="宋体" w:cs="宋体"/>
          <w:kern w:val="0"/>
          <w:szCs w:val="21"/>
        </w:rPr>
      </w:pPr>
      <w:r>
        <w:rPr>
          <w:rFonts w:hint="eastAsia" w:ascii="宋体" w:hAnsi="宋体" w:cs="宋体"/>
          <w:szCs w:val="21"/>
        </w:rPr>
        <w:t>翁老师：020-61780011（项目需求咨询）</w:t>
      </w:r>
    </w:p>
    <w:p>
      <w:pPr>
        <w:widowControl/>
        <w:spacing w:line="400" w:lineRule="exact"/>
        <w:ind w:firstLine="315" w:firstLineChars="150"/>
        <w:jc w:val="left"/>
        <w:rPr>
          <w:rFonts w:ascii="宋体" w:hAnsi="宋体" w:cs="宋体"/>
          <w:kern w:val="0"/>
          <w:szCs w:val="21"/>
        </w:rPr>
      </w:pPr>
      <w:r>
        <w:rPr>
          <w:rFonts w:hint="eastAsia" w:ascii="宋体" w:hAnsi="宋体" w:cs="宋体"/>
          <w:kern w:val="0"/>
          <w:szCs w:val="21"/>
        </w:rPr>
        <w:t>刘老师：020-61780096（投诉举报电话）</w:t>
      </w:r>
    </w:p>
    <w:p>
      <w:pPr>
        <w:widowControl/>
        <w:spacing w:line="400" w:lineRule="exact"/>
        <w:ind w:firstLine="315" w:firstLineChars="150"/>
        <w:jc w:val="left"/>
        <w:rPr>
          <w:rFonts w:ascii="宋体" w:hAnsi="宋体" w:cs="宋体"/>
          <w:kern w:val="0"/>
          <w:szCs w:val="21"/>
        </w:rPr>
      </w:pPr>
      <w:r>
        <w:rPr>
          <w:rFonts w:hint="eastAsia" w:ascii="宋体" w:hAnsi="宋体" w:cs="宋体"/>
          <w:kern w:val="0"/>
          <w:szCs w:val="21"/>
        </w:rPr>
        <w:t>联系时间（工作日）：上午 8:30-12:00，下午14:30-17:30</w:t>
      </w:r>
    </w:p>
    <w:p>
      <w:pPr>
        <w:widowControl/>
        <w:spacing w:line="400" w:lineRule="exact"/>
        <w:jc w:val="right"/>
        <w:rPr>
          <w:rFonts w:ascii="宋体" w:hAnsi="宋体" w:cs="宋体"/>
          <w:kern w:val="0"/>
          <w:szCs w:val="21"/>
        </w:rPr>
      </w:pPr>
    </w:p>
    <w:p>
      <w:pPr>
        <w:adjustRightInd w:val="0"/>
        <w:snapToGrid w:val="0"/>
        <w:spacing w:line="400" w:lineRule="exact"/>
        <w:ind w:firstLine="420" w:firstLineChars="200"/>
        <w:jc w:val="right"/>
        <w:rPr>
          <w:rFonts w:ascii="宋体" w:hAnsi="宋体" w:cs="宋体"/>
          <w:szCs w:val="21"/>
          <w:lang w:val="zh-CN"/>
        </w:rPr>
      </w:pPr>
      <w:r>
        <w:rPr>
          <w:rFonts w:hint="eastAsia" w:ascii="宋体" w:hAnsi="宋体" w:cs="宋体"/>
          <w:szCs w:val="21"/>
          <w:lang w:val="zh-CN"/>
        </w:rPr>
        <w:t>南方医科大学第五附属医院</w:t>
      </w:r>
    </w:p>
    <w:p>
      <w:pPr>
        <w:pStyle w:val="2"/>
        <w:spacing w:line="400" w:lineRule="exact"/>
        <w:jc w:val="right"/>
        <w:rPr>
          <w:rFonts w:ascii="宋体" w:hAnsi="宋体" w:cs="宋体"/>
          <w:szCs w:val="21"/>
        </w:rPr>
      </w:pPr>
      <w:r>
        <w:rPr>
          <w:rFonts w:hint="eastAsia" w:ascii="宋体" w:hAnsi="宋体" w:cs="宋体"/>
          <w:szCs w:val="21"/>
          <w:lang w:val="zh-CN"/>
        </w:rPr>
        <w:t>202</w:t>
      </w:r>
      <w:r>
        <w:rPr>
          <w:rFonts w:hint="eastAsia" w:ascii="宋体" w:hAnsi="宋体" w:cs="宋体"/>
          <w:szCs w:val="21"/>
        </w:rPr>
        <w:t>2</w:t>
      </w:r>
      <w:r>
        <w:rPr>
          <w:rFonts w:hint="eastAsia" w:ascii="宋体" w:hAnsi="宋体" w:cs="宋体"/>
          <w:szCs w:val="21"/>
          <w:lang w:val="zh-CN"/>
        </w:rPr>
        <w:t>年</w:t>
      </w:r>
      <w:r>
        <w:rPr>
          <w:rFonts w:hint="eastAsia" w:ascii="宋体" w:hAnsi="宋体" w:cs="宋体"/>
          <w:szCs w:val="21"/>
          <w:lang w:val="en-US" w:eastAsia="zh-CN"/>
        </w:rPr>
        <w:t>11</w:t>
      </w:r>
      <w:r>
        <w:rPr>
          <w:rFonts w:hint="eastAsia" w:ascii="宋体" w:hAnsi="宋体" w:cs="宋体"/>
          <w:szCs w:val="21"/>
          <w:lang w:val="zh-CN"/>
        </w:rPr>
        <w:t>月</w:t>
      </w:r>
      <w:r>
        <w:rPr>
          <w:rFonts w:hint="eastAsia" w:ascii="宋体" w:hAnsi="宋体" w:cs="宋体"/>
          <w:szCs w:val="21"/>
          <w:lang w:val="en-US" w:eastAsia="zh-CN"/>
        </w:rPr>
        <w:t>4</w:t>
      </w:r>
      <w:r>
        <w:rPr>
          <w:rFonts w:hint="eastAsia" w:ascii="宋体" w:hAnsi="宋体" w:cs="宋体"/>
          <w:szCs w:val="21"/>
          <w:lang w:val="zh-CN"/>
        </w:rPr>
        <w:t>日</w:t>
      </w:r>
    </w:p>
    <w:p>
      <w:pPr>
        <w:pStyle w:val="2"/>
        <w:spacing w:line="400" w:lineRule="exact"/>
        <w:jc w:val="right"/>
        <w:rPr>
          <w:rFonts w:ascii="宋体" w:hAnsi="宋体" w:cs="宋体"/>
          <w:szCs w:val="21"/>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numPr>
          <w:ilvl w:val="0"/>
          <w:numId w:val="3"/>
        </w:numPr>
        <w:spacing w:line="360" w:lineRule="auto"/>
        <w:jc w:val="center"/>
        <w:outlineLvl w:val="0"/>
        <w:rPr>
          <w:rFonts w:ascii="宋体" w:hAnsi="宋体"/>
          <w:b/>
          <w:bCs/>
          <w:sz w:val="30"/>
          <w:szCs w:val="30"/>
        </w:rPr>
      </w:pPr>
      <w:bookmarkStart w:id="2" w:name="_Toc25861"/>
      <w:bookmarkStart w:id="3" w:name="_Toc27350"/>
      <w:bookmarkStart w:id="4" w:name="_Toc1526"/>
      <w:r>
        <w:rPr>
          <w:rFonts w:hint="eastAsia" w:ascii="宋体" w:hAnsi="宋体"/>
          <w:b/>
          <w:bCs/>
          <w:sz w:val="30"/>
          <w:szCs w:val="30"/>
        </w:rPr>
        <w:t xml:space="preserve"> 用户需求书</w:t>
      </w:r>
      <w:bookmarkEnd w:id="2"/>
      <w:bookmarkEnd w:id="3"/>
      <w:bookmarkEnd w:id="4"/>
    </w:p>
    <w:p>
      <w:pPr>
        <w:spacing w:line="360" w:lineRule="auto"/>
        <w:ind w:firstLine="420" w:firstLineChars="200"/>
        <w:rPr>
          <w:rFonts w:ascii="宋体" w:hAnsi="宋体" w:cs="宋体"/>
          <w:color w:val="auto"/>
          <w:szCs w:val="21"/>
        </w:rPr>
      </w:pPr>
      <w:r>
        <w:rPr>
          <w:rFonts w:hint="eastAsia" w:ascii="宋体" w:hAnsi="宋体" w:cs="宋体"/>
          <w:color w:val="auto"/>
          <w:szCs w:val="21"/>
        </w:rPr>
        <w:t>“★”号条款为实质性条款，若有任何一条负偏离或不满足则导致投标（响应）无效。</w:t>
      </w:r>
    </w:p>
    <w:p>
      <w:pPr>
        <w:spacing w:line="360" w:lineRule="auto"/>
        <w:ind w:firstLine="420" w:firstLineChars="200"/>
        <w:rPr>
          <w:rFonts w:ascii="宋体" w:hAnsi="宋体" w:cs="宋体"/>
          <w:color w:val="auto"/>
          <w:szCs w:val="21"/>
        </w:rPr>
      </w:pPr>
      <w:r>
        <w:rPr>
          <w:rFonts w:hint="eastAsia" w:ascii="宋体" w:hAnsi="宋体" w:cs="宋体"/>
          <w:color w:val="auto"/>
          <w:szCs w:val="21"/>
        </w:rPr>
        <w:t>“▲”号条款为重要技术参数（如有），若有部分“▲”条款未响应或不满足，将根据评审要求影响其得分，但不作为无效投标（响应）条款。</w:t>
      </w:r>
    </w:p>
    <w:p>
      <w:pPr>
        <w:rPr>
          <w:rFonts w:ascii="宋体" w:hAnsi="宋体" w:cs="宋体"/>
          <w:b/>
          <w:bCs/>
          <w:color w:val="0D0D0D" w:themeColor="text1" w:themeTint="F2"/>
          <w:szCs w:val="21"/>
          <w14:textFill>
            <w14:solidFill>
              <w14:schemeClr w14:val="tx1">
                <w14:lumMod w14:val="95000"/>
                <w14:lumOff w14:val="5000"/>
              </w14:schemeClr>
            </w14:solidFill>
          </w14:textFill>
        </w:rPr>
      </w:pPr>
      <w:r>
        <w:rPr>
          <w:rFonts w:hint="eastAsia" w:ascii="宋体" w:hAnsi="宋体" w:cs="宋体"/>
          <w:b/>
          <w:bCs/>
          <w:color w:val="0D0D0D" w:themeColor="text1" w:themeTint="F2"/>
          <w:szCs w:val="21"/>
          <w14:textFill>
            <w14:solidFill>
              <w14:schemeClr w14:val="tx1">
                <w14:lumMod w14:val="95000"/>
                <w14:lumOff w14:val="5000"/>
              </w14:schemeClr>
            </w14:solidFill>
          </w14:textFill>
        </w:rPr>
        <w:t>一、采购内容</w:t>
      </w:r>
    </w:p>
    <w:tbl>
      <w:tblPr>
        <w:tblStyle w:val="20"/>
        <w:tblW w:w="48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901" w:type="pct"/>
            <w:vAlign w:val="center"/>
          </w:tcPr>
          <w:p>
            <w:pPr>
              <w:jc w:val="center"/>
              <w:rPr>
                <w:rFonts w:ascii="宋体" w:hAnsi="宋体" w:cs="宋体"/>
                <w:b/>
                <w:color w:val="0D0D0D" w:themeColor="text1" w:themeTint="F2"/>
                <w:szCs w:val="21"/>
                <w14:textFill>
                  <w14:solidFill>
                    <w14:schemeClr w14:val="tx1">
                      <w14:lumMod w14:val="95000"/>
                      <w14:lumOff w14:val="5000"/>
                    </w14:schemeClr>
                  </w14:solidFill>
                </w14:textFill>
              </w:rPr>
            </w:pPr>
            <w:r>
              <w:rPr>
                <w:rFonts w:hint="eastAsia" w:ascii="宋体" w:hAnsi="宋体" w:cs="宋体"/>
                <w:b/>
                <w:color w:val="0D0D0D" w:themeColor="text1" w:themeTint="F2"/>
                <w:szCs w:val="21"/>
                <w14:textFill>
                  <w14:solidFill>
                    <w14:schemeClr w14:val="tx1">
                      <w14:lumMod w14:val="95000"/>
                      <w14:lumOff w14:val="5000"/>
                    </w14:schemeClr>
                  </w14:solidFill>
                </w14:textFill>
              </w:rPr>
              <w:t>采购内容</w:t>
            </w:r>
          </w:p>
        </w:tc>
        <w:tc>
          <w:tcPr>
            <w:tcW w:w="3099" w:type="pct"/>
            <w:vAlign w:val="center"/>
          </w:tcPr>
          <w:p>
            <w:pPr>
              <w:jc w:val="center"/>
              <w:rPr>
                <w:rFonts w:ascii="宋体" w:hAnsi="宋体" w:cs="宋体"/>
                <w:b/>
                <w:color w:val="0D0D0D" w:themeColor="text1" w:themeTint="F2"/>
                <w:szCs w:val="21"/>
                <w14:textFill>
                  <w14:solidFill>
                    <w14:schemeClr w14:val="tx1">
                      <w14:lumMod w14:val="95000"/>
                      <w14:lumOff w14:val="5000"/>
                    </w14:schemeClr>
                  </w14:solidFill>
                </w14:textFill>
              </w:rPr>
            </w:pPr>
            <w:r>
              <w:rPr>
                <w:rFonts w:hint="eastAsia" w:ascii="宋体" w:hAnsi="宋体" w:cs="宋体"/>
                <w:b/>
                <w:color w:val="0D0D0D" w:themeColor="text1" w:themeTint="F2"/>
                <w:szCs w:val="21"/>
                <w14:textFill>
                  <w14:solidFill>
                    <w14:schemeClr w14:val="tx1">
                      <w14:lumMod w14:val="95000"/>
                      <w14:lumOff w14:val="5000"/>
                    </w14:schemeClr>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901" w:type="pct"/>
            <w:vAlign w:val="center"/>
          </w:tcPr>
          <w:p>
            <w:pPr>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病理项目外送</w:t>
            </w:r>
          </w:p>
          <w:p>
            <w:pPr>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检查项目</w:t>
            </w:r>
          </w:p>
        </w:tc>
        <w:tc>
          <w:tcPr>
            <w:tcW w:w="3099" w:type="pct"/>
            <w:vAlign w:val="center"/>
          </w:tcPr>
          <w:p>
            <w:pPr>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疑难病理、肾脏病理、分子病理、远程病理会诊等</w:t>
            </w:r>
          </w:p>
        </w:tc>
      </w:tr>
    </w:tbl>
    <w:p>
      <w:pPr>
        <w:spacing w:line="400" w:lineRule="exac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如以上项目科室能够开展，将逐步减少或停止外送。</w:t>
      </w:r>
    </w:p>
    <w:p>
      <w:pPr>
        <w:spacing w:line="400" w:lineRule="exact"/>
        <w:rPr>
          <w:rFonts w:ascii="宋体" w:hAnsi="宋体" w:cs="宋体"/>
          <w:b/>
          <w:bCs/>
          <w:color w:val="0D0D0D" w:themeColor="text1" w:themeTint="F2"/>
          <w:szCs w:val="21"/>
          <w14:textFill>
            <w14:solidFill>
              <w14:schemeClr w14:val="tx1">
                <w14:lumMod w14:val="95000"/>
                <w14:lumOff w14:val="5000"/>
              </w14:schemeClr>
            </w14:solidFill>
          </w14:textFill>
        </w:rPr>
      </w:pPr>
      <w:r>
        <w:rPr>
          <w:rFonts w:hint="eastAsia" w:ascii="宋体" w:hAnsi="宋体" w:cs="宋体"/>
          <w:b/>
          <w:bCs/>
          <w:color w:val="0D0D0D" w:themeColor="text1" w:themeTint="F2"/>
          <w:szCs w:val="21"/>
          <w14:textFill>
            <w14:solidFill>
              <w14:schemeClr w14:val="tx1">
                <w14:lumMod w14:val="95000"/>
                <w14:lumOff w14:val="5000"/>
              </w14:schemeClr>
            </w14:solidFill>
          </w14:textFill>
        </w:rPr>
        <w:t>二、商务要求</w:t>
      </w:r>
    </w:p>
    <w:p>
      <w:pPr>
        <w:spacing w:line="400" w:lineRule="exact"/>
        <w:rPr>
          <w:rFonts w:ascii="宋体" w:hAnsi="宋体" w:cs="宋体"/>
          <w:bCs/>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1.报价要求</w:t>
      </w:r>
    </w:p>
    <w:p>
      <w:pPr>
        <w:spacing w:line="400" w:lineRule="exact"/>
        <w:rPr>
          <w:rFonts w:ascii="宋体" w:hAnsi="宋体" w:cs="宋体"/>
          <w:bCs/>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Cs/>
          <w:snapToGrid w:val="0"/>
          <w:color w:val="0D0D0D" w:themeColor="text1" w:themeTint="F2"/>
          <w:szCs w:val="21"/>
          <w:lang w:val="en-GB"/>
          <w14:textFill>
            <w14:solidFill>
              <w14:schemeClr w14:val="tx1">
                <w14:lumMod w14:val="95000"/>
                <w14:lumOff w14:val="5000"/>
              </w14:schemeClr>
            </w14:solidFill>
          </w14:textFill>
        </w:rPr>
        <w:t>★</w:t>
      </w: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供应商应按照《广州市公立医疗机构基本医疗服务价格》（以最新版本为准），对本项目所有检测内容按折扣率进行报价，报价应包括但不限于各种人力成本、货物成本、资料费、服务费、</w:t>
      </w:r>
      <w:r>
        <w:rPr>
          <w:rFonts w:hint="eastAsia" w:ascii="宋体" w:hAnsi="宋体" w:cs="宋体"/>
          <w:snapToGrid w:val="0"/>
          <w:color w:val="0D0D0D" w:themeColor="text1" w:themeTint="F2"/>
          <w:szCs w:val="21"/>
          <w14:textFill>
            <w14:solidFill>
              <w14:schemeClr w14:val="tx1">
                <w14:lumMod w14:val="95000"/>
                <w14:lumOff w14:val="5000"/>
              </w14:schemeClr>
            </w14:solidFill>
          </w14:textFill>
        </w:rPr>
        <w:t>信息系统接口费、</w:t>
      </w: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税费、物流服务、标本采集试管、保存装置及合同实施过程中的所有费用。</w:t>
      </w:r>
    </w:p>
    <w:p>
      <w:pPr>
        <w:spacing w:line="400" w:lineRule="exact"/>
        <w:rPr>
          <w:rFonts w:ascii="宋体" w:hAnsi="宋体" w:cs="宋体"/>
          <w:bCs/>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2.服务年限：签订合同之日起3年，每年合作期满对成交供应商进行年度考核，年度考核合格后自动履行下一年合同。</w:t>
      </w:r>
    </w:p>
    <w:p>
      <w:pPr>
        <w:spacing w:line="400" w:lineRule="exact"/>
        <w:rPr>
          <w:rFonts w:ascii="宋体" w:hAnsi="宋体" w:cs="宋体"/>
          <w:bCs/>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3.预算：15万元/年。</w:t>
      </w:r>
    </w:p>
    <w:p>
      <w:pPr>
        <w:spacing w:line="400" w:lineRule="exact"/>
        <w:rPr>
          <w:rFonts w:ascii="宋体" w:hAnsi="宋体" w:cs="宋体"/>
          <w:bCs/>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4.服务地点：采购人指定的地点。</w:t>
      </w:r>
    </w:p>
    <w:p>
      <w:pPr>
        <w:spacing w:line="400" w:lineRule="exact"/>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 xml:space="preserve">5.付款和结算方式： </w:t>
      </w:r>
    </w:p>
    <w:p>
      <w:pPr>
        <w:pStyle w:val="28"/>
        <w:spacing w:line="400" w:lineRule="exact"/>
        <w:ind w:firstLine="0" w:firstLineChars="0"/>
        <w:rPr>
          <w:rFonts w:ascii="宋体" w:hAnsi="宋体" w:cs="宋体"/>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szCs w:val="21"/>
          <w14:textFill>
            <w14:solidFill>
              <w14:schemeClr w14:val="tx1">
                <w14:lumMod w14:val="95000"/>
                <w14:lumOff w14:val="5000"/>
              </w14:schemeClr>
            </w14:solidFill>
          </w14:textFill>
        </w:rPr>
        <w:t>（1）按季度结算，本季度结算上季度服务金额。</w:t>
      </w:r>
    </w:p>
    <w:p>
      <w:pPr>
        <w:pStyle w:val="28"/>
        <w:spacing w:line="400" w:lineRule="exact"/>
        <w:ind w:firstLine="0" w:firstLineChars="0"/>
        <w:rPr>
          <w:rFonts w:ascii="宋体" w:hAnsi="宋体" w:cs="宋体"/>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szCs w:val="21"/>
          <w14:textFill>
            <w14:solidFill>
              <w14:schemeClr w14:val="tx1">
                <w14:lumMod w14:val="95000"/>
                <w14:lumOff w14:val="5000"/>
              </w14:schemeClr>
            </w14:solidFill>
          </w14:textFill>
        </w:rPr>
        <w:t>（2）实际检测项目结算单价=实际检测项目收费标准×报价折扣率。</w:t>
      </w:r>
    </w:p>
    <w:p>
      <w:pPr>
        <w:spacing w:line="400" w:lineRule="exact"/>
        <w:rPr>
          <w:rFonts w:ascii="宋体" w:hAnsi="宋体" w:cs="宋体"/>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szCs w:val="21"/>
          <w14:textFill>
            <w14:solidFill>
              <w14:schemeClr w14:val="tx1">
                <w14:lumMod w14:val="95000"/>
                <w14:lumOff w14:val="5000"/>
              </w14:schemeClr>
            </w14:solidFill>
          </w14:textFill>
        </w:rPr>
        <w:t>（3）每季结算金额=实际检测项目收费标准×报价折扣率×上季度实际检测数量。成交供应商于每季度首月5 日前提供上一季度送检数量结算明细清单交到给采购人处, 采购人收到资料审核无误后通知成交供应商开具发票，采购人收到发票后15个工作日内转账支付服务费用。</w:t>
      </w:r>
    </w:p>
    <w:p>
      <w:pPr>
        <w:spacing w:line="400" w:lineRule="exact"/>
        <w:rPr>
          <w:rFonts w:ascii="宋体" w:hAnsi="宋体" w:cs="宋体"/>
          <w:b/>
          <w:bCs/>
          <w:color w:val="0D0D0D" w:themeColor="text1" w:themeTint="F2"/>
          <w:szCs w:val="21"/>
          <w14:textFill>
            <w14:solidFill>
              <w14:schemeClr w14:val="tx1">
                <w14:lumMod w14:val="95000"/>
                <w14:lumOff w14:val="5000"/>
              </w14:schemeClr>
            </w14:solidFill>
          </w14:textFill>
        </w:rPr>
      </w:pPr>
      <w:r>
        <w:rPr>
          <w:rFonts w:hint="eastAsia" w:ascii="宋体" w:hAnsi="宋体" w:cs="宋体"/>
          <w:b/>
          <w:bCs/>
          <w:color w:val="0D0D0D" w:themeColor="text1" w:themeTint="F2"/>
          <w:szCs w:val="21"/>
          <w14:textFill>
            <w14:solidFill>
              <w14:schemeClr w14:val="tx1">
                <w14:lumMod w14:val="95000"/>
                <w14:lumOff w14:val="5000"/>
              </w14:schemeClr>
            </w14:solidFill>
          </w14:textFill>
        </w:rPr>
        <w:t>四、技术服务要求</w:t>
      </w:r>
    </w:p>
    <w:p>
      <w:pPr>
        <w:spacing w:line="400" w:lineRule="exact"/>
        <w:rPr>
          <w:rFonts w:ascii="宋体" w:hAnsi="宋体" w:cs="宋体"/>
          <w:b/>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
          <w:snapToGrid w:val="0"/>
          <w:color w:val="0D0D0D" w:themeColor="text1" w:themeTint="F2"/>
          <w:szCs w:val="21"/>
          <w14:textFill>
            <w14:solidFill>
              <w14:schemeClr w14:val="tx1">
                <w14:lumMod w14:val="95000"/>
                <w14:lumOff w14:val="5000"/>
              </w14:schemeClr>
            </w14:solidFill>
          </w14:textFill>
        </w:rPr>
        <w:t>1.技术要求</w:t>
      </w:r>
    </w:p>
    <w:p>
      <w:pPr>
        <w:spacing w:line="400" w:lineRule="exac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（1）供应商实验室符合国家卫健委《医疗机构临床实验室管理办法》等法律法规要求。</w:t>
      </w:r>
    </w:p>
    <w:p>
      <w:pPr>
        <w:spacing w:line="400" w:lineRule="exac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（2）供应商保证按国家检测规范进行操作，并对标本的检测报告承担相应的责任。</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（3）供应商实验室通过临床检验中心组织的室间质评。</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（4）供应商实验室须具有临床检验中心颁发临床基因扩增检验实验室技术审核验收合格证书。</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（5）供应商实验室通过ISO15189《医学实验室-质量和能力的要求》认证、通过美国病理学家学会（CAP）认证。</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（6）供应商实验室需拥有专业的技术人员，可提供专业的检测服务。</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szCs w:val="21"/>
        </w:rPr>
        <w:t>▲</w:t>
      </w:r>
      <w:r>
        <w:rPr>
          <w:rFonts w:hint="eastAsia" w:ascii="宋体" w:hAnsi="宋体" w:cs="宋体"/>
          <w:color w:val="0D0D0D" w:themeColor="text1" w:themeTint="F2"/>
          <w:szCs w:val="21"/>
          <w14:textFill>
            <w14:solidFill>
              <w14:schemeClr w14:val="tx1">
                <w14:lumMod w14:val="95000"/>
                <w14:lumOff w14:val="5000"/>
              </w14:schemeClr>
            </w14:solidFill>
          </w14:textFill>
        </w:rPr>
        <w:t>（7）供应商病理实验室拥有完善的病理技术平台，包括细胞病理、组织病理、分子病理、远程病理等；供应商拥有丰富远程病理诊断服务经验和良好运营能力；可提供良好的临床病理学术沟通平台，协助解决病理疑难病例。</w:t>
      </w:r>
    </w:p>
    <w:p>
      <w:pPr>
        <w:pStyle w:val="28"/>
        <w:spacing w:line="400" w:lineRule="exact"/>
        <w:ind w:firstLine="0" w:firstLineChars="0"/>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（8）分子病理项目：采购人将根据情况提供石蜡切片进行外送，用于辅助分子检测，供应商所有检测数据需完整准确回传至采购人病理科。</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szCs w:val="21"/>
        </w:rPr>
        <w:t>▲</w:t>
      </w:r>
      <w:r>
        <w:rPr>
          <w:rFonts w:hint="eastAsia" w:ascii="宋体" w:hAnsi="宋体" w:cs="宋体"/>
          <w:color w:val="0D0D0D" w:themeColor="text1" w:themeTint="F2"/>
          <w:szCs w:val="21"/>
          <w14:textFill>
            <w14:solidFill>
              <w14:schemeClr w14:val="tx1">
                <w14:lumMod w14:val="95000"/>
                <w14:lumOff w14:val="5000"/>
              </w14:schemeClr>
            </w14:solidFill>
          </w14:textFill>
        </w:rPr>
        <w:t>（9）供应商具有医学肾脏穿刺病理活检项目工作经验，提供医学肾脏穿刺病理活检标本采集、检测、报告应用的咨询、指导。</w:t>
      </w:r>
    </w:p>
    <w:p>
      <w:pPr>
        <w:pStyle w:val="28"/>
        <w:spacing w:line="400" w:lineRule="exact"/>
        <w:ind w:firstLine="0" w:firstLineChars="0"/>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（10）肾脏组织免疫荧光、光镜检查病理诊断及电镜检查病理诊断项目报告需在标本到达供应商实验室后2天内出具，成交供应商对其出具的病理诊断报告结果，负责并对其内容进行解释。</w:t>
      </w:r>
    </w:p>
    <w:p>
      <w:pPr>
        <w:pStyle w:val="28"/>
        <w:spacing w:line="400" w:lineRule="exact"/>
        <w:ind w:firstLine="0" w:firstLineChars="0"/>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（11）肾穿技术层面要求：穿刺针在16号或以上的光镜标本，除常规连续切片外，能进行3层面连续切片，可最大限度观察到穿刺出来的每一个肾小球。</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12）供应商对所发放的医学肾脏穿刺病理活检报告负责。合作期间，因为供应商的医学肾脏穿刺病理活检报告质量问题发生医疗纠纷或医疗事故，采购人及时通知供应商，并按采购人的相关程序进行调解和处理，因供应商医学肾脏穿刺病理活检报告存在质量问题导致医疗纠纷或医疗事故而造成采购人经济损失由供应商承担相关责任。</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（13）供应商拥有权威医学院校的技术支撑，协助采购人开展病理检查人员进修培训、协助采购人开展继续教育、专题讲座等学术交流活动。</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 xml:space="preserve">（14）供应商LIS系统可与医院的LIS对接，实现检验项目结果传输，方便检验项目的统一管理。 </w:t>
      </w:r>
    </w:p>
    <w:p>
      <w:pPr>
        <w:autoSpaceDE w:val="0"/>
        <w:autoSpaceDN w:val="0"/>
        <w:adjustRightInd w:val="0"/>
        <w:spacing w:line="400" w:lineRule="exact"/>
        <w:jc w:val="left"/>
        <w:rPr>
          <w:rFonts w:ascii="宋体" w:hAnsi="宋体" w:cs="宋体"/>
          <w:b/>
          <w:color w:val="0D0D0D" w:themeColor="text1" w:themeTint="F2"/>
          <w:szCs w:val="21"/>
          <w14:textFill>
            <w14:solidFill>
              <w14:schemeClr w14:val="tx1">
                <w14:lumMod w14:val="95000"/>
                <w14:lumOff w14:val="5000"/>
              </w14:schemeClr>
            </w14:solidFill>
          </w14:textFill>
        </w:rPr>
      </w:pPr>
      <w:r>
        <w:rPr>
          <w:rFonts w:hint="eastAsia" w:ascii="宋体" w:hAnsi="宋体" w:cs="宋体"/>
          <w:b/>
          <w:color w:val="0D0D0D" w:themeColor="text1" w:themeTint="F2"/>
          <w:szCs w:val="21"/>
          <w14:textFill>
            <w14:solidFill>
              <w14:schemeClr w14:val="tx1">
                <w14:lumMod w14:val="95000"/>
                <w14:lumOff w14:val="5000"/>
              </w14:schemeClr>
            </w14:solidFill>
          </w14:textFill>
        </w:rPr>
        <w:t>其中，被委托实验室的质量要求包括：</w:t>
      </w:r>
    </w:p>
    <w:p>
      <w:pPr>
        <w:autoSpaceDE w:val="0"/>
        <w:autoSpaceDN w:val="0"/>
        <w:adjustRightInd w:val="0"/>
        <w:spacing w:line="400" w:lineRule="exact"/>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（1）质量要求</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 xml:space="preserve">①标本规范化固定率≥ 99% </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② HE 染色切片优良率≥ 99%</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③免疫组化切片优良率≥ 98%</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④术中快速冰冻病理诊断及时率≥99%</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 xml:space="preserve">⑤组织病理诊断及时率≥ 98% </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⑥细胞病理诊断及时率≥ 99%</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⑦免疫组化染色室间质评合格率≥ 99%</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⑧细胞病理诊断质控符合率≥98%</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⑨术中快速冰冻与石蜡诊断符合率≥ 95%</w:t>
      </w:r>
    </w:p>
    <w:p>
      <w:pPr>
        <w:widowControl/>
        <w:spacing w:line="400" w:lineRule="exac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（2）采购人每季度对成交供应商的服务质量进行季度考核并根据考核结果扣罚成交供应商的服务费，考核标准由采购人与成交供应商协商确定。</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（2）供应商对采购人送检的合格样本结果负责，对于按照供应商取材要求进行取材的合格样本，若因供应商原因导致检测结果存在质量问题，由供应商承担相关责任。</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（3）供应商均按日或检测批次对采购人委托项目进行室内质控，按季度提供室内质量控制报表，其内容包括质控检测数据、控制标准、质控分析、失控报告。</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（4）供应商参加临床病理质量控制中心室间质评，每半年提供委托项目的能力验证活动报告，没有能力验证的检查项目应提供与委托方认可的实验室结果一致性的证据。</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（5）按采购人要求，随时提供质量和技术资料，如更换试剂批号、仪器维修后、检验系统更换后的质控记录和性能验证报告。</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（6）供应商有专人负责采购人业务及质量、技术、培训等工作。</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（7）供应商随时接受并妥善安排采购人查阅项目检测、质量控制等情况。</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（8）对于样本周转时间（TAT）的要求：</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①有明确的样本送检和报告发布时间服务承诺。</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②样本周转时间起点为委托检测单位接收样本，终点为采购人病理科或临床科室收到检查报告。</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③报告延误率≤1/1000。</w:t>
      </w:r>
    </w:p>
    <w:p>
      <w:pPr>
        <w:autoSpaceDE w:val="0"/>
        <w:autoSpaceDN w:val="0"/>
        <w:adjustRightInd w:val="0"/>
        <w:spacing w:line="400" w:lineRule="exact"/>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④定期提供委托项目的样本周转时间（TAT）分析，对于采购人提出的要求及时反馈并更正。</w:t>
      </w:r>
    </w:p>
    <w:p>
      <w:pPr>
        <w:autoSpaceDE w:val="0"/>
        <w:autoSpaceDN w:val="0"/>
        <w:adjustRightInd w:val="0"/>
        <w:spacing w:line="400" w:lineRule="exact"/>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⑤如供应商检测报告超出约定时间而又未书面通知采购人而造成恶劣影响的，包括造成医疗纠纷、群众投诉造成严重后果等情况，供应商应承担相应的经济和法律责任。</w:t>
      </w:r>
    </w:p>
    <w:p>
      <w:pPr>
        <w:autoSpaceDE w:val="0"/>
        <w:autoSpaceDN w:val="0"/>
        <w:adjustRightInd w:val="0"/>
        <w:spacing w:line="400" w:lineRule="exact"/>
        <w:jc w:val="left"/>
        <w:rPr>
          <w:rFonts w:ascii="宋体" w:hAnsi="宋体" w:cs="宋体"/>
          <w:b/>
          <w:bCs/>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
          <w:bCs/>
          <w:color w:val="0D0D0D" w:themeColor="text1" w:themeTint="F2"/>
          <w:szCs w:val="21"/>
          <w14:textFill>
            <w14:solidFill>
              <w14:schemeClr w14:val="tx1">
                <w14:lumMod w14:val="95000"/>
                <w14:lumOff w14:val="5000"/>
              </w14:schemeClr>
            </w14:solidFill>
          </w14:textFill>
        </w:rPr>
        <w:t>2.</w:t>
      </w:r>
      <w:r>
        <w:rPr>
          <w:rFonts w:hint="eastAsia" w:ascii="宋体" w:hAnsi="宋体" w:cs="宋体"/>
          <w:b/>
          <w:bCs/>
          <w:snapToGrid w:val="0"/>
          <w:color w:val="0D0D0D" w:themeColor="text1" w:themeTint="F2"/>
          <w:szCs w:val="21"/>
          <w14:textFill>
            <w14:solidFill>
              <w14:schemeClr w14:val="tx1">
                <w14:lumMod w14:val="95000"/>
                <w14:lumOff w14:val="5000"/>
              </w14:schemeClr>
            </w14:solidFill>
          </w14:textFill>
        </w:rPr>
        <w:t>服务要求</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（1）供应商需安排专人每周一至周六定时前往采购人指定地点收取标本的服务，时间为8:30-17:30。遇特殊标本可机动收取。</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（2）免费提供特殊检查项目所需要的相关耗材、知情同意书、专用申请单等。</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配备完善医疗物流系统，保证标本接收、送检运输过程的安全与规范，保证标本的检测前质量。标本运输须要求直立、冷藏、封闭，符合生物安全要求，确保运输过程的样品质量和环境安全。对于需低温冷冻或有特殊要求的样本视具体项目与采购人商定。</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（4）供应商具备CNAS货物运输条件鉴定书（包括血液样品、病理组织玻片、蜡块等）。</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（5）供应商需按照公开的诊断项目本的报告时间内为采购人出具检查报告。</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（6）供应商配备完善的信息系统，与医院LIS系统对接，使医务人员可以随时调阅，可实现检验项目的多终端查询，包括网页端、手机端等，对紧急报告可提供口头报告或邮件报告等形式。</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（7）未经采购人同意，不得将采购人标本用于他用。</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（8）有为用户保密的义务，未经同意不得向第三方泄露委托检查项目、检查的内容、检查结果。</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（9）检测样本、检测数据的所有权、使用权为患者及采购人病理科所有，未经许可不得挪作它用。须按照国家或采购人要求归还或妥善保存及销毁检测后样本。</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（10）供应商必须保证检测结果的公正性，不受任何诱使或压力而对检查结果进行修正及更改。</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供应商须建立快速的客户服务反应机制，如有针对供应商或采购人与供应商双方的投诉或需处理的情况，供应商应派代表在半日内到达医院及时沟通处理；若主要针对采购人的投诉或需处理的情况，供应商有义务协助采购人及时沟通处理。</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供应商专职病理医生具有病理专业高级职称，从事病理疑难病例诊断5年以上，肾脏病理诊断经验3年以上，还应具有疑难病理诊断需要的辅助检查技术，包含但不限于丰富的免疫组化抗体及检测平台，分子检测（qPCR，NGS），及免疫荧光等。</w:t>
      </w:r>
    </w:p>
    <w:p>
      <w:pPr>
        <w:spacing w:line="400" w:lineRule="exact"/>
        <w:ind w:firstLine="422" w:firstLineChars="200"/>
        <w:rPr>
          <w:rFonts w:ascii="宋体" w:hAnsi="宋体" w:cs="宋体"/>
          <w:b/>
          <w:color w:val="0000FF"/>
          <w:szCs w:val="21"/>
        </w:rPr>
      </w:pPr>
      <w:r>
        <w:rPr>
          <w:rFonts w:hint="eastAsia" w:ascii="宋体" w:hAnsi="宋体" w:cs="宋体"/>
          <w:b/>
          <w:color w:val="0000FF"/>
          <w:szCs w:val="21"/>
        </w:rPr>
        <w:t>四、</w:t>
      </w:r>
      <w:bookmarkStart w:id="5" w:name="_Toc8122"/>
      <w:bookmarkStart w:id="6" w:name="_Toc26796"/>
      <w:bookmarkStart w:id="7" w:name="_Toc20762"/>
      <w:bookmarkStart w:id="8" w:name="_Toc28850"/>
      <w:bookmarkStart w:id="9" w:name="_Toc27614"/>
      <w:bookmarkStart w:id="10" w:name="_Toc6416"/>
      <w:bookmarkStart w:id="11" w:name="_Toc20606"/>
      <w:r>
        <w:rPr>
          <w:rFonts w:hint="eastAsia" w:ascii="宋体" w:hAnsi="宋体" w:cs="宋体"/>
          <w:b/>
          <w:color w:val="0000FF"/>
          <w:szCs w:val="21"/>
        </w:rPr>
        <w:t>疫情防控要求</w:t>
      </w:r>
    </w:p>
    <w:p>
      <w:pPr>
        <w:tabs>
          <w:tab w:val="left" w:pos="284"/>
          <w:tab w:val="left" w:pos="426"/>
        </w:tabs>
        <w:spacing w:line="400" w:lineRule="exact"/>
        <w:ind w:firstLine="420" w:firstLineChars="200"/>
        <w:rPr>
          <w:rStyle w:val="22"/>
          <w:rFonts w:ascii="宋体" w:hAnsi="宋体" w:cs="宋体"/>
          <w:b w:val="0"/>
          <w:bCs w:val="0"/>
          <w:color w:val="0000FF"/>
          <w:spacing w:val="0"/>
          <w:sz w:val="21"/>
          <w:szCs w:val="21"/>
          <w:shd w:val="clear" w:color="auto" w:fill="FFFFFF"/>
        </w:rPr>
      </w:pPr>
      <w:r>
        <w:rPr>
          <w:rStyle w:val="22"/>
          <w:rFonts w:hint="eastAsia" w:ascii="宋体" w:hAnsi="宋体" w:cs="宋体"/>
          <w:b w:val="0"/>
          <w:bCs w:val="0"/>
          <w:color w:val="0000FF"/>
          <w:spacing w:val="0"/>
          <w:sz w:val="21"/>
          <w:szCs w:val="21"/>
          <w:shd w:val="clear" w:color="auto" w:fill="FFFFFF"/>
        </w:rPr>
        <w:t>参加评审会议供应商必须无流行病学史，需提供健康码绿码、行程码绿码、48小时核酸检测结果阴性。(如有最新防疫政策要求，按最新的政策要求执行）</w:t>
      </w:r>
    </w:p>
    <w:p>
      <w:pPr>
        <w:spacing w:line="400" w:lineRule="exact"/>
        <w:ind w:firstLine="422" w:firstLineChars="200"/>
        <w:rPr>
          <w:rFonts w:ascii="宋体" w:hAnsi="宋体" w:cs="宋体"/>
          <w:b/>
          <w:szCs w:val="21"/>
        </w:rPr>
      </w:pPr>
      <w:r>
        <w:rPr>
          <w:rFonts w:hint="eastAsia" w:ascii="宋体" w:hAnsi="宋体" w:cs="宋体"/>
          <w:b/>
          <w:szCs w:val="21"/>
        </w:rPr>
        <w:t>备注：</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1.标有“★”的条款均为必须完全满足指标，报价人须进行实质性响应，报价人若有一项带“★”的条款未响应或不满足，将按无效投标处理。</w:t>
      </w:r>
    </w:p>
    <w:p>
      <w:pPr>
        <w:pStyle w:val="2"/>
        <w:spacing w:line="400" w:lineRule="exact"/>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bookmarkEnd w:id="5"/>
      <w:bookmarkEnd w:id="6"/>
      <w:bookmarkEnd w:id="7"/>
      <w:bookmarkEnd w:id="8"/>
      <w:bookmarkEnd w:id="9"/>
      <w:bookmarkEnd w:id="10"/>
      <w:bookmarkEnd w:id="11"/>
      <w:bookmarkStart w:id="12" w:name="_Toc3222"/>
      <w:bookmarkStart w:id="13" w:name="_Toc11917"/>
      <w:bookmarkStart w:id="14" w:name="_Toc4075"/>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3.成交原则：根据评审标准按综合评分法进行评审，按其评审总得分由高到低顺序排列评分情况，排名第一的供应商为第一成交候选人。</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4.供应商有下列情形之一的，将列入我院黑名单管理，在此后的三年内不得参与我院任何采买活动：</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（1）提供虚假材料谋取中标、成交的；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（2）采取不正当手段诋毁、排挤其它供应商的；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（3）与其他供应商或者采购机构恶意串通围标的；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（4）随意申请撤换或放弃中标/成交结果的；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（5）中标、成交后无正当理由拒绝或迟迟不签订采购合同的；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（6）无正当理由拒绝履行合同和有关承诺，或擅自变更、中止（终止）采购合同的；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（7）一年内有一次以上投诉查无实据、捏造事实或者提供虚假投诉材料的；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（8）实际提供的有关产品性能指标和技术服务能力明显低于采购响应文件或磋商、询价时的承诺的或提供假冒伪劣产品的；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（9）中标/成交后，擅自将采购合同转包或分包给其他供应商的；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（10）向采购人、采购机构行贿或者提供其它不正当利益的；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（11）连续两次供应商履约诚信量化评价得分不合格的供应商；</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（12）拒绝有关部门监督检查或者提供虚假情况的。</w:t>
      </w:r>
    </w:p>
    <w:p>
      <w:pPr>
        <w:spacing w:line="400" w:lineRule="exact"/>
        <w:jc w:val="center"/>
        <w:outlineLvl w:val="0"/>
        <w:rPr>
          <w:rFonts w:ascii="宋体" w:hAnsi="宋体" w:cs="宋体"/>
          <w:b/>
          <w:bCs/>
          <w:kern w:val="0"/>
          <w:szCs w:val="21"/>
        </w:rPr>
      </w:pPr>
      <w:bookmarkStart w:id="15" w:name="_Toc2432"/>
    </w:p>
    <w:p>
      <w:pPr>
        <w:spacing w:line="400" w:lineRule="exact"/>
        <w:jc w:val="center"/>
        <w:outlineLvl w:val="0"/>
        <w:rPr>
          <w:rFonts w:ascii="宋体" w:hAnsi="宋体" w:cs="宋体"/>
          <w:b/>
          <w:bCs/>
          <w:kern w:val="0"/>
          <w:szCs w:val="21"/>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outlineLvl w:val="0"/>
        <w:rPr>
          <w:b/>
          <w:bCs/>
          <w:kern w:val="0"/>
          <w:sz w:val="32"/>
          <w:szCs w:val="36"/>
        </w:rPr>
      </w:pPr>
    </w:p>
    <w:p>
      <w:pPr>
        <w:jc w:val="center"/>
        <w:outlineLvl w:val="0"/>
        <w:rPr>
          <w:rFonts w:ascii="宋体" w:hAnsi="宋体"/>
          <w:sz w:val="30"/>
          <w:szCs w:val="30"/>
        </w:rPr>
      </w:pPr>
      <w:r>
        <w:rPr>
          <w:rFonts w:hint="eastAsia"/>
          <w:b/>
          <w:bCs/>
          <w:kern w:val="0"/>
          <w:sz w:val="30"/>
          <w:szCs w:val="30"/>
        </w:rPr>
        <w:t xml:space="preserve">第三部分  </w:t>
      </w:r>
      <w:bookmarkStart w:id="16" w:name="_Toc270"/>
      <w:r>
        <w:rPr>
          <w:rFonts w:hint="eastAsia"/>
          <w:b/>
          <w:bCs/>
          <w:kern w:val="0"/>
          <w:sz w:val="30"/>
          <w:szCs w:val="30"/>
        </w:rPr>
        <w:t>资料整理注意事项</w:t>
      </w:r>
      <w:bookmarkEnd w:id="12"/>
      <w:bookmarkEnd w:id="13"/>
      <w:bookmarkEnd w:id="14"/>
      <w:bookmarkEnd w:id="15"/>
      <w:bookmarkEnd w:id="16"/>
    </w:p>
    <w:p>
      <w:pPr>
        <w:spacing w:line="380" w:lineRule="exact"/>
        <w:ind w:firstLine="360" w:firstLineChars="150"/>
        <w:rPr>
          <w:rFonts w:ascii="宋体" w:hAnsi="宋体"/>
          <w:sz w:val="24"/>
        </w:rPr>
      </w:pPr>
    </w:p>
    <w:p>
      <w:pPr>
        <w:spacing w:line="400" w:lineRule="exact"/>
        <w:ind w:firstLine="315" w:firstLineChars="150"/>
        <w:rPr>
          <w:rFonts w:ascii="宋体" w:hAnsi="宋体"/>
          <w:szCs w:val="21"/>
        </w:rPr>
      </w:pPr>
      <w:r>
        <w:rPr>
          <w:rFonts w:hint="eastAsia" w:ascii="宋体" w:hAnsi="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11" w:firstLineChars="100"/>
        <w:rPr>
          <w:rFonts w:ascii="宋体" w:hAnsi="宋体"/>
          <w:b/>
          <w:bCs/>
          <w:szCs w:val="21"/>
          <w:highlight w:val="yellow"/>
        </w:rPr>
      </w:pPr>
      <w:r>
        <w:rPr>
          <w:rFonts w:hint="eastAsia" w:ascii="宋体" w:hAnsi="宋体"/>
          <w:b/>
          <w:bCs/>
          <w:szCs w:val="21"/>
          <w:highlight w:val="yellow"/>
        </w:rPr>
        <w:t>2.响应文件除封面外，其他材料须双面打印，各报名供应商应确保所提供响应文件资料一定要</w:t>
      </w:r>
      <w:r>
        <w:rPr>
          <w:rFonts w:hint="eastAsia" w:ascii="宋体" w:hAnsi="宋体"/>
          <w:b/>
          <w:bCs/>
          <w:color w:val="FF0000"/>
          <w:szCs w:val="21"/>
          <w:highlight w:val="yellow"/>
        </w:rPr>
        <w:t>真实、完整、清晰可辨</w:t>
      </w:r>
      <w:r>
        <w:rPr>
          <w:rFonts w:hint="eastAsia" w:ascii="宋体" w:hAnsi="宋体"/>
          <w:b/>
          <w:bCs/>
          <w:szCs w:val="21"/>
          <w:highlight w:val="yellow"/>
        </w:rPr>
        <w:t>，响应文件模糊不清、难以</w:t>
      </w:r>
      <w:r>
        <w:rPr>
          <w:rFonts w:hint="eastAsia" w:ascii="宋体" w:hAnsi="宋体"/>
          <w:b/>
          <w:bCs/>
          <w:color w:val="FF0000"/>
          <w:szCs w:val="21"/>
          <w:highlight w:val="yellow"/>
        </w:rPr>
        <w:t>辨认，</w:t>
      </w:r>
      <w:r>
        <w:rPr>
          <w:rFonts w:hint="eastAsia" w:ascii="宋体" w:hAnsi="宋体"/>
          <w:b/>
          <w:bCs/>
          <w:szCs w:val="21"/>
          <w:highlight w:val="yellow"/>
        </w:rPr>
        <w:t>视为未提供处理，由此造成不能进入评审环节等严重后果由供应商自行负责。</w:t>
      </w:r>
    </w:p>
    <w:p>
      <w:pPr>
        <w:spacing w:line="400" w:lineRule="exact"/>
        <w:ind w:firstLine="315" w:firstLineChars="150"/>
        <w:rPr>
          <w:rFonts w:ascii="宋体" w:hAnsi="宋体"/>
          <w:szCs w:val="21"/>
        </w:rPr>
      </w:pPr>
      <w:r>
        <w:rPr>
          <w:rFonts w:hint="eastAsia" w:ascii="宋体" w:hAnsi="宋体"/>
          <w:szCs w:val="21"/>
        </w:rPr>
        <w:t>3.响应文件需要一正五副共6份，封面应注明“正本”、“副本”字样并加盖公章、装订成册，副本可用正本复印并在封面上加盖公章。</w:t>
      </w:r>
    </w:p>
    <w:p>
      <w:pPr>
        <w:spacing w:line="400" w:lineRule="exact"/>
        <w:ind w:firstLine="315" w:firstLineChars="150"/>
        <w:rPr>
          <w:rFonts w:ascii="宋体" w:hAnsi="宋体"/>
          <w:szCs w:val="21"/>
        </w:rPr>
      </w:pPr>
      <w:r>
        <w:rPr>
          <w:rFonts w:hint="eastAsia" w:ascii="宋体" w:hAnsi="宋体"/>
          <w:szCs w:val="21"/>
        </w:rPr>
        <w:t>4.所有响应文件须密封在一个不透明的外层封装中；并在封口位置处加盖公章，如因响应文件未密封导致不能进入磋商环节者，一切后果由供应商自负。</w:t>
      </w:r>
    </w:p>
    <w:p>
      <w:pPr>
        <w:spacing w:line="400" w:lineRule="exact"/>
        <w:ind w:firstLine="315" w:firstLineChars="150"/>
        <w:rPr>
          <w:rFonts w:ascii="宋体" w:hAnsi="宋体"/>
          <w:szCs w:val="21"/>
        </w:rPr>
      </w:pPr>
      <w:r>
        <w:rPr>
          <w:rFonts w:hint="eastAsia" w:ascii="宋体" w:hAnsi="宋体"/>
          <w:szCs w:val="21"/>
        </w:rPr>
        <w:t>5.供应商携带密封的响应文件参加院内采购评审会议。</w:t>
      </w:r>
    </w:p>
    <w:p>
      <w:pPr>
        <w:spacing w:line="400" w:lineRule="exact"/>
        <w:ind w:firstLine="315" w:firstLineChars="150"/>
        <w:rPr>
          <w:rFonts w:ascii="宋体" w:hAnsi="宋体"/>
          <w:szCs w:val="21"/>
        </w:rPr>
      </w:pPr>
      <w:r>
        <w:rPr>
          <w:rFonts w:hint="eastAsia" w:ascii="宋体" w:hAnsi="宋体"/>
          <w:szCs w:val="21"/>
        </w:rPr>
        <w:t>6.报名时提供的资料与响应文件不一致时以响应文件为准。</w:t>
      </w:r>
    </w:p>
    <w:p>
      <w:pPr>
        <w:spacing w:line="400" w:lineRule="exact"/>
        <w:ind w:firstLine="315" w:firstLineChars="150"/>
        <w:rPr>
          <w:rFonts w:ascii="宋体" w:hAnsi="宋体"/>
          <w:szCs w:val="21"/>
        </w:rPr>
      </w:pPr>
      <w:r>
        <w:rPr>
          <w:rFonts w:hint="eastAsia" w:ascii="宋体" w:hAnsi="宋体"/>
          <w:szCs w:val="21"/>
        </w:rPr>
        <w:t>7.法定代表人或授权委托人（如有授权）需本人到场参加采购评审会议并出示身份证原件审核入场签到。</w:t>
      </w:r>
    </w:p>
    <w:p>
      <w:pPr>
        <w:spacing w:line="400" w:lineRule="exact"/>
        <w:ind w:firstLine="315" w:firstLineChars="150"/>
        <w:rPr>
          <w:rFonts w:ascii="宋体" w:hAnsi="宋体"/>
          <w:szCs w:val="21"/>
        </w:rPr>
      </w:pPr>
      <w:r>
        <w:rPr>
          <w:rFonts w:hint="eastAsia" w:ascii="宋体" w:hAnsi="宋体"/>
          <w:szCs w:val="21"/>
        </w:rPr>
        <w:t>8.各供应商需认真阅读以上注意事项，不按要求提供响应文件者后果自负。</w:t>
      </w:r>
    </w:p>
    <w:p>
      <w:pPr>
        <w:spacing w:line="400" w:lineRule="exact"/>
        <w:ind w:firstLine="420"/>
        <w:rPr>
          <w:rFonts w:ascii="宋体" w:hAnsi="宋体"/>
          <w:szCs w:val="21"/>
        </w:rPr>
      </w:pPr>
    </w:p>
    <w:p>
      <w:pPr>
        <w:spacing w:line="380" w:lineRule="exact"/>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sectPr>
          <w:footerReference r:id="rId9" w:type="default"/>
          <w:pgSz w:w="11906" w:h="16838"/>
          <w:pgMar w:top="1440" w:right="1134" w:bottom="1440" w:left="1134" w:header="851" w:footer="992" w:gutter="0"/>
          <w:pgNumType w:start="1"/>
          <w:cols w:space="720" w:num="1"/>
          <w:docGrid w:linePitch="312" w:charSpace="0"/>
        </w:sectPr>
      </w:pPr>
    </w:p>
    <w:p>
      <w:pPr>
        <w:spacing w:line="480" w:lineRule="auto"/>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rPr>
          <w:rFonts w:ascii="宋体" w:hAnsi="宋体"/>
          <w:sz w:val="24"/>
        </w:rPr>
      </w:pPr>
    </w:p>
    <w:p>
      <w:pPr>
        <w:pStyle w:val="4"/>
        <w:jc w:val="center"/>
        <w:rPr>
          <w:rFonts w:ascii="宋体" w:hAnsi="宋体" w:eastAsia="宋体"/>
          <w:sz w:val="40"/>
        </w:rPr>
      </w:pPr>
      <w:bookmarkStart w:id="17" w:name="_Toc30326"/>
      <w:bookmarkStart w:id="18" w:name="_Toc2647"/>
      <w:bookmarkStart w:id="19" w:name="_Toc32228"/>
      <w:bookmarkStart w:id="20" w:name="_Toc5829"/>
      <w:bookmarkStart w:id="21" w:name="_Toc40346213"/>
      <w:bookmarkStart w:id="22" w:name="_Toc9461"/>
      <w:bookmarkStart w:id="23" w:name="_Toc32164"/>
      <w:bookmarkStart w:id="24" w:name="_Toc13814"/>
      <w:bookmarkStart w:id="25" w:name="_Toc30230"/>
      <w:bookmarkStart w:id="26" w:name="_Toc7581"/>
      <w:bookmarkStart w:id="27" w:name="_Toc40776108"/>
      <w:bookmarkStart w:id="28" w:name="_Toc1634"/>
      <w:bookmarkStart w:id="29" w:name="_Toc19354"/>
      <w:bookmarkStart w:id="30" w:name="_Toc2347"/>
    </w:p>
    <w:p>
      <w:pPr>
        <w:pStyle w:val="4"/>
        <w:jc w:val="center"/>
        <w:rPr>
          <w:rFonts w:ascii="宋体" w:hAnsi="宋体" w:eastAsia="宋体"/>
          <w:sz w:val="40"/>
        </w:rPr>
      </w:pPr>
    </w:p>
    <w:p>
      <w:pPr>
        <w:pStyle w:val="4"/>
        <w:jc w:val="center"/>
        <w:rPr>
          <w:rFonts w:ascii="宋体" w:hAnsi="宋体" w:eastAsia="宋体" w:cs="Courier New"/>
          <w:sz w:val="40"/>
        </w:rPr>
      </w:pPr>
      <w:r>
        <w:rPr>
          <w:rFonts w:hint="eastAsia" w:ascii="宋体" w:hAnsi="宋体" w:eastAsia="宋体"/>
          <w:sz w:val="40"/>
        </w:rPr>
        <w:t>第四部分  相关格式文件</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26"/>
      </w:pPr>
      <w:bookmarkStart w:id="31" w:name="_Toc17987"/>
      <w:bookmarkStart w:id="32" w:name="_Toc10842"/>
      <w:bookmarkStart w:id="33" w:name="_Toc40346214"/>
      <w:bookmarkStart w:id="34" w:name="_Toc26336"/>
      <w:bookmarkStart w:id="35" w:name="_Toc11236"/>
      <w:bookmarkStart w:id="36" w:name="_Toc40346373"/>
      <w:bookmarkStart w:id="37" w:name="_Toc30201"/>
      <w:bookmarkStart w:id="38" w:name="_Toc40776109"/>
      <w:bookmarkStart w:id="39" w:name="_Toc23126"/>
      <w:bookmarkStart w:id="40" w:name="_Toc13972"/>
      <w:bookmarkStart w:id="41" w:name="_Toc10941"/>
    </w:p>
    <w:p>
      <w:pPr>
        <w:pStyle w:val="26"/>
      </w:pPr>
    </w:p>
    <w:p>
      <w:pPr>
        <w:pStyle w:val="26"/>
      </w:pPr>
    </w:p>
    <w:p>
      <w:pPr>
        <w:pStyle w:val="26"/>
      </w:pPr>
    </w:p>
    <w:p>
      <w:pPr>
        <w:pStyle w:val="26"/>
      </w:pPr>
    </w:p>
    <w:p>
      <w:pPr>
        <w:pStyle w:val="26"/>
      </w:pPr>
    </w:p>
    <w:p>
      <w:pPr>
        <w:pStyle w:val="26"/>
      </w:pPr>
    </w:p>
    <w:p>
      <w:pPr>
        <w:pStyle w:val="26"/>
      </w:pPr>
    </w:p>
    <w:p>
      <w:pPr>
        <w:widowControl/>
        <w:spacing w:line="360" w:lineRule="auto"/>
        <w:jc w:val="left"/>
        <w:rPr>
          <w:rFonts w:ascii="仿宋" w:hAnsi="仿宋" w:eastAsia="仿宋" w:cs="宋体"/>
          <w:b/>
          <w:kern w:val="0"/>
          <w:sz w:val="24"/>
          <w:szCs w:val="32"/>
        </w:rPr>
      </w:pPr>
      <w:bookmarkStart w:id="42" w:name="_Toc12695"/>
      <w:bookmarkStart w:id="43" w:name="_Toc13293"/>
      <w:bookmarkStart w:id="44" w:name="_Toc3033"/>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45" w:name="_Toc2926"/>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jc w:val="center"/>
        <w:rPr>
          <w:rFonts w:ascii="宋体" w:hAnsi="宋体" w:cs="宋体"/>
          <w:b/>
          <w:kern w:val="0"/>
          <w:sz w:val="52"/>
          <w:szCs w:val="52"/>
        </w:rPr>
      </w:pPr>
      <w:bookmarkStart w:id="46" w:name="_Toc40776117"/>
      <w:bookmarkStart w:id="47" w:name="_Toc4407"/>
      <w:bookmarkStart w:id="48" w:name="_Toc40346381"/>
      <w:bookmarkStart w:id="49" w:name="_Toc12431"/>
      <w:bookmarkStart w:id="50" w:name="_Toc28217"/>
      <w:bookmarkStart w:id="51" w:name="_Toc3784"/>
      <w:bookmarkStart w:id="52" w:name="_Toc40346222"/>
      <w:bookmarkStart w:id="53" w:name="_Toc10213"/>
      <w:bookmarkStart w:id="54" w:name="_Toc25470"/>
      <w:bookmarkStart w:id="55" w:name="_Toc22145"/>
      <w:bookmarkStart w:id="56" w:name="_Toc23156"/>
      <w:bookmarkStart w:id="57" w:name="_Toc22864"/>
      <w:bookmarkStart w:id="58" w:name="_Toc18837"/>
      <w:bookmarkStart w:id="59" w:name="_Toc9134"/>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0" w:name="_Toc26267"/>
      <w:bookmarkStart w:id="61" w:name="_Toc40776111"/>
      <w:bookmarkStart w:id="62" w:name="_Toc12520"/>
      <w:bookmarkStart w:id="63" w:name="_Toc435"/>
      <w:bookmarkStart w:id="64" w:name="_Toc11075"/>
      <w:bookmarkStart w:id="65" w:name="_Toc3471"/>
      <w:bookmarkStart w:id="66" w:name="_Toc8364"/>
      <w:bookmarkStart w:id="67" w:name="_Toc40346216"/>
      <w:bookmarkStart w:id="68" w:name="_Toc7291"/>
      <w:bookmarkStart w:id="69" w:name="_Toc40346375"/>
      <w:bookmarkStart w:id="70" w:name="_Toc21249"/>
      <w:bookmarkStart w:id="71" w:name="_Toc28703"/>
      <w:bookmarkStart w:id="72" w:name="_Toc6547"/>
      <w:bookmarkStart w:id="73" w:name="_Toc15870"/>
      <w:bookmarkStart w:id="74" w:name="_Toc11305"/>
      <w:bookmarkStart w:id="75" w:name="_Toc29113"/>
      <w:bookmarkStart w:id="76" w:name="_Toc1994"/>
    </w:p>
    <w:p>
      <w:pPr>
        <w:widowControl/>
        <w:spacing w:line="360" w:lineRule="auto"/>
        <w:ind w:firstLine="600"/>
        <w:outlineLvl w:val="0"/>
      </w:pPr>
      <w:bookmarkStart w:id="77" w:name="_Toc4769"/>
      <w:r>
        <w:rPr>
          <w:rFonts w:ascii="宋体" w:hAnsi="宋体" w:cs="宋体"/>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20884"/>
      <w:bookmarkStart w:id="79" w:name="_Toc17709"/>
      <w:bookmarkStart w:id="80" w:name="_Toc40346376"/>
      <w:bookmarkStart w:id="81" w:name="_Toc2916"/>
      <w:bookmarkStart w:id="82" w:name="_Toc1743"/>
      <w:bookmarkStart w:id="83" w:name="_Toc27997"/>
      <w:bookmarkStart w:id="84" w:name="_Toc40346217"/>
      <w:bookmarkStart w:id="85" w:name="_Toc40776112"/>
    </w:p>
    <w:p>
      <w:pPr>
        <w:widowControl/>
        <w:spacing w:line="360" w:lineRule="auto"/>
        <w:ind w:firstLine="600"/>
        <w:outlineLvl w:val="0"/>
        <w:rPr>
          <w:rFonts w:cs="宋体"/>
          <w:kern w:val="0"/>
          <w:sz w:val="30"/>
          <w:szCs w:val="30"/>
        </w:rPr>
      </w:pPr>
      <w:bookmarkStart w:id="86" w:name="_Toc19699"/>
      <w:bookmarkStart w:id="87" w:name="_Toc5238"/>
      <w:bookmarkStart w:id="88" w:name="_Toc30979"/>
      <w:bookmarkStart w:id="89" w:name="_Toc2012"/>
      <w:bookmarkStart w:id="90" w:name="_Toc23097"/>
      <w:bookmarkStart w:id="91" w:name="_Toc23992"/>
      <w:bookmarkStart w:id="92" w:name="_Toc29102"/>
      <w:bookmarkStart w:id="93" w:name="_Toc2029"/>
      <w:bookmarkStart w:id="94" w:name="_Toc31538"/>
      <w:bookmarkStart w:id="95" w:name="_Toc11485"/>
      <w:r>
        <w:rPr>
          <w:rFonts w:ascii="宋体" w:hAnsi="宋体" w:cs="宋体"/>
          <w:kern w:val="0"/>
          <w:sz w:val="30"/>
          <w:szCs w:val="30"/>
        </w:rPr>
        <w:t>公司名称：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4013"/>
      <w:bookmarkStart w:id="97" w:name="_Toc28064"/>
      <w:bookmarkStart w:id="98" w:name="_Toc17930"/>
      <w:bookmarkStart w:id="99" w:name="_Toc7052"/>
      <w:bookmarkStart w:id="100" w:name="_Toc12113"/>
      <w:bookmarkStart w:id="101" w:name="_Toc24763"/>
      <w:bookmarkStart w:id="102" w:name="_Toc40346218"/>
      <w:bookmarkStart w:id="103" w:name="_Toc14824"/>
      <w:bookmarkStart w:id="104" w:name="_Toc11141"/>
      <w:bookmarkStart w:id="105" w:name="_Toc12645"/>
      <w:bookmarkStart w:id="106" w:name="_Toc31993"/>
      <w:bookmarkStart w:id="107" w:name="_Toc40776113"/>
      <w:bookmarkStart w:id="108" w:name="_Toc40346377"/>
      <w:bookmarkStart w:id="109" w:name="_Toc16794"/>
      <w:bookmarkStart w:id="110" w:name="_Toc11558"/>
      <w:bookmarkStart w:id="111" w:name="_Toc21483"/>
      <w:bookmarkStart w:id="112" w:name="_Toc27867"/>
      <w:bookmarkStart w:id="113" w:name="_Toc29767"/>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widowControl/>
        <w:spacing w:line="360" w:lineRule="auto"/>
        <w:ind w:firstLine="600"/>
        <w:outlineLvl w:val="0"/>
        <w:rPr>
          <w:rFonts w:cs="宋体"/>
          <w:kern w:val="0"/>
          <w:sz w:val="30"/>
          <w:szCs w:val="30"/>
        </w:rPr>
      </w:pPr>
      <w:bookmarkStart w:id="114" w:name="_Toc26029"/>
      <w:bookmarkStart w:id="115" w:name="_Toc31197"/>
      <w:bookmarkStart w:id="116" w:name="_Toc40346219"/>
      <w:bookmarkStart w:id="117" w:name="_Toc17537"/>
      <w:bookmarkStart w:id="118" w:name="_Toc9883"/>
      <w:bookmarkStart w:id="119" w:name="_Toc40776114"/>
      <w:bookmarkStart w:id="120" w:name="_Toc40346378"/>
      <w:bookmarkStart w:id="121" w:name="_Toc11334"/>
      <w:bookmarkStart w:id="122" w:name="_Toc6438"/>
      <w:bookmarkStart w:id="123" w:name="_Toc24651"/>
      <w:bookmarkStart w:id="124" w:name="_Toc4563"/>
      <w:bookmarkStart w:id="125" w:name="_Toc1324"/>
      <w:bookmarkStart w:id="126" w:name="_Toc25370"/>
      <w:bookmarkStart w:id="127" w:name="_Toc27771"/>
      <w:bookmarkStart w:id="128" w:name="_Toc16813"/>
      <w:bookmarkStart w:id="129" w:name="_Toc14287"/>
      <w:bookmarkStart w:id="130" w:name="_Toc19831"/>
      <w:bookmarkStart w:id="131" w:name="_Toc32709"/>
      <w:r>
        <w:rPr>
          <w:rFonts w:ascii="宋体" w:hAnsi="宋体" w:cs="宋体"/>
          <w:kern w:val="0"/>
          <w:sz w:val="30"/>
          <w:szCs w:val="30"/>
        </w:rPr>
        <w:t>联系电话：</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line="360" w:lineRule="auto"/>
        <w:ind w:firstLine="600"/>
        <w:outlineLvl w:val="0"/>
        <w:rPr>
          <w:rFonts w:cs="宋体"/>
          <w:kern w:val="0"/>
          <w:sz w:val="30"/>
          <w:szCs w:val="30"/>
        </w:rPr>
      </w:pPr>
      <w:bookmarkStart w:id="132" w:name="_Toc20994"/>
      <w:bookmarkStart w:id="133" w:name="_Toc17483"/>
      <w:bookmarkStart w:id="134" w:name="_Toc40346220"/>
      <w:bookmarkStart w:id="135" w:name="_Toc21686"/>
      <w:bookmarkStart w:id="136" w:name="_Toc30336"/>
      <w:bookmarkStart w:id="137" w:name="_Toc5189"/>
      <w:bookmarkStart w:id="138" w:name="_Toc27206"/>
      <w:bookmarkStart w:id="139" w:name="_Toc12650"/>
      <w:bookmarkStart w:id="140" w:name="_Toc19057"/>
      <w:bookmarkStart w:id="141" w:name="_Toc40346379"/>
      <w:bookmarkStart w:id="142" w:name="_Toc5634"/>
      <w:bookmarkStart w:id="143" w:name="_Toc3895"/>
      <w:bookmarkStart w:id="144" w:name="_Toc18353"/>
      <w:bookmarkStart w:id="145" w:name="_Toc21940"/>
      <w:bookmarkStart w:id="146" w:name="_Toc27868"/>
      <w:bookmarkStart w:id="147" w:name="_Toc13222"/>
      <w:bookmarkStart w:id="148" w:name="_Toc40776115"/>
      <w:bookmarkStart w:id="149" w:name="_Toc14586"/>
      <w:r>
        <w:rPr>
          <w:rFonts w:ascii="宋体" w:hAnsi="宋体" w:cs="宋体"/>
          <w:kern w:val="0"/>
          <w:sz w:val="30"/>
          <w:szCs w:val="30"/>
        </w:rPr>
        <w:t>联系邮箱：</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spacing w:line="360" w:lineRule="auto"/>
        <w:ind w:firstLine="600"/>
        <w:outlineLvl w:val="0"/>
        <w:rPr>
          <w:rFonts w:cs="宋体"/>
          <w:kern w:val="0"/>
          <w:sz w:val="30"/>
          <w:szCs w:val="30"/>
        </w:rPr>
      </w:pPr>
      <w:bookmarkStart w:id="150" w:name="_Toc14462"/>
      <w:bookmarkStart w:id="151" w:name="_Toc30904"/>
      <w:bookmarkStart w:id="152" w:name="_Toc21449"/>
      <w:bookmarkStart w:id="153" w:name="_Toc12127"/>
      <w:bookmarkStart w:id="154" w:name="_Toc3498"/>
      <w:bookmarkStart w:id="155" w:name="_Toc5220"/>
      <w:bookmarkStart w:id="156" w:name="_Toc9282"/>
      <w:bookmarkStart w:id="157" w:name="_Toc27009"/>
      <w:bookmarkStart w:id="158" w:name="_Toc32371"/>
      <w:bookmarkStart w:id="159" w:name="_Toc30856"/>
      <w:bookmarkStart w:id="160" w:name="_Toc22276"/>
      <w:bookmarkStart w:id="161" w:name="_Toc40346380"/>
      <w:bookmarkStart w:id="162" w:name="_Toc40776116"/>
      <w:bookmarkStart w:id="163" w:name="_Toc40346221"/>
      <w:bookmarkStart w:id="164" w:name="_Toc8526"/>
      <w:bookmarkStart w:id="165" w:name="_Toc27646"/>
      <w:bookmarkStart w:id="166" w:name="_Toc11547"/>
      <w:bookmarkStart w:id="167" w:name="_Toc10454"/>
      <w:r>
        <w:rPr>
          <w:rFonts w:ascii="宋体" w:hAnsi="宋体" w:cs="宋体"/>
          <w:kern w:val="0"/>
          <w:sz w:val="30"/>
          <w:szCs w:val="30"/>
        </w:rPr>
        <w:t>日    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68" w:name="_Toc18806"/>
      <w:r>
        <w:rPr>
          <w:rFonts w:hint="eastAsia" w:ascii="仿宋" w:hAnsi="仿宋" w:eastAsia="仿宋" w:cs="宋体"/>
          <w:b/>
          <w:kern w:val="0"/>
          <w:sz w:val="24"/>
          <w:szCs w:val="32"/>
        </w:rPr>
        <w:t>目录模板</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168"/>
    </w:p>
    <w:p>
      <w:pPr>
        <w:pStyle w:val="2"/>
        <w:ind w:firstLine="3975" w:firstLineChars="1100"/>
        <w:rPr>
          <w:b/>
          <w:bCs/>
          <w:sz w:val="36"/>
          <w:szCs w:val="36"/>
        </w:rPr>
      </w:pPr>
      <w:bookmarkStart w:id="169" w:name="_Toc24584"/>
      <w:bookmarkStart w:id="170" w:name="_Toc6985"/>
      <w:bookmarkStart w:id="171" w:name="_Toc31006"/>
      <w:bookmarkStart w:id="172" w:name="_Toc27920"/>
      <w:r>
        <w:rPr>
          <w:rFonts w:hint="eastAsia"/>
          <w:b/>
          <w:bCs/>
          <w:sz w:val="36"/>
          <w:szCs w:val="36"/>
        </w:rPr>
        <w:t>目  录</w:t>
      </w:r>
      <w:bookmarkEnd w:id="169"/>
      <w:bookmarkEnd w:id="170"/>
      <w:bookmarkEnd w:id="171"/>
      <w:bookmarkEnd w:id="172"/>
    </w:p>
    <w:tbl>
      <w:tblPr>
        <w:tblStyle w:val="19"/>
        <w:tblW w:w="10766" w:type="dxa"/>
        <w:jc w:val="center"/>
        <w:tblLayout w:type="fixed"/>
        <w:tblCellMar>
          <w:top w:w="0" w:type="dxa"/>
          <w:left w:w="108" w:type="dxa"/>
          <w:bottom w:w="0" w:type="dxa"/>
          <w:right w:w="108" w:type="dxa"/>
        </w:tblCellMar>
      </w:tblPr>
      <w:tblGrid>
        <w:gridCol w:w="876"/>
        <w:gridCol w:w="8066"/>
        <w:gridCol w:w="1824"/>
      </w:tblGrid>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2</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3</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评分自查表 （详见相关格式文件）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4</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5</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供应商营业执照（提供复印件并加盖供应商公司公章）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6</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7</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8</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bCs/>
                <w:szCs w:val="21"/>
              </w:rPr>
            </w:pPr>
            <w:r>
              <w:rPr>
                <w:rFonts w:hint="eastAsia" w:ascii="宋体" w:hAnsi="宋体"/>
                <w:bCs/>
                <w:szCs w:val="21"/>
              </w:rPr>
              <w:t>具有独立承担民事责任的能力（提供承诺函，承诺函必须包含相关文字内容，格式自拟）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9</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bCs/>
                <w:szCs w:val="21"/>
              </w:rPr>
            </w:pPr>
            <w:r>
              <w:rPr>
                <w:rFonts w:hint="eastAsia" w:ascii="宋体" w:hAnsi="宋体"/>
                <w:bCs/>
                <w:szCs w:val="21"/>
              </w:rPr>
              <w:t>具有履行合同所必需的设备和专业技术能力(填报设备及专业技术能力情况或者提供承诺函，承诺函必须包含相关文字内容，格式自拟)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10</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bCs/>
                <w:szCs w:val="21"/>
              </w:rPr>
            </w:pPr>
            <w:r>
              <w:rPr>
                <w:rFonts w:hint="eastAsia" w:ascii="宋体" w:hAnsi="宋体"/>
                <w:bCs/>
                <w:szCs w:val="21"/>
              </w:rPr>
              <w:t>具有依法缴纳税收和社会保障资金的良好记录（提供承诺函，承诺函必须包含相关文字内容，格式自拟）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11</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bCs/>
                <w:szCs w:val="21"/>
              </w:rPr>
            </w:pPr>
            <w:r>
              <w:rPr>
                <w:rFonts w:hint="eastAsia" w:ascii="宋体" w:hAnsi="宋体"/>
                <w:bCs/>
                <w:szCs w:val="21"/>
              </w:rPr>
              <w:t>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提供“信用中国”网站或全国法院被执行人信息查询的网页截图）；</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684"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12</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bCs/>
                <w:szCs w:val="21"/>
              </w:rPr>
            </w:pPr>
            <w:r>
              <w:rPr>
                <w:rFonts w:hint="eastAsia" w:ascii="宋体" w:hAnsi="宋体"/>
                <w:bCs/>
                <w:szCs w:val="21"/>
              </w:rPr>
              <w:t>具有中华人民共和国卫生行政部门颁发的医疗机构执业许可证（各级疾控中心参与的无需提供《医疗机构执业许可证》）（提供相关证件复印件，并加盖公章）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13</w:t>
            </w:r>
          </w:p>
        </w:tc>
        <w:tc>
          <w:tcPr>
            <w:tcW w:w="8066" w:type="dxa"/>
            <w:tcBorders>
              <w:top w:val="single" w:color="000000" w:sz="4" w:space="0"/>
              <w:left w:val="nil"/>
              <w:bottom w:val="single" w:color="000000" w:sz="4" w:space="0"/>
              <w:right w:val="single" w:color="000000" w:sz="4" w:space="0"/>
            </w:tcBorders>
            <w:vAlign w:val="center"/>
          </w:tcPr>
          <w:p>
            <w:pPr>
              <w:widowControl/>
              <w:ind w:left="23"/>
              <w:jc w:val="left"/>
              <w:rPr>
                <w:rFonts w:ascii="宋体" w:hAnsi="宋体"/>
                <w:bCs/>
                <w:szCs w:val="21"/>
              </w:rPr>
            </w:pPr>
            <w:r>
              <w:rPr>
                <w:rFonts w:hint="eastAsia" w:ascii="宋体" w:hAnsi="宋体"/>
                <w:bCs/>
                <w:szCs w:val="21"/>
              </w:rPr>
              <w:t>法定代表人或单位负责人为同一人或者存在直接控股、管理关系的不同响应单位，不得参加同一合同项下的政府采购活动（提供承诺函，承诺函必须包含相关文字内容，格式自拟）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14</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left"/>
              <w:rPr>
                <w:rFonts w:ascii="宋体" w:hAnsi="宋体"/>
                <w:bCs/>
                <w:szCs w:val="21"/>
              </w:rPr>
            </w:pPr>
            <w:r>
              <w:rPr>
                <w:rFonts w:hint="eastAsia" w:ascii="宋体" w:hAnsi="宋体"/>
                <w:bCs/>
                <w:szCs w:val="21"/>
              </w:rPr>
              <w:t>本项目不接受联合体。（提供声明函，承诺函必须包含相关内容描述，格式自拟）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328"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15</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rPr>
                <w:rFonts w:ascii="宋体" w:hAnsi="宋体"/>
                <w:bCs/>
                <w:szCs w:val="21"/>
              </w:rPr>
            </w:pPr>
            <w:r>
              <w:rPr>
                <w:rFonts w:hint="eastAsia" w:ascii="宋体" w:hAnsi="宋体"/>
                <w:bCs/>
                <w:szCs w:val="21"/>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16</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rPr>
                <w:rFonts w:ascii="宋体" w:hAnsi="宋体"/>
                <w:bCs/>
                <w:szCs w:val="21"/>
                <w:lang w:val="zh-CN"/>
              </w:rPr>
            </w:pPr>
            <w:r>
              <w:rPr>
                <w:rFonts w:hint="eastAsia" w:ascii="宋体" w:hAnsi="宋体"/>
                <w:bCs/>
                <w:szCs w:val="21"/>
              </w:rPr>
              <w:t>公司简介（格式自拟）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17</w:t>
            </w:r>
          </w:p>
        </w:tc>
        <w:tc>
          <w:tcPr>
            <w:tcW w:w="8066" w:type="dxa"/>
            <w:tcBorders>
              <w:top w:val="single" w:color="000000" w:sz="4" w:space="0"/>
              <w:left w:val="nil"/>
              <w:bottom w:val="single" w:color="000000" w:sz="4" w:space="0"/>
              <w:right w:val="single" w:color="000000" w:sz="4" w:space="0"/>
            </w:tcBorders>
            <w:vAlign w:val="center"/>
          </w:tcPr>
          <w:p>
            <w:pPr>
              <w:widowControl/>
              <w:ind w:left="21"/>
              <w:jc w:val="left"/>
              <w:rPr>
                <w:rFonts w:ascii="宋体" w:hAnsi="宋体"/>
                <w:bCs/>
                <w:szCs w:val="21"/>
              </w:rPr>
            </w:pPr>
            <w:r>
              <w:rPr>
                <w:rFonts w:hint="eastAsia" w:ascii="宋体" w:hAnsi="宋体"/>
                <w:bCs/>
                <w:szCs w:val="21"/>
              </w:rPr>
              <w:t>项目配备技术人员情况（提供相关人员职称证书复印件、并加盖供应商公章；提供</w:t>
            </w:r>
            <w:r>
              <w:rPr>
                <w:rFonts w:hint="eastAsia" w:ascii="宋体" w:hAnsi="宋体" w:cs="宋体"/>
                <w:b/>
                <w:color w:val="0D0D0D" w:themeColor="text1" w:themeTint="F2"/>
                <w:szCs w:val="21"/>
                <w14:textFill>
                  <w14:solidFill>
                    <w14:schemeClr w14:val="tx1">
                      <w14:lumMod w14:val="95000"/>
                      <w14:lumOff w14:val="5000"/>
                    </w14:schemeClr>
                  </w14:solidFill>
                </w14:textFill>
              </w:rPr>
              <w:t>劳动合同复印件或本项目报名截止日之前六个月内任意一个月的投标单位代缴的投保单或社会保险参保人员缴费证明。</w:t>
            </w:r>
            <w:r>
              <w:rPr>
                <w:rFonts w:hint="eastAsia" w:ascii="宋体" w:hAnsi="宋体"/>
                <w:bCs/>
                <w:szCs w:val="21"/>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18</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left"/>
              <w:rPr>
                <w:rFonts w:ascii="宋体" w:hAnsi="宋体"/>
                <w:bCs/>
                <w:szCs w:val="21"/>
              </w:rPr>
            </w:pPr>
            <w:r>
              <w:rPr>
                <w:rFonts w:hint="eastAsia" w:ascii="宋体" w:hAnsi="宋体"/>
                <w:bCs/>
                <w:szCs w:val="21"/>
              </w:rPr>
              <w:t>项目实施服务方案</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19</w:t>
            </w:r>
          </w:p>
        </w:tc>
        <w:tc>
          <w:tcPr>
            <w:tcW w:w="8066" w:type="dxa"/>
            <w:tcBorders>
              <w:top w:val="single" w:color="000000" w:sz="4" w:space="0"/>
              <w:left w:val="nil"/>
              <w:bottom w:val="single" w:color="000000" w:sz="4" w:space="0"/>
              <w:right w:val="single" w:color="000000" w:sz="4" w:space="0"/>
            </w:tcBorders>
            <w:vAlign w:val="center"/>
          </w:tcPr>
          <w:p>
            <w:pPr>
              <w:widowControl/>
              <w:ind w:left="21"/>
              <w:jc w:val="left"/>
              <w:rPr>
                <w:rFonts w:ascii="宋体" w:hAnsi="宋体"/>
                <w:bCs/>
                <w:szCs w:val="21"/>
              </w:rPr>
            </w:pPr>
            <w:r>
              <w:rPr>
                <w:rFonts w:hint="eastAsia" w:ascii="宋体" w:hAnsi="宋体"/>
                <w:bCs/>
                <w:szCs w:val="21"/>
              </w:rPr>
              <w:t>技术服务能力（内容包含但不限于远程病理技术服务能力、肾脏病理项目技术服务能力、信息化服务能力、基础服务等，格式自拟）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20</w:t>
            </w:r>
          </w:p>
        </w:tc>
        <w:tc>
          <w:tcPr>
            <w:tcW w:w="8066" w:type="dxa"/>
            <w:tcBorders>
              <w:top w:val="single" w:color="000000" w:sz="4" w:space="0"/>
              <w:left w:val="nil"/>
              <w:bottom w:val="single" w:color="000000" w:sz="4" w:space="0"/>
              <w:right w:val="single" w:color="000000" w:sz="4" w:space="0"/>
            </w:tcBorders>
            <w:vAlign w:val="center"/>
          </w:tcPr>
          <w:p>
            <w:pPr>
              <w:widowControl/>
              <w:ind w:left="21"/>
              <w:jc w:val="left"/>
              <w:rPr>
                <w:rFonts w:ascii="宋体" w:hAnsi="宋体"/>
                <w:bCs/>
                <w:szCs w:val="21"/>
              </w:rPr>
            </w:pPr>
            <w:r>
              <w:rPr>
                <w:rFonts w:hint="eastAsia" w:ascii="宋体" w:hAnsi="宋体"/>
                <w:bCs/>
                <w:szCs w:val="21"/>
              </w:rPr>
              <w:t>2019年至今同类项目的业绩用户名单（需提供合同关键页复印件或中标通知书复印件，并加盖供应商公司公章）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21</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left"/>
              <w:rPr>
                <w:rFonts w:ascii="宋体" w:hAnsi="宋体"/>
                <w:bCs/>
                <w:szCs w:val="21"/>
              </w:rPr>
            </w:pPr>
            <w:r>
              <w:rPr>
                <w:rFonts w:hint="eastAsia" w:ascii="宋体" w:hAnsi="宋体"/>
                <w:bCs/>
                <w:szCs w:val="21"/>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22</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left"/>
              <w:rPr>
                <w:rFonts w:ascii="宋体" w:hAnsi="宋体"/>
                <w:bCs/>
                <w:szCs w:val="21"/>
              </w:rPr>
            </w:pPr>
            <w:r>
              <w:rPr>
                <w:rFonts w:hint="eastAsia" w:ascii="宋体" w:hAnsi="宋体"/>
                <w:bCs/>
                <w:szCs w:val="21"/>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23</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left"/>
              <w:rPr>
                <w:rFonts w:ascii="宋体" w:hAnsi="宋体"/>
                <w:bCs/>
                <w:szCs w:val="21"/>
              </w:rPr>
            </w:pPr>
            <w:r>
              <w:rPr>
                <w:rFonts w:hint="eastAsia" w:ascii="宋体" w:hAnsi="宋体"/>
                <w:bCs/>
                <w:szCs w:val="21"/>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第(       )页</w:t>
            </w:r>
          </w:p>
        </w:tc>
      </w:tr>
    </w:tbl>
    <w:p>
      <w:pPr>
        <w:widowControl/>
        <w:spacing w:line="360" w:lineRule="auto"/>
        <w:jc w:val="left"/>
        <w:rPr>
          <w:rFonts w:ascii="仿宋" w:hAnsi="仿宋" w:eastAsia="仿宋" w:cs="宋体"/>
          <w:b/>
          <w:kern w:val="0"/>
          <w:sz w:val="24"/>
          <w:szCs w:val="32"/>
        </w:rPr>
      </w:pPr>
      <w:bookmarkStart w:id="173" w:name="_Toc11232"/>
      <w:bookmarkStart w:id="174" w:name="_Toc24508"/>
      <w:bookmarkStart w:id="175" w:name="_Toc21936"/>
      <w:bookmarkStart w:id="176" w:name="_Toc562"/>
    </w:p>
    <w:p>
      <w:pPr>
        <w:widowControl/>
        <w:spacing w:line="360" w:lineRule="auto"/>
        <w:jc w:val="left"/>
        <w:rPr>
          <w:rFonts w:ascii="仿宋" w:hAnsi="仿宋" w:eastAsia="仿宋" w:cs="宋体"/>
          <w:b/>
          <w:kern w:val="0"/>
          <w:sz w:val="24"/>
          <w:szCs w:val="32"/>
        </w:rPr>
      </w:pPr>
    </w:p>
    <w:p>
      <w:pPr>
        <w:autoSpaceDE w:val="0"/>
        <w:autoSpaceDN w:val="0"/>
        <w:spacing w:line="360" w:lineRule="auto"/>
        <w:ind w:firstLine="482" w:firstLineChars="200"/>
        <w:jc w:val="center"/>
        <w:rPr>
          <w:rFonts w:ascii="宋体" w:hAnsi="宋体" w:cs="宋体"/>
          <w:b/>
          <w:sz w:val="24"/>
        </w:rPr>
      </w:pPr>
      <w:bookmarkStart w:id="177" w:name="_Toc18896"/>
      <w:r>
        <w:rPr>
          <w:rFonts w:hint="eastAsia" w:ascii="宋体" w:hAnsi="宋体" w:cs="宋体"/>
          <w:b/>
          <w:sz w:val="24"/>
        </w:rPr>
        <w:t>南方医科大学第五附属医院病理项目外送检验服务项目评分自查表</w:t>
      </w:r>
    </w:p>
    <w:tbl>
      <w:tblPr>
        <w:tblStyle w:val="19"/>
        <w:tblW w:w="11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042"/>
        <w:gridCol w:w="6334"/>
        <w:gridCol w:w="866"/>
        <w:gridCol w:w="1300"/>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dxa"/>
            <w:vAlign w:val="center"/>
          </w:tcPr>
          <w:p>
            <w:pPr>
              <w:spacing w:line="240" w:lineRule="exact"/>
              <w:jc w:val="center"/>
              <w:textAlignment w:val="center"/>
              <w:rPr>
                <w:rFonts w:ascii="宋体" w:hAnsi="宋体" w:cs="宋体"/>
                <w:sz w:val="18"/>
                <w:szCs w:val="18"/>
              </w:rPr>
            </w:pPr>
            <w:r>
              <w:rPr>
                <w:rFonts w:hint="eastAsia" w:ascii="宋体" w:hAnsi="宋体" w:cs="宋体"/>
                <w:b/>
                <w:color w:val="0D0D0D" w:themeColor="text1" w:themeTint="F2"/>
                <w:sz w:val="18"/>
                <w:szCs w:val="18"/>
                <w:lang w:bidi="ar"/>
                <w14:textFill>
                  <w14:solidFill>
                    <w14:schemeClr w14:val="tx1">
                      <w14:lumMod w14:val="95000"/>
                      <w14:lumOff w14:val="5000"/>
                    </w14:schemeClr>
                  </w14:solidFill>
                </w14:textFill>
              </w:rPr>
              <w:t>序号</w:t>
            </w:r>
            <w:r>
              <w:rPr>
                <w:rFonts w:ascii="宋体" w:hAnsi="宋体" w:cs="宋体"/>
                <w:b/>
                <w:color w:val="0D0D0D" w:themeColor="text1" w:themeTint="F2"/>
                <w:sz w:val="18"/>
                <w:szCs w:val="18"/>
                <w:lang w:bidi="ar"/>
                <w14:textFill>
                  <w14:solidFill>
                    <w14:schemeClr w14:val="tx1">
                      <w14:lumMod w14:val="95000"/>
                      <w14:lumOff w14:val="5000"/>
                    </w14:schemeClr>
                  </w14:solidFill>
                </w14:textFill>
              </w:rPr>
              <w:t xml:space="preserve"> </w:t>
            </w:r>
          </w:p>
        </w:tc>
        <w:tc>
          <w:tcPr>
            <w:tcW w:w="1042" w:type="dxa"/>
            <w:vAlign w:val="center"/>
          </w:tcPr>
          <w:p>
            <w:pPr>
              <w:spacing w:line="240" w:lineRule="exact"/>
              <w:jc w:val="center"/>
              <w:textAlignment w:val="center"/>
              <w:rPr>
                <w:rFonts w:ascii="宋体" w:hAnsi="宋体" w:cs="宋体"/>
                <w:sz w:val="18"/>
                <w:szCs w:val="18"/>
              </w:rPr>
            </w:pPr>
            <w:r>
              <w:rPr>
                <w:rFonts w:hint="eastAsia" w:ascii="宋体" w:hAnsi="宋体" w:cs="宋体"/>
                <w:b/>
                <w:color w:val="0D0D0D" w:themeColor="text1" w:themeTint="F2"/>
                <w:sz w:val="18"/>
                <w:szCs w:val="18"/>
                <w:lang w:bidi="ar"/>
                <w14:textFill>
                  <w14:solidFill>
                    <w14:schemeClr w14:val="tx1">
                      <w14:lumMod w14:val="95000"/>
                      <w14:lumOff w14:val="5000"/>
                    </w14:schemeClr>
                  </w14:solidFill>
                </w14:textFill>
              </w:rPr>
              <w:t>评审内容</w:t>
            </w:r>
          </w:p>
        </w:tc>
        <w:tc>
          <w:tcPr>
            <w:tcW w:w="6334" w:type="dxa"/>
            <w:vAlign w:val="center"/>
          </w:tcPr>
          <w:p>
            <w:pPr>
              <w:spacing w:line="240" w:lineRule="exact"/>
              <w:jc w:val="center"/>
              <w:textAlignment w:val="center"/>
              <w:rPr>
                <w:rFonts w:ascii="宋体" w:hAnsi="宋体" w:cs="宋体"/>
                <w:sz w:val="18"/>
                <w:szCs w:val="18"/>
              </w:rPr>
            </w:pPr>
            <w:r>
              <w:rPr>
                <w:rFonts w:hint="eastAsia" w:ascii="宋体" w:hAnsi="宋体" w:cs="宋体"/>
                <w:b/>
                <w:color w:val="0D0D0D" w:themeColor="text1" w:themeTint="F2"/>
                <w:sz w:val="18"/>
                <w:szCs w:val="18"/>
                <w:lang w:bidi="ar"/>
                <w14:textFill>
                  <w14:solidFill>
                    <w14:schemeClr w14:val="tx1">
                      <w14:lumMod w14:val="95000"/>
                      <w14:lumOff w14:val="5000"/>
                    </w14:schemeClr>
                  </w14:solidFill>
                </w14:textFill>
              </w:rPr>
              <w:t>评审细则</w:t>
            </w:r>
          </w:p>
        </w:tc>
        <w:tc>
          <w:tcPr>
            <w:tcW w:w="866" w:type="dxa"/>
            <w:vAlign w:val="center"/>
          </w:tcPr>
          <w:p>
            <w:pPr>
              <w:spacing w:line="240" w:lineRule="exact"/>
              <w:jc w:val="center"/>
              <w:textAlignment w:val="center"/>
              <w:rPr>
                <w:rFonts w:ascii="宋体" w:hAnsi="宋体" w:cs="宋体"/>
                <w:sz w:val="18"/>
                <w:szCs w:val="18"/>
              </w:rPr>
            </w:pPr>
            <w:r>
              <w:rPr>
                <w:rFonts w:hint="eastAsia" w:ascii="宋体" w:hAnsi="宋体" w:cs="宋体"/>
                <w:b/>
                <w:color w:val="0D0D0D" w:themeColor="text1" w:themeTint="F2"/>
                <w:sz w:val="18"/>
                <w:szCs w:val="18"/>
                <w:lang w:bidi="ar"/>
                <w14:textFill>
                  <w14:solidFill>
                    <w14:schemeClr w14:val="tx1">
                      <w14:lumMod w14:val="95000"/>
                      <w14:lumOff w14:val="5000"/>
                    </w14:schemeClr>
                  </w14:solidFill>
                </w14:textFill>
              </w:rPr>
              <w:t>分值</w:t>
            </w:r>
          </w:p>
        </w:tc>
        <w:tc>
          <w:tcPr>
            <w:tcW w:w="1300" w:type="dxa"/>
            <w:vAlign w:val="center"/>
          </w:tcPr>
          <w:p>
            <w:pPr>
              <w:spacing w:line="240" w:lineRule="exact"/>
              <w:jc w:val="center"/>
              <w:textAlignment w:val="center"/>
              <w:rPr>
                <w:rFonts w:ascii="宋体" w:hAnsi="宋体" w:cs="宋体"/>
                <w:b/>
                <w:sz w:val="18"/>
                <w:szCs w:val="18"/>
                <w:lang w:bidi="ar"/>
              </w:rPr>
            </w:pPr>
            <w:r>
              <w:rPr>
                <w:rFonts w:hint="eastAsia" w:ascii="宋体" w:hAnsi="宋体" w:cs="宋体"/>
                <w:b/>
                <w:kern w:val="0"/>
                <w:sz w:val="18"/>
                <w:szCs w:val="18"/>
              </w:rPr>
              <w:t>页码</w:t>
            </w:r>
          </w:p>
        </w:tc>
        <w:tc>
          <w:tcPr>
            <w:tcW w:w="1075" w:type="dxa"/>
            <w:vAlign w:val="center"/>
          </w:tcPr>
          <w:p>
            <w:pPr>
              <w:widowControl/>
              <w:spacing w:line="240" w:lineRule="exact"/>
              <w:jc w:val="center"/>
              <w:rPr>
                <w:rFonts w:ascii="宋体" w:hAnsi="宋体" w:cs="宋体"/>
                <w:b/>
                <w:kern w:val="0"/>
                <w:sz w:val="18"/>
                <w:szCs w:val="18"/>
              </w:rPr>
            </w:pPr>
            <w:r>
              <w:rPr>
                <w:rFonts w:hint="eastAsia" w:ascii="宋体" w:hAnsi="宋体" w:cs="宋体"/>
                <w:b/>
                <w:kern w:val="0"/>
                <w:sz w:val="18"/>
                <w:szCs w:val="18"/>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455" w:type="dxa"/>
            <w:vAlign w:val="center"/>
          </w:tcPr>
          <w:p>
            <w:pPr>
              <w:pStyle w:val="43"/>
              <w:widowControl w:val="0"/>
              <w:spacing w:line="240" w:lineRule="exact"/>
              <w:jc w:val="center"/>
              <w:rPr>
                <w:rFonts w:ascii="宋体" w:cs="宋体"/>
                <w:b/>
                <w:sz w:val="18"/>
                <w:szCs w:val="18"/>
              </w:rPr>
            </w:pPr>
            <w:r>
              <w:rPr>
                <w:rFonts w:hint="eastAsia" w:ascii="宋体" w:cs="宋体"/>
                <w:b/>
                <w:color w:val="0D0D0D" w:themeColor="text1" w:themeTint="F2"/>
                <w:sz w:val="18"/>
                <w:szCs w:val="18"/>
                <w14:textFill>
                  <w14:solidFill>
                    <w14:schemeClr w14:val="tx1">
                      <w14:lumMod w14:val="95000"/>
                      <w14:lumOff w14:val="5000"/>
                    </w14:schemeClr>
                  </w14:solidFill>
                </w14:textFill>
              </w:rPr>
              <w:t>1</w:t>
            </w:r>
          </w:p>
        </w:tc>
        <w:tc>
          <w:tcPr>
            <w:tcW w:w="1042" w:type="dxa"/>
            <w:vAlign w:val="center"/>
          </w:tcPr>
          <w:p>
            <w:pPr>
              <w:pStyle w:val="43"/>
              <w:widowControl w:val="0"/>
              <w:spacing w:line="240" w:lineRule="exact"/>
              <w:jc w:val="center"/>
              <w:rPr>
                <w:rFonts w:ascii="宋体" w:cs="宋体"/>
                <w:b/>
                <w:color w:val="0D0D0D" w:themeColor="text1" w:themeTint="F2"/>
                <w:sz w:val="18"/>
                <w:szCs w:val="18"/>
                <w:lang w:bidi="ar"/>
                <w14:textFill>
                  <w14:solidFill>
                    <w14:schemeClr w14:val="tx1">
                      <w14:lumMod w14:val="95000"/>
                      <w14:lumOff w14:val="5000"/>
                    </w14:schemeClr>
                  </w14:solidFill>
                </w14:textFill>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供应商综合情况</w:t>
            </w:r>
          </w:p>
          <w:p>
            <w:pPr>
              <w:pStyle w:val="43"/>
              <w:widowControl w:val="0"/>
              <w:spacing w:line="240" w:lineRule="exact"/>
              <w:jc w:val="center"/>
              <w:rPr>
                <w:rFonts w:ascii="宋体" w:eastAsia="仿宋" w:cs="宋体"/>
                <w:b/>
                <w:color w:val="000000"/>
                <w:sz w:val="18"/>
                <w:szCs w:val="18"/>
                <w:lang w:bidi="ar"/>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（15分）</w:t>
            </w:r>
          </w:p>
        </w:tc>
        <w:tc>
          <w:tcPr>
            <w:tcW w:w="6334" w:type="dxa"/>
          </w:tcPr>
          <w:p>
            <w:pPr>
              <w:spacing w:line="240" w:lineRule="exact"/>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(1)具备有效的知识产权管理体系认证证书，其认证范围包括病理诊断、肿瘤和遗传性疾病基因检测服务的管理的，得5分，未提供不得分。</w:t>
            </w:r>
          </w:p>
          <w:p>
            <w:pPr>
              <w:spacing w:line="240" w:lineRule="exact"/>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(2)获得省级或以上科学技术厅认定的病理相关工程技术研究中心的，得5分，市级科学技术部门认定的病理检验工程技术研究中心的，得2分，其他或未提供不得分。</w:t>
            </w:r>
          </w:p>
          <w:p>
            <w:pPr>
              <w:spacing w:line="240" w:lineRule="exact"/>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(3)病理相关研究及应用项目获得过国家级科技部项目立项支持的，得5分；省级科技部项目立项支持的，得2分；市级科技部项目立项支持的，得1分；其他或未提供不得分。</w:t>
            </w:r>
          </w:p>
          <w:p>
            <w:pPr>
              <w:spacing w:line="240" w:lineRule="exact"/>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注：需提供证书扫描件或有效的证明文件复印件并加盖供应商公章。</w:t>
            </w:r>
          </w:p>
        </w:tc>
        <w:tc>
          <w:tcPr>
            <w:tcW w:w="866" w:type="dxa"/>
            <w:vAlign w:val="center"/>
          </w:tcPr>
          <w:p>
            <w:pPr>
              <w:pStyle w:val="43"/>
              <w:widowControl w:val="0"/>
              <w:spacing w:line="240" w:lineRule="exact"/>
              <w:jc w:val="center"/>
              <w:rPr>
                <w:rFonts w:ascii="宋体" w:cs="宋体"/>
                <w:color w:val="0D0D0D" w:themeColor="text1" w:themeTint="F2"/>
                <w:sz w:val="18"/>
                <w:szCs w:val="18"/>
                <w14:textFill>
                  <w14:solidFill>
                    <w14:schemeClr w14:val="tx1">
                      <w14:lumMod w14:val="95000"/>
                      <w14:lumOff w14:val="5000"/>
                    </w14:schemeClr>
                  </w14:solidFill>
                </w14:textFill>
              </w:rPr>
            </w:pPr>
            <w:r>
              <w:rPr>
                <w:rFonts w:hint="eastAsia" w:ascii="宋体" w:cs="宋体"/>
                <w:color w:val="0D0D0D" w:themeColor="text1" w:themeTint="F2"/>
                <w:sz w:val="18"/>
                <w:szCs w:val="18"/>
                <w14:textFill>
                  <w14:solidFill>
                    <w14:schemeClr w14:val="tx1">
                      <w14:lumMod w14:val="95000"/>
                      <w14:lumOff w14:val="5000"/>
                    </w14:schemeClr>
                  </w14:solidFill>
                </w14:textFill>
              </w:rPr>
              <w:t>15分</w:t>
            </w:r>
          </w:p>
        </w:tc>
        <w:tc>
          <w:tcPr>
            <w:tcW w:w="1300" w:type="dxa"/>
            <w:vAlign w:val="center"/>
          </w:tcPr>
          <w:p>
            <w:pPr>
              <w:pStyle w:val="43"/>
              <w:widowControl w:val="0"/>
              <w:spacing w:line="240" w:lineRule="exact"/>
              <w:jc w:val="center"/>
              <w:rPr>
                <w:rFonts w:ascii="宋体" w:cs="宋体"/>
                <w:kern w:val="0"/>
                <w:sz w:val="18"/>
                <w:szCs w:val="18"/>
              </w:rPr>
            </w:pPr>
            <w:r>
              <w:rPr>
                <w:rFonts w:hint="eastAsia" w:ascii="宋体" w:cs="宋体"/>
                <w:kern w:val="0"/>
                <w:sz w:val="18"/>
                <w:szCs w:val="18"/>
              </w:rPr>
              <w:t>（第</w:t>
            </w:r>
            <w:r>
              <w:rPr>
                <w:rFonts w:ascii="宋体" w:cs="宋体"/>
                <w:kern w:val="0"/>
                <w:sz w:val="18"/>
                <w:szCs w:val="18"/>
              </w:rPr>
              <w:t xml:space="preserve">   </w:t>
            </w:r>
            <w:r>
              <w:rPr>
                <w:rFonts w:hint="eastAsia" w:ascii="宋体" w:cs="宋体"/>
                <w:kern w:val="0"/>
                <w:sz w:val="18"/>
                <w:szCs w:val="18"/>
              </w:rPr>
              <w:t>页）</w:t>
            </w:r>
          </w:p>
        </w:tc>
        <w:tc>
          <w:tcPr>
            <w:tcW w:w="1075" w:type="dxa"/>
            <w:vAlign w:val="center"/>
          </w:tcPr>
          <w:p>
            <w:pPr>
              <w:pStyle w:val="43"/>
              <w:widowControl w:val="0"/>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55" w:type="dxa"/>
            <w:vMerge w:val="restart"/>
            <w:vAlign w:val="center"/>
          </w:tcPr>
          <w:p>
            <w:pPr>
              <w:pStyle w:val="43"/>
              <w:widowControl w:val="0"/>
              <w:spacing w:line="240" w:lineRule="exact"/>
              <w:jc w:val="center"/>
              <w:rPr>
                <w:rFonts w:ascii="宋体" w:cs="宋体"/>
                <w:b/>
                <w:sz w:val="18"/>
                <w:szCs w:val="18"/>
              </w:rPr>
            </w:pPr>
            <w:r>
              <w:rPr>
                <w:rFonts w:hint="eastAsia" w:ascii="宋体" w:cs="宋体"/>
                <w:b/>
                <w:color w:val="0D0D0D" w:themeColor="text1" w:themeTint="F2"/>
                <w:sz w:val="18"/>
                <w:szCs w:val="18"/>
                <w14:textFill>
                  <w14:solidFill>
                    <w14:schemeClr w14:val="tx1">
                      <w14:lumMod w14:val="95000"/>
                      <w14:lumOff w14:val="5000"/>
                    </w14:schemeClr>
                  </w14:solidFill>
                </w14:textFill>
              </w:rPr>
              <w:t>2</w:t>
            </w:r>
          </w:p>
        </w:tc>
        <w:tc>
          <w:tcPr>
            <w:tcW w:w="1042" w:type="dxa"/>
            <w:vMerge w:val="restart"/>
            <w:vAlign w:val="center"/>
          </w:tcPr>
          <w:p>
            <w:pPr>
              <w:pStyle w:val="43"/>
              <w:widowControl w:val="0"/>
              <w:spacing w:line="240" w:lineRule="exact"/>
              <w:jc w:val="center"/>
              <w:rPr>
                <w:rFonts w:ascii="宋体" w:cs="宋体"/>
                <w:b/>
                <w:sz w:val="18"/>
                <w:szCs w:val="18"/>
                <w:lang w:bidi="ar"/>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实验室技术与质量能力保障（10分）</w:t>
            </w:r>
          </w:p>
        </w:tc>
        <w:tc>
          <w:tcPr>
            <w:tcW w:w="6334" w:type="dxa"/>
          </w:tcPr>
          <w:p>
            <w:pPr>
              <w:spacing w:line="240" w:lineRule="exact"/>
              <w:rPr>
                <w:sz w:val="18"/>
                <w:szCs w:val="18"/>
              </w:rPr>
            </w:pPr>
            <w:r>
              <w:rPr>
                <w:rFonts w:hint="eastAsia"/>
                <w:sz w:val="18"/>
                <w:szCs w:val="18"/>
              </w:rPr>
              <w:t>(1)实验室通过ISO15189《医学实验室-质量和能力的要求》认证，满足得2分，未提供不得分。</w:t>
            </w:r>
          </w:p>
          <w:p>
            <w:pPr>
              <w:spacing w:line="240" w:lineRule="exac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(2)实验室通过CAP认证，满足得2分，未提供不得分。</w:t>
            </w:r>
          </w:p>
          <w:p>
            <w:pPr>
              <w:spacing w:line="240" w:lineRule="exact"/>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sz w:val="18"/>
                <w:szCs w:val="18"/>
              </w:rPr>
              <w:t>注：需提供证书复印件加盖供应商公章。</w:t>
            </w:r>
          </w:p>
        </w:tc>
        <w:tc>
          <w:tcPr>
            <w:tcW w:w="866" w:type="dxa"/>
            <w:vAlign w:val="center"/>
          </w:tcPr>
          <w:p>
            <w:pPr>
              <w:pStyle w:val="43"/>
              <w:widowControl w:val="0"/>
              <w:spacing w:line="240" w:lineRule="exact"/>
              <w:jc w:val="center"/>
              <w:rPr>
                <w:rFonts w:ascii="宋体" w:cs="宋体"/>
                <w:color w:val="0D0D0D" w:themeColor="text1" w:themeTint="F2"/>
                <w:sz w:val="18"/>
                <w:szCs w:val="18"/>
                <w14:textFill>
                  <w14:solidFill>
                    <w14:schemeClr w14:val="tx1">
                      <w14:lumMod w14:val="95000"/>
                      <w14:lumOff w14:val="5000"/>
                    </w14:schemeClr>
                  </w14:solidFill>
                </w14:textFill>
              </w:rPr>
            </w:pPr>
            <w:r>
              <w:rPr>
                <w:rFonts w:hint="eastAsia" w:ascii="宋体" w:cs="宋体"/>
                <w:color w:val="0D0D0D" w:themeColor="text1" w:themeTint="F2"/>
                <w:sz w:val="18"/>
                <w:szCs w:val="18"/>
                <w14:textFill>
                  <w14:solidFill>
                    <w14:schemeClr w14:val="tx1">
                      <w14:lumMod w14:val="95000"/>
                      <w14:lumOff w14:val="5000"/>
                    </w14:schemeClr>
                  </w14:solidFill>
                </w14:textFill>
              </w:rPr>
              <w:t>4分</w:t>
            </w:r>
          </w:p>
        </w:tc>
        <w:tc>
          <w:tcPr>
            <w:tcW w:w="1300" w:type="dxa"/>
            <w:vAlign w:val="center"/>
          </w:tcPr>
          <w:p>
            <w:pPr>
              <w:pStyle w:val="43"/>
              <w:widowControl w:val="0"/>
              <w:spacing w:line="240" w:lineRule="exact"/>
              <w:jc w:val="center"/>
              <w:rPr>
                <w:rFonts w:ascii="宋体" w:cs="宋体"/>
                <w:sz w:val="18"/>
                <w:szCs w:val="18"/>
              </w:rPr>
            </w:pPr>
            <w:r>
              <w:rPr>
                <w:rFonts w:hint="eastAsia" w:ascii="宋体" w:cs="宋体"/>
                <w:sz w:val="18"/>
                <w:szCs w:val="18"/>
              </w:rPr>
              <w:t>（第   页）</w:t>
            </w:r>
          </w:p>
        </w:tc>
        <w:tc>
          <w:tcPr>
            <w:tcW w:w="1075" w:type="dxa"/>
            <w:vMerge w:val="restart"/>
            <w:vAlign w:val="center"/>
          </w:tcPr>
          <w:p>
            <w:pPr>
              <w:pStyle w:val="43"/>
              <w:widowControl w:val="0"/>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455" w:type="dxa"/>
            <w:vMerge w:val="continue"/>
            <w:vAlign w:val="center"/>
          </w:tcPr>
          <w:p>
            <w:pPr>
              <w:pStyle w:val="43"/>
              <w:widowControl w:val="0"/>
              <w:spacing w:line="240" w:lineRule="exact"/>
              <w:jc w:val="center"/>
              <w:rPr>
                <w:rFonts w:ascii="宋体" w:cs="宋体"/>
                <w:b/>
                <w:color w:val="0D0D0D" w:themeColor="text1" w:themeTint="F2"/>
                <w:sz w:val="18"/>
                <w:szCs w:val="18"/>
                <w14:textFill>
                  <w14:solidFill>
                    <w14:schemeClr w14:val="tx1">
                      <w14:lumMod w14:val="95000"/>
                      <w14:lumOff w14:val="5000"/>
                    </w14:schemeClr>
                  </w14:solidFill>
                </w14:textFill>
              </w:rPr>
            </w:pPr>
          </w:p>
        </w:tc>
        <w:tc>
          <w:tcPr>
            <w:tcW w:w="1042" w:type="dxa"/>
            <w:vMerge w:val="continue"/>
            <w:vAlign w:val="center"/>
          </w:tcPr>
          <w:p>
            <w:pPr>
              <w:pStyle w:val="43"/>
              <w:widowControl w:val="0"/>
              <w:spacing w:line="240" w:lineRule="exact"/>
              <w:jc w:val="center"/>
              <w:rPr>
                <w:rFonts w:ascii="宋体" w:cs="宋体"/>
                <w:b/>
                <w:color w:val="0D0D0D" w:themeColor="text1" w:themeTint="F2"/>
                <w:sz w:val="18"/>
                <w:szCs w:val="18"/>
                <w:lang w:bidi="ar"/>
                <w14:textFill>
                  <w14:solidFill>
                    <w14:schemeClr w14:val="tx1">
                      <w14:lumMod w14:val="95000"/>
                      <w14:lumOff w14:val="5000"/>
                    </w14:schemeClr>
                  </w14:solidFill>
                </w14:textFill>
              </w:rPr>
            </w:pPr>
          </w:p>
        </w:tc>
        <w:tc>
          <w:tcPr>
            <w:tcW w:w="6334" w:type="dxa"/>
          </w:tcPr>
          <w:p>
            <w:pPr>
              <w:spacing w:line="240" w:lineRule="exact"/>
              <w:rPr>
                <w:rFonts w:ascii="宋体" w:hAnsi="宋体" w:cs="宋体"/>
                <w:b/>
                <w:bCs/>
                <w:color w:val="auto"/>
                <w:sz w:val="18"/>
                <w:szCs w:val="18"/>
              </w:rPr>
            </w:pPr>
            <w:r>
              <w:rPr>
                <w:rFonts w:hint="eastAsia" w:ascii="宋体" w:hAnsi="宋体" w:cs="宋体"/>
                <w:color w:val="auto"/>
                <w:sz w:val="18"/>
                <w:szCs w:val="18"/>
              </w:rPr>
              <w:t>(3)具有由国家认证认可监督管理部门批准设立的认证机构颁发并在有效期内的质量管理体系认证证书、环境管理体系认证证书、职业健康安全管理体系认证证书的，每提供一个得2分，满分得6分。未提供不得分。</w:t>
            </w:r>
          </w:p>
          <w:p>
            <w:pPr>
              <w:pStyle w:val="2"/>
              <w:spacing w:line="240" w:lineRule="exact"/>
              <w:rPr>
                <w:rFonts w:ascii="宋体" w:hAnsi="宋体" w:cs="宋体"/>
                <w:b/>
                <w:color w:val="auto"/>
                <w:sz w:val="18"/>
                <w:szCs w:val="18"/>
              </w:rPr>
            </w:pPr>
            <w:r>
              <w:rPr>
                <w:rFonts w:hint="eastAsia" w:ascii="宋体" w:hAnsi="宋体" w:cs="宋体"/>
                <w:b/>
                <w:color w:val="auto"/>
                <w:sz w:val="18"/>
                <w:szCs w:val="18"/>
              </w:rPr>
              <w:t>注：需提供有效证书复印件及 “全国认证认可信息公共服务平台”网站（http://cx.cnca.cn/）的查询截图（证书状态为有效）并加盖供应商公章为准。</w:t>
            </w:r>
          </w:p>
        </w:tc>
        <w:tc>
          <w:tcPr>
            <w:tcW w:w="866" w:type="dxa"/>
            <w:vAlign w:val="center"/>
          </w:tcPr>
          <w:p>
            <w:pPr>
              <w:pStyle w:val="43"/>
              <w:widowControl w:val="0"/>
              <w:spacing w:line="240" w:lineRule="exact"/>
              <w:jc w:val="center"/>
              <w:rPr>
                <w:rFonts w:ascii="宋体" w:cs="宋体"/>
                <w:color w:val="auto"/>
                <w:sz w:val="18"/>
                <w:szCs w:val="18"/>
              </w:rPr>
            </w:pPr>
            <w:r>
              <w:rPr>
                <w:rFonts w:hint="eastAsia" w:ascii="宋体" w:cs="宋体"/>
                <w:color w:val="auto"/>
                <w:sz w:val="18"/>
                <w:szCs w:val="18"/>
              </w:rPr>
              <w:t>6分</w:t>
            </w:r>
          </w:p>
        </w:tc>
        <w:tc>
          <w:tcPr>
            <w:tcW w:w="1300" w:type="dxa"/>
            <w:vAlign w:val="center"/>
          </w:tcPr>
          <w:p>
            <w:pPr>
              <w:pStyle w:val="43"/>
              <w:widowControl w:val="0"/>
              <w:spacing w:line="240" w:lineRule="exact"/>
              <w:jc w:val="center"/>
              <w:rPr>
                <w:rFonts w:ascii="宋体" w:cs="宋体"/>
                <w:sz w:val="18"/>
                <w:szCs w:val="18"/>
              </w:rPr>
            </w:pPr>
            <w:r>
              <w:rPr>
                <w:rFonts w:hint="eastAsia" w:ascii="宋体" w:cs="宋体"/>
                <w:sz w:val="18"/>
                <w:szCs w:val="18"/>
              </w:rPr>
              <w:t>（第   页）</w:t>
            </w:r>
          </w:p>
        </w:tc>
        <w:tc>
          <w:tcPr>
            <w:tcW w:w="1075" w:type="dxa"/>
            <w:vMerge w:val="continue"/>
            <w:vAlign w:val="center"/>
          </w:tcPr>
          <w:p>
            <w:pPr>
              <w:pStyle w:val="43"/>
              <w:widowControl w:val="0"/>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455" w:type="dxa"/>
            <w:vAlign w:val="center"/>
          </w:tcPr>
          <w:p>
            <w:pPr>
              <w:pStyle w:val="43"/>
              <w:widowControl w:val="0"/>
              <w:spacing w:line="240" w:lineRule="exact"/>
              <w:jc w:val="center"/>
              <w:rPr>
                <w:rFonts w:ascii="宋体" w:cs="宋体"/>
                <w:b/>
                <w:sz w:val="18"/>
                <w:szCs w:val="18"/>
              </w:rPr>
            </w:pPr>
            <w:r>
              <w:rPr>
                <w:rFonts w:hint="eastAsia" w:ascii="宋体" w:cs="宋体"/>
                <w:b/>
                <w:color w:val="0D0D0D" w:themeColor="text1" w:themeTint="F2"/>
                <w:sz w:val="18"/>
                <w:szCs w:val="18"/>
                <w14:textFill>
                  <w14:solidFill>
                    <w14:schemeClr w14:val="tx1">
                      <w14:lumMod w14:val="95000"/>
                      <w14:lumOff w14:val="5000"/>
                    </w14:schemeClr>
                  </w14:solidFill>
                </w14:textFill>
              </w:rPr>
              <w:t>3</w:t>
            </w:r>
          </w:p>
        </w:tc>
        <w:tc>
          <w:tcPr>
            <w:tcW w:w="1042" w:type="dxa"/>
            <w:vAlign w:val="center"/>
          </w:tcPr>
          <w:p>
            <w:pPr>
              <w:pStyle w:val="43"/>
              <w:widowControl w:val="0"/>
              <w:spacing w:line="240" w:lineRule="exact"/>
              <w:jc w:val="center"/>
              <w:rPr>
                <w:rFonts w:ascii="宋体" w:cs="宋体"/>
                <w:b/>
                <w:sz w:val="18"/>
                <w:szCs w:val="18"/>
                <w:lang w:bidi="ar"/>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同类项目</w:t>
            </w:r>
            <w:r>
              <w:rPr>
                <w:rFonts w:hint="eastAsia" w:ascii="宋体" w:cs="宋体"/>
                <w:b/>
                <w:color w:val="auto"/>
                <w:sz w:val="18"/>
                <w:szCs w:val="18"/>
                <w:lang w:bidi="ar"/>
              </w:rPr>
              <w:t>业绩情况（5分）</w:t>
            </w:r>
          </w:p>
        </w:tc>
        <w:tc>
          <w:tcPr>
            <w:tcW w:w="6334" w:type="dxa"/>
          </w:tcPr>
          <w:p>
            <w:pPr>
              <w:pStyle w:val="2"/>
              <w:spacing w:line="240" w:lineRule="exact"/>
              <w:rPr>
                <w:rFonts w:ascii="宋体" w:hAnsi="宋体" w:cs="宋体"/>
                <w:color w:val="auto"/>
                <w:sz w:val="18"/>
                <w:szCs w:val="18"/>
              </w:rPr>
            </w:pPr>
            <w:r>
              <w:rPr>
                <w:rFonts w:hint="eastAsia" w:ascii="宋体" w:hAnsi="宋体" w:cs="宋体"/>
                <w:color w:val="auto"/>
                <w:sz w:val="18"/>
                <w:szCs w:val="18"/>
              </w:rPr>
              <w:t>依据供应商2019年1月1日以来（以合同签订时间为准）承担过类似医疗服务机构病理外送项目业绩，每提供1个得1分，最高得5分。</w:t>
            </w:r>
          </w:p>
          <w:p>
            <w:pPr>
              <w:pStyle w:val="2"/>
              <w:spacing w:line="240" w:lineRule="exact"/>
              <w:rPr>
                <w:rFonts w:ascii="宋体" w:hAnsi="宋体" w:cs="宋体"/>
                <w:b/>
                <w:color w:val="auto"/>
                <w:sz w:val="18"/>
                <w:szCs w:val="18"/>
              </w:rPr>
            </w:pPr>
            <w:r>
              <w:rPr>
                <w:rFonts w:hint="eastAsia" w:ascii="宋体" w:hAnsi="宋体" w:cs="宋体"/>
                <w:b/>
                <w:color w:val="auto"/>
                <w:sz w:val="18"/>
                <w:szCs w:val="18"/>
              </w:rPr>
              <w:t>注：提供合同关键页复印件或委托协议书或发票复印件，并加盖公章。未提供或所提供文件不清晰造成评委无法判定则不得分。注：需提供相应的合同或委托协议复印件。</w:t>
            </w:r>
          </w:p>
        </w:tc>
        <w:tc>
          <w:tcPr>
            <w:tcW w:w="866" w:type="dxa"/>
            <w:vAlign w:val="center"/>
          </w:tcPr>
          <w:p>
            <w:pPr>
              <w:pStyle w:val="43"/>
              <w:widowControl w:val="0"/>
              <w:spacing w:line="240" w:lineRule="exact"/>
              <w:jc w:val="center"/>
              <w:rPr>
                <w:rFonts w:ascii="宋体" w:cs="宋体"/>
                <w:color w:val="auto"/>
                <w:sz w:val="18"/>
                <w:szCs w:val="18"/>
              </w:rPr>
            </w:pPr>
            <w:r>
              <w:rPr>
                <w:rFonts w:hint="eastAsia" w:ascii="宋体" w:cs="宋体"/>
                <w:color w:val="auto"/>
                <w:sz w:val="18"/>
                <w:szCs w:val="18"/>
              </w:rPr>
              <w:t>5分</w:t>
            </w:r>
          </w:p>
        </w:tc>
        <w:tc>
          <w:tcPr>
            <w:tcW w:w="1300" w:type="dxa"/>
            <w:vAlign w:val="center"/>
          </w:tcPr>
          <w:p>
            <w:pPr>
              <w:pStyle w:val="43"/>
              <w:widowControl w:val="0"/>
              <w:spacing w:line="240" w:lineRule="exact"/>
              <w:jc w:val="center"/>
              <w:rPr>
                <w:rFonts w:ascii="宋体" w:cs="宋体"/>
                <w:sz w:val="18"/>
                <w:szCs w:val="18"/>
              </w:rPr>
            </w:pPr>
            <w:r>
              <w:rPr>
                <w:rFonts w:hint="eastAsia" w:ascii="宋体" w:cs="宋体"/>
                <w:kern w:val="0"/>
                <w:sz w:val="18"/>
                <w:szCs w:val="18"/>
              </w:rPr>
              <w:t>（第</w:t>
            </w:r>
            <w:r>
              <w:rPr>
                <w:rFonts w:ascii="宋体" w:cs="宋体"/>
                <w:kern w:val="0"/>
                <w:sz w:val="18"/>
                <w:szCs w:val="18"/>
              </w:rPr>
              <w:t xml:space="preserve">   </w:t>
            </w:r>
            <w:r>
              <w:rPr>
                <w:rFonts w:hint="eastAsia" w:ascii="宋体" w:cs="宋体"/>
                <w:kern w:val="0"/>
                <w:sz w:val="18"/>
                <w:szCs w:val="18"/>
              </w:rPr>
              <w:t>页）</w:t>
            </w:r>
          </w:p>
        </w:tc>
        <w:tc>
          <w:tcPr>
            <w:tcW w:w="1075" w:type="dxa"/>
            <w:vAlign w:val="center"/>
          </w:tcPr>
          <w:p>
            <w:pPr>
              <w:pStyle w:val="43"/>
              <w:widowControl w:val="0"/>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55" w:type="dxa"/>
            <w:vAlign w:val="center"/>
          </w:tcPr>
          <w:p>
            <w:pPr>
              <w:pStyle w:val="43"/>
              <w:widowControl w:val="0"/>
              <w:spacing w:line="240" w:lineRule="exact"/>
              <w:jc w:val="center"/>
              <w:rPr>
                <w:rFonts w:ascii="宋体" w:cs="宋体"/>
                <w:b/>
                <w:sz w:val="18"/>
                <w:szCs w:val="18"/>
              </w:rPr>
            </w:pPr>
            <w:r>
              <w:rPr>
                <w:rFonts w:hint="eastAsia" w:ascii="宋体" w:cs="宋体"/>
                <w:b/>
                <w:color w:val="0D0D0D" w:themeColor="text1" w:themeTint="F2"/>
                <w:sz w:val="18"/>
                <w:szCs w:val="18"/>
                <w14:textFill>
                  <w14:solidFill>
                    <w14:schemeClr w14:val="tx1">
                      <w14:lumMod w14:val="95000"/>
                      <w14:lumOff w14:val="5000"/>
                    </w14:schemeClr>
                  </w14:solidFill>
                </w14:textFill>
              </w:rPr>
              <w:t>4</w:t>
            </w:r>
          </w:p>
        </w:tc>
        <w:tc>
          <w:tcPr>
            <w:tcW w:w="1042" w:type="dxa"/>
            <w:vAlign w:val="center"/>
          </w:tcPr>
          <w:p>
            <w:pPr>
              <w:pStyle w:val="43"/>
              <w:widowControl w:val="0"/>
              <w:spacing w:line="240" w:lineRule="exact"/>
              <w:jc w:val="center"/>
              <w:rPr>
                <w:rFonts w:ascii="宋体" w:cs="宋体"/>
                <w:b/>
                <w:sz w:val="18"/>
                <w:szCs w:val="18"/>
                <w:lang w:bidi="ar"/>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项目实施服务方案（5分）</w:t>
            </w:r>
          </w:p>
        </w:tc>
        <w:tc>
          <w:tcPr>
            <w:tcW w:w="6334" w:type="dxa"/>
          </w:tcPr>
          <w:p>
            <w:pPr>
              <w:spacing w:line="240" w:lineRule="exact"/>
              <w:rPr>
                <w:rFonts w:ascii="宋体" w:hAnsi="宋体" w:cs="宋体"/>
                <w:color w:val="auto"/>
                <w:sz w:val="18"/>
                <w:szCs w:val="18"/>
              </w:rPr>
            </w:pPr>
            <w:r>
              <w:rPr>
                <w:rFonts w:hint="eastAsia" w:ascii="宋体" w:hAnsi="宋体" w:cs="宋体"/>
                <w:color w:val="auto"/>
                <w:sz w:val="18"/>
                <w:szCs w:val="18"/>
              </w:rPr>
              <w:t>对各供应商组织实施方案是否满足采购人需求，完善可行、具体合理进行综合评分：</w:t>
            </w:r>
          </w:p>
          <w:p>
            <w:pPr>
              <w:spacing w:line="240" w:lineRule="exact"/>
              <w:rPr>
                <w:rFonts w:ascii="宋体" w:hAnsi="宋体" w:cs="宋体"/>
                <w:color w:val="auto"/>
                <w:sz w:val="18"/>
                <w:szCs w:val="18"/>
              </w:rPr>
            </w:pPr>
            <w:r>
              <w:rPr>
                <w:rFonts w:hint="eastAsia" w:ascii="宋体" w:hAnsi="宋体" w:cs="宋体"/>
                <w:color w:val="auto"/>
                <w:sz w:val="18"/>
                <w:szCs w:val="18"/>
              </w:rPr>
              <w:t>组织实施方案能够结合医院情况设置，方案完善可行、具体合理，得5分；</w:t>
            </w:r>
          </w:p>
          <w:p>
            <w:pPr>
              <w:spacing w:line="240" w:lineRule="exact"/>
              <w:rPr>
                <w:rFonts w:ascii="宋体" w:hAnsi="宋体" w:cs="宋体"/>
                <w:color w:val="auto"/>
                <w:sz w:val="18"/>
                <w:szCs w:val="18"/>
              </w:rPr>
            </w:pPr>
            <w:r>
              <w:rPr>
                <w:rFonts w:hint="eastAsia" w:ascii="宋体" w:hAnsi="宋体" w:cs="宋体"/>
                <w:color w:val="auto"/>
                <w:sz w:val="18"/>
                <w:szCs w:val="18"/>
              </w:rPr>
              <w:t>组织实施方案能够结合医院情况设置，方案较完善可行、较具体合理，得3分；</w:t>
            </w:r>
          </w:p>
          <w:p>
            <w:pPr>
              <w:spacing w:line="240" w:lineRule="exact"/>
              <w:rPr>
                <w:rFonts w:ascii="宋体" w:hAnsi="宋体" w:cs="宋体"/>
                <w:color w:val="auto"/>
                <w:sz w:val="18"/>
                <w:szCs w:val="18"/>
              </w:rPr>
            </w:pPr>
            <w:r>
              <w:rPr>
                <w:rFonts w:hint="eastAsia" w:ascii="宋体" w:hAnsi="宋体" w:cs="宋体"/>
                <w:color w:val="auto"/>
                <w:sz w:val="18"/>
                <w:szCs w:val="18"/>
              </w:rPr>
              <w:t>组织实施方案不能结合医院情况设置，方案不够完善且可行性一般、不够具体且不够合理，得1分；</w:t>
            </w:r>
          </w:p>
          <w:p>
            <w:pPr>
              <w:spacing w:line="240" w:lineRule="exact"/>
              <w:rPr>
                <w:rFonts w:eastAsia="Times New Roman"/>
                <w:b/>
                <w:color w:val="auto"/>
                <w:sz w:val="18"/>
                <w:szCs w:val="18"/>
              </w:rPr>
            </w:pPr>
            <w:r>
              <w:rPr>
                <w:rFonts w:hint="eastAsia" w:ascii="宋体" w:hAnsi="宋体" w:cs="宋体"/>
                <w:color w:val="auto"/>
                <w:sz w:val="18"/>
                <w:szCs w:val="18"/>
              </w:rPr>
              <w:t>不提供不得分。</w:t>
            </w:r>
          </w:p>
        </w:tc>
        <w:tc>
          <w:tcPr>
            <w:tcW w:w="866" w:type="dxa"/>
            <w:vAlign w:val="center"/>
          </w:tcPr>
          <w:p>
            <w:pPr>
              <w:pStyle w:val="43"/>
              <w:widowControl w:val="0"/>
              <w:spacing w:line="240" w:lineRule="exact"/>
              <w:jc w:val="center"/>
              <w:rPr>
                <w:rFonts w:ascii="宋体" w:cs="宋体"/>
                <w:color w:val="auto"/>
                <w:sz w:val="18"/>
                <w:szCs w:val="18"/>
              </w:rPr>
            </w:pPr>
            <w:r>
              <w:rPr>
                <w:rFonts w:hint="eastAsia" w:ascii="宋体" w:cs="宋体"/>
                <w:color w:val="auto"/>
                <w:sz w:val="18"/>
                <w:szCs w:val="18"/>
              </w:rPr>
              <w:t>5分</w:t>
            </w:r>
          </w:p>
        </w:tc>
        <w:tc>
          <w:tcPr>
            <w:tcW w:w="1300" w:type="dxa"/>
            <w:vAlign w:val="center"/>
          </w:tcPr>
          <w:p>
            <w:pPr>
              <w:pStyle w:val="43"/>
              <w:widowControl w:val="0"/>
              <w:spacing w:line="240" w:lineRule="exact"/>
              <w:jc w:val="center"/>
              <w:rPr>
                <w:rFonts w:ascii="宋体" w:cs="宋体"/>
                <w:sz w:val="18"/>
                <w:szCs w:val="18"/>
              </w:rPr>
            </w:pPr>
            <w:r>
              <w:rPr>
                <w:rFonts w:hint="eastAsia" w:ascii="宋体" w:cs="宋体"/>
                <w:sz w:val="18"/>
                <w:szCs w:val="18"/>
              </w:rPr>
              <w:t>（第   页）</w:t>
            </w:r>
          </w:p>
        </w:tc>
        <w:tc>
          <w:tcPr>
            <w:tcW w:w="1075" w:type="dxa"/>
            <w:vAlign w:val="center"/>
          </w:tcPr>
          <w:p>
            <w:pPr>
              <w:pStyle w:val="43"/>
              <w:widowControl w:val="0"/>
              <w:spacing w:line="240" w:lineRule="exact"/>
              <w:jc w:val="center"/>
              <w:rPr>
                <w:rFonts w:ascii="宋体" w:cs="宋体"/>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455" w:type="dxa"/>
            <w:vMerge w:val="restart"/>
            <w:vAlign w:val="center"/>
          </w:tcPr>
          <w:p>
            <w:pPr>
              <w:pStyle w:val="43"/>
              <w:widowControl w:val="0"/>
              <w:spacing w:line="240" w:lineRule="exact"/>
              <w:jc w:val="center"/>
              <w:rPr>
                <w:rFonts w:ascii="宋体" w:cs="宋体"/>
                <w:b/>
                <w:sz w:val="18"/>
                <w:szCs w:val="18"/>
                <w:highlight w:val="yellow"/>
              </w:rPr>
            </w:pPr>
            <w:r>
              <w:rPr>
                <w:rFonts w:hint="eastAsia" w:ascii="宋体" w:cs="宋体"/>
                <w:b/>
                <w:color w:val="0D0D0D" w:themeColor="text1" w:themeTint="F2"/>
                <w:sz w:val="18"/>
                <w:szCs w:val="18"/>
                <w14:textFill>
                  <w14:solidFill>
                    <w14:schemeClr w14:val="tx1">
                      <w14:lumMod w14:val="95000"/>
                      <w14:lumOff w14:val="5000"/>
                    </w14:schemeClr>
                  </w14:solidFill>
                </w14:textFill>
              </w:rPr>
              <w:t>5</w:t>
            </w:r>
          </w:p>
        </w:tc>
        <w:tc>
          <w:tcPr>
            <w:tcW w:w="1042" w:type="dxa"/>
            <w:vMerge w:val="restart"/>
            <w:vAlign w:val="center"/>
          </w:tcPr>
          <w:p>
            <w:pPr>
              <w:pStyle w:val="43"/>
              <w:widowControl w:val="0"/>
              <w:spacing w:line="240" w:lineRule="exact"/>
              <w:jc w:val="center"/>
              <w:rPr>
                <w:rFonts w:ascii="宋体" w:cs="宋体"/>
                <w:b/>
                <w:color w:val="0D0D0D" w:themeColor="text1" w:themeTint="F2"/>
                <w:sz w:val="18"/>
                <w:szCs w:val="18"/>
                <w:lang w:bidi="ar"/>
                <w14:textFill>
                  <w14:solidFill>
                    <w14:schemeClr w14:val="tx1">
                      <w14:lumMod w14:val="95000"/>
                      <w14:lumOff w14:val="5000"/>
                    </w14:schemeClr>
                  </w14:solidFill>
                </w14:textFill>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项目配备技术人员情况</w:t>
            </w:r>
          </w:p>
          <w:p>
            <w:pPr>
              <w:pStyle w:val="43"/>
              <w:widowControl w:val="0"/>
              <w:spacing w:line="240" w:lineRule="exact"/>
              <w:jc w:val="center"/>
              <w:rPr>
                <w:rFonts w:ascii="宋体" w:eastAsia="仿宋" w:cs="宋体"/>
                <w:b/>
                <w:color w:val="000000"/>
                <w:sz w:val="18"/>
                <w:szCs w:val="18"/>
                <w:lang w:bidi="ar"/>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（10分）</w:t>
            </w:r>
          </w:p>
        </w:tc>
        <w:tc>
          <w:tcPr>
            <w:tcW w:w="6334" w:type="dxa"/>
          </w:tcPr>
          <w:p>
            <w:pPr>
              <w:pStyle w:val="28"/>
              <w:numPr>
                <w:ilvl w:val="0"/>
                <w:numId w:val="4"/>
              </w:numPr>
              <w:spacing w:line="240" w:lineRule="exact"/>
              <w:ind w:firstLineChars="0"/>
              <w:rPr>
                <w:rFonts w:ascii="宋体" w:hAnsi="宋体" w:cs="宋体"/>
                <w:color w:val="auto"/>
                <w:sz w:val="18"/>
                <w:szCs w:val="18"/>
              </w:rPr>
            </w:pPr>
            <w:r>
              <w:rPr>
                <w:rFonts w:hint="eastAsia" w:ascii="宋体" w:hAnsi="宋体" w:cs="宋体"/>
                <w:color w:val="auto"/>
                <w:sz w:val="18"/>
                <w:szCs w:val="18"/>
              </w:rPr>
              <w:t>供应商实验室具备副主任医师职称及以上病理医师，得3分。</w:t>
            </w:r>
          </w:p>
          <w:p>
            <w:pPr>
              <w:spacing w:line="240" w:lineRule="exact"/>
              <w:rPr>
                <w:rFonts w:ascii="宋体" w:hAnsi="宋体" w:cs="宋体"/>
                <w:color w:val="auto"/>
                <w:sz w:val="18"/>
                <w:szCs w:val="18"/>
              </w:rPr>
            </w:pPr>
            <w:r>
              <w:rPr>
                <w:rFonts w:hint="eastAsia" w:ascii="宋体" w:hAnsi="宋体" w:cs="宋体"/>
                <w:color w:val="auto"/>
                <w:sz w:val="18"/>
                <w:szCs w:val="18"/>
              </w:rPr>
              <w:t>(2)供应商实验室具备其他医师或技术职称的病理技术人员，每提供1名，得1分，最高得</w:t>
            </w:r>
            <w:r>
              <w:rPr>
                <w:rFonts w:hint="eastAsia" w:ascii="宋体" w:hAnsi="宋体" w:cs="宋体"/>
                <w:color w:val="auto"/>
                <w:sz w:val="18"/>
                <w:szCs w:val="18"/>
                <w:lang w:val="en-US" w:eastAsia="zh-CN"/>
              </w:rPr>
              <w:t>3</w:t>
            </w:r>
            <w:r>
              <w:rPr>
                <w:rFonts w:hint="eastAsia" w:ascii="宋体" w:hAnsi="宋体" w:cs="宋体"/>
                <w:color w:val="auto"/>
                <w:sz w:val="18"/>
                <w:szCs w:val="18"/>
              </w:rPr>
              <w:t>分。</w:t>
            </w:r>
          </w:p>
          <w:p>
            <w:pPr>
              <w:pStyle w:val="2"/>
              <w:spacing w:line="240" w:lineRule="exact"/>
              <w:rPr>
                <w:color w:val="auto"/>
                <w:sz w:val="18"/>
                <w:szCs w:val="18"/>
              </w:rPr>
            </w:pPr>
            <w:r>
              <w:rPr>
                <w:rFonts w:hint="eastAsia" w:ascii="宋体" w:hAnsi="宋体" w:cs="宋体"/>
                <w:b/>
                <w:color w:val="auto"/>
                <w:sz w:val="18"/>
                <w:szCs w:val="18"/>
              </w:rPr>
              <w:t>注：提供相关人员职称证书复印件、并加盖供应商公章；提供本单位购买近六个月的社保证明文件，即社保证明文件为供应商所属当地社保管理部门出具的证明加盖社保部门印章</w:t>
            </w:r>
          </w:p>
        </w:tc>
        <w:tc>
          <w:tcPr>
            <w:tcW w:w="866" w:type="dxa"/>
            <w:vAlign w:val="center"/>
          </w:tcPr>
          <w:p>
            <w:pPr>
              <w:pStyle w:val="43"/>
              <w:widowControl w:val="0"/>
              <w:spacing w:line="240" w:lineRule="exact"/>
              <w:jc w:val="center"/>
              <w:rPr>
                <w:rFonts w:ascii="宋体" w:cs="宋体"/>
                <w:color w:val="auto"/>
                <w:sz w:val="18"/>
                <w:szCs w:val="18"/>
              </w:rPr>
            </w:pPr>
            <w:r>
              <w:rPr>
                <w:rFonts w:hint="eastAsia" w:ascii="宋体" w:cs="宋体"/>
                <w:color w:val="auto"/>
                <w:sz w:val="18"/>
                <w:szCs w:val="18"/>
                <w:lang w:val="en-US" w:eastAsia="zh-CN"/>
              </w:rPr>
              <w:t>6</w:t>
            </w:r>
            <w:r>
              <w:rPr>
                <w:rFonts w:hint="eastAsia" w:ascii="宋体" w:cs="宋体"/>
                <w:color w:val="auto"/>
                <w:sz w:val="18"/>
                <w:szCs w:val="18"/>
              </w:rPr>
              <w:t>分</w:t>
            </w:r>
          </w:p>
        </w:tc>
        <w:tc>
          <w:tcPr>
            <w:tcW w:w="1300" w:type="dxa"/>
            <w:vMerge w:val="restart"/>
            <w:vAlign w:val="center"/>
          </w:tcPr>
          <w:p>
            <w:pPr>
              <w:pStyle w:val="43"/>
              <w:widowControl w:val="0"/>
              <w:spacing w:line="240" w:lineRule="exact"/>
              <w:jc w:val="center"/>
              <w:rPr>
                <w:rFonts w:ascii="宋体" w:cs="宋体"/>
                <w:sz w:val="18"/>
                <w:szCs w:val="18"/>
              </w:rPr>
            </w:pPr>
            <w:r>
              <w:rPr>
                <w:rFonts w:hint="eastAsia" w:ascii="宋体" w:cs="宋体"/>
                <w:sz w:val="18"/>
                <w:szCs w:val="18"/>
              </w:rPr>
              <w:t>（第   页）</w:t>
            </w:r>
          </w:p>
        </w:tc>
        <w:tc>
          <w:tcPr>
            <w:tcW w:w="1075" w:type="dxa"/>
            <w:vMerge w:val="restart"/>
            <w:vAlign w:val="center"/>
          </w:tcPr>
          <w:p>
            <w:pPr>
              <w:pStyle w:val="43"/>
              <w:widowControl w:val="0"/>
              <w:spacing w:line="240" w:lineRule="exact"/>
              <w:jc w:val="center"/>
              <w:rPr>
                <w:rFonts w:ascii="宋体" w:cs="宋体"/>
                <w:color w:val="00000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55" w:type="dxa"/>
            <w:vMerge w:val="continue"/>
            <w:vAlign w:val="center"/>
          </w:tcPr>
          <w:p>
            <w:pPr>
              <w:pStyle w:val="43"/>
              <w:widowControl w:val="0"/>
              <w:spacing w:line="240" w:lineRule="exact"/>
              <w:jc w:val="center"/>
              <w:rPr>
                <w:rFonts w:ascii="宋体" w:cs="宋体"/>
                <w:b/>
                <w:color w:val="0D0D0D" w:themeColor="text1" w:themeTint="F2"/>
                <w:sz w:val="18"/>
                <w:szCs w:val="18"/>
                <w14:textFill>
                  <w14:solidFill>
                    <w14:schemeClr w14:val="tx1">
                      <w14:lumMod w14:val="95000"/>
                      <w14:lumOff w14:val="5000"/>
                    </w14:schemeClr>
                  </w14:solidFill>
                </w14:textFill>
              </w:rPr>
            </w:pPr>
          </w:p>
        </w:tc>
        <w:tc>
          <w:tcPr>
            <w:tcW w:w="1042" w:type="dxa"/>
            <w:vMerge w:val="continue"/>
            <w:vAlign w:val="center"/>
          </w:tcPr>
          <w:p>
            <w:pPr>
              <w:pStyle w:val="43"/>
              <w:widowControl w:val="0"/>
              <w:spacing w:line="240" w:lineRule="exact"/>
              <w:jc w:val="center"/>
              <w:rPr>
                <w:rFonts w:ascii="宋体" w:cs="宋体"/>
                <w:b/>
                <w:color w:val="0D0D0D" w:themeColor="text1" w:themeTint="F2"/>
                <w:sz w:val="18"/>
                <w:szCs w:val="18"/>
                <w:lang w:bidi="ar"/>
                <w14:textFill>
                  <w14:solidFill>
                    <w14:schemeClr w14:val="tx1">
                      <w14:lumMod w14:val="95000"/>
                      <w14:lumOff w14:val="5000"/>
                    </w14:schemeClr>
                  </w14:solidFill>
                </w14:textFill>
              </w:rPr>
            </w:pPr>
          </w:p>
        </w:tc>
        <w:tc>
          <w:tcPr>
            <w:tcW w:w="6334" w:type="dxa"/>
          </w:tcPr>
          <w:p>
            <w:pPr>
              <w:pStyle w:val="2"/>
              <w:spacing w:line="240" w:lineRule="exact"/>
              <w:rPr>
                <w:rFonts w:ascii="宋体" w:hAnsi="宋体" w:cs="宋体"/>
                <w:color w:val="auto"/>
                <w:sz w:val="18"/>
                <w:szCs w:val="18"/>
              </w:rPr>
            </w:pPr>
            <w:r>
              <w:rPr>
                <w:rFonts w:hint="eastAsia" w:ascii="宋体" w:hAnsi="宋体" w:cs="宋体"/>
                <w:color w:val="auto"/>
                <w:sz w:val="18"/>
                <w:szCs w:val="18"/>
              </w:rPr>
              <w:t>(3)供应商实验室具备病理医生具有3年以上肾脏病理诊断经验，得</w:t>
            </w:r>
            <w:r>
              <w:rPr>
                <w:rFonts w:hint="eastAsia" w:ascii="宋体" w:hAnsi="宋体" w:cs="宋体"/>
                <w:color w:val="auto"/>
                <w:sz w:val="18"/>
                <w:szCs w:val="18"/>
                <w:lang w:val="en-US" w:eastAsia="zh-CN"/>
              </w:rPr>
              <w:t>4</w:t>
            </w:r>
            <w:r>
              <w:rPr>
                <w:rFonts w:hint="eastAsia" w:ascii="宋体" w:hAnsi="宋体" w:cs="宋体"/>
                <w:color w:val="auto"/>
                <w:sz w:val="18"/>
                <w:szCs w:val="18"/>
              </w:rPr>
              <w:t>分。</w:t>
            </w:r>
          </w:p>
          <w:p>
            <w:pPr>
              <w:pStyle w:val="12"/>
              <w:spacing w:line="240" w:lineRule="exact"/>
              <w:ind w:left="0" w:leftChars="0"/>
              <w:rPr>
                <w:color w:val="auto"/>
                <w:sz w:val="18"/>
                <w:szCs w:val="18"/>
              </w:rPr>
            </w:pPr>
            <w:r>
              <w:rPr>
                <w:rFonts w:hint="eastAsia" w:ascii="宋体" w:hAnsi="宋体" w:cs="宋体"/>
                <w:b/>
                <w:color w:val="auto"/>
                <w:sz w:val="18"/>
                <w:szCs w:val="18"/>
              </w:rPr>
              <w:t>注：提供2019年以前肾脏病理诊断报告复印件并加盖供应商公章，如非供应商所有的情况不得分。</w:t>
            </w:r>
          </w:p>
        </w:tc>
        <w:tc>
          <w:tcPr>
            <w:tcW w:w="866" w:type="dxa"/>
            <w:vAlign w:val="center"/>
          </w:tcPr>
          <w:p>
            <w:pPr>
              <w:pStyle w:val="43"/>
              <w:widowControl w:val="0"/>
              <w:spacing w:line="240" w:lineRule="exact"/>
              <w:jc w:val="center"/>
              <w:rPr>
                <w:rFonts w:ascii="宋体" w:cs="宋体"/>
                <w:color w:val="auto"/>
                <w:sz w:val="18"/>
                <w:szCs w:val="18"/>
              </w:rPr>
            </w:pPr>
            <w:r>
              <w:rPr>
                <w:rFonts w:hint="eastAsia" w:ascii="宋体" w:cs="宋体"/>
                <w:color w:val="auto"/>
                <w:sz w:val="18"/>
                <w:szCs w:val="18"/>
                <w:lang w:val="en-US" w:eastAsia="zh-CN"/>
              </w:rPr>
              <w:t>4</w:t>
            </w:r>
            <w:r>
              <w:rPr>
                <w:rFonts w:hint="eastAsia" w:ascii="宋体" w:cs="宋体"/>
                <w:color w:val="auto"/>
                <w:sz w:val="18"/>
                <w:szCs w:val="18"/>
              </w:rPr>
              <w:t>分</w:t>
            </w:r>
          </w:p>
        </w:tc>
        <w:tc>
          <w:tcPr>
            <w:tcW w:w="1300" w:type="dxa"/>
            <w:vMerge w:val="continue"/>
            <w:vAlign w:val="center"/>
          </w:tcPr>
          <w:p>
            <w:pPr>
              <w:pStyle w:val="43"/>
              <w:widowControl w:val="0"/>
              <w:spacing w:line="240" w:lineRule="exact"/>
              <w:jc w:val="center"/>
              <w:rPr>
                <w:rFonts w:ascii="宋体" w:cs="宋体"/>
                <w:sz w:val="18"/>
                <w:szCs w:val="18"/>
              </w:rPr>
            </w:pPr>
          </w:p>
        </w:tc>
        <w:tc>
          <w:tcPr>
            <w:tcW w:w="1075" w:type="dxa"/>
            <w:vMerge w:val="continue"/>
            <w:vAlign w:val="center"/>
          </w:tcPr>
          <w:p>
            <w:pPr>
              <w:pStyle w:val="43"/>
              <w:widowControl w:val="0"/>
              <w:spacing w:line="240" w:lineRule="exact"/>
              <w:jc w:val="center"/>
              <w:rPr>
                <w:rFonts w:ascii="宋体" w:cs="宋体"/>
                <w:color w:val="00000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455" w:type="dxa"/>
            <w:vMerge w:val="restart"/>
            <w:vAlign w:val="center"/>
          </w:tcPr>
          <w:p>
            <w:pPr>
              <w:spacing w:line="240" w:lineRule="exact"/>
              <w:jc w:val="center"/>
              <w:textAlignment w:val="center"/>
              <w:rPr>
                <w:rFonts w:ascii="宋体" w:cs="宋体"/>
                <w:b/>
                <w:sz w:val="18"/>
                <w:szCs w:val="18"/>
              </w:rPr>
            </w:pPr>
            <w:r>
              <w:rPr>
                <w:rFonts w:hint="eastAsia" w:ascii="宋体" w:hAnsi="宋体" w:cs="宋体"/>
                <w:b/>
                <w:color w:val="0D0D0D" w:themeColor="text1" w:themeTint="F2"/>
                <w:sz w:val="18"/>
                <w:szCs w:val="18"/>
                <w:lang w:bidi="ar"/>
                <w14:textFill>
                  <w14:solidFill>
                    <w14:schemeClr w14:val="tx1">
                      <w14:lumMod w14:val="95000"/>
                      <w14:lumOff w14:val="5000"/>
                    </w14:schemeClr>
                  </w14:solidFill>
                </w14:textFill>
              </w:rPr>
              <w:t>6</w:t>
            </w:r>
          </w:p>
        </w:tc>
        <w:tc>
          <w:tcPr>
            <w:tcW w:w="1042" w:type="dxa"/>
            <w:vMerge w:val="restart"/>
            <w:vAlign w:val="center"/>
          </w:tcPr>
          <w:p>
            <w:pPr>
              <w:pStyle w:val="43"/>
              <w:widowControl w:val="0"/>
              <w:spacing w:line="240" w:lineRule="exact"/>
              <w:jc w:val="center"/>
              <w:rPr>
                <w:rFonts w:ascii="宋体" w:cs="宋体"/>
                <w:b/>
                <w:color w:val="0D0D0D" w:themeColor="text1" w:themeTint="F2"/>
                <w:sz w:val="18"/>
                <w:szCs w:val="18"/>
                <w:lang w:bidi="ar"/>
                <w14:textFill>
                  <w14:solidFill>
                    <w14:schemeClr w14:val="tx1">
                      <w14:lumMod w14:val="95000"/>
                      <w14:lumOff w14:val="5000"/>
                    </w14:schemeClr>
                  </w14:solidFill>
                </w14:textFill>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远程病理技术服务能力</w:t>
            </w:r>
          </w:p>
          <w:p>
            <w:pPr>
              <w:pStyle w:val="43"/>
              <w:widowControl w:val="0"/>
              <w:spacing w:line="240" w:lineRule="exact"/>
              <w:jc w:val="center"/>
              <w:rPr>
                <w:rFonts w:ascii="宋体" w:cs="宋体"/>
                <w:b/>
                <w:color w:val="000000"/>
                <w:sz w:val="18"/>
                <w:szCs w:val="18"/>
                <w:lang w:bidi="ar"/>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(12分)</w:t>
            </w:r>
          </w:p>
        </w:tc>
        <w:tc>
          <w:tcPr>
            <w:tcW w:w="6334" w:type="dxa"/>
            <w:vAlign w:val="center"/>
          </w:tcPr>
          <w:p>
            <w:pPr>
              <w:spacing w:line="240" w:lineRule="exac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(1)具备远程病理诊断系统相关计算机软件著作权登记证书，满足得2分，不满足或不提供的不得分。</w:t>
            </w:r>
          </w:p>
          <w:p>
            <w:pPr>
              <w:pStyle w:val="12"/>
              <w:spacing w:line="240" w:lineRule="exact"/>
              <w:ind w:left="0" w:leftChars="0"/>
              <w:rPr>
                <w:rFonts w:ascii="宋体" w:hAnsi="宋体" w:cs="宋体"/>
                <w:sz w:val="18"/>
                <w:szCs w:val="18"/>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注：提供计算机软件著作权登记证书复印件并加盖供应商公章，如非供应商所有的情况不得分。</w:t>
            </w:r>
          </w:p>
        </w:tc>
        <w:tc>
          <w:tcPr>
            <w:tcW w:w="866" w:type="dxa"/>
            <w:vAlign w:val="center"/>
          </w:tcPr>
          <w:p>
            <w:pPr>
              <w:pStyle w:val="43"/>
              <w:widowControl w:val="0"/>
              <w:spacing w:line="240" w:lineRule="exact"/>
              <w:jc w:val="center"/>
              <w:rPr>
                <w:rFonts w:ascii="宋体" w:cs="宋体"/>
                <w:color w:val="0D0D0D" w:themeColor="text1" w:themeTint="F2"/>
                <w:sz w:val="18"/>
                <w:szCs w:val="18"/>
                <w14:textFill>
                  <w14:solidFill>
                    <w14:schemeClr w14:val="tx1">
                      <w14:lumMod w14:val="95000"/>
                      <w14:lumOff w14:val="5000"/>
                    </w14:schemeClr>
                  </w14:solidFill>
                </w14:textFill>
              </w:rPr>
            </w:pPr>
            <w:r>
              <w:rPr>
                <w:rFonts w:hint="eastAsia" w:ascii="宋体" w:cs="宋体"/>
                <w:color w:val="0D0D0D" w:themeColor="text1" w:themeTint="F2"/>
                <w:sz w:val="18"/>
                <w:szCs w:val="18"/>
                <w14:textFill>
                  <w14:solidFill>
                    <w14:schemeClr w14:val="tx1">
                      <w14:lumMod w14:val="95000"/>
                      <w14:lumOff w14:val="5000"/>
                    </w14:schemeClr>
                  </w14:solidFill>
                </w14:textFill>
              </w:rPr>
              <w:t>2分</w:t>
            </w:r>
          </w:p>
        </w:tc>
        <w:tc>
          <w:tcPr>
            <w:tcW w:w="1300" w:type="dxa"/>
            <w:vMerge w:val="restart"/>
            <w:vAlign w:val="center"/>
          </w:tcPr>
          <w:p>
            <w:pPr>
              <w:pStyle w:val="43"/>
              <w:widowControl w:val="0"/>
              <w:spacing w:line="240" w:lineRule="exact"/>
              <w:jc w:val="center"/>
              <w:rPr>
                <w:rFonts w:ascii="宋体" w:cs="宋体"/>
                <w:sz w:val="18"/>
                <w:szCs w:val="18"/>
              </w:rPr>
            </w:pPr>
            <w:r>
              <w:rPr>
                <w:rFonts w:hint="eastAsia" w:ascii="宋体" w:cs="宋体"/>
                <w:sz w:val="18"/>
                <w:szCs w:val="18"/>
              </w:rPr>
              <w:t>（第   页）</w:t>
            </w:r>
          </w:p>
        </w:tc>
        <w:tc>
          <w:tcPr>
            <w:tcW w:w="1075" w:type="dxa"/>
            <w:vMerge w:val="restart"/>
            <w:vAlign w:val="center"/>
          </w:tcPr>
          <w:p>
            <w:pPr>
              <w:pStyle w:val="43"/>
              <w:widowControl w:val="0"/>
              <w:spacing w:line="240" w:lineRule="exact"/>
              <w:jc w:val="center"/>
              <w:rPr>
                <w:rFonts w:asci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455" w:type="dxa"/>
            <w:vMerge w:val="continue"/>
            <w:vAlign w:val="center"/>
          </w:tcPr>
          <w:p>
            <w:pPr>
              <w:spacing w:line="240" w:lineRule="exact"/>
              <w:jc w:val="center"/>
              <w:textAlignment w:val="center"/>
              <w:rPr>
                <w:rFonts w:ascii="宋体" w:hAnsi="宋体" w:cs="宋体"/>
                <w:b/>
                <w:color w:val="0D0D0D" w:themeColor="text1" w:themeTint="F2"/>
                <w:sz w:val="18"/>
                <w:szCs w:val="18"/>
                <w:lang w:bidi="ar"/>
                <w14:textFill>
                  <w14:solidFill>
                    <w14:schemeClr w14:val="tx1">
                      <w14:lumMod w14:val="95000"/>
                      <w14:lumOff w14:val="5000"/>
                    </w14:schemeClr>
                  </w14:solidFill>
                </w14:textFill>
              </w:rPr>
            </w:pPr>
          </w:p>
        </w:tc>
        <w:tc>
          <w:tcPr>
            <w:tcW w:w="1042" w:type="dxa"/>
            <w:vMerge w:val="continue"/>
            <w:vAlign w:val="center"/>
          </w:tcPr>
          <w:p>
            <w:pPr>
              <w:pStyle w:val="43"/>
              <w:widowControl w:val="0"/>
              <w:spacing w:line="240" w:lineRule="exact"/>
              <w:jc w:val="center"/>
              <w:rPr>
                <w:rFonts w:ascii="宋体" w:cs="宋体"/>
                <w:b/>
                <w:color w:val="0D0D0D" w:themeColor="text1" w:themeTint="F2"/>
                <w:sz w:val="18"/>
                <w:szCs w:val="18"/>
                <w:lang w:bidi="ar"/>
                <w14:textFill>
                  <w14:solidFill>
                    <w14:schemeClr w14:val="tx1">
                      <w14:lumMod w14:val="95000"/>
                      <w14:lumOff w14:val="5000"/>
                    </w14:schemeClr>
                  </w14:solidFill>
                </w14:textFill>
              </w:rPr>
            </w:pPr>
          </w:p>
        </w:tc>
        <w:tc>
          <w:tcPr>
            <w:tcW w:w="6334" w:type="dxa"/>
            <w:vAlign w:val="center"/>
          </w:tcPr>
          <w:p>
            <w:pPr>
              <w:pStyle w:val="12"/>
              <w:spacing w:line="240" w:lineRule="exact"/>
              <w:ind w:left="0" w:leftChars="0"/>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(2)具有远程病理诊断服务能力，依据投入其远程病理平台已完成的远程病理诊断数量进行评审：数量最多者得5分；次多者得3分；第三者得1分；其他不得分。</w:t>
            </w:r>
          </w:p>
          <w:p>
            <w:pPr>
              <w:pStyle w:val="12"/>
              <w:spacing w:line="240" w:lineRule="exact"/>
              <w:ind w:left="0" w:leftChars="0"/>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(3)具有开展远程术中冰冻病理诊断的经验，依据累计开展远程冰冻的诊断量进行评审数量最多者得5分；次多者得3分；第三者得1分；其他不得分。</w:t>
            </w:r>
          </w:p>
          <w:p>
            <w:pPr>
              <w:spacing w:line="240" w:lineRule="exact"/>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注：需提供客观的远程病理系统数据相关截图证明，加盖供应商公章。</w:t>
            </w:r>
          </w:p>
        </w:tc>
        <w:tc>
          <w:tcPr>
            <w:tcW w:w="866" w:type="dxa"/>
            <w:vAlign w:val="center"/>
          </w:tcPr>
          <w:p>
            <w:pPr>
              <w:pStyle w:val="43"/>
              <w:widowControl w:val="0"/>
              <w:spacing w:line="240" w:lineRule="exact"/>
              <w:jc w:val="center"/>
              <w:rPr>
                <w:rFonts w:ascii="宋体" w:cs="宋体"/>
                <w:color w:val="0D0D0D" w:themeColor="text1" w:themeTint="F2"/>
                <w:sz w:val="18"/>
                <w:szCs w:val="18"/>
                <w14:textFill>
                  <w14:solidFill>
                    <w14:schemeClr w14:val="tx1">
                      <w14:lumMod w14:val="95000"/>
                      <w14:lumOff w14:val="5000"/>
                    </w14:schemeClr>
                  </w14:solidFill>
                </w14:textFill>
              </w:rPr>
            </w:pPr>
            <w:r>
              <w:rPr>
                <w:rFonts w:hint="eastAsia" w:ascii="宋体" w:cs="宋体"/>
                <w:color w:val="0D0D0D" w:themeColor="text1" w:themeTint="F2"/>
                <w:sz w:val="18"/>
                <w:szCs w:val="18"/>
                <w14:textFill>
                  <w14:solidFill>
                    <w14:schemeClr w14:val="tx1">
                      <w14:lumMod w14:val="95000"/>
                      <w14:lumOff w14:val="5000"/>
                    </w14:schemeClr>
                  </w14:solidFill>
                </w14:textFill>
              </w:rPr>
              <w:t>10分</w:t>
            </w:r>
          </w:p>
        </w:tc>
        <w:tc>
          <w:tcPr>
            <w:tcW w:w="1300" w:type="dxa"/>
            <w:vMerge w:val="continue"/>
            <w:vAlign w:val="center"/>
          </w:tcPr>
          <w:p>
            <w:pPr>
              <w:pStyle w:val="43"/>
              <w:widowControl w:val="0"/>
              <w:spacing w:line="240" w:lineRule="exact"/>
              <w:jc w:val="center"/>
              <w:rPr>
                <w:rFonts w:ascii="宋体" w:cs="宋体"/>
                <w:sz w:val="18"/>
                <w:szCs w:val="18"/>
              </w:rPr>
            </w:pPr>
          </w:p>
        </w:tc>
        <w:tc>
          <w:tcPr>
            <w:tcW w:w="1075" w:type="dxa"/>
            <w:vMerge w:val="continue"/>
            <w:vAlign w:val="center"/>
          </w:tcPr>
          <w:p>
            <w:pPr>
              <w:pStyle w:val="43"/>
              <w:widowControl w:val="0"/>
              <w:spacing w:line="240" w:lineRule="exact"/>
              <w:jc w:val="center"/>
              <w:rPr>
                <w:rFonts w:asci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455" w:type="dxa"/>
            <w:vAlign w:val="center"/>
          </w:tcPr>
          <w:p>
            <w:pPr>
              <w:spacing w:line="240" w:lineRule="exact"/>
              <w:jc w:val="center"/>
              <w:textAlignment w:val="center"/>
              <w:rPr>
                <w:rFonts w:ascii="宋体" w:hAnsi="宋体" w:cs="宋体"/>
                <w:b/>
                <w:sz w:val="18"/>
                <w:szCs w:val="18"/>
                <w:lang w:bidi="ar"/>
              </w:rPr>
            </w:pPr>
            <w:r>
              <w:rPr>
                <w:rFonts w:hint="eastAsia" w:ascii="宋体" w:hAnsi="宋体" w:cs="宋体"/>
                <w:b/>
                <w:color w:val="0D0D0D" w:themeColor="text1" w:themeTint="F2"/>
                <w:sz w:val="18"/>
                <w:szCs w:val="18"/>
                <w:lang w:bidi="ar"/>
                <w14:textFill>
                  <w14:solidFill>
                    <w14:schemeClr w14:val="tx1">
                      <w14:lumMod w14:val="95000"/>
                      <w14:lumOff w14:val="5000"/>
                    </w14:schemeClr>
                  </w14:solidFill>
                </w14:textFill>
              </w:rPr>
              <w:t>7</w:t>
            </w:r>
          </w:p>
        </w:tc>
        <w:tc>
          <w:tcPr>
            <w:tcW w:w="1042" w:type="dxa"/>
            <w:vAlign w:val="center"/>
          </w:tcPr>
          <w:p>
            <w:pPr>
              <w:pStyle w:val="43"/>
              <w:widowControl w:val="0"/>
              <w:spacing w:line="240" w:lineRule="exact"/>
              <w:jc w:val="center"/>
              <w:rPr>
                <w:rFonts w:ascii="宋体" w:eastAsia="仿宋" w:cs="宋体"/>
                <w:b/>
                <w:color w:val="auto"/>
                <w:sz w:val="18"/>
                <w:szCs w:val="18"/>
                <w:highlight w:val="none"/>
                <w:lang w:bidi="ar"/>
              </w:rPr>
            </w:pPr>
            <w:r>
              <w:rPr>
                <w:rFonts w:hint="eastAsia" w:ascii="宋体" w:cs="宋体"/>
                <w:b/>
                <w:color w:val="auto"/>
                <w:sz w:val="18"/>
                <w:szCs w:val="18"/>
                <w:highlight w:val="none"/>
                <w:lang w:bidi="ar"/>
              </w:rPr>
              <w:t>肾脏病理项目技术服务能力（8分）</w:t>
            </w:r>
          </w:p>
        </w:tc>
        <w:tc>
          <w:tcPr>
            <w:tcW w:w="6334" w:type="dxa"/>
            <w:vAlign w:val="center"/>
          </w:tcPr>
          <w:p>
            <w:pPr>
              <w:pStyle w:val="12"/>
              <w:spacing w:line="240" w:lineRule="exact"/>
              <w:ind w:left="0" w:leftChars="0"/>
              <w:rPr>
                <w:rFonts w:ascii="宋体" w:hAnsi="宋体" w:cs="宋体"/>
                <w:b/>
                <w:color w:val="auto"/>
                <w:sz w:val="18"/>
                <w:szCs w:val="18"/>
                <w:highlight w:val="none"/>
              </w:rPr>
            </w:pPr>
            <w:r>
              <w:rPr>
                <w:rFonts w:hint="eastAsia" w:ascii="宋体" w:hAnsi="宋体" w:cs="宋体"/>
                <w:b/>
                <w:color w:val="auto"/>
                <w:sz w:val="18"/>
                <w:szCs w:val="18"/>
                <w:highlight w:val="none"/>
              </w:rPr>
              <w:t>对供应商的肾脏病理项目技术服务能力进行评估：</w:t>
            </w:r>
          </w:p>
          <w:p>
            <w:pPr>
              <w:pStyle w:val="12"/>
              <w:spacing w:line="240" w:lineRule="exact"/>
              <w:ind w:left="0" w:leftChars="0"/>
              <w:rPr>
                <w:rFonts w:ascii="宋体" w:hAnsi="宋体" w:cs="宋体"/>
                <w:color w:val="auto"/>
                <w:sz w:val="18"/>
                <w:szCs w:val="18"/>
                <w:highlight w:val="none"/>
              </w:rPr>
            </w:pPr>
            <w:r>
              <w:rPr>
                <w:rFonts w:hint="eastAsia" w:ascii="宋体" w:hAnsi="宋体" w:cs="宋体"/>
                <w:color w:val="auto"/>
                <w:sz w:val="18"/>
                <w:szCs w:val="18"/>
                <w:highlight w:val="none"/>
              </w:rPr>
              <w:t>（1）除常规连续切片外，能进行3层面连续切片的，得3分</w:t>
            </w:r>
          </w:p>
          <w:p>
            <w:pPr>
              <w:pStyle w:val="12"/>
              <w:spacing w:line="240" w:lineRule="exact"/>
              <w:ind w:left="0" w:leftChars="0"/>
              <w:rPr>
                <w:rFonts w:ascii="宋体" w:hAnsi="宋体" w:cs="宋体"/>
                <w:color w:val="auto"/>
                <w:sz w:val="18"/>
                <w:szCs w:val="18"/>
                <w:highlight w:val="none"/>
              </w:rPr>
            </w:pPr>
            <w:r>
              <w:rPr>
                <w:rFonts w:hint="eastAsia" w:ascii="宋体" w:hAnsi="宋体" w:cs="宋体"/>
                <w:color w:val="auto"/>
                <w:sz w:val="18"/>
                <w:szCs w:val="18"/>
                <w:highlight w:val="none"/>
              </w:rPr>
              <w:t>（2）标本抵达实验室后2天（含）内出具报告者得3分；3天出具报告者得2分；超过3天出具报告者不得分。</w:t>
            </w:r>
          </w:p>
          <w:p>
            <w:pPr>
              <w:pStyle w:val="12"/>
              <w:spacing w:line="240" w:lineRule="exact"/>
              <w:ind w:left="0" w:leftChars="0"/>
              <w:rPr>
                <w:rFonts w:ascii="宋体" w:hAnsi="宋体" w:cs="宋体"/>
                <w:color w:val="auto"/>
                <w:sz w:val="18"/>
                <w:szCs w:val="18"/>
                <w:highlight w:val="none"/>
              </w:rPr>
            </w:pPr>
            <w:r>
              <w:rPr>
                <w:rFonts w:hint="eastAsia" w:ascii="宋体" w:hAnsi="宋体" w:cs="宋体"/>
                <w:color w:val="auto"/>
                <w:sz w:val="18"/>
                <w:szCs w:val="18"/>
                <w:highlight w:val="none"/>
              </w:rPr>
              <w:t>（3）具备开展项目所需的病理相关项目电镜、荧光显微镜设备仪器的，得2分。</w:t>
            </w:r>
          </w:p>
          <w:p>
            <w:pPr>
              <w:pStyle w:val="12"/>
              <w:spacing w:line="240" w:lineRule="exact"/>
              <w:ind w:left="0" w:leftChars="0"/>
              <w:rPr>
                <w:rFonts w:ascii="宋体" w:hAnsi="宋体" w:cs="宋体"/>
                <w:b/>
                <w:color w:val="auto"/>
                <w:sz w:val="18"/>
                <w:szCs w:val="18"/>
                <w:highlight w:val="none"/>
                <w:lang w:bidi="ar"/>
              </w:rPr>
            </w:pPr>
            <w:r>
              <w:rPr>
                <w:rFonts w:hint="eastAsia" w:ascii="宋体" w:hAnsi="宋体" w:cs="宋体"/>
                <w:b/>
                <w:bCs/>
                <w:color w:val="auto"/>
                <w:sz w:val="18"/>
                <w:szCs w:val="18"/>
                <w:highlight w:val="none"/>
              </w:rPr>
              <w:t>注：须提供相关证明文件或承诺函并加盖供应商公章，不提供不得分。</w:t>
            </w:r>
          </w:p>
        </w:tc>
        <w:tc>
          <w:tcPr>
            <w:tcW w:w="866" w:type="dxa"/>
            <w:vAlign w:val="center"/>
          </w:tcPr>
          <w:p>
            <w:pPr>
              <w:pStyle w:val="43"/>
              <w:widowControl w:val="0"/>
              <w:spacing w:line="240" w:lineRule="exact"/>
              <w:jc w:val="center"/>
              <w:rPr>
                <w:rFonts w:ascii="宋体" w:cs="宋体"/>
                <w:color w:val="auto"/>
                <w:sz w:val="18"/>
                <w:szCs w:val="18"/>
                <w:highlight w:val="none"/>
              </w:rPr>
            </w:pPr>
            <w:r>
              <w:rPr>
                <w:rFonts w:hint="eastAsia" w:ascii="宋体" w:cs="宋体"/>
                <w:color w:val="auto"/>
                <w:sz w:val="18"/>
                <w:szCs w:val="18"/>
                <w:highlight w:val="none"/>
              </w:rPr>
              <w:t>8分</w:t>
            </w:r>
          </w:p>
        </w:tc>
        <w:tc>
          <w:tcPr>
            <w:tcW w:w="1300" w:type="dxa"/>
            <w:vAlign w:val="center"/>
          </w:tcPr>
          <w:p>
            <w:pPr>
              <w:pStyle w:val="43"/>
              <w:widowControl w:val="0"/>
              <w:spacing w:line="240" w:lineRule="exact"/>
              <w:jc w:val="center"/>
              <w:rPr>
                <w:rFonts w:ascii="宋体" w:cs="宋体"/>
                <w:sz w:val="18"/>
                <w:szCs w:val="18"/>
              </w:rPr>
            </w:pPr>
            <w:r>
              <w:rPr>
                <w:rFonts w:hint="eastAsia" w:ascii="宋体" w:cs="宋体"/>
                <w:sz w:val="18"/>
                <w:szCs w:val="18"/>
              </w:rPr>
              <w:t>（第   页）</w:t>
            </w:r>
          </w:p>
        </w:tc>
        <w:tc>
          <w:tcPr>
            <w:tcW w:w="1075" w:type="dxa"/>
            <w:vAlign w:val="center"/>
          </w:tcPr>
          <w:p>
            <w:pPr>
              <w:widowControl/>
              <w:spacing w:line="240" w:lineRule="exact"/>
              <w:jc w:val="center"/>
              <w:textAlignment w:val="center"/>
              <w:rPr>
                <w:rFonts w:ascii="宋体" w:hAnsi="宋体" w:cs="宋体"/>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455" w:type="dxa"/>
            <w:vAlign w:val="center"/>
          </w:tcPr>
          <w:p>
            <w:pPr>
              <w:spacing w:line="240" w:lineRule="exact"/>
              <w:jc w:val="center"/>
              <w:textAlignment w:val="center"/>
              <w:rPr>
                <w:rFonts w:ascii="宋体" w:hAnsi="宋体" w:cs="宋体"/>
                <w:b/>
                <w:sz w:val="18"/>
                <w:szCs w:val="18"/>
                <w:lang w:bidi="ar"/>
              </w:rPr>
            </w:pPr>
            <w:r>
              <w:rPr>
                <w:rFonts w:hint="eastAsia" w:ascii="宋体" w:hAnsi="宋体" w:cs="宋体"/>
                <w:b/>
                <w:color w:val="0D0D0D" w:themeColor="text1" w:themeTint="F2"/>
                <w:sz w:val="18"/>
                <w:szCs w:val="18"/>
                <w:lang w:bidi="ar"/>
                <w14:textFill>
                  <w14:solidFill>
                    <w14:schemeClr w14:val="tx1">
                      <w14:lumMod w14:val="95000"/>
                      <w14:lumOff w14:val="5000"/>
                    </w14:schemeClr>
                  </w14:solidFill>
                </w14:textFill>
              </w:rPr>
              <w:t>8</w:t>
            </w:r>
          </w:p>
        </w:tc>
        <w:tc>
          <w:tcPr>
            <w:tcW w:w="1042" w:type="dxa"/>
            <w:vAlign w:val="center"/>
          </w:tcPr>
          <w:p>
            <w:pPr>
              <w:pStyle w:val="43"/>
              <w:widowControl w:val="0"/>
              <w:spacing w:line="240" w:lineRule="exact"/>
              <w:jc w:val="center"/>
              <w:rPr>
                <w:rFonts w:ascii="宋体" w:cs="宋体"/>
                <w:b/>
                <w:color w:val="auto"/>
                <w:sz w:val="18"/>
                <w:szCs w:val="18"/>
                <w:highlight w:val="none"/>
                <w:lang w:bidi="ar"/>
              </w:rPr>
            </w:pPr>
            <w:r>
              <w:rPr>
                <w:rFonts w:hint="eastAsia" w:ascii="宋体" w:cs="宋体"/>
                <w:b/>
                <w:color w:val="auto"/>
                <w:sz w:val="18"/>
                <w:szCs w:val="18"/>
                <w:highlight w:val="none"/>
                <w:lang w:bidi="ar"/>
              </w:rPr>
              <w:t>信息化服务能力（10分）</w:t>
            </w:r>
          </w:p>
        </w:tc>
        <w:tc>
          <w:tcPr>
            <w:tcW w:w="6334" w:type="dxa"/>
            <w:vAlign w:val="center"/>
          </w:tcPr>
          <w:p>
            <w:pPr>
              <w:pStyle w:val="12"/>
              <w:numPr>
                <w:ilvl w:val="0"/>
                <w:numId w:val="5"/>
              </w:numPr>
              <w:spacing w:line="240" w:lineRule="exact"/>
              <w:ind w:left="0" w:leftChars="0"/>
              <w:rPr>
                <w:rFonts w:ascii="宋体" w:hAnsi="宋体" w:cs="宋体"/>
                <w:color w:val="auto"/>
                <w:sz w:val="18"/>
                <w:szCs w:val="18"/>
                <w:highlight w:val="none"/>
              </w:rPr>
            </w:pPr>
            <w:r>
              <w:rPr>
                <w:rFonts w:hint="eastAsia" w:ascii="宋体" w:hAnsi="宋体" w:cs="宋体"/>
                <w:color w:val="auto"/>
                <w:sz w:val="18"/>
                <w:szCs w:val="18"/>
                <w:highlight w:val="none"/>
              </w:rPr>
              <w:t>具备医学信息化服务能力，配备完善的信息系统，可与医院LIS系统对接，同时需保证医疗信息安全，完全满足得6分，部分满足得2分，不满足不得分。</w:t>
            </w:r>
          </w:p>
          <w:p>
            <w:pPr>
              <w:spacing w:line="240" w:lineRule="exact"/>
              <w:rPr>
                <w:b/>
                <w:color w:val="auto"/>
                <w:sz w:val="18"/>
                <w:szCs w:val="18"/>
                <w:highlight w:val="none"/>
              </w:rPr>
            </w:pPr>
            <w:r>
              <w:rPr>
                <w:rFonts w:hint="eastAsia"/>
                <w:b/>
                <w:color w:val="auto"/>
                <w:sz w:val="18"/>
                <w:szCs w:val="18"/>
                <w:highlight w:val="none"/>
              </w:rPr>
              <w:t>注：供应商提供承诺函，不提供不得分。</w:t>
            </w:r>
          </w:p>
          <w:p>
            <w:pPr>
              <w:pStyle w:val="12"/>
              <w:numPr>
                <w:ilvl w:val="0"/>
                <w:numId w:val="5"/>
              </w:numPr>
              <w:spacing w:line="240" w:lineRule="exact"/>
              <w:ind w:left="0" w:leftChars="0"/>
              <w:rPr>
                <w:rFonts w:ascii="宋体" w:hAnsi="宋体" w:cs="宋体"/>
                <w:color w:val="auto"/>
                <w:sz w:val="18"/>
                <w:szCs w:val="18"/>
                <w:highlight w:val="none"/>
              </w:rPr>
            </w:pPr>
            <w:r>
              <w:rPr>
                <w:rFonts w:hint="eastAsia" w:ascii="宋体" w:hAnsi="宋体" w:cs="宋体"/>
                <w:color w:val="auto"/>
                <w:sz w:val="18"/>
                <w:szCs w:val="18"/>
                <w:highlight w:val="none"/>
              </w:rPr>
              <w:t>具有国家认证认可监督管理部门批准设立的认证机构颁发并在有效期内的信息技术服务管理体系认证和信息安全管理体系认证，每提供一个证书的，得2分，满分4分。</w:t>
            </w:r>
          </w:p>
          <w:p>
            <w:pPr>
              <w:pStyle w:val="12"/>
              <w:spacing w:line="240" w:lineRule="exact"/>
              <w:ind w:left="0" w:leftChars="0"/>
              <w:rPr>
                <w:rFonts w:ascii="宋体" w:hAnsi="宋体" w:cs="宋体"/>
                <w:b/>
                <w:bCs/>
                <w:color w:val="auto"/>
                <w:sz w:val="18"/>
                <w:szCs w:val="18"/>
                <w:highlight w:val="none"/>
              </w:rPr>
            </w:pPr>
            <w:r>
              <w:rPr>
                <w:rFonts w:hint="eastAsia" w:ascii="宋体" w:hAnsi="宋体" w:cs="宋体"/>
                <w:b/>
                <w:bCs/>
                <w:color w:val="auto"/>
                <w:sz w:val="18"/>
                <w:szCs w:val="18"/>
                <w:highlight w:val="none"/>
              </w:rPr>
              <w:t>注：需提供有效证书复印件及 “全国认证认可信息公共服务平台”网站（http://cx.cnca.cn/）的查询截图（证书状态为有效）并加盖供应商公章为准。</w:t>
            </w:r>
          </w:p>
        </w:tc>
        <w:tc>
          <w:tcPr>
            <w:tcW w:w="866" w:type="dxa"/>
            <w:vAlign w:val="center"/>
          </w:tcPr>
          <w:p>
            <w:pPr>
              <w:pStyle w:val="43"/>
              <w:widowControl w:val="0"/>
              <w:spacing w:line="240" w:lineRule="exact"/>
              <w:jc w:val="center"/>
              <w:rPr>
                <w:rFonts w:ascii="宋体" w:cs="宋体"/>
                <w:color w:val="auto"/>
                <w:sz w:val="18"/>
                <w:szCs w:val="18"/>
                <w:highlight w:val="none"/>
              </w:rPr>
            </w:pPr>
            <w:r>
              <w:rPr>
                <w:rFonts w:hint="eastAsia" w:ascii="宋体" w:cs="宋体"/>
                <w:color w:val="auto"/>
                <w:sz w:val="18"/>
                <w:szCs w:val="18"/>
                <w:highlight w:val="none"/>
              </w:rPr>
              <w:t>10分</w:t>
            </w:r>
          </w:p>
        </w:tc>
        <w:tc>
          <w:tcPr>
            <w:tcW w:w="1300" w:type="dxa"/>
            <w:vAlign w:val="center"/>
          </w:tcPr>
          <w:p>
            <w:pPr>
              <w:pStyle w:val="43"/>
              <w:widowControl w:val="0"/>
              <w:spacing w:line="240" w:lineRule="exact"/>
              <w:jc w:val="center"/>
              <w:rPr>
                <w:rFonts w:ascii="宋体" w:cs="宋体"/>
                <w:sz w:val="18"/>
                <w:szCs w:val="18"/>
              </w:rPr>
            </w:pPr>
            <w:r>
              <w:rPr>
                <w:rFonts w:hint="eastAsia" w:ascii="宋体" w:cs="宋体"/>
                <w:sz w:val="18"/>
                <w:szCs w:val="18"/>
              </w:rPr>
              <w:t>（第   页）</w:t>
            </w:r>
          </w:p>
        </w:tc>
        <w:tc>
          <w:tcPr>
            <w:tcW w:w="1075" w:type="dxa"/>
            <w:vAlign w:val="center"/>
          </w:tcPr>
          <w:p>
            <w:pPr>
              <w:widowControl/>
              <w:spacing w:line="240" w:lineRule="exact"/>
              <w:jc w:val="center"/>
              <w:textAlignment w:val="center"/>
              <w:rPr>
                <w:rFonts w:ascii="宋体" w:hAnsi="宋体" w:cs="宋体"/>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455" w:type="dxa"/>
            <w:vAlign w:val="center"/>
          </w:tcPr>
          <w:p>
            <w:pPr>
              <w:spacing w:line="240" w:lineRule="exact"/>
              <w:jc w:val="center"/>
              <w:textAlignment w:val="center"/>
              <w:rPr>
                <w:rFonts w:ascii="宋体" w:hAnsi="宋体" w:cs="宋体"/>
                <w:b/>
                <w:sz w:val="18"/>
                <w:szCs w:val="18"/>
                <w:lang w:bidi="ar"/>
              </w:rPr>
            </w:pPr>
            <w:r>
              <w:rPr>
                <w:rFonts w:hint="eastAsia" w:ascii="宋体" w:hAnsi="宋体" w:cs="宋体"/>
                <w:b/>
                <w:color w:val="0D0D0D" w:themeColor="text1" w:themeTint="F2"/>
                <w:sz w:val="18"/>
                <w:szCs w:val="18"/>
                <w:lang w:bidi="ar"/>
                <w14:textFill>
                  <w14:solidFill>
                    <w14:schemeClr w14:val="tx1">
                      <w14:lumMod w14:val="95000"/>
                      <w14:lumOff w14:val="5000"/>
                    </w14:schemeClr>
                  </w14:solidFill>
                </w14:textFill>
              </w:rPr>
              <w:t>9</w:t>
            </w:r>
          </w:p>
        </w:tc>
        <w:tc>
          <w:tcPr>
            <w:tcW w:w="1042" w:type="dxa"/>
            <w:vAlign w:val="center"/>
          </w:tcPr>
          <w:p>
            <w:pPr>
              <w:pStyle w:val="43"/>
              <w:widowControl w:val="0"/>
              <w:spacing w:line="240" w:lineRule="exact"/>
              <w:jc w:val="center"/>
              <w:rPr>
                <w:rFonts w:asci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基础服务（5分）</w:t>
            </w:r>
          </w:p>
        </w:tc>
        <w:tc>
          <w:tcPr>
            <w:tcW w:w="6334" w:type="dxa"/>
            <w:vAlign w:val="center"/>
          </w:tcPr>
          <w:p>
            <w:pPr>
              <w:spacing w:line="240" w:lineRule="exac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（1）提供本项目物流车辆，符合生物安全要求，确保运输过程的样品质量和环境安全的，得</w:t>
            </w:r>
            <w:r>
              <w:rPr>
                <w:rFonts w:hint="eastAsia" w:ascii="宋体" w:hAnsi="宋体" w:cs="宋体"/>
                <w:color w:val="0D0D0D" w:themeColor="text1" w:themeTint="F2"/>
                <w:sz w:val="18"/>
                <w:szCs w:val="18"/>
                <w:lang w:val="en-US" w:eastAsia="zh-CN"/>
                <w14:textFill>
                  <w14:solidFill>
                    <w14:schemeClr w14:val="tx1">
                      <w14:lumMod w14:val="95000"/>
                      <w14:lumOff w14:val="5000"/>
                    </w14:schemeClr>
                  </w14:solidFill>
                </w14:textFill>
              </w:rPr>
              <w:t>2</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分；</w:t>
            </w:r>
          </w:p>
          <w:p>
            <w:pPr>
              <w:spacing w:line="240" w:lineRule="exact"/>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注：车辆为自有的提供车辆行驶证、车辆照片及采购发票；车辆为租赁的提供采购合同租赁合同复印件加盖供应商公章。</w:t>
            </w:r>
          </w:p>
          <w:p>
            <w:pPr>
              <w:spacing w:line="240" w:lineRule="exac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（2）具备货物运输条件鉴定书（包括血液样品、病理组织玻片、蜡块等），得2分；</w:t>
            </w:r>
          </w:p>
          <w:p>
            <w:pPr>
              <w:spacing w:line="240" w:lineRule="exact"/>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注：提供货物运输鉴定书复印件。</w:t>
            </w:r>
          </w:p>
          <w:p>
            <w:pPr>
              <w:spacing w:line="240" w:lineRule="exac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（3）生物医药检测技术外包服务曾获得科技创新、科学技术或高新技术相关认证或荣誉等的，得1分。</w:t>
            </w:r>
          </w:p>
          <w:p>
            <w:pPr>
              <w:pStyle w:val="12"/>
              <w:spacing w:line="240" w:lineRule="exact"/>
              <w:ind w:left="0" w:leftChars="0"/>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注：提供相关证明复印件。</w:t>
            </w:r>
          </w:p>
        </w:tc>
        <w:tc>
          <w:tcPr>
            <w:tcW w:w="866" w:type="dxa"/>
            <w:vAlign w:val="center"/>
          </w:tcPr>
          <w:p>
            <w:pPr>
              <w:pStyle w:val="43"/>
              <w:widowControl w:val="0"/>
              <w:spacing w:line="240" w:lineRule="exact"/>
              <w:jc w:val="center"/>
              <w:rPr>
                <w:rFonts w:hint="eastAsia" w:ascii="宋体" w:eastAsia="宋体" w:cs="宋体"/>
                <w:color w:val="0D0D0D" w:themeColor="text1" w:themeTint="F2"/>
                <w:sz w:val="18"/>
                <w:szCs w:val="18"/>
                <w:lang w:val="en-US" w:eastAsia="zh-CN"/>
                <w14:textFill>
                  <w14:solidFill>
                    <w14:schemeClr w14:val="tx1">
                      <w14:lumMod w14:val="95000"/>
                      <w14:lumOff w14:val="5000"/>
                    </w14:schemeClr>
                  </w14:solidFill>
                </w14:textFill>
              </w:rPr>
            </w:pPr>
            <w:r>
              <w:rPr>
                <w:rFonts w:hint="eastAsia" w:ascii="宋体" w:cs="宋体"/>
                <w:color w:val="0D0D0D" w:themeColor="text1" w:themeTint="F2"/>
                <w:sz w:val="18"/>
                <w:szCs w:val="18"/>
                <w14:textFill>
                  <w14:solidFill>
                    <w14:schemeClr w14:val="tx1">
                      <w14:lumMod w14:val="95000"/>
                      <w14:lumOff w14:val="5000"/>
                    </w14:schemeClr>
                  </w14:solidFill>
                </w14:textFill>
              </w:rPr>
              <w:t>5</w:t>
            </w:r>
            <w:r>
              <w:rPr>
                <w:rFonts w:hint="eastAsia" w:ascii="宋体" w:cs="宋体"/>
                <w:color w:val="0D0D0D" w:themeColor="text1" w:themeTint="F2"/>
                <w:sz w:val="18"/>
                <w:szCs w:val="18"/>
                <w:lang w:eastAsia="zh-CN"/>
                <w14:textFill>
                  <w14:solidFill>
                    <w14:schemeClr w14:val="tx1">
                      <w14:lumMod w14:val="95000"/>
                      <w14:lumOff w14:val="5000"/>
                    </w14:schemeClr>
                  </w14:solidFill>
                </w14:textFill>
              </w:rPr>
              <w:t>分</w:t>
            </w:r>
          </w:p>
        </w:tc>
        <w:tc>
          <w:tcPr>
            <w:tcW w:w="1300" w:type="dxa"/>
            <w:vAlign w:val="center"/>
          </w:tcPr>
          <w:p>
            <w:pPr>
              <w:pStyle w:val="43"/>
              <w:widowControl w:val="0"/>
              <w:spacing w:line="240" w:lineRule="exact"/>
              <w:jc w:val="center"/>
              <w:rPr>
                <w:rFonts w:ascii="宋体" w:cs="宋体"/>
                <w:sz w:val="18"/>
                <w:szCs w:val="18"/>
              </w:rPr>
            </w:pPr>
            <w:r>
              <w:rPr>
                <w:rFonts w:hint="eastAsia" w:ascii="宋体" w:cs="宋体"/>
                <w:sz w:val="18"/>
                <w:szCs w:val="18"/>
              </w:rPr>
              <w:t>（第   页）</w:t>
            </w:r>
          </w:p>
        </w:tc>
        <w:tc>
          <w:tcPr>
            <w:tcW w:w="1075" w:type="dxa"/>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455" w:type="dxa"/>
            <w:vAlign w:val="center"/>
          </w:tcPr>
          <w:p>
            <w:pPr>
              <w:spacing w:line="240" w:lineRule="exact"/>
              <w:jc w:val="center"/>
              <w:textAlignment w:val="center"/>
              <w:rPr>
                <w:rFonts w:ascii="宋体" w:hAnsi="宋体" w:cs="宋体"/>
                <w:b/>
                <w:sz w:val="18"/>
                <w:szCs w:val="18"/>
                <w:lang w:bidi="ar"/>
              </w:rPr>
            </w:pPr>
            <w:r>
              <w:rPr>
                <w:rFonts w:hint="eastAsia" w:ascii="宋体" w:hAnsi="宋体" w:cs="宋体"/>
                <w:b/>
                <w:color w:val="0D0D0D" w:themeColor="text1" w:themeTint="F2"/>
                <w:sz w:val="18"/>
                <w:szCs w:val="18"/>
                <w:lang w:bidi="ar"/>
                <w14:textFill>
                  <w14:solidFill>
                    <w14:schemeClr w14:val="tx1">
                      <w14:lumMod w14:val="95000"/>
                      <w14:lumOff w14:val="5000"/>
                    </w14:schemeClr>
                  </w14:solidFill>
                </w14:textFill>
              </w:rPr>
              <w:t>10</w:t>
            </w:r>
          </w:p>
        </w:tc>
        <w:tc>
          <w:tcPr>
            <w:tcW w:w="1042" w:type="dxa"/>
            <w:vAlign w:val="center"/>
          </w:tcPr>
          <w:p>
            <w:pPr>
              <w:pStyle w:val="43"/>
              <w:widowControl w:val="0"/>
              <w:spacing w:line="240" w:lineRule="exact"/>
              <w:jc w:val="center"/>
              <w:rPr>
                <w:rFonts w:ascii="宋体" w:cs="宋体"/>
                <w:b/>
                <w:color w:val="0D0D0D" w:themeColor="text1" w:themeTint="F2"/>
                <w:sz w:val="18"/>
                <w:szCs w:val="18"/>
                <w:lang w:bidi="ar"/>
                <w14:textFill>
                  <w14:solidFill>
                    <w14:schemeClr w14:val="tx1">
                      <w14:lumMod w14:val="95000"/>
                      <w14:lumOff w14:val="5000"/>
                    </w14:schemeClr>
                  </w14:solidFill>
                </w14:textFill>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价格分</w:t>
            </w:r>
          </w:p>
          <w:p>
            <w:pPr>
              <w:pStyle w:val="43"/>
              <w:widowControl w:val="0"/>
              <w:spacing w:line="240" w:lineRule="exact"/>
              <w:jc w:val="center"/>
              <w:rPr>
                <w:rFonts w:ascii="仿宋" w:hAnsi="仿宋" w:eastAsia="仿宋" w:cs="仿宋"/>
                <w:color w:val="0D0D0D" w:themeColor="text1" w:themeTint="F2"/>
                <w:sz w:val="18"/>
                <w:szCs w:val="18"/>
                <w14:textFill>
                  <w14:solidFill>
                    <w14:schemeClr w14:val="tx1">
                      <w14:lumMod w14:val="95000"/>
                      <w14:lumOff w14:val="5000"/>
                    </w14:schemeClr>
                  </w14:solidFill>
                </w14:textFill>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（20分）</w:t>
            </w:r>
          </w:p>
        </w:tc>
        <w:tc>
          <w:tcPr>
            <w:tcW w:w="6334" w:type="dxa"/>
            <w:vAlign w:val="center"/>
          </w:tcPr>
          <w:p>
            <w:pPr>
              <w:spacing w:line="240" w:lineRule="exact"/>
              <w:jc w:val="left"/>
              <w:rPr>
                <w:rFonts w:eastAsia="Times New Roman"/>
                <w:sz w:val="18"/>
                <w:szCs w:val="18"/>
              </w:rPr>
            </w:pPr>
            <w:r>
              <w:rPr>
                <w:rFonts w:hint="eastAsia"/>
                <w:color w:val="0D0D0D" w:themeColor="text1" w:themeTint="F2"/>
                <w:sz w:val="18"/>
                <w:szCs w:val="18"/>
                <w14:textFill>
                  <w14:solidFill>
                    <w14:schemeClr w14:val="tx1">
                      <w14:lumMod w14:val="95000"/>
                      <w14:lumOff w14:val="5000"/>
                    </w14:schemeClr>
                  </w14:solidFill>
                </w14:textFill>
              </w:rPr>
              <w:t>本项目的价格分采用低价优先法计算，即通过本项目资格性检查与符合性检查且报价价格最低的报价为评审基准价，其价格为满分。报价得分 = （评审基准价/最终报价）×20</w:t>
            </w:r>
          </w:p>
        </w:tc>
        <w:tc>
          <w:tcPr>
            <w:tcW w:w="866" w:type="dxa"/>
            <w:vAlign w:val="center"/>
          </w:tcPr>
          <w:p>
            <w:pPr>
              <w:pStyle w:val="43"/>
              <w:widowControl w:val="0"/>
              <w:spacing w:line="240" w:lineRule="exact"/>
              <w:jc w:val="center"/>
              <w:rPr>
                <w:rFonts w:ascii="宋体" w:cs="宋体"/>
                <w:color w:val="0D0D0D" w:themeColor="text1" w:themeTint="F2"/>
                <w:sz w:val="18"/>
                <w:szCs w:val="18"/>
                <w14:textFill>
                  <w14:solidFill>
                    <w14:schemeClr w14:val="tx1">
                      <w14:lumMod w14:val="95000"/>
                      <w14:lumOff w14:val="5000"/>
                    </w14:schemeClr>
                  </w14:solidFill>
                </w14:textFill>
              </w:rPr>
            </w:pPr>
            <w:r>
              <w:rPr>
                <w:rFonts w:hint="eastAsia" w:ascii="宋体" w:cs="宋体"/>
                <w:color w:val="0D0D0D" w:themeColor="text1" w:themeTint="F2"/>
                <w:sz w:val="18"/>
                <w:szCs w:val="18"/>
                <w14:textFill>
                  <w14:solidFill>
                    <w14:schemeClr w14:val="tx1">
                      <w14:lumMod w14:val="95000"/>
                      <w14:lumOff w14:val="5000"/>
                    </w14:schemeClr>
                  </w14:solidFill>
                </w14:textFill>
              </w:rPr>
              <w:t>20分</w:t>
            </w:r>
          </w:p>
        </w:tc>
        <w:tc>
          <w:tcPr>
            <w:tcW w:w="1300" w:type="dxa"/>
            <w:vAlign w:val="center"/>
          </w:tcPr>
          <w:p>
            <w:pPr>
              <w:pStyle w:val="43"/>
              <w:widowControl w:val="0"/>
              <w:spacing w:line="240" w:lineRule="exact"/>
              <w:jc w:val="center"/>
              <w:rPr>
                <w:rFonts w:ascii="宋体" w:cs="宋体"/>
                <w:sz w:val="18"/>
                <w:szCs w:val="18"/>
              </w:rPr>
            </w:pPr>
            <w:r>
              <w:rPr>
                <w:rFonts w:hint="eastAsia" w:ascii="宋体" w:cs="宋体"/>
                <w:sz w:val="18"/>
                <w:szCs w:val="18"/>
              </w:rPr>
              <w:t>（第   页）</w:t>
            </w:r>
          </w:p>
        </w:tc>
        <w:tc>
          <w:tcPr>
            <w:tcW w:w="1075" w:type="dxa"/>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831" w:type="dxa"/>
            <w:gridSpan w:val="3"/>
            <w:vAlign w:val="center"/>
          </w:tcPr>
          <w:p>
            <w:pPr>
              <w:spacing w:line="240" w:lineRule="exact"/>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合计</w:t>
            </w:r>
          </w:p>
        </w:tc>
        <w:tc>
          <w:tcPr>
            <w:tcW w:w="866" w:type="dxa"/>
            <w:vAlign w:val="center"/>
          </w:tcPr>
          <w:p>
            <w:pPr>
              <w:pStyle w:val="43"/>
              <w:widowControl w:val="0"/>
              <w:jc w:val="center"/>
              <w:rPr>
                <w:rFonts w:ascii="宋体" w:cs="宋体"/>
                <w:color w:val="0D0D0D" w:themeColor="text1" w:themeTint="F2"/>
                <w:sz w:val="18"/>
                <w:szCs w:val="18"/>
                <w14:textFill>
                  <w14:solidFill>
                    <w14:schemeClr w14:val="tx1">
                      <w14:lumMod w14:val="95000"/>
                      <w14:lumOff w14:val="5000"/>
                    </w14:schemeClr>
                  </w14:solidFill>
                </w14:textFill>
              </w:rPr>
            </w:pPr>
            <w:r>
              <w:rPr>
                <w:rFonts w:hint="eastAsia" w:ascii="宋体" w:cs="宋体"/>
                <w:color w:val="0D0D0D" w:themeColor="text1" w:themeTint="F2"/>
                <w:sz w:val="18"/>
                <w:szCs w:val="18"/>
                <w14:textFill>
                  <w14:solidFill>
                    <w14:schemeClr w14:val="tx1">
                      <w14:lumMod w14:val="95000"/>
                      <w14:lumOff w14:val="5000"/>
                    </w14:schemeClr>
                  </w14:solidFill>
                </w14:textFill>
              </w:rPr>
              <w:t>100分</w:t>
            </w:r>
          </w:p>
        </w:tc>
        <w:tc>
          <w:tcPr>
            <w:tcW w:w="1300" w:type="dxa"/>
            <w:vAlign w:val="center"/>
          </w:tcPr>
          <w:p>
            <w:pPr>
              <w:pStyle w:val="43"/>
              <w:widowControl w:val="0"/>
              <w:jc w:val="center"/>
              <w:rPr>
                <w:rFonts w:ascii="宋体" w:cs="宋体"/>
                <w:sz w:val="21"/>
                <w:szCs w:val="21"/>
              </w:rPr>
            </w:pPr>
            <w:r>
              <w:rPr>
                <w:rFonts w:hint="eastAsia" w:ascii="宋体" w:cs="宋体"/>
                <w:sz w:val="21"/>
                <w:szCs w:val="21"/>
              </w:rPr>
              <w:t>（第   页）</w:t>
            </w:r>
          </w:p>
        </w:tc>
        <w:tc>
          <w:tcPr>
            <w:tcW w:w="1075" w:type="dxa"/>
            <w:vAlign w:val="center"/>
          </w:tcPr>
          <w:p>
            <w:pPr>
              <w:widowControl/>
              <w:jc w:val="center"/>
              <w:rPr>
                <w:rFonts w:ascii="宋体" w:hAnsi="宋体" w:cs="宋体"/>
                <w:kern w:val="0"/>
                <w:sz w:val="18"/>
                <w:szCs w:val="18"/>
              </w:rPr>
            </w:pPr>
          </w:p>
        </w:tc>
      </w:tr>
    </w:tbl>
    <w:p>
      <w:pPr>
        <w:pStyle w:val="2"/>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73"/>
      <w:bookmarkEnd w:id="174"/>
      <w:bookmarkEnd w:id="175"/>
      <w:bookmarkEnd w:id="176"/>
      <w:bookmarkEnd w:id="177"/>
    </w:p>
    <w:p>
      <w:pPr>
        <w:pStyle w:val="29"/>
        <w:tabs>
          <w:tab w:val="left" w:pos="1050"/>
          <w:tab w:val="center" w:pos="4535"/>
        </w:tabs>
        <w:jc w:val="center"/>
        <w:outlineLvl w:val="0"/>
        <w:rPr>
          <w:b/>
          <w:bCs/>
          <w:szCs w:val="21"/>
        </w:rPr>
      </w:pPr>
      <w:bookmarkStart w:id="178" w:name="_Toc11212"/>
      <w:bookmarkStart w:id="179" w:name="_Toc20065"/>
      <w:bookmarkStart w:id="180" w:name="_Toc29101"/>
      <w:bookmarkStart w:id="181" w:name="_Toc31804"/>
      <w:bookmarkStart w:id="182" w:name="_Toc26391"/>
      <w:bookmarkStart w:id="183" w:name="_Toc8481"/>
      <w:bookmarkStart w:id="184" w:name="_Toc28877"/>
      <w:bookmarkStart w:id="185" w:name="_Toc9683"/>
      <w:bookmarkStart w:id="186" w:name="_Toc10605"/>
      <w:bookmarkStart w:id="187" w:name="_Toc25102"/>
      <w:bookmarkStart w:id="188" w:name="_Toc31025"/>
      <w:bookmarkStart w:id="189" w:name="_Toc20169"/>
      <w:bookmarkStart w:id="190" w:name="_Toc10771"/>
      <w:bookmarkStart w:id="191" w:name="_Toc24565"/>
      <w:r>
        <w:rPr>
          <w:rFonts w:hint="eastAsia"/>
          <w:b/>
          <w:bCs/>
        </w:rPr>
        <w:t>用户需求偏离表</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Start w:id="192" w:name="_Toc6232"/>
      <w:bookmarkStart w:id="193" w:name="_Toc32295"/>
      <w:bookmarkStart w:id="194" w:name="_Toc10398"/>
      <w:bookmarkStart w:id="195" w:name="_Toc24550"/>
      <w:bookmarkStart w:id="196" w:name="_Toc15079"/>
      <w:bookmarkStart w:id="197" w:name="_Toc24286"/>
      <w:bookmarkStart w:id="198" w:name="_Toc7019"/>
    </w:p>
    <w:p>
      <w:pPr>
        <w:spacing w:line="300" w:lineRule="auto"/>
        <w:ind w:firstLine="663" w:firstLineChars="300"/>
        <w:outlineLvl w:val="1"/>
        <w:rPr>
          <w:rFonts w:asciiTheme="majorEastAsia" w:hAnsiTheme="majorEastAsia"/>
          <w:b/>
          <w:sz w:val="22"/>
        </w:rPr>
      </w:pPr>
      <w:bookmarkStart w:id="199" w:name="_Toc14009"/>
      <w:bookmarkStart w:id="200" w:name="_Toc21905"/>
      <w:bookmarkStart w:id="201" w:name="_Toc1548"/>
      <w:bookmarkStart w:id="202" w:name="_Toc17416"/>
      <w:bookmarkStart w:id="203" w:name="_Toc31638"/>
      <w:bookmarkStart w:id="204" w:name="_Toc13551"/>
      <w:r>
        <w:rPr>
          <w:rFonts w:hint="eastAsia" w:asciiTheme="majorEastAsia" w:hAnsiTheme="majorEastAsia" w:eastAsiaTheme="majorEastAsia"/>
          <w:b/>
          <w:sz w:val="22"/>
        </w:rPr>
        <w:t>一、</w:t>
      </w:r>
      <w:bookmarkEnd w:id="199"/>
      <w:bookmarkEnd w:id="200"/>
      <w:bookmarkEnd w:id="201"/>
      <w:bookmarkEnd w:id="202"/>
      <w:bookmarkEnd w:id="203"/>
      <w:bookmarkEnd w:id="204"/>
      <w:r>
        <w:rPr>
          <w:rFonts w:hint="eastAsia" w:asciiTheme="majorEastAsia" w:hAnsiTheme="majorEastAsia" w:eastAsiaTheme="majorEastAsia"/>
          <w:b/>
          <w:sz w:val="22"/>
        </w:rPr>
        <w:t>“</w:t>
      </w:r>
      <w:r>
        <w:rPr>
          <w:rFonts w:hint="eastAsia" w:ascii="宋体" w:hAnsi="宋体" w:cs="宋体"/>
          <w:bCs/>
          <w:snapToGrid w:val="0"/>
          <w:color w:val="0D0D0D" w:themeColor="text1" w:themeTint="F2"/>
          <w:szCs w:val="21"/>
          <w:lang w:val="en-GB"/>
          <w14:textFill>
            <w14:solidFill>
              <w14:schemeClr w14:val="tx1">
                <w14:lumMod w14:val="95000"/>
                <w14:lumOff w14:val="5000"/>
              </w14:schemeClr>
            </w14:solidFill>
          </w14:textFill>
        </w:rPr>
        <w:t>★”条款内容</w:t>
      </w:r>
    </w:p>
    <w:bookmarkEnd w:id="192"/>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bookmarkStart w:id="205" w:name="_Toc19330"/>
      <w:bookmarkStart w:id="206" w:name="_Toc28342"/>
      <w:bookmarkStart w:id="207" w:name="_Toc16131"/>
      <w:bookmarkStart w:id="208" w:name="_Toc31897"/>
      <w:bookmarkStart w:id="209" w:name="_Toc14718"/>
      <w:bookmarkStart w:id="210" w:name="_Toc26114"/>
      <w:bookmarkStart w:id="211" w:name="_Toc15903"/>
    </w:p>
    <w:p>
      <w:pPr>
        <w:spacing w:line="300" w:lineRule="auto"/>
        <w:ind w:firstLine="663" w:firstLineChars="300"/>
        <w:outlineLvl w:val="1"/>
        <w:rPr>
          <w:rFonts w:asciiTheme="majorEastAsia" w:hAnsiTheme="majorEastAsia" w:eastAsiaTheme="majorEastAsia"/>
          <w:b/>
          <w:sz w:val="22"/>
        </w:rPr>
      </w:pPr>
      <w:r>
        <w:rPr>
          <w:rFonts w:hint="eastAsia" w:asciiTheme="majorEastAsia" w:hAnsiTheme="majorEastAsia" w:eastAsiaTheme="majorEastAsia"/>
          <w:b/>
          <w:sz w:val="22"/>
        </w:rPr>
        <w:t>二、</w:t>
      </w:r>
      <w:bookmarkEnd w:id="193"/>
      <w:bookmarkEnd w:id="194"/>
      <w:bookmarkEnd w:id="195"/>
      <w:bookmarkEnd w:id="196"/>
      <w:bookmarkEnd w:id="197"/>
      <w:bookmarkEnd w:id="198"/>
      <w:bookmarkEnd w:id="205"/>
      <w:bookmarkEnd w:id="206"/>
      <w:bookmarkEnd w:id="207"/>
      <w:bookmarkEnd w:id="208"/>
      <w:bookmarkEnd w:id="209"/>
      <w:bookmarkEnd w:id="210"/>
      <w:bookmarkEnd w:id="211"/>
      <w:r>
        <w:rPr>
          <w:rFonts w:hint="eastAsia" w:asciiTheme="majorEastAsia" w:hAnsiTheme="majorEastAsia" w:eastAsiaTheme="majorEastAsia"/>
          <w:b/>
          <w:sz w:val="22"/>
        </w:rPr>
        <w:t>商务要求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p>
    <w:p>
      <w:pPr>
        <w:widowControl/>
        <w:spacing w:line="360" w:lineRule="auto"/>
        <w:ind w:left="420" w:leftChars="200" w:firstLine="221" w:firstLineChars="100"/>
        <w:rPr>
          <w:rFonts w:asciiTheme="majorEastAsia" w:hAnsiTheme="majorEastAsia" w:eastAsiaTheme="majorEastAsia"/>
          <w:b/>
          <w:sz w:val="22"/>
        </w:rPr>
      </w:pPr>
      <w:r>
        <w:rPr>
          <w:rFonts w:hint="eastAsia" w:asciiTheme="majorEastAsia" w:hAnsiTheme="majorEastAsia" w:eastAsiaTheme="majorEastAsia"/>
          <w:b/>
          <w:sz w:val="22"/>
        </w:rPr>
        <w:t>三、技术服务要求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r>
        <w:rPr>
          <w:rFonts w:hint="eastAsia" w:ascii="宋体" w:hAnsi="宋体"/>
          <w:b/>
          <w:bCs/>
          <w:szCs w:val="21"/>
        </w:rPr>
        <w:t xml:space="preserve">     </w:t>
      </w:r>
      <w:r>
        <w:rPr>
          <w:rFonts w:hint="eastAsia" w:asciiTheme="majorEastAsia" w:hAnsiTheme="majorEastAsia" w:eastAsiaTheme="majorEastAsia"/>
          <w:b/>
          <w:sz w:val="22"/>
        </w:rPr>
        <w:t xml:space="preserve"> </w:t>
      </w:r>
    </w:p>
    <w:p>
      <w:pPr>
        <w:spacing w:line="300" w:lineRule="auto"/>
        <w:ind w:firstLine="663" w:firstLineChars="300"/>
        <w:outlineLvl w:val="1"/>
        <w:rPr>
          <w:rFonts w:asciiTheme="majorEastAsia" w:hAnsiTheme="majorEastAsia" w:eastAsiaTheme="majorEastAsia"/>
          <w:b/>
          <w:sz w:val="22"/>
        </w:rPr>
      </w:pPr>
      <w:r>
        <w:rPr>
          <w:rFonts w:hint="eastAsia" w:asciiTheme="majorEastAsia" w:hAnsiTheme="majorEastAsia" w:eastAsiaTheme="majorEastAsia"/>
          <w:b/>
          <w:sz w:val="22"/>
        </w:rPr>
        <w:t>四、合同条款</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663" w:firstLineChars="300"/>
        <w:outlineLvl w:val="1"/>
        <w:rPr>
          <w:rFonts w:asciiTheme="majorEastAsia" w:hAnsiTheme="majorEastAsia" w:eastAsiaTheme="majorEastAsia"/>
          <w:b/>
          <w:sz w:val="22"/>
        </w:rPr>
      </w:pPr>
    </w:p>
    <w:p>
      <w:pPr>
        <w:spacing w:line="300" w:lineRule="auto"/>
        <w:ind w:firstLine="663" w:firstLineChars="300"/>
        <w:outlineLvl w:val="1"/>
        <w:rPr>
          <w:rFonts w:asciiTheme="majorEastAsia" w:hAnsiTheme="majorEastAsia" w:eastAsiaTheme="majorEastAsia"/>
          <w:b/>
          <w:sz w:val="22"/>
        </w:rPr>
      </w:pPr>
      <w:r>
        <w:rPr>
          <w:rFonts w:hint="eastAsia" w:asciiTheme="majorEastAsia" w:hAnsiTheme="majorEastAsia" w:eastAsiaTheme="majorEastAsia"/>
          <w:b/>
          <w:sz w:val="22"/>
        </w:rPr>
        <w:t>五、其他</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3"/>
        <w:sectPr>
          <w:pgSz w:w="11906" w:h="16838"/>
          <w:pgMar w:top="850" w:right="454" w:bottom="850" w:left="454" w:header="851" w:footer="992" w:gutter="0"/>
          <w:cols w:space="720" w:num="1"/>
          <w:docGrid w:linePitch="312" w:charSpace="0"/>
        </w:sectPr>
      </w:pPr>
    </w:p>
    <w:p>
      <w:pPr>
        <w:pStyle w:val="2"/>
        <w:jc w:val="center"/>
        <w:rPr>
          <w:b/>
          <w:bCs/>
          <w:sz w:val="30"/>
          <w:szCs w:val="30"/>
        </w:rPr>
      </w:pPr>
      <w:bookmarkStart w:id="212" w:name="_Toc31077"/>
      <w:bookmarkStart w:id="213" w:name="_Toc6214"/>
      <w:bookmarkStart w:id="214" w:name="_Toc21213"/>
      <w:bookmarkStart w:id="215" w:name="_Toc28851"/>
      <w:bookmarkStart w:id="216" w:name="_Toc21561"/>
      <w:bookmarkStart w:id="217" w:name="_Toc31674"/>
      <w:r>
        <w:rPr>
          <w:rFonts w:hint="eastAsia"/>
          <w:b/>
          <w:bCs/>
          <w:sz w:val="30"/>
          <w:szCs w:val="30"/>
        </w:rPr>
        <w:t>初始报价表</w:t>
      </w:r>
    </w:p>
    <w:p>
      <w:pPr>
        <w:pStyle w:val="2"/>
        <w:jc w:val="center"/>
        <w:rPr>
          <w:b/>
          <w:bCs/>
          <w:sz w:val="30"/>
          <w:szCs w:val="30"/>
        </w:rPr>
      </w:pPr>
    </w:p>
    <w:p>
      <w:pPr>
        <w:widowControl/>
        <w:jc w:val="left"/>
        <w:rPr>
          <w:rFonts w:ascii="宋体" w:hAnsi="宋体" w:cs="宋体"/>
          <w:b/>
          <w:color w:val="000000"/>
          <w:kern w:val="0"/>
          <w:szCs w:val="21"/>
          <w:lang w:bidi="ar"/>
        </w:rPr>
      </w:pPr>
    </w:p>
    <w:tbl>
      <w:tblPr>
        <w:tblStyle w:val="19"/>
        <w:tblW w:w="9834" w:type="dxa"/>
        <w:tblInd w:w="0" w:type="dxa"/>
        <w:tblLayout w:type="fixed"/>
        <w:tblCellMar>
          <w:top w:w="0" w:type="dxa"/>
          <w:left w:w="30" w:type="dxa"/>
          <w:bottom w:w="0" w:type="dxa"/>
          <w:right w:w="30" w:type="dxa"/>
        </w:tblCellMar>
      </w:tblPr>
      <w:tblGrid>
        <w:gridCol w:w="3789"/>
        <w:gridCol w:w="1080"/>
        <w:gridCol w:w="1155"/>
        <w:gridCol w:w="2580"/>
        <w:gridCol w:w="1230"/>
      </w:tblGrid>
      <w:tr>
        <w:tblPrEx>
          <w:tblCellMar>
            <w:top w:w="0" w:type="dxa"/>
            <w:left w:w="30" w:type="dxa"/>
            <w:bottom w:w="0" w:type="dxa"/>
            <w:right w:w="30" w:type="dxa"/>
          </w:tblCellMar>
        </w:tblPrEx>
        <w:trPr>
          <w:trHeight w:val="333" w:hRule="atLeast"/>
        </w:trPr>
        <w:tc>
          <w:tcPr>
            <w:tcW w:w="3789" w:type="dxa"/>
            <w:tcBorders>
              <w:top w:val="single" w:color="auto" w:sz="4" w:space="0"/>
              <w:left w:val="single" w:color="auto" w:sz="4" w:space="0"/>
              <w:right w:val="single" w:color="auto" w:sz="4" w:space="0"/>
            </w:tcBorders>
            <w:vAlign w:val="center"/>
          </w:tcPr>
          <w:p>
            <w:pPr>
              <w:autoSpaceDE w:val="0"/>
              <w:autoSpaceDN w:val="0"/>
              <w:spacing w:line="240" w:lineRule="atLeast"/>
              <w:jc w:val="center"/>
              <w:rPr>
                <w:rFonts w:ascii="宋体" w:hAnsi="宋体" w:cs="宋体"/>
                <w:b/>
                <w:bCs/>
                <w:sz w:val="24"/>
              </w:rPr>
            </w:pPr>
            <w:r>
              <w:rPr>
                <w:rFonts w:hint="eastAsia" w:ascii="宋体" w:hAnsi="宋体" w:cs="宋体"/>
                <w:b/>
                <w:bCs/>
                <w:sz w:val="24"/>
              </w:rPr>
              <w:t>项目名称</w:t>
            </w:r>
          </w:p>
        </w:tc>
        <w:tc>
          <w:tcPr>
            <w:tcW w:w="1080" w:type="dxa"/>
            <w:tcBorders>
              <w:top w:val="single" w:color="auto" w:sz="4" w:space="0"/>
              <w:left w:val="single" w:color="auto" w:sz="4" w:space="0"/>
              <w:right w:val="single" w:color="auto" w:sz="4" w:space="0"/>
            </w:tcBorders>
            <w:vAlign w:val="center"/>
          </w:tcPr>
          <w:p>
            <w:pPr>
              <w:autoSpaceDE w:val="0"/>
              <w:autoSpaceDN w:val="0"/>
              <w:spacing w:line="240" w:lineRule="atLeast"/>
              <w:jc w:val="center"/>
              <w:rPr>
                <w:rFonts w:ascii="宋体" w:hAnsi="宋体" w:cs="宋体"/>
                <w:b/>
                <w:bCs/>
                <w:sz w:val="24"/>
              </w:rPr>
            </w:pPr>
            <w:r>
              <w:rPr>
                <w:rFonts w:hint="eastAsia" w:ascii="宋体" w:hAnsi="宋体" w:cs="宋体"/>
                <w:b/>
                <w:bCs/>
                <w:sz w:val="24"/>
              </w:rPr>
              <w:t>单位</w:t>
            </w:r>
          </w:p>
        </w:tc>
        <w:tc>
          <w:tcPr>
            <w:tcW w:w="1155" w:type="dxa"/>
            <w:tcBorders>
              <w:top w:val="single" w:color="auto" w:sz="4" w:space="0"/>
              <w:left w:val="single" w:color="auto" w:sz="4" w:space="0"/>
              <w:right w:val="single" w:color="auto" w:sz="4" w:space="0"/>
            </w:tcBorders>
            <w:vAlign w:val="center"/>
          </w:tcPr>
          <w:p>
            <w:pPr>
              <w:autoSpaceDE w:val="0"/>
              <w:autoSpaceDN w:val="0"/>
              <w:spacing w:line="240" w:lineRule="atLeast"/>
              <w:jc w:val="center"/>
              <w:rPr>
                <w:rFonts w:ascii="宋体" w:hAnsi="宋体" w:cs="宋体"/>
                <w:b/>
                <w:bCs/>
                <w:sz w:val="24"/>
              </w:rPr>
            </w:pPr>
            <w:r>
              <w:rPr>
                <w:rFonts w:hint="eastAsia" w:ascii="宋体" w:hAnsi="宋体" w:cs="宋体"/>
                <w:b/>
                <w:bCs/>
                <w:sz w:val="24"/>
              </w:rPr>
              <w:t>数量</w:t>
            </w:r>
          </w:p>
        </w:tc>
        <w:tc>
          <w:tcPr>
            <w:tcW w:w="258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ascii="宋体" w:hAnsi="宋体" w:cs="宋体"/>
                <w:b/>
                <w:bCs/>
                <w:sz w:val="24"/>
              </w:rPr>
            </w:pPr>
            <w:r>
              <w:rPr>
                <w:rFonts w:hint="eastAsia" w:ascii="宋体" w:hAnsi="宋体" w:cs="宋体"/>
                <w:b/>
                <w:bCs/>
                <w:sz w:val="24"/>
              </w:rPr>
              <w:t>折扣率（%）</w:t>
            </w:r>
          </w:p>
        </w:tc>
        <w:tc>
          <w:tcPr>
            <w:tcW w:w="123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ascii="宋体" w:hAnsi="宋体" w:cs="宋体"/>
                <w:b/>
                <w:bCs/>
                <w:sz w:val="24"/>
              </w:rPr>
            </w:pPr>
            <w:r>
              <w:rPr>
                <w:rFonts w:hint="eastAsia" w:ascii="宋体" w:hAnsi="宋体" w:cs="宋体"/>
                <w:b/>
                <w:bCs/>
                <w:sz w:val="24"/>
              </w:rPr>
              <w:t>服务期</w:t>
            </w:r>
          </w:p>
        </w:tc>
      </w:tr>
      <w:tr>
        <w:tblPrEx>
          <w:tblCellMar>
            <w:top w:w="0" w:type="dxa"/>
            <w:left w:w="30" w:type="dxa"/>
            <w:bottom w:w="0" w:type="dxa"/>
            <w:right w:w="30" w:type="dxa"/>
          </w:tblCellMar>
        </w:tblPrEx>
        <w:trPr>
          <w:trHeight w:val="2407" w:hRule="atLeast"/>
        </w:trPr>
        <w:tc>
          <w:tcPr>
            <w:tcW w:w="378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ascii="宋体" w:hAnsi="宋体" w:cs="宋体"/>
                <w:b/>
                <w:bCs/>
                <w:sz w:val="24"/>
              </w:rPr>
            </w:pPr>
            <w:r>
              <w:rPr>
                <w:rFonts w:hint="eastAsia" w:ascii="宋体" w:hAnsi="宋体" w:cs="宋体"/>
                <w:b/>
                <w:bCs/>
                <w:sz w:val="24"/>
              </w:rPr>
              <w:t>南方医科大学第五附属医院病理项目外送检验服务项目</w:t>
            </w:r>
          </w:p>
          <w:p>
            <w:pPr>
              <w:autoSpaceDE w:val="0"/>
              <w:autoSpaceDN w:val="0"/>
              <w:spacing w:line="360" w:lineRule="auto"/>
              <w:jc w:val="left"/>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b/>
                <w:bCs/>
                <w:sz w:val="24"/>
              </w:rPr>
            </w:pPr>
            <w:r>
              <w:rPr>
                <w:rFonts w:hint="eastAsia" w:ascii="宋体" w:hAnsi="宋体" w:cs="宋体"/>
                <w:b/>
                <w:bCs/>
                <w:sz w:val="24"/>
              </w:rPr>
              <w:t>项</w:t>
            </w:r>
          </w:p>
        </w:tc>
        <w:tc>
          <w:tcPr>
            <w:tcW w:w="115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b/>
                <w:bCs/>
                <w:sz w:val="24"/>
              </w:rPr>
            </w:pPr>
            <w:r>
              <w:rPr>
                <w:rFonts w:hint="eastAsia" w:ascii="宋体" w:hAnsi="宋体" w:cs="宋体"/>
                <w:b/>
                <w:bCs/>
                <w:sz w:val="24"/>
              </w:rPr>
              <w:t>1</w:t>
            </w:r>
          </w:p>
        </w:tc>
        <w:tc>
          <w:tcPr>
            <w:tcW w:w="258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rPr>
                <w:rFonts w:ascii="宋体" w:hAnsi="宋体" w:cs="宋体"/>
                <w:b/>
                <w:bCs/>
                <w:sz w:val="24"/>
                <w:u w:val="single"/>
              </w:rPr>
            </w:pPr>
            <w:r>
              <w:rPr>
                <w:rFonts w:hint="eastAsia" w:ascii="宋体" w:hAnsi="宋体" w:cs="宋体"/>
                <w:b/>
                <w:bCs/>
                <w:sz w:val="24"/>
              </w:rPr>
              <w:t>大写：百分之</w:t>
            </w:r>
            <w:r>
              <w:rPr>
                <w:rFonts w:hint="eastAsia" w:ascii="宋体" w:hAnsi="宋体" w:cs="宋体"/>
                <w:b/>
                <w:bCs/>
                <w:sz w:val="24"/>
                <w:u w:val="single"/>
              </w:rPr>
              <w:t xml:space="preserve">     </w:t>
            </w:r>
          </w:p>
          <w:p>
            <w:pPr>
              <w:pStyle w:val="2"/>
              <w:rPr>
                <w:sz w:val="24"/>
              </w:rPr>
            </w:pPr>
            <w:r>
              <w:rPr>
                <w:rFonts w:hint="eastAsia" w:ascii="宋体" w:hAnsi="宋体" w:cs="宋体"/>
                <w:b/>
                <w:bCs/>
                <w:sz w:val="24"/>
              </w:rPr>
              <w:t>小写：    %</w:t>
            </w:r>
          </w:p>
        </w:tc>
        <w:tc>
          <w:tcPr>
            <w:tcW w:w="123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b/>
                <w:bCs/>
                <w:sz w:val="24"/>
              </w:rPr>
            </w:pPr>
            <w:r>
              <w:rPr>
                <w:rFonts w:hint="eastAsia" w:ascii="宋体" w:hAnsi="宋体" w:cs="宋体"/>
                <w:b/>
                <w:bCs/>
                <w:sz w:val="24"/>
              </w:rPr>
              <w:t>三年</w:t>
            </w:r>
          </w:p>
        </w:tc>
      </w:tr>
    </w:tbl>
    <w:p>
      <w:pPr>
        <w:pStyle w:val="2"/>
        <w:spacing w:line="360" w:lineRule="auto"/>
        <w:rPr>
          <w:rFonts w:ascii="宋体" w:hAnsi="宋体"/>
          <w:b/>
          <w:bCs/>
          <w:sz w:val="24"/>
        </w:rPr>
      </w:pPr>
    </w:p>
    <w:p>
      <w:pPr>
        <w:pStyle w:val="2"/>
        <w:spacing w:line="400" w:lineRule="exact"/>
        <w:rPr>
          <w:rFonts w:ascii="宋体" w:hAnsi="宋体"/>
          <w:b/>
          <w:bCs/>
          <w:szCs w:val="21"/>
        </w:rPr>
      </w:pPr>
      <w:r>
        <w:rPr>
          <w:rFonts w:hint="eastAsia" w:ascii="宋体" w:hAnsi="宋体"/>
          <w:b/>
          <w:bCs/>
          <w:szCs w:val="21"/>
        </w:rPr>
        <w:t>备注：</w:t>
      </w:r>
    </w:p>
    <w:p>
      <w:pPr>
        <w:pStyle w:val="2"/>
        <w:spacing w:line="400" w:lineRule="exact"/>
        <w:rPr>
          <w:rFonts w:ascii="黑体" w:hAnsi="黑体" w:eastAsia="黑体"/>
          <w:szCs w:val="21"/>
        </w:rPr>
      </w:pPr>
      <w:r>
        <w:rPr>
          <w:rFonts w:hint="eastAsia" w:ascii="宋体" w:hAnsi="宋体"/>
          <w:b/>
          <w:bCs/>
          <w:szCs w:val="21"/>
        </w:rPr>
        <w:t>1.温馨提示（金额大写）：</w:t>
      </w:r>
      <w:r>
        <w:rPr>
          <w:rFonts w:hint="eastAsia" w:ascii="宋体" w:hAnsi="宋体"/>
          <w:szCs w:val="21"/>
        </w:rPr>
        <w:t>壹、贰、叁、肆、伍、陆、柒、捌、玖、拾 、佰、仟、万</w:t>
      </w:r>
    </w:p>
    <w:p>
      <w:pPr>
        <w:spacing w:line="400" w:lineRule="exact"/>
        <w:rPr>
          <w:rFonts w:ascii="宋体" w:hAnsi="宋体"/>
          <w:b/>
          <w:bCs/>
          <w:szCs w:val="21"/>
        </w:rPr>
      </w:pPr>
      <w:r>
        <w:rPr>
          <w:rFonts w:hint="eastAsia" w:ascii="宋体" w:hAnsi="宋体"/>
          <w:b/>
          <w:bCs/>
          <w:szCs w:val="21"/>
        </w:rPr>
        <w:t>2.报价说明：</w:t>
      </w: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按照《广州市公立医疗机构基本医疗服务价格》（以最新版本为准），对本项目所有检测内容按折扣率进行报价，报价应包括但不限于各种人力成本、货物成本、资料费、服务费、信息系统接口费、税费、物流服务、标本采集试管、保存装置及合同实施过程中的所有费用。</w:t>
      </w:r>
    </w:p>
    <w:p>
      <w:pPr>
        <w:widowControl/>
        <w:spacing w:line="400" w:lineRule="exact"/>
        <w:jc w:val="left"/>
        <w:rPr>
          <w:rFonts w:ascii="宋体" w:hAnsi="宋体"/>
          <w:b/>
          <w:bCs/>
          <w:szCs w:val="21"/>
        </w:rPr>
      </w:pPr>
      <w:r>
        <w:rPr>
          <w:rFonts w:hint="eastAsia" w:ascii="宋体" w:hAnsi="宋体"/>
          <w:b/>
          <w:bCs/>
          <w:szCs w:val="21"/>
        </w:rPr>
        <w:t>3.其他：</w:t>
      </w:r>
    </w:p>
    <w:p>
      <w:pPr>
        <w:widowControl/>
        <w:spacing w:line="400" w:lineRule="exact"/>
        <w:jc w:val="left"/>
        <w:rPr>
          <w:rFonts w:ascii="宋体" w:hAnsi="宋体"/>
          <w:szCs w:val="21"/>
        </w:rPr>
      </w:pPr>
      <w:r>
        <w:rPr>
          <w:rFonts w:hint="eastAsia" w:ascii="宋体" w:hAnsi="宋体"/>
          <w:szCs w:val="21"/>
        </w:rPr>
        <w:t>3.1标本到达供应商实验室后</w:t>
      </w:r>
      <w:r>
        <w:rPr>
          <w:rFonts w:hint="eastAsia" w:ascii="宋体" w:hAnsi="宋体"/>
          <w:szCs w:val="21"/>
          <w:u w:val="single"/>
        </w:rPr>
        <w:t xml:space="preserve">    </w:t>
      </w:r>
      <w:r>
        <w:rPr>
          <w:rFonts w:hint="eastAsia" w:ascii="宋体" w:hAnsi="宋体"/>
          <w:szCs w:val="21"/>
        </w:rPr>
        <w:t>天内出具病理报告；</w:t>
      </w:r>
    </w:p>
    <w:p>
      <w:pPr>
        <w:widowControl/>
        <w:spacing w:line="400" w:lineRule="exact"/>
        <w:jc w:val="left"/>
        <w:rPr>
          <w:rFonts w:ascii="宋体" w:hAnsi="宋体"/>
          <w:szCs w:val="21"/>
        </w:rPr>
      </w:pPr>
      <w:r>
        <w:rPr>
          <w:rFonts w:hint="eastAsia" w:ascii="宋体" w:hAnsi="宋体"/>
          <w:szCs w:val="21"/>
        </w:rPr>
        <w:t>3.2其他承诺：</w:t>
      </w:r>
    </w:p>
    <w:p>
      <w:pPr>
        <w:widowControl/>
        <w:spacing w:line="360" w:lineRule="auto"/>
        <w:jc w:val="left"/>
        <w:rPr>
          <w:rFonts w:ascii="宋体" w:hAnsi="宋体"/>
          <w:sz w:val="24"/>
        </w:rPr>
      </w:pPr>
    </w:p>
    <w:p>
      <w:pPr>
        <w:widowControl/>
        <w:spacing w:line="360" w:lineRule="auto"/>
        <w:ind w:firstLine="2280" w:firstLineChars="950"/>
        <w:jc w:val="left"/>
        <w:rPr>
          <w:rFonts w:ascii="宋体" w:hAnsi="宋体"/>
          <w:sz w:val="24"/>
        </w:rPr>
      </w:pPr>
    </w:p>
    <w:p>
      <w:pPr>
        <w:pStyle w:val="2"/>
      </w:pPr>
    </w:p>
    <w:p>
      <w:pPr>
        <w:widowControl/>
        <w:spacing w:line="360" w:lineRule="auto"/>
        <w:ind w:firstLine="4440" w:firstLineChars="1850"/>
        <w:jc w:val="left"/>
        <w:rPr>
          <w:rFonts w:ascii="宋体" w:hAnsi="宋体"/>
          <w:sz w:val="24"/>
        </w:rPr>
      </w:pPr>
    </w:p>
    <w:p>
      <w:pPr>
        <w:widowControl/>
        <w:spacing w:line="360" w:lineRule="auto"/>
        <w:ind w:firstLine="4440" w:firstLineChars="1850"/>
        <w:jc w:val="left"/>
        <w:rPr>
          <w:rFonts w:ascii="宋体" w:hAnsi="宋体"/>
          <w:sz w:val="24"/>
        </w:rPr>
      </w:pPr>
    </w:p>
    <w:p>
      <w:pPr>
        <w:widowControl/>
        <w:spacing w:line="480" w:lineRule="auto"/>
        <w:ind w:firstLine="4440" w:firstLineChars="1850"/>
        <w:jc w:val="left"/>
        <w:rPr>
          <w:rFonts w:ascii="宋体" w:hAnsi="宋体"/>
          <w:sz w:val="24"/>
        </w:rPr>
      </w:pPr>
      <w:r>
        <w:rPr>
          <w:rFonts w:hint="eastAsia" w:ascii="宋体" w:hAnsi="宋体"/>
          <w:sz w:val="24"/>
        </w:rPr>
        <w:t>公司全称（加盖公章）：</w:t>
      </w:r>
    </w:p>
    <w:p>
      <w:pPr>
        <w:widowControl/>
        <w:spacing w:line="480" w:lineRule="auto"/>
        <w:ind w:firstLine="4080" w:firstLineChars="1700"/>
        <w:jc w:val="left"/>
        <w:rPr>
          <w:rFonts w:ascii="宋体" w:hAnsi="宋体"/>
          <w:sz w:val="24"/>
        </w:rPr>
      </w:pPr>
      <w:r>
        <w:rPr>
          <w:rFonts w:hint="eastAsia" w:ascii="宋体" w:hAnsi="宋体"/>
          <w:sz w:val="24"/>
        </w:rPr>
        <w:t xml:space="preserve">供应商法定代表人或授权代表签名：              </w:t>
      </w:r>
    </w:p>
    <w:p>
      <w:pPr>
        <w:spacing w:line="480" w:lineRule="auto"/>
        <w:ind w:firstLine="6960" w:firstLineChars="2900"/>
        <w:rPr>
          <w:rFonts w:ascii="宋体" w:hAnsi="宋体" w:cs="宋体"/>
          <w:b/>
          <w:sz w:val="24"/>
        </w:rPr>
      </w:pPr>
      <w:r>
        <w:rPr>
          <w:rFonts w:hint="eastAsia" w:ascii="宋体" w:hAnsi="宋体"/>
          <w:sz w:val="24"/>
        </w:rPr>
        <w:t>日  期：  年   月    日</w:t>
      </w:r>
    </w:p>
    <w:p>
      <w:pPr>
        <w:widowControl/>
        <w:spacing w:line="480" w:lineRule="auto"/>
        <w:jc w:val="left"/>
        <w:rPr>
          <w:rFonts w:ascii="宋体" w:hAnsi="宋体" w:cs="宋体"/>
          <w:b/>
          <w:color w:val="000000"/>
          <w:kern w:val="0"/>
          <w:szCs w:val="21"/>
          <w:lang w:bidi="ar"/>
        </w:rPr>
      </w:pPr>
    </w:p>
    <w:p>
      <w:pPr>
        <w:pStyle w:val="2"/>
        <w:rPr>
          <w:rFonts w:ascii="宋体" w:hAnsi="宋体" w:cs="宋体"/>
          <w:b/>
          <w:color w:val="000000"/>
          <w:kern w:val="0"/>
          <w:szCs w:val="21"/>
          <w:lang w:bidi="ar"/>
        </w:rPr>
      </w:pPr>
    </w:p>
    <w:p>
      <w:pPr>
        <w:pStyle w:val="2"/>
        <w:rPr>
          <w:rFonts w:ascii="宋体" w:hAnsi="宋体" w:cs="宋体"/>
          <w:b/>
          <w:color w:val="000000"/>
          <w:kern w:val="0"/>
          <w:szCs w:val="21"/>
          <w:lang w:bidi="ar"/>
        </w:rPr>
      </w:pPr>
    </w:p>
    <w:p>
      <w:pPr>
        <w:pStyle w:val="2"/>
        <w:rPr>
          <w:rFonts w:ascii="宋体" w:hAnsi="宋体" w:cs="宋体"/>
          <w:b/>
          <w:color w:val="000000"/>
          <w:kern w:val="0"/>
          <w:szCs w:val="21"/>
          <w:lang w:bidi="ar"/>
        </w:rPr>
      </w:pPr>
    </w:p>
    <w:p>
      <w:pPr>
        <w:pStyle w:val="2"/>
        <w:rPr>
          <w:rFonts w:ascii="宋体" w:hAnsi="宋体" w:cs="宋体"/>
          <w:b/>
          <w:color w:val="000000"/>
          <w:kern w:val="0"/>
          <w:szCs w:val="21"/>
          <w:lang w:bidi="ar"/>
        </w:rPr>
      </w:pPr>
    </w:p>
    <w:p>
      <w:pPr>
        <w:pStyle w:val="2"/>
        <w:rPr>
          <w:rFonts w:ascii="宋体" w:hAnsi="宋体" w:cs="宋体"/>
          <w:b/>
          <w:color w:val="000000"/>
          <w:kern w:val="0"/>
          <w:szCs w:val="21"/>
          <w:lang w:bidi="ar"/>
        </w:rPr>
      </w:pPr>
    </w:p>
    <w:p>
      <w:pPr>
        <w:pStyle w:val="2"/>
        <w:rPr>
          <w:rFonts w:ascii="宋体" w:hAnsi="宋体" w:cs="宋体"/>
          <w:b/>
          <w:color w:val="000000"/>
          <w:kern w:val="0"/>
          <w:szCs w:val="21"/>
          <w:lang w:bidi="ar"/>
        </w:rPr>
      </w:pPr>
    </w:p>
    <w:p>
      <w:pPr>
        <w:pStyle w:val="2"/>
        <w:rPr>
          <w:rFonts w:ascii="宋体" w:hAnsi="宋体" w:cs="宋体"/>
          <w:b/>
          <w:color w:val="000000"/>
          <w:kern w:val="0"/>
          <w:szCs w:val="21"/>
          <w:lang w:bidi="ar"/>
        </w:rPr>
      </w:pPr>
    </w:p>
    <w:p>
      <w:pPr>
        <w:pStyle w:val="29"/>
        <w:tabs>
          <w:tab w:val="left" w:pos="1050"/>
          <w:tab w:val="center" w:pos="4535"/>
        </w:tabs>
        <w:spacing w:line="360" w:lineRule="auto"/>
        <w:jc w:val="center"/>
        <w:outlineLvl w:val="0"/>
        <w:rPr>
          <w:b/>
          <w:bCs/>
          <w:sz w:val="32"/>
          <w:szCs w:val="32"/>
        </w:rPr>
      </w:pPr>
      <w:bookmarkStart w:id="218" w:name="_Toc11748"/>
      <w:r>
        <w:rPr>
          <w:rFonts w:hint="eastAsia"/>
          <w:b/>
          <w:bCs/>
          <w:sz w:val="32"/>
          <w:szCs w:val="32"/>
        </w:rPr>
        <w:t>法定代表人资格证明书</w:t>
      </w:r>
      <w:bookmarkEnd w:id="212"/>
      <w:bookmarkEnd w:id="213"/>
      <w:bookmarkEnd w:id="214"/>
      <w:bookmarkEnd w:id="215"/>
      <w:bookmarkEnd w:id="218"/>
    </w:p>
    <w:p>
      <w:pPr>
        <w:pStyle w:val="29"/>
        <w:spacing w:line="360" w:lineRule="auto"/>
        <w:jc w:val="center"/>
        <w:rPr>
          <w:b/>
          <w:bCs/>
          <w:sz w:val="30"/>
          <w:szCs w:val="30"/>
        </w:rPr>
      </w:pPr>
    </w:p>
    <w:p>
      <w:pPr>
        <w:pStyle w:val="29"/>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9"/>
        <w:spacing w:line="360" w:lineRule="auto"/>
        <w:ind w:firstLine="560"/>
        <w:rPr>
          <w:sz w:val="28"/>
          <w:szCs w:val="28"/>
        </w:rPr>
      </w:pPr>
    </w:p>
    <w:p>
      <w:pPr>
        <w:pStyle w:val="29"/>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9"/>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9"/>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9"/>
        <w:spacing w:line="360" w:lineRule="auto"/>
        <w:rPr>
          <w:b/>
          <w:bCs/>
          <w:sz w:val="28"/>
          <w:szCs w:val="28"/>
        </w:rPr>
      </w:pPr>
    </w:p>
    <w:p>
      <w:pPr>
        <w:pStyle w:val="29"/>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9"/>
        <w:spacing w:line="360" w:lineRule="auto"/>
        <w:jc w:val="center"/>
        <w:outlineLvl w:val="0"/>
        <w:rPr>
          <w:b/>
          <w:bCs/>
          <w:sz w:val="32"/>
          <w:szCs w:val="32"/>
        </w:rPr>
      </w:pPr>
      <w:bookmarkStart w:id="219" w:name="_Toc14853"/>
      <w:bookmarkStart w:id="220" w:name="_Toc14591"/>
      <w:bookmarkStart w:id="221" w:name="_Toc15050"/>
      <w:bookmarkStart w:id="222" w:name="_Toc22175"/>
      <w:bookmarkStart w:id="223" w:name="_Toc7276"/>
      <w:bookmarkStart w:id="224" w:name="_Toc14020"/>
      <w:bookmarkStart w:id="225" w:name="_Toc3758"/>
      <w:bookmarkStart w:id="226" w:name="_Toc28957"/>
      <w:bookmarkStart w:id="227" w:name="_Toc3241"/>
      <w:bookmarkStart w:id="228" w:name="_Toc18443"/>
      <w:bookmarkStart w:id="229" w:name="_Toc11289"/>
      <w:bookmarkStart w:id="230" w:name="_Toc23685"/>
    </w:p>
    <w:p>
      <w:pPr>
        <w:pStyle w:val="29"/>
        <w:spacing w:line="360" w:lineRule="auto"/>
        <w:jc w:val="center"/>
        <w:outlineLvl w:val="0"/>
        <w:rPr>
          <w:b/>
          <w:bCs/>
          <w:sz w:val="32"/>
          <w:szCs w:val="32"/>
        </w:rPr>
      </w:pPr>
      <w:r>
        <w:rPr>
          <w:rFonts w:hint="eastAsia"/>
          <w:b/>
          <w:bCs/>
          <w:sz w:val="32"/>
          <w:szCs w:val="32"/>
        </w:rPr>
        <w:t>法定代表人授权委托书</w:t>
      </w:r>
      <w:bookmarkEnd w:id="219"/>
      <w:bookmarkEnd w:id="220"/>
      <w:bookmarkEnd w:id="221"/>
      <w:bookmarkEnd w:id="222"/>
      <w:bookmarkEnd w:id="223"/>
      <w:bookmarkEnd w:id="224"/>
      <w:bookmarkEnd w:id="225"/>
      <w:bookmarkEnd w:id="226"/>
      <w:bookmarkEnd w:id="227"/>
      <w:bookmarkEnd w:id="228"/>
      <w:bookmarkEnd w:id="229"/>
      <w:bookmarkEnd w:id="230"/>
    </w:p>
    <w:p>
      <w:pPr>
        <w:pStyle w:val="30"/>
        <w:spacing w:line="360" w:lineRule="auto"/>
        <w:jc w:val="left"/>
        <w:rPr>
          <w:b/>
          <w:bCs/>
          <w:sz w:val="28"/>
          <w:szCs w:val="28"/>
        </w:rPr>
      </w:pPr>
      <w:r>
        <w:rPr>
          <w:rFonts w:hint="eastAsia"/>
          <w:b/>
          <w:bCs/>
          <w:sz w:val="28"/>
          <w:szCs w:val="28"/>
        </w:rPr>
        <w:t>本授权书声明：</w:t>
      </w:r>
    </w:p>
    <w:p>
      <w:pPr>
        <w:pStyle w:val="29"/>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rPr>
        <w:t>南方医科大学第五附属医院 ***项目</w:t>
      </w:r>
      <w:r>
        <w:rPr>
          <w:rFonts w:hint="eastAsia"/>
          <w:sz w:val="28"/>
          <w:szCs w:val="28"/>
        </w:rPr>
        <w:t>院内采购活动中参加</w:t>
      </w:r>
      <w:r>
        <w:rPr>
          <w:rFonts w:hint="eastAsia"/>
          <w:color w:val="0000FF"/>
          <w:sz w:val="28"/>
          <w:szCs w:val="28"/>
        </w:rPr>
        <w:t>磋商</w:t>
      </w:r>
      <w:r>
        <w:rPr>
          <w:rFonts w:hint="eastAsia"/>
          <w:sz w:val="28"/>
          <w:szCs w:val="28"/>
        </w:rPr>
        <w:t>、报价、签订合同等相关事宜。</w:t>
      </w:r>
    </w:p>
    <w:p>
      <w:pPr>
        <w:pStyle w:val="29"/>
        <w:spacing w:line="360" w:lineRule="auto"/>
        <w:ind w:firstLine="560"/>
        <w:rPr>
          <w:sz w:val="28"/>
          <w:szCs w:val="28"/>
        </w:rPr>
      </w:pPr>
      <w:r>
        <w:rPr>
          <w:rFonts w:hint="eastAsia"/>
          <w:sz w:val="28"/>
          <w:szCs w:val="28"/>
        </w:rPr>
        <w:t>本授权书在签字盖章后生效，特此声明。</w:t>
      </w:r>
    </w:p>
    <w:p>
      <w:pPr>
        <w:pStyle w:val="29"/>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9"/>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9"/>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9"/>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9"/>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sz w:val="36"/>
          <w:szCs w:val="36"/>
        </w:rPr>
      </w:pPr>
    </w:p>
    <w:p>
      <w:pPr>
        <w:pStyle w:val="29"/>
        <w:tabs>
          <w:tab w:val="left" w:pos="1050"/>
          <w:tab w:val="center" w:pos="4535"/>
        </w:tabs>
        <w:spacing w:line="360" w:lineRule="auto"/>
        <w:jc w:val="center"/>
        <w:rPr>
          <w:b/>
          <w:bCs/>
          <w:sz w:val="32"/>
          <w:szCs w:val="32"/>
        </w:rPr>
      </w:pPr>
    </w:p>
    <w:p>
      <w:pPr>
        <w:pStyle w:val="29"/>
        <w:tabs>
          <w:tab w:val="left" w:pos="1050"/>
          <w:tab w:val="center" w:pos="4535"/>
        </w:tabs>
        <w:spacing w:line="360" w:lineRule="auto"/>
        <w:rPr>
          <w:b/>
          <w:bCs/>
          <w:sz w:val="32"/>
          <w:szCs w:val="32"/>
        </w:rPr>
      </w:pPr>
    </w:p>
    <w:p>
      <w:pPr>
        <w:pStyle w:val="29"/>
        <w:tabs>
          <w:tab w:val="left" w:pos="1050"/>
          <w:tab w:val="center" w:pos="4535"/>
        </w:tabs>
        <w:spacing w:line="360" w:lineRule="auto"/>
        <w:jc w:val="center"/>
        <w:outlineLvl w:val="0"/>
        <w:rPr>
          <w:b/>
          <w:bCs/>
          <w:sz w:val="32"/>
          <w:szCs w:val="32"/>
        </w:rPr>
      </w:pPr>
      <w:bookmarkStart w:id="231" w:name="_Toc31757"/>
      <w:bookmarkStart w:id="232" w:name="_Toc32281"/>
      <w:bookmarkStart w:id="233" w:name="_Toc10212"/>
      <w:r>
        <w:rPr>
          <w:rFonts w:hint="eastAsia"/>
          <w:b/>
          <w:bCs/>
          <w:sz w:val="32"/>
          <w:szCs w:val="32"/>
        </w:rPr>
        <w:t>2019年1月1日以来同类项目经验情况一览表</w:t>
      </w:r>
      <w:bookmarkEnd w:id="216"/>
      <w:bookmarkEnd w:id="217"/>
      <w:bookmarkEnd w:id="231"/>
      <w:bookmarkEnd w:id="232"/>
      <w:bookmarkEnd w:id="233"/>
    </w:p>
    <w:tbl>
      <w:tblPr>
        <w:tblStyle w:val="19"/>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
        <w:rPr>
          <w:rFonts w:ascii="宋体" w:hAnsi="宋体"/>
          <w:sz w:val="24"/>
        </w:rPr>
      </w:pPr>
    </w:p>
    <w:p>
      <w:pPr>
        <w:pStyle w:val="2"/>
        <w:spacing w:line="360" w:lineRule="auto"/>
        <w:ind w:firstLine="480" w:firstLineChars="200"/>
        <w:outlineLvl w:val="0"/>
        <w:rPr>
          <w:b/>
          <w:bCs/>
          <w:sz w:val="36"/>
          <w:szCs w:val="36"/>
        </w:rPr>
      </w:pPr>
      <w:bookmarkStart w:id="234" w:name="_Toc3109"/>
      <w:bookmarkStart w:id="235" w:name="_Toc16613"/>
      <w:bookmarkStart w:id="236" w:name="_Toc6536"/>
      <w:r>
        <w:rPr>
          <w:rFonts w:hint="eastAsia" w:ascii="宋体" w:hAnsi="宋体"/>
          <w:sz w:val="24"/>
        </w:rPr>
        <w:t>注：2019年至今同类项目的业绩用户名单及证明材料（（需提供合同关键页复印件或中标通知书复印件，并加盖供应商公章）</w:t>
      </w:r>
      <w:bookmarkEnd w:id="234"/>
      <w:bookmarkEnd w:id="235"/>
      <w:bookmarkEnd w:id="236"/>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widowControl/>
        <w:spacing w:line="360" w:lineRule="auto"/>
        <w:jc w:val="left"/>
        <w:rPr>
          <w:rFonts w:ascii="仿宋" w:hAnsi="仿宋" w:eastAsia="仿宋" w:cs="宋体"/>
          <w:b/>
          <w:kern w:val="0"/>
          <w:sz w:val="24"/>
          <w:szCs w:val="32"/>
        </w:rPr>
        <w:sectPr>
          <w:footerReference r:id="rId10" w:type="default"/>
          <w:pgSz w:w="11906" w:h="16838"/>
          <w:pgMar w:top="1440" w:right="1134" w:bottom="1440" w:left="1134" w:header="851" w:footer="992" w:gutter="0"/>
          <w:cols w:space="720" w:num="1"/>
          <w:docGrid w:linePitch="312" w:charSpace="0"/>
        </w:sectPr>
      </w:pPr>
      <w:bookmarkStart w:id="237" w:name="_Toc21435"/>
      <w:bookmarkStart w:id="238" w:name="_Toc23732"/>
      <w:bookmarkStart w:id="239" w:name="_Toc40776119"/>
      <w:bookmarkStart w:id="240" w:name="_Toc40346226"/>
      <w:bookmarkStart w:id="241" w:name="_Toc27180"/>
      <w:bookmarkStart w:id="242" w:name="_Toc40346385"/>
      <w:bookmarkStart w:id="243" w:name="_Toc20164"/>
      <w:bookmarkStart w:id="244" w:name="_Toc17929"/>
      <w:bookmarkStart w:id="245" w:name="_Toc9749"/>
      <w:bookmarkStart w:id="246" w:name="_Toc16505"/>
      <w:bookmarkStart w:id="247" w:name="_Toc24877"/>
      <w:bookmarkStart w:id="248" w:name="_Toc30558"/>
    </w:p>
    <w:bookmarkEnd w:id="237"/>
    <w:bookmarkEnd w:id="238"/>
    <w:bookmarkEnd w:id="239"/>
    <w:bookmarkEnd w:id="240"/>
    <w:bookmarkEnd w:id="241"/>
    <w:bookmarkEnd w:id="242"/>
    <w:bookmarkEnd w:id="243"/>
    <w:bookmarkEnd w:id="244"/>
    <w:bookmarkEnd w:id="245"/>
    <w:bookmarkEnd w:id="246"/>
    <w:bookmarkEnd w:id="247"/>
    <w:bookmarkEnd w:id="248"/>
    <w:p>
      <w:pPr>
        <w:widowControl/>
        <w:spacing w:line="360" w:lineRule="auto"/>
        <w:ind w:firstLine="3213" w:firstLineChars="1000"/>
        <w:outlineLvl w:val="0"/>
        <w:rPr>
          <w:rFonts w:ascii="宋体" w:hAnsi="宋体" w:cs="宋体"/>
          <w:b/>
          <w:bCs/>
          <w:kern w:val="0"/>
          <w:sz w:val="32"/>
          <w:szCs w:val="32"/>
        </w:rPr>
      </w:pPr>
      <w:bookmarkStart w:id="249" w:name="_Toc5499"/>
      <w:bookmarkStart w:id="250" w:name="_Toc15272"/>
      <w:r>
        <w:rPr>
          <w:rFonts w:hint="eastAsia" w:ascii="宋体" w:hAnsi="宋体" w:cs="宋体"/>
          <w:b/>
          <w:bCs/>
          <w:kern w:val="0"/>
          <w:sz w:val="32"/>
          <w:szCs w:val="32"/>
        </w:rPr>
        <w:t>项目投入人员一览表</w:t>
      </w:r>
      <w:bookmarkEnd w:id="249"/>
      <w:bookmarkEnd w:id="250"/>
    </w:p>
    <w:p>
      <w:pPr>
        <w:pStyle w:val="2"/>
        <w:rPr>
          <w:rFonts w:ascii="宋体" w:hAnsi="宋体" w:cs="宋体"/>
          <w:b/>
          <w:bCs/>
          <w:kern w:val="0"/>
          <w:sz w:val="32"/>
          <w:szCs w:val="32"/>
        </w:rPr>
      </w:pPr>
    </w:p>
    <w:p>
      <w:pPr>
        <w:pStyle w:val="8"/>
      </w:pPr>
    </w:p>
    <w:tbl>
      <w:tblPr>
        <w:tblStyle w:val="19"/>
        <w:tblW w:w="8842" w:type="dxa"/>
        <w:tblInd w:w="0" w:type="dxa"/>
        <w:tblLayout w:type="fixed"/>
        <w:tblCellMar>
          <w:top w:w="0" w:type="dxa"/>
          <w:left w:w="108" w:type="dxa"/>
          <w:bottom w:w="0" w:type="dxa"/>
          <w:right w:w="108" w:type="dxa"/>
        </w:tblCellMar>
      </w:tblPr>
      <w:tblGrid>
        <w:gridCol w:w="859"/>
        <w:gridCol w:w="1650"/>
        <w:gridCol w:w="991"/>
        <w:gridCol w:w="605"/>
        <w:gridCol w:w="487"/>
        <w:gridCol w:w="1220"/>
        <w:gridCol w:w="735"/>
        <w:gridCol w:w="945"/>
        <w:gridCol w:w="1350"/>
      </w:tblGrid>
      <w:tr>
        <w:tblPrEx>
          <w:tblCellMar>
            <w:top w:w="0" w:type="dxa"/>
            <w:left w:w="108" w:type="dxa"/>
            <w:bottom w:w="0" w:type="dxa"/>
            <w:right w:w="108" w:type="dxa"/>
          </w:tblCellMar>
        </w:tblPrEx>
        <w:trPr>
          <w:trHeight w:val="451" w:hRule="exact"/>
        </w:trPr>
        <w:tc>
          <w:tcPr>
            <w:tcW w:w="859"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97" w:right="-239"/>
              <w:jc w:val="left"/>
              <w:rPr>
                <w:rFonts w:ascii="Calibri" w:hAnsi="Calibri"/>
                <w:b/>
                <w:bCs/>
                <w:sz w:val="24"/>
              </w:rPr>
            </w:pPr>
          </w:p>
          <w:p>
            <w:pPr>
              <w:spacing w:line="373" w:lineRule="exact"/>
              <w:ind w:left="197" w:right="-239"/>
              <w:jc w:val="left"/>
              <w:rPr>
                <w:rFonts w:ascii="Calibri" w:hAnsi="Calibri"/>
                <w:b/>
                <w:bCs/>
                <w:sz w:val="24"/>
              </w:rPr>
            </w:pPr>
            <w:r>
              <w:rPr>
                <w:rFonts w:ascii="宋体" w:hAnsi="宋体" w:cs="宋体"/>
                <w:b/>
                <w:bCs/>
                <w:color w:val="000000"/>
                <w:sz w:val="24"/>
              </w:rPr>
              <w:t>序号</w:t>
            </w:r>
          </w:p>
        </w:tc>
        <w:tc>
          <w:tcPr>
            <w:tcW w:w="165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10" w:right="-239"/>
              <w:jc w:val="left"/>
              <w:rPr>
                <w:rFonts w:ascii="Calibri" w:hAnsi="Calibri"/>
                <w:b/>
                <w:bCs/>
                <w:sz w:val="24"/>
              </w:rPr>
            </w:pPr>
          </w:p>
          <w:p>
            <w:pPr>
              <w:spacing w:line="373" w:lineRule="exact"/>
              <w:ind w:left="110" w:right="-239"/>
              <w:jc w:val="left"/>
              <w:rPr>
                <w:rFonts w:ascii="Calibri" w:hAnsi="Calibri"/>
                <w:b/>
                <w:bCs/>
                <w:sz w:val="24"/>
              </w:rPr>
            </w:pPr>
            <w:r>
              <w:rPr>
                <w:rFonts w:ascii="宋体" w:hAnsi="宋体" w:cs="宋体"/>
                <w:b/>
                <w:bCs/>
                <w:color w:val="000000"/>
                <w:sz w:val="24"/>
              </w:rPr>
              <w:t>本项目任职</w:t>
            </w:r>
          </w:p>
        </w:tc>
        <w:tc>
          <w:tcPr>
            <w:tcW w:w="991"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86" w:right="-239"/>
              <w:jc w:val="left"/>
              <w:rPr>
                <w:rFonts w:ascii="Calibri" w:hAnsi="Calibri"/>
                <w:b/>
                <w:bCs/>
                <w:sz w:val="24"/>
              </w:rPr>
            </w:pPr>
          </w:p>
          <w:p>
            <w:pPr>
              <w:spacing w:line="373" w:lineRule="exact"/>
              <w:ind w:left="286" w:right="-239"/>
              <w:jc w:val="left"/>
              <w:rPr>
                <w:rFonts w:ascii="Calibri" w:hAnsi="Calibri"/>
                <w:b/>
                <w:bCs/>
                <w:sz w:val="24"/>
              </w:rPr>
            </w:pPr>
            <w:r>
              <w:rPr>
                <w:rFonts w:ascii="宋体" w:hAnsi="宋体" w:cs="宋体"/>
                <w:b/>
                <w:bCs/>
                <w:color w:val="000000"/>
                <w:sz w:val="24"/>
              </w:rPr>
              <w:t>姓名</w:t>
            </w:r>
          </w:p>
        </w:tc>
        <w:tc>
          <w:tcPr>
            <w:tcW w:w="60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94" w:right="-239"/>
              <w:jc w:val="left"/>
              <w:rPr>
                <w:rFonts w:ascii="Calibri" w:hAnsi="Calibri"/>
                <w:b/>
                <w:bCs/>
                <w:sz w:val="24"/>
              </w:rPr>
            </w:pPr>
            <w:r>
              <w:rPr>
                <w:rFonts w:ascii="宋体" w:hAnsi="宋体" w:cs="宋体"/>
                <w:b/>
                <w:bCs/>
                <w:color w:val="000000"/>
                <w:sz w:val="24"/>
              </w:rPr>
              <w:t>职</w:t>
            </w:r>
          </w:p>
          <w:p>
            <w:pPr>
              <w:spacing w:line="442" w:lineRule="exact"/>
              <w:ind w:left="194" w:right="-239"/>
              <w:jc w:val="left"/>
              <w:rPr>
                <w:rFonts w:ascii="Calibri" w:hAnsi="Calibri"/>
                <w:b/>
                <w:bCs/>
                <w:sz w:val="24"/>
              </w:rPr>
            </w:pPr>
            <w:r>
              <w:rPr>
                <w:rFonts w:ascii="宋体" w:hAnsi="宋体" w:cs="宋体"/>
                <w:b/>
                <w:bCs/>
                <w:color w:val="000000"/>
                <w:sz w:val="24"/>
              </w:rPr>
              <w:t>称</w:t>
            </w:r>
          </w:p>
        </w:tc>
        <w:tc>
          <w:tcPr>
            <w:tcW w:w="487"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37" w:right="-239"/>
              <w:jc w:val="left"/>
              <w:rPr>
                <w:rFonts w:ascii="Calibri" w:hAnsi="Calibri"/>
                <w:b/>
                <w:bCs/>
                <w:sz w:val="24"/>
              </w:rPr>
            </w:pPr>
            <w:r>
              <w:rPr>
                <w:rFonts w:ascii="宋体" w:hAnsi="宋体" w:cs="宋体"/>
                <w:b/>
                <w:bCs/>
                <w:color w:val="000000"/>
                <w:sz w:val="24"/>
              </w:rPr>
              <w:t>专</w:t>
            </w:r>
          </w:p>
          <w:p>
            <w:pPr>
              <w:spacing w:line="442" w:lineRule="exact"/>
              <w:ind w:left="137" w:right="-239"/>
              <w:jc w:val="left"/>
              <w:rPr>
                <w:rFonts w:ascii="Calibri" w:hAnsi="Calibri"/>
                <w:b/>
                <w:bCs/>
                <w:sz w:val="24"/>
              </w:rPr>
            </w:pPr>
            <w:r>
              <w:rPr>
                <w:rFonts w:ascii="宋体" w:hAnsi="宋体" w:cs="宋体"/>
                <w:b/>
                <w:bCs/>
                <w:color w:val="000000"/>
                <w:sz w:val="24"/>
              </w:rPr>
              <w:t>业</w:t>
            </w:r>
          </w:p>
        </w:tc>
        <w:tc>
          <w:tcPr>
            <w:tcW w:w="2900"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410" w:right="-239"/>
              <w:jc w:val="left"/>
              <w:rPr>
                <w:rFonts w:ascii="Calibri" w:hAnsi="Calibri"/>
                <w:b/>
                <w:bCs/>
                <w:sz w:val="24"/>
              </w:rPr>
            </w:pPr>
            <w:r>
              <w:rPr>
                <w:rFonts w:ascii="宋体" w:hAnsi="宋体" w:cs="宋体"/>
                <w:b/>
                <w:bCs/>
                <w:color w:val="000000"/>
                <w:sz w:val="24"/>
              </w:rPr>
              <w:t>执业或职业资格证明</w:t>
            </w:r>
          </w:p>
        </w:tc>
        <w:tc>
          <w:tcPr>
            <w:tcW w:w="1350"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pPr>
              <w:widowControl/>
              <w:jc w:val="left"/>
            </w:pPr>
            <w:r>
              <w:rPr>
                <w:rFonts w:hint="eastAsia" w:ascii="宋体" w:hAnsi="宋体" w:cs="宋体"/>
                <w:b/>
                <w:bCs/>
                <w:color w:val="000000"/>
                <w:kern w:val="0"/>
                <w:szCs w:val="21"/>
                <w:lang w:bidi="ar"/>
              </w:rPr>
              <w:t xml:space="preserve">资料所在页码 </w:t>
            </w:r>
          </w:p>
          <w:p>
            <w:pPr>
              <w:widowControl/>
              <w:jc w:val="left"/>
              <w:rPr>
                <w:rFonts w:ascii="Calibri" w:hAnsi="Calibri"/>
                <w:b/>
                <w:bCs/>
                <w:sz w:val="24"/>
              </w:rPr>
            </w:pPr>
            <w:r>
              <w:rPr>
                <w:rFonts w:hint="eastAsia" w:ascii="宋体" w:hAnsi="宋体" w:cs="宋体"/>
                <w:b/>
                <w:bCs/>
                <w:color w:val="000000"/>
                <w:kern w:val="0"/>
                <w:szCs w:val="21"/>
                <w:lang w:bidi="ar"/>
              </w:rPr>
              <w:t>范围（必填项）</w:t>
            </w:r>
          </w:p>
        </w:tc>
      </w:tr>
      <w:tr>
        <w:tblPrEx>
          <w:tblCellMar>
            <w:top w:w="0" w:type="dxa"/>
            <w:left w:w="108" w:type="dxa"/>
            <w:bottom w:w="0" w:type="dxa"/>
            <w:right w:w="108" w:type="dxa"/>
          </w:tblCellMar>
        </w:tblPrEx>
        <w:trPr>
          <w:trHeight w:val="449" w:hRule="exact"/>
        </w:trPr>
        <w:tc>
          <w:tcPr>
            <w:tcW w:w="859"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165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991"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60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487"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6" w:right="-239"/>
              <w:jc w:val="left"/>
              <w:rPr>
                <w:rFonts w:ascii="Calibri" w:hAnsi="Calibri"/>
                <w:b/>
                <w:bCs/>
                <w:sz w:val="24"/>
              </w:rPr>
            </w:pPr>
            <w:r>
              <w:rPr>
                <w:rFonts w:ascii="宋体" w:hAnsi="宋体" w:cs="宋体"/>
                <w:b/>
                <w:bCs/>
                <w:color w:val="000000"/>
                <w:sz w:val="24"/>
              </w:rPr>
              <w:t>证书名称</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4" w:right="-239"/>
              <w:jc w:val="left"/>
              <w:rPr>
                <w:rFonts w:ascii="Calibri" w:hAnsi="Calibri"/>
                <w:b/>
                <w:bCs/>
                <w:sz w:val="24"/>
              </w:rPr>
            </w:pPr>
            <w:r>
              <w:rPr>
                <w:rFonts w:ascii="宋体" w:hAnsi="宋体" w:cs="宋体"/>
                <w:b/>
                <w:bCs/>
                <w:color w:val="000000"/>
                <w:sz w:val="24"/>
              </w:rPr>
              <w:t>级别</w:t>
            </w: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226" w:right="-239"/>
              <w:jc w:val="left"/>
              <w:rPr>
                <w:rFonts w:ascii="Calibri" w:hAnsi="Calibri"/>
                <w:b/>
                <w:bCs/>
                <w:sz w:val="24"/>
              </w:rPr>
            </w:pPr>
            <w:r>
              <w:rPr>
                <w:rFonts w:ascii="宋体" w:hAnsi="宋体" w:cs="宋体"/>
                <w:b/>
                <w:bCs/>
                <w:color w:val="000000"/>
                <w:sz w:val="24"/>
              </w:rPr>
              <w:t>证号</w:t>
            </w:r>
          </w:p>
        </w:tc>
        <w:tc>
          <w:tcPr>
            <w:tcW w:w="1350"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r>
      <w:tr>
        <w:tblPrEx>
          <w:tblCellMar>
            <w:top w:w="0" w:type="dxa"/>
            <w:left w:w="108" w:type="dxa"/>
            <w:bottom w:w="0" w:type="dxa"/>
            <w:right w:w="108" w:type="dxa"/>
          </w:tblCellMar>
        </w:tblPrEx>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52"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bl>
    <w:p>
      <w:pPr>
        <w:pStyle w:val="6"/>
        <w:ind w:firstLine="0"/>
        <w:rPr>
          <w:b/>
          <w:sz w:val="24"/>
        </w:rPr>
      </w:pPr>
    </w:p>
    <w:p>
      <w:pPr>
        <w:widowControl/>
        <w:jc w:val="left"/>
        <w:rPr>
          <w:bCs/>
          <w:sz w:val="24"/>
        </w:rPr>
      </w:pPr>
      <w:r>
        <w:rPr>
          <w:rFonts w:hint="eastAsia"/>
          <w:bCs/>
          <w:sz w:val="24"/>
        </w:rPr>
        <w:t>注：</w:t>
      </w:r>
    </w:p>
    <w:p>
      <w:pPr>
        <w:widowControl/>
        <w:jc w:val="left"/>
        <w:rPr>
          <w:bCs/>
          <w:sz w:val="24"/>
        </w:rPr>
      </w:pPr>
      <w:r>
        <w:rPr>
          <w:rFonts w:hint="eastAsia"/>
          <w:bCs/>
          <w:sz w:val="24"/>
        </w:rPr>
        <w:t xml:space="preserve">1.供应商须提供投入人员职称复印件，并加盖供应商公章； </w:t>
      </w:r>
    </w:p>
    <w:p>
      <w:pPr>
        <w:widowControl/>
        <w:jc w:val="left"/>
        <w:rPr>
          <w:bCs/>
          <w:sz w:val="24"/>
          <w:highlight w:val="yellow"/>
        </w:rPr>
      </w:pPr>
      <w:r>
        <w:rPr>
          <w:rFonts w:hint="eastAsia"/>
          <w:bCs/>
          <w:sz w:val="24"/>
        </w:rPr>
        <w:t>2.提供劳动合同复印件或本项目报名截止日之前六个月内任意一个月的投标单位代缴的投保单或社会保险参保人员缴费证明。</w:t>
      </w:r>
    </w:p>
    <w:p>
      <w:pPr>
        <w:widowControl/>
        <w:jc w:val="left"/>
        <w:rPr>
          <w:bCs/>
          <w:sz w:val="24"/>
        </w:rPr>
      </w:pPr>
      <w:r>
        <w:rPr>
          <w:rFonts w:hint="eastAsia"/>
          <w:bCs/>
          <w:sz w:val="24"/>
        </w:rPr>
        <w:t>3. 供应商未按上表和要求填写的，视为无效材料。</w:t>
      </w:r>
    </w:p>
    <w:p>
      <w:pPr>
        <w:widowControl/>
        <w:jc w:val="left"/>
        <w:rPr>
          <w:b/>
          <w:sz w:val="24"/>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ind w:firstLine="4480" w:firstLineChars="1600"/>
        <w:jc w:val="left"/>
        <w:rPr>
          <w:rFonts w:ascii="宋体" w:hAnsi="宋体" w:cs="宋体"/>
          <w:color w:val="000000"/>
          <w:kern w:val="0"/>
          <w:sz w:val="24"/>
          <w:lang w:bidi="ar"/>
        </w:rPr>
      </w:pPr>
      <w:r>
        <w:rPr>
          <w:rFonts w:hint="eastAsia"/>
          <w:color w:val="0000FF"/>
          <w:sz w:val="28"/>
          <w:szCs w:val="28"/>
        </w:rPr>
        <w:t xml:space="preserve"> </w:t>
      </w:r>
      <w:r>
        <w:rPr>
          <w:rFonts w:hint="eastAsia" w:ascii="宋体" w:hAnsi="宋体" w:cs="宋体"/>
          <w:color w:val="000000"/>
          <w:kern w:val="0"/>
          <w:sz w:val="24"/>
          <w:lang w:bidi="ar"/>
        </w:rPr>
        <w:t xml:space="preserve"> 供应商公司名称（签章）：</w:t>
      </w:r>
    </w:p>
    <w:p>
      <w:pPr>
        <w:widowControl/>
        <w:jc w:val="left"/>
        <w:rPr>
          <w:rFonts w:ascii="宋体" w:hAnsi="宋体" w:cs="宋体"/>
          <w:color w:val="000000"/>
          <w:kern w:val="0"/>
          <w:sz w:val="24"/>
          <w:lang w:bidi="ar"/>
        </w:rPr>
      </w:pPr>
    </w:p>
    <w:p>
      <w:pPr>
        <w:widowControl/>
        <w:ind w:firstLine="1920" w:firstLineChars="800"/>
        <w:jc w:val="left"/>
        <w:rPr>
          <w:rFonts w:ascii="宋体" w:hAnsi="宋体" w:cs="宋体"/>
          <w:color w:val="000000"/>
          <w:kern w:val="0"/>
          <w:sz w:val="24"/>
          <w:lang w:bidi="ar"/>
        </w:rPr>
      </w:pPr>
      <w:r>
        <w:rPr>
          <w:rFonts w:hint="eastAsia" w:ascii="宋体" w:hAnsi="宋体" w:cs="宋体"/>
          <w:color w:val="000000"/>
          <w:kern w:val="0"/>
          <w:sz w:val="24"/>
          <w:lang w:bidi="ar"/>
        </w:rPr>
        <w:t xml:space="preserve">供应商法定代表人/负责人（或授权人）签字或签章： </w:t>
      </w:r>
    </w:p>
    <w:p>
      <w:pPr>
        <w:widowControl/>
        <w:ind w:firstLine="3840" w:firstLineChars="1600"/>
        <w:jc w:val="left"/>
        <w:rPr>
          <w:rFonts w:ascii="宋体" w:hAnsi="宋体" w:cs="宋体"/>
          <w:color w:val="000000"/>
          <w:kern w:val="0"/>
          <w:sz w:val="24"/>
          <w:lang w:bidi="ar"/>
        </w:rPr>
      </w:pPr>
      <w:r>
        <w:rPr>
          <w:rFonts w:hint="eastAsia" w:ascii="宋体" w:hAnsi="宋体" w:cs="宋体"/>
          <w:color w:val="000000"/>
          <w:kern w:val="0"/>
          <w:sz w:val="24"/>
          <w:lang w:bidi="ar"/>
        </w:rPr>
        <w:t xml:space="preserve"> </w:t>
      </w:r>
    </w:p>
    <w:p>
      <w:pPr>
        <w:widowControl/>
        <w:ind w:firstLine="3840" w:firstLineChars="1600"/>
        <w:jc w:val="left"/>
        <w:rPr>
          <w:rFonts w:ascii="宋体" w:hAnsi="宋体" w:cs="宋体"/>
          <w:color w:val="000000"/>
          <w:kern w:val="0"/>
          <w:sz w:val="24"/>
          <w:lang w:bidi="ar"/>
        </w:rPr>
      </w:pPr>
      <w:r>
        <w:rPr>
          <w:rFonts w:hint="eastAsia" w:ascii="宋体" w:hAnsi="宋体" w:cs="宋体"/>
          <w:color w:val="000000"/>
          <w:kern w:val="0"/>
          <w:sz w:val="24"/>
          <w:lang w:bidi="ar"/>
        </w:rPr>
        <w:t xml:space="preserve">                        日 期： 年  月   日</w:t>
      </w:r>
    </w:p>
    <w:p>
      <w:pPr>
        <w:widowControl/>
        <w:spacing w:line="500" w:lineRule="atLeast"/>
        <w:jc w:val="righ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宋体" w:hAnsi="宋体"/>
          <w:b/>
          <w:spacing w:val="4"/>
          <w:kern w:val="0"/>
          <w:szCs w:val="21"/>
        </w:rPr>
      </w:pPr>
      <w:r>
        <w:rPr>
          <w:rFonts w:hint="eastAsia" w:ascii="仿宋" w:hAnsi="仿宋" w:eastAsia="仿宋" w:cs="宋体"/>
          <w:b/>
          <w:kern w:val="0"/>
          <w:sz w:val="24"/>
          <w:szCs w:val="32"/>
        </w:rPr>
        <w:t>公平竞争承诺书模板</w:t>
      </w:r>
    </w:p>
    <w:p>
      <w:pPr>
        <w:jc w:val="center"/>
        <w:rPr>
          <w:b/>
          <w:sz w:val="32"/>
          <w:szCs w:val="32"/>
        </w:rPr>
      </w:pPr>
    </w:p>
    <w:p>
      <w:pPr>
        <w:pStyle w:val="29"/>
        <w:spacing w:line="360" w:lineRule="auto"/>
        <w:jc w:val="center"/>
        <w:outlineLvl w:val="0"/>
        <w:rPr>
          <w:b/>
          <w:bCs/>
          <w:sz w:val="32"/>
          <w:szCs w:val="32"/>
        </w:rPr>
      </w:pPr>
      <w:bookmarkStart w:id="251" w:name="_Toc14321"/>
      <w:bookmarkStart w:id="252" w:name="_Toc19803"/>
      <w:bookmarkStart w:id="253" w:name="_Toc31988"/>
      <w:bookmarkStart w:id="254" w:name="_Toc16816"/>
      <w:bookmarkStart w:id="255" w:name="_Toc17932"/>
      <w:bookmarkStart w:id="256" w:name="_Toc1521"/>
      <w:bookmarkStart w:id="257" w:name="_Toc5396"/>
      <w:bookmarkStart w:id="258" w:name="_Toc14093"/>
      <w:bookmarkStart w:id="259" w:name="_Toc24705"/>
      <w:bookmarkStart w:id="260" w:name="_Toc2196"/>
      <w:bookmarkStart w:id="261" w:name="_Toc25012"/>
      <w:bookmarkStart w:id="262" w:name="_Toc27834"/>
      <w:r>
        <w:rPr>
          <w:rFonts w:hint="eastAsia"/>
          <w:b/>
          <w:bCs/>
          <w:sz w:val="32"/>
          <w:szCs w:val="32"/>
        </w:rPr>
        <w:t>公平竞争承诺书</w:t>
      </w:r>
      <w:bookmarkEnd w:id="251"/>
      <w:bookmarkEnd w:id="252"/>
      <w:bookmarkEnd w:id="253"/>
      <w:bookmarkEnd w:id="254"/>
      <w:bookmarkEnd w:id="255"/>
      <w:bookmarkEnd w:id="256"/>
      <w:bookmarkEnd w:id="257"/>
      <w:bookmarkEnd w:id="258"/>
      <w:bookmarkEnd w:id="259"/>
      <w:bookmarkEnd w:id="260"/>
      <w:bookmarkEnd w:id="261"/>
      <w:bookmarkEnd w:id="262"/>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本公司郑重承诺：本公司保证所提交的相关资质文件和证明材料的真实性，有良好的历史诚信记录，并将依法参与</w:t>
      </w:r>
      <w:r>
        <w:rPr>
          <w:sz w:val="28"/>
          <w:szCs w:val="28"/>
          <w:u w:val="single"/>
        </w:rPr>
        <w:t xml:space="preserve"> </w:t>
      </w:r>
      <w:r>
        <w:rPr>
          <w:rFonts w:hint="eastAsia"/>
          <w:sz w:val="28"/>
          <w:szCs w:val="28"/>
          <w:u w:val="single"/>
        </w:rPr>
        <w:t xml:space="preserve">      </w:t>
      </w:r>
      <w:r>
        <w:rPr>
          <w:sz w:val="28"/>
          <w:szCs w:val="28"/>
          <w:u w:val="single"/>
        </w:rPr>
        <w:t>项目名称</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项目编号           </w:t>
      </w:r>
      <w:r>
        <w:rPr>
          <w:sz w:val="28"/>
          <w:szCs w:val="28"/>
        </w:rPr>
        <w:t xml:space="preserve">的公平竞争，不以任何不正当行为谋取不当利益，否则承担相应的法律责任。  </w:t>
      </w:r>
    </w:p>
    <w:p>
      <w:pPr>
        <w:rPr>
          <w:b/>
          <w:sz w:val="24"/>
        </w:rPr>
      </w:pPr>
    </w:p>
    <w:p>
      <w:pPr>
        <w:rPr>
          <w:b/>
          <w:sz w:val="24"/>
        </w:rPr>
      </w:pPr>
    </w:p>
    <w:p>
      <w:pPr>
        <w:rPr>
          <w:b/>
          <w:sz w:val="24"/>
        </w:rPr>
      </w:pPr>
    </w:p>
    <w:p>
      <w:pPr>
        <w:rPr>
          <w:b/>
          <w:sz w:val="24"/>
        </w:rPr>
      </w:pPr>
    </w:p>
    <w:p>
      <w:pPr>
        <w:rPr>
          <w:b/>
          <w:sz w:val="24"/>
        </w:rPr>
      </w:pPr>
    </w:p>
    <w:p>
      <w:pPr>
        <w:spacing w:line="360" w:lineRule="auto"/>
        <w:ind w:firstLine="482" w:firstLineChars="200"/>
        <w:rPr>
          <w:sz w:val="28"/>
          <w:szCs w:val="28"/>
        </w:rPr>
      </w:pPr>
      <w:r>
        <w:rPr>
          <w:b/>
          <w:sz w:val="24"/>
        </w:rPr>
        <w:t xml:space="preserve">                                                 </w:t>
      </w:r>
      <w:r>
        <w:rPr>
          <w:sz w:val="28"/>
          <w:szCs w:val="28"/>
        </w:rPr>
        <w:t xml:space="preserve"> （公司名称，加盖公章）</w:t>
      </w:r>
    </w:p>
    <w:p>
      <w:pPr>
        <w:spacing w:line="360" w:lineRule="auto"/>
        <w:ind w:firstLine="6720" w:firstLineChars="2400"/>
        <w:rPr>
          <w:sz w:val="28"/>
          <w:szCs w:val="28"/>
        </w:rPr>
      </w:pPr>
      <w:r>
        <w:rPr>
          <w:rFonts w:hint="eastAsia"/>
          <w:sz w:val="28"/>
          <w:szCs w:val="28"/>
        </w:rPr>
        <w:t>日期</w:t>
      </w:r>
      <w:r>
        <w:rPr>
          <w:sz w:val="28"/>
          <w:szCs w:val="28"/>
        </w:rPr>
        <w:t>：  年    月   日</w:t>
      </w: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r>
        <w:rPr>
          <w:rFonts w:hint="eastAsia" w:ascii="仿宋" w:hAnsi="仿宋" w:eastAsia="仿宋" w:cs="宋体"/>
          <w:b/>
          <w:kern w:val="0"/>
          <w:sz w:val="24"/>
          <w:szCs w:val="32"/>
        </w:rPr>
        <w:t>关于资格和响应文件的声明函模板</w:t>
      </w:r>
    </w:p>
    <w:p>
      <w:pPr>
        <w:pStyle w:val="29"/>
        <w:spacing w:line="360" w:lineRule="auto"/>
        <w:jc w:val="center"/>
        <w:outlineLvl w:val="0"/>
        <w:rPr>
          <w:b/>
          <w:bCs/>
          <w:sz w:val="32"/>
          <w:szCs w:val="32"/>
        </w:rPr>
      </w:pPr>
      <w:bookmarkStart w:id="263" w:name="_Toc9813"/>
      <w:bookmarkStart w:id="264" w:name="_Toc12567"/>
      <w:bookmarkStart w:id="265" w:name="_Toc22349"/>
      <w:bookmarkStart w:id="266" w:name="_Toc12986"/>
      <w:bookmarkStart w:id="267" w:name="_Toc29986"/>
      <w:bookmarkStart w:id="268" w:name="_Toc5237"/>
      <w:bookmarkStart w:id="269" w:name="_Toc9333"/>
      <w:bookmarkStart w:id="270" w:name="_Toc4538"/>
      <w:bookmarkStart w:id="271" w:name="_Toc6773"/>
      <w:bookmarkStart w:id="272" w:name="_Toc9308"/>
      <w:bookmarkStart w:id="273" w:name="_Toc9085"/>
      <w:bookmarkStart w:id="274" w:name="_Toc20949"/>
      <w:r>
        <w:rPr>
          <w:rFonts w:hint="eastAsia"/>
          <w:b/>
          <w:bCs/>
          <w:sz w:val="32"/>
          <w:szCs w:val="32"/>
        </w:rPr>
        <w:t>关于资格和响应文件的声明函</w:t>
      </w:r>
      <w:bookmarkEnd w:id="263"/>
      <w:bookmarkEnd w:id="264"/>
      <w:bookmarkEnd w:id="265"/>
      <w:bookmarkEnd w:id="266"/>
      <w:bookmarkEnd w:id="267"/>
      <w:bookmarkEnd w:id="268"/>
      <w:bookmarkEnd w:id="269"/>
      <w:bookmarkEnd w:id="270"/>
      <w:bookmarkEnd w:id="271"/>
      <w:bookmarkEnd w:id="272"/>
      <w:bookmarkEnd w:id="273"/>
      <w:bookmarkEnd w:id="274"/>
    </w:p>
    <w:p>
      <w:pPr>
        <w:spacing w:line="276" w:lineRule="auto"/>
        <w:rPr>
          <w:rFonts w:ascii="宋体" w:hAnsi="宋体"/>
          <w:sz w:val="24"/>
        </w:rPr>
      </w:pPr>
      <w:r>
        <w:rPr>
          <w:rFonts w:hint="eastAsia" w:ascii="宋体" w:hAnsi="宋体"/>
          <w:sz w:val="24"/>
        </w:rPr>
        <w:t>致：南方医科大学第五附属医院</w:t>
      </w:r>
    </w:p>
    <w:p>
      <w:pPr>
        <w:spacing w:line="276" w:lineRule="auto"/>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及服务，并证明提交的下列文件和说明是准确的和真实的，并作出如下声明：</w:t>
      </w:r>
    </w:p>
    <w:p>
      <w:pPr>
        <w:spacing w:line="276" w:lineRule="auto"/>
        <w:rPr>
          <w:rFonts w:ascii="宋体" w:hAnsi="宋体"/>
          <w:sz w:val="24"/>
        </w:rPr>
      </w:pPr>
      <w:r>
        <w:rPr>
          <w:rFonts w:hint="eastAsia" w:ascii="宋体" w:hAnsi="宋体"/>
          <w:sz w:val="24"/>
        </w:rPr>
        <w:t>1.我方具有独立承担民事责任的能力；</w:t>
      </w:r>
    </w:p>
    <w:p>
      <w:pPr>
        <w:spacing w:line="276" w:lineRule="auto"/>
        <w:rPr>
          <w:rFonts w:ascii="宋体" w:hAnsi="宋体"/>
          <w:sz w:val="24"/>
        </w:rPr>
      </w:pPr>
      <w:r>
        <w:rPr>
          <w:rFonts w:hint="eastAsia" w:ascii="宋体" w:hAnsi="宋体"/>
          <w:sz w:val="24"/>
        </w:rPr>
        <w:t>2.我方具有良好的商业信誉和健全的财务会计制度；</w:t>
      </w:r>
    </w:p>
    <w:p>
      <w:pPr>
        <w:spacing w:line="276" w:lineRule="auto"/>
        <w:rPr>
          <w:rFonts w:ascii="宋体" w:hAnsi="宋体"/>
          <w:sz w:val="24"/>
        </w:rPr>
      </w:pPr>
      <w:r>
        <w:rPr>
          <w:rFonts w:hint="eastAsia" w:ascii="宋体" w:hAnsi="宋体"/>
          <w:sz w:val="24"/>
        </w:rPr>
        <w:t>3.我方有依法缴纳税收和社会保障资金的良好记录；</w:t>
      </w:r>
    </w:p>
    <w:p>
      <w:pPr>
        <w:spacing w:line="276" w:lineRule="auto"/>
        <w:rPr>
          <w:rFonts w:ascii="宋体" w:hAnsi="宋体"/>
          <w:sz w:val="24"/>
        </w:rPr>
      </w:pPr>
      <w:r>
        <w:rPr>
          <w:rFonts w:hint="eastAsia" w:ascii="宋体" w:hAnsi="宋体"/>
          <w:sz w:val="24"/>
        </w:rPr>
        <w:t>4.我方具有履行合同所必需的设备和专业技术能力；</w:t>
      </w:r>
    </w:p>
    <w:p>
      <w:pPr>
        <w:spacing w:line="276" w:lineRule="auto"/>
        <w:rPr>
          <w:rFonts w:ascii="宋体" w:hAnsi="宋体"/>
          <w:sz w:val="24"/>
        </w:rPr>
      </w:pPr>
      <w:r>
        <w:rPr>
          <w:rFonts w:hint="eastAsia" w:ascii="宋体" w:hAnsi="宋体"/>
          <w:sz w:val="24"/>
        </w:rPr>
        <w:t>5.我方在参加政府采购活动前3年内在经营活动中没有重大违法、违规、违纪、违约记录；</w:t>
      </w:r>
    </w:p>
    <w:p>
      <w:pPr>
        <w:spacing w:line="276" w:lineRule="auto"/>
        <w:rPr>
          <w:rFonts w:ascii="宋体" w:hAnsi="宋体"/>
          <w:sz w:val="24"/>
        </w:rPr>
      </w:pPr>
      <w:r>
        <w:rPr>
          <w:rFonts w:hint="eastAsia" w:ascii="宋体" w:hAnsi="宋体"/>
          <w:sz w:val="24"/>
        </w:rPr>
        <w:t>6.我方不存在以下情况：法定代表人或单位负责人为同一人或者存在直接控股、管理关系的不同供应商，不得同时参加本采购项目的院内采购活动。</w:t>
      </w:r>
    </w:p>
    <w:p>
      <w:pPr>
        <w:spacing w:line="276" w:lineRule="auto"/>
        <w:rPr>
          <w:rFonts w:ascii="宋体" w:hAnsi="宋体"/>
          <w:sz w:val="24"/>
        </w:rPr>
      </w:pPr>
      <w:r>
        <w:rPr>
          <w:rFonts w:hint="eastAsia" w:ascii="宋体" w:hAnsi="宋体"/>
          <w:sz w:val="24"/>
        </w:rPr>
        <w:t>7.我方不存在以下情况：以联合体形式参加本项目院内采购活动。</w:t>
      </w:r>
    </w:p>
    <w:p>
      <w:pPr>
        <w:spacing w:line="276" w:lineRule="auto"/>
        <w:rPr>
          <w:rFonts w:ascii="宋体" w:hAnsi="宋体"/>
          <w:sz w:val="24"/>
        </w:rPr>
      </w:pPr>
      <w:r>
        <w:rPr>
          <w:rFonts w:hint="eastAsia" w:ascii="宋体" w:hAnsi="宋体"/>
          <w:sz w:val="24"/>
        </w:rPr>
        <w:t>8.我方不存在转包、分包情况。</w:t>
      </w:r>
    </w:p>
    <w:p>
      <w:pPr>
        <w:spacing w:line="276" w:lineRule="auto"/>
        <w:rPr>
          <w:rFonts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pPr>
        <w:spacing w:line="276" w:lineRule="auto"/>
        <w:rPr>
          <w:rFonts w:ascii="宋体" w:hAnsi="宋体"/>
          <w:sz w:val="24"/>
        </w:rPr>
      </w:pPr>
      <w:r>
        <w:rPr>
          <w:rFonts w:hint="eastAsia" w:ascii="宋体" w:hAnsi="宋体"/>
          <w:sz w:val="24"/>
        </w:rPr>
        <w:t>如有违法、违规、弄虚作假行为，所造成的损失、不良后果及法律责任，一律由我方承担。</w:t>
      </w:r>
    </w:p>
    <w:p>
      <w:pPr>
        <w:spacing w:line="276" w:lineRule="auto"/>
        <w:rPr>
          <w:rFonts w:ascii="宋体" w:hAnsi="宋体"/>
          <w:sz w:val="24"/>
        </w:rPr>
      </w:pPr>
      <w:r>
        <w:rPr>
          <w:rFonts w:hint="eastAsia" w:ascii="宋体" w:hAnsi="宋体"/>
          <w:sz w:val="24"/>
        </w:rPr>
        <w:t>特此声明！</w:t>
      </w:r>
    </w:p>
    <w:p>
      <w:pPr>
        <w:spacing w:line="276" w:lineRule="auto"/>
        <w:rPr>
          <w:rFonts w:ascii="宋体" w:hAnsi="宋体"/>
          <w:sz w:val="24"/>
        </w:rPr>
      </w:pPr>
    </w:p>
    <w:p>
      <w:pPr>
        <w:spacing w:line="360" w:lineRule="auto"/>
        <w:rPr>
          <w:rFonts w:ascii="宋体" w:hAnsi="宋体"/>
          <w:sz w:val="24"/>
        </w:rPr>
      </w:pPr>
    </w:p>
    <w:p>
      <w:pPr>
        <w:spacing w:line="360" w:lineRule="auto"/>
        <w:jc w:val="left"/>
        <w:rPr>
          <w:rFonts w:ascii="宋体" w:hAnsi="宋体"/>
          <w:sz w:val="24"/>
        </w:rPr>
      </w:pPr>
      <w:r>
        <w:rPr>
          <w:rFonts w:hint="eastAsia" w:ascii="宋体" w:hAnsi="宋体"/>
          <w:sz w:val="24"/>
        </w:rPr>
        <w:t>供应商名称（盖章）：</w:t>
      </w:r>
    </w:p>
    <w:p>
      <w:pPr>
        <w:pStyle w:val="2"/>
        <w:jc w:val="left"/>
      </w:pPr>
    </w:p>
    <w:p>
      <w:pPr>
        <w:spacing w:line="360" w:lineRule="auto"/>
        <w:jc w:val="left"/>
        <w:rPr>
          <w:rFonts w:ascii="宋体" w:hAnsi="宋体"/>
          <w:sz w:val="24"/>
        </w:rPr>
      </w:pPr>
      <w:r>
        <w:rPr>
          <w:rFonts w:hint="eastAsia" w:ascii="宋体" w:hAnsi="宋体"/>
          <w:sz w:val="24"/>
        </w:rPr>
        <w:t>供应商法定代表人（或法定代表人授权代表）（签字或盖章）：</w:t>
      </w:r>
    </w:p>
    <w:p>
      <w:pPr>
        <w:pStyle w:val="2"/>
        <w:jc w:val="left"/>
      </w:pPr>
    </w:p>
    <w:p>
      <w:pPr>
        <w:spacing w:line="360" w:lineRule="auto"/>
        <w:jc w:val="left"/>
        <w:rPr>
          <w:rFonts w:ascii="宋体" w:hAnsi="宋体"/>
          <w:sz w:val="24"/>
        </w:rPr>
      </w:pPr>
      <w:r>
        <w:rPr>
          <w:rFonts w:hint="eastAsia" w:ascii="宋体" w:hAnsi="宋体"/>
          <w:sz w:val="24"/>
        </w:rPr>
        <w:t>日期：　　年　  月　  日</w:t>
      </w:r>
    </w:p>
    <w:p>
      <w:pPr>
        <w:pStyle w:val="2"/>
        <w:jc w:val="left"/>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pPr>
    </w:p>
    <w:p>
      <w:pPr>
        <w:pStyle w:val="4"/>
        <w:numPr>
          <w:ilvl w:val="0"/>
          <w:numId w:val="6"/>
        </w:numPr>
        <w:jc w:val="center"/>
        <w:rPr>
          <w:rFonts w:ascii="宋体" w:hAnsi="宋体" w:eastAsia="宋体"/>
          <w:sz w:val="40"/>
        </w:rPr>
      </w:pPr>
      <w:r>
        <w:rPr>
          <w:rFonts w:hint="eastAsia" w:ascii="宋体" w:hAnsi="宋体" w:eastAsia="宋体"/>
          <w:sz w:val="40"/>
        </w:rPr>
        <w:t xml:space="preserve"> </w:t>
      </w:r>
      <w:bookmarkStart w:id="275" w:name="_Toc26773"/>
      <w:bookmarkStart w:id="276" w:name="_Toc17933"/>
      <w:r>
        <w:rPr>
          <w:rFonts w:hint="eastAsia" w:ascii="宋体" w:hAnsi="宋体" w:eastAsia="宋体"/>
          <w:sz w:val="40"/>
        </w:rPr>
        <w:t>合同模板</w:t>
      </w:r>
      <w:bookmarkEnd w:id="275"/>
      <w:bookmarkEnd w:id="276"/>
    </w:p>
    <w:p/>
    <w:p>
      <w:pPr>
        <w:pStyle w:val="2"/>
      </w:pPr>
    </w:p>
    <w:p>
      <w:pPr>
        <w:pStyle w:val="2"/>
      </w:pPr>
    </w:p>
    <w:p>
      <w:pPr>
        <w:pStyle w:val="2"/>
      </w:pPr>
    </w:p>
    <w:p>
      <w:pPr>
        <w:pStyle w:val="2"/>
      </w:pPr>
    </w:p>
    <w:p>
      <w:pPr>
        <w:pStyle w:val="2"/>
      </w:pPr>
    </w:p>
    <w:p>
      <w:pPr>
        <w:pStyle w:val="26"/>
        <w:spacing w:line="288" w:lineRule="auto"/>
        <w:rPr>
          <w:rFonts w:ascii="宋体" w:hAnsi="宋体" w:cs="宋体"/>
          <w:szCs w:val="21"/>
        </w:rPr>
      </w:pPr>
    </w:p>
    <w:p>
      <w:pPr>
        <w:rPr>
          <w:rFonts w:hAnsi="宋体" w:cs="宋体"/>
        </w:rPr>
      </w:pPr>
    </w:p>
    <w:p>
      <w:pPr>
        <w:pStyle w:val="17"/>
        <w:ind w:left="0" w:leftChars="0"/>
      </w:pPr>
    </w:p>
    <w:p>
      <w:pPr>
        <w:pStyle w:val="17"/>
        <w:ind w:left="0" w:leftChars="0"/>
      </w:pPr>
    </w:p>
    <w:p>
      <w:pPr>
        <w:pStyle w:val="17"/>
        <w:ind w:left="0" w:leftChars="0"/>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pStyle w:val="2"/>
        <w:rPr>
          <w:rFonts w:ascii="黑体" w:hAnsi="黑体" w:eastAsia="黑体" w:cs="黑体"/>
          <w:b/>
          <w:bCs/>
          <w:sz w:val="28"/>
          <w:szCs w:val="28"/>
        </w:rPr>
      </w:pPr>
    </w:p>
    <w:p>
      <w:pPr>
        <w:pStyle w:val="2"/>
        <w:rPr>
          <w:rFonts w:ascii="黑体" w:hAnsi="黑体" w:eastAsia="黑体" w:cs="黑体"/>
          <w:b/>
          <w:bCs/>
          <w:sz w:val="28"/>
          <w:szCs w:val="28"/>
        </w:rPr>
      </w:pPr>
    </w:p>
    <w:p>
      <w:pPr>
        <w:pStyle w:val="2"/>
        <w:rPr>
          <w:rFonts w:ascii="黑体" w:hAnsi="黑体" w:eastAsia="黑体" w:cs="黑体"/>
          <w:b/>
          <w:bCs/>
          <w:sz w:val="28"/>
          <w:szCs w:val="28"/>
        </w:rPr>
      </w:pPr>
    </w:p>
    <w:p>
      <w:pPr>
        <w:pStyle w:val="2"/>
        <w:rPr>
          <w:rFonts w:ascii="黑体" w:hAnsi="黑体" w:eastAsia="黑体" w:cs="黑体"/>
          <w:b/>
          <w:bCs/>
          <w:sz w:val="28"/>
          <w:szCs w:val="28"/>
        </w:rPr>
      </w:pPr>
    </w:p>
    <w:p>
      <w:pPr>
        <w:spacing w:line="360" w:lineRule="auto"/>
        <w:rPr>
          <w:rFonts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p>
      <w:pPr>
        <w:jc w:val="center"/>
        <w:rPr>
          <w:b/>
          <w:sz w:val="48"/>
        </w:rPr>
      </w:pPr>
    </w:p>
    <w:p>
      <w:pPr>
        <w:jc w:val="center"/>
        <w:rPr>
          <w:b/>
          <w:sz w:val="48"/>
        </w:rPr>
      </w:pPr>
    </w:p>
    <w:p>
      <w:pPr>
        <w:jc w:val="center"/>
        <w:rPr>
          <w:b/>
          <w:sz w:val="48"/>
        </w:rPr>
      </w:pPr>
    </w:p>
    <w:p>
      <w:pPr>
        <w:jc w:val="center"/>
      </w:pPr>
      <w:r>
        <w:rPr>
          <w:b/>
          <w:sz w:val="48"/>
        </w:rPr>
        <w:t>南方医科大学第五附属医院</w:t>
      </w:r>
    </w:p>
    <w:p>
      <w:pPr>
        <w:jc w:val="center"/>
        <w:rPr>
          <w:b/>
          <w:sz w:val="48"/>
        </w:rPr>
      </w:pPr>
      <w:r>
        <w:rPr>
          <w:rFonts w:hint="eastAsia"/>
          <w:b/>
          <w:sz w:val="48"/>
        </w:rPr>
        <w:t>病理项目外送检验服务</w:t>
      </w:r>
      <w:r>
        <w:rPr>
          <w:b/>
          <w:sz w:val="48"/>
        </w:rPr>
        <w:t>合同</w:t>
      </w:r>
    </w:p>
    <w:p>
      <w:pPr>
        <w:jc w:val="center"/>
      </w:pPr>
      <w:r>
        <w:rPr>
          <w:b/>
        </w:rPr>
        <w:t xml:space="preserve"> </w:t>
      </w:r>
    </w:p>
    <w:p>
      <w:pPr>
        <w:jc w:val="center"/>
      </w:pPr>
      <w:r>
        <w:t xml:space="preserve"> </w:t>
      </w:r>
    </w:p>
    <w:p>
      <w:pPr>
        <w:jc w:val="center"/>
      </w:pPr>
      <w:r>
        <w:t xml:space="preserve"> </w:t>
      </w:r>
    </w:p>
    <w:p>
      <w:pPr>
        <w:jc w:val="center"/>
      </w:pPr>
      <w:r>
        <w:t xml:space="preserve"> </w:t>
      </w:r>
    </w:p>
    <w:p>
      <w:pPr>
        <w:ind w:firstLine="419"/>
        <w:rPr>
          <w:b/>
          <w:sz w:val="30"/>
        </w:rPr>
      </w:pPr>
    </w:p>
    <w:p>
      <w:pPr>
        <w:ind w:firstLine="419"/>
        <w:rPr>
          <w:b/>
          <w:sz w:val="30"/>
        </w:rPr>
      </w:pPr>
    </w:p>
    <w:p>
      <w:pPr>
        <w:ind w:firstLine="419"/>
        <w:rPr>
          <w:b/>
          <w:sz w:val="30"/>
        </w:rPr>
      </w:pPr>
    </w:p>
    <w:p>
      <w:pPr>
        <w:ind w:firstLine="419"/>
        <w:rPr>
          <w:b/>
          <w:sz w:val="30"/>
        </w:rPr>
      </w:pPr>
    </w:p>
    <w:p>
      <w:pPr>
        <w:ind w:firstLine="419"/>
        <w:rPr>
          <w:b/>
          <w:sz w:val="30"/>
        </w:rPr>
      </w:pPr>
    </w:p>
    <w:p>
      <w:pPr>
        <w:ind w:firstLine="602" w:firstLineChars="200"/>
        <w:rPr>
          <w:b/>
          <w:sz w:val="30"/>
        </w:rPr>
      </w:pPr>
    </w:p>
    <w:p>
      <w:pPr>
        <w:ind w:firstLine="602" w:firstLineChars="200"/>
      </w:pPr>
      <w:r>
        <w:rPr>
          <w:b/>
          <w:sz w:val="30"/>
        </w:rPr>
        <w:t>合同编号：</w:t>
      </w:r>
      <w:r>
        <w:t xml:space="preserve"> </w:t>
      </w:r>
    </w:p>
    <w:p>
      <w:pPr>
        <w:ind w:firstLine="602" w:firstLineChars="200"/>
        <w:rPr>
          <w:b/>
          <w:sz w:val="30"/>
        </w:rPr>
      </w:pPr>
      <w:r>
        <w:rPr>
          <w:b/>
          <w:sz w:val="30"/>
        </w:rPr>
        <w:t>甲方：</w:t>
      </w:r>
    </w:p>
    <w:p>
      <w:pPr>
        <w:ind w:firstLine="602" w:firstLineChars="200"/>
      </w:pPr>
      <w:r>
        <w:rPr>
          <w:b/>
          <w:sz w:val="30"/>
        </w:rPr>
        <w:t>乙方：</w:t>
      </w:r>
      <w:r>
        <w:t xml:space="preserve"> </w:t>
      </w:r>
    </w:p>
    <w:p>
      <w:pPr>
        <w:ind w:firstLine="602" w:firstLineChars="200"/>
      </w:pPr>
      <w:r>
        <w:rPr>
          <w:b/>
          <w:sz w:val="30"/>
        </w:rPr>
        <w:t>签署地点：</w:t>
      </w:r>
    </w:p>
    <w:p/>
    <w:p>
      <w:pPr>
        <w:rPr>
          <w:b/>
          <w:sz w:val="24"/>
        </w:rPr>
      </w:pPr>
    </w:p>
    <w:p>
      <w:pPr>
        <w:rPr>
          <w:b/>
          <w:sz w:val="24"/>
        </w:rPr>
      </w:pPr>
    </w:p>
    <w:p>
      <w:pPr>
        <w:rPr>
          <w:b/>
          <w:sz w:val="24"/>
        </w:rPr>
      </w:pPr>
    </w:p>
    <w:p>
      <w:pPr>
        <w:rPr>
          <w:b/>
          <w:sz w:val="24"/>
        </w:rPr>
      </w:pPr>
    </w:p>
    <w:p>
      <w:pPr>
        <w:spacing w:line="360" w:lineRule="auto"/>
        <w:rPr>
          <w:b/>
          <w:sz w:val="24"/>
        </w:rPr>
      </w:pPr>
    </w:p>
    <w:p>
      <w:pPr>
        <w:spacing w:line="360" w:lineRule="auto"/>
      </w:pPr>
      <w:r>
        <w:rPr>
          <w:b/>
          <w:sz w:val="24"/>
        </w:rPr>
        <w:t>甲方：</w:t>
      </w:r>
      <w:r>
        <w:t xml:space="preserve">             </w:t>
      </w:r>
    </w:p>
    <w:p>
      <w:pPr>
        <w:spacing w:line="360" w:lineRule="auto"/>
      </w:pPr>
      <w:r>
        <w:rPr>
          <w:sz w:val="24"/>
        </w:rPr>
        <w:t>甲方合同编号：</w:t>
      </w:r>
    </w:p>
    <w:p>
      <w:pPr>
        <w:spacing w:line="360" w:lineRule="auto"/>
      </w:pPr>
      <w:r>
        <w:rPr>
          <w:sz w:val="24"/>
        </w:rPr>
        <w:t>联系人：</w:t>
      </w:r>
    </w:p>
    <w:p>
      <w:pPr>
        <w:spacing w:line="360" w:lineRule="auto"/>
      </w:pPr>
      <w:r>
        <w:rPr>
          <w:sz w:val="24"/>
        </w:rPr>
        <w:t xml:space="preserve">电话：            </w:t>
      </w:r>
    </w:p>
    <w:p>
      <w:pPr>
        <w:spacing w:line="360" w:lineRule="auto"/>
      </w:pPr>
      <w:r>
        <w:rPr>
          <w:sz w:val="24"/>
        </w:rPr>
        <w:t>地址：</w:t>
      </w:r>
    </w:p>
    <w:p>
      <w:pPr>
        <w:spacing w:line="360" w:lineRule="auto"/>
      </w:pPr>
      <w:r>
        <w:rPr>
          <w:sz w:val="24"/>
        </w:rPr>
        <w:t xml:space="preserve">开户行：        </w:t>
      </w:r>
    </w:p>
    <w:p>
      <w:pPr>
        <w:spacing w:line="360" w:lineRule="auto"/>
      </w:pPr>
      <w:r>
        <w:rPr>
          <w:sz w:val="24"/>
        </w:rPr>
        <w:t>账号：</w:t>
      </w:r>
    </w:p>
    <w:p>
      <w:pPr>
        <w:spacing w:line="360" w:lineRule="auto"/>
      </w:pPr>
      <w:r>
        <w:rPr>
          <w:sz w:val="24"/>
        </w:rPr>
        <w:t>纳税识别号：</w:t>
      </w:r>
    </w:p>
    <w:p>
      <w:pPr>
        <w:spacing w:line="360" w:lineRule="auto"/>
      </w:pPr>
      <w:r>
        <w:t xml:space="preserve"> </w:t>
      </w:r>
    </w:p>
    <w:p>
      <w:pPr>
        <w:spacing w:line="360" w:lineRule="auto"/>
        <w:jc w:val="left"/>
      </w:pPr>
      <w:r>
        <w:t xml:space="preserve"> </w:t>
      </w:r>
    </w:p>
    <w:p>
      <w:pPr>
        <w:spacing w:line="360" w:lineRule="auto"/>
      </w:pPr>
      <w:r>
        <w:rPr>
          <w:b/>
          <w:sz w:val="24"/>
        </w:rPr>
        <w:t>乙方：</w:t>
      </w:r>
    </w:p>
    <w:p>
      <w:pPr>
        <w:spacing w:line="360" w:lineRule="auto"/>
      </w:pPr>
      <w:r>
        <w:rPr>
          <w:sz w:val="24"/>
        </w:rPr>
        <w:t>乙方合同编号：</w:t>
      </w:r>
    </w:p>
    <w:p>
      <w:pPr>
        <w:spacing w:line="360" w:lineRule="auto"/>
      </w:pPr>
      <w:r>
        <w:rPr>
          <w:sz w:val="24"/>
        </w:rPr>
        <w:t>联系人：</w:t>
      </w:r>
    </w:p>
    <w:p>
      <w:pPr>
        <w:spacing w:line="360" w:lineRule="auto"/>
      </w:pPr>
      <w:r>
        <w:rPr>
          <w:sz w:val="24"/>
        </w:rPr>
        <w:t>电话：</w:t>
      </w:r>
    </w:p>
    <w:p>
      <w:pPr>
        <w:spacing w:line="360" w:lineRule="auto"/>
      </w:pPr>
      <w:r>
        <w:rPr>
          <w:sz w:val="24"/>
        </w:rPr>
        <w:t>地址：</w:t>
      </w:r>
    </w:p>
    <w:p>
      <w:pPr>
        <w:spacing w:line="360" w:lineRule="auto"/>
      </w:pPr>
      <w:r>
        <w:rPr>
          <w:sz w:val="24"/>
        </w:rPr>
        <w:t>开户行：</w:t>
      </w:r>
    </w:p>
    <w:p>
      <w:pPr>
        <w:spacing w:line="360" w:lineRule="auto"/>
      </w:pPr>
      <w:r>
        <w:rPr>
          <w:sz w:val="24"/>
        </w:rPr>
        <w:t>账号：</w:t>
      </w:r>
    </w:p>
    <w:p>
      <w:pPr>
        <w:spacing w:line="360" w:lineRule="auto"/>
      </w:pPr>
      <w:r>
        <w:rPr>
          <w:sz w:val="24"/>
        </w:rPr>
        <w:t>纳税识别号：</w:t>
      </w:r>
    </w:p>
    <w:p>
      <w:r>
        <w:t xml:space="preserve"> </w:t>
      </w:r>
    </w:p>
    <w:p>
      <w:r>
        <w:t xml:space="preserve"> </w:t>
      </w:r>
    </w:p>
    <w:p>
      <w:r>
        <w:t xml:space="preserve"> </w:t>
      </w:r>
    </w:p>
    <w:p>
      <w:r>
        <w:rPr>
          <w:b/>
        </w:rPr>
        <w:t xml:space="preserve"> </w:t>
      </w:r>
    </w:p>
    <w:p>
      <w:r>
        <w:rPr>
          <w:b/>
        </w:rPr>
        <w:t xml:space="preserve"> </w:t>
      </w:r>
    </w:p>
    <w:p>
      <w:pPr>
        <w:jc w:val="left"/>
      </w:pPr>
      <w:r>
        <w:t xml:space="preserve"> </w:t>
      </w:r>
    </w:p>
    <w:p>
      <w:pPr>
        <w:jc w:val="left"/>
      </w:pPr>
      <w:r>
        <w:t xml:space="preserve"> </w:t>
      </w:r>
    </w:p>
    <w:p>
      <w:pPr>
        <w:jc w:val="center"/>
      </w:pPr>
    </w:p>
    <w:p>
      <w:pPr>
        <w:rPr>
          <w:b/>
          <w:sz w:val="28"/>
        </w:rPr>
      </w:pPr>
    </w:p>
    <w:p>
      <w:pPr>
        <w:rPr>
          <w:b/>
          <w:sz w:val="28"/>
        </w:rPr>
      </w:pPr>
    </w:p>
    <w:p>
      <w:pPr>
        <w:jc w:val="center"/>
        <w:rPr>
          <w:b/>
          <w:sz w:val="28"/>
        </w:rPr>
      </w:pPr>
    </w:p>
    <w:p>
      <w:pPr>
        <w:jc w:val="center"/>
        <w:rPr>
          <w:b/>
          <w:sz w:val="28"/>
        </w:rPr>
      </w:pPr>
    </w:p>
    <w:p>
      <w:pPr>
        <w:jc w:val="center"/>
        <w:rPr>
          <w:b/>
          <w:sz w:val="28"/>
        </w:rPr>
        <w:sectPr>
          <w:headerReference r:id="rId11" w:type="default"/>
          <w:footerReference r:id="rId12" w:type="default"/>
          <w:pgSz w:w="11906" w:h="16838"/>
          <w:pgMar w:top="1134" w:right="850" w:bottom="1134" w:left="850" w:header="851" w:footer="992" w:gutter="0"/>
          <w:cols w:space="425" w:num="1"/>
          <w:docGrid w:type="lines" w:linePitch="312" w:charSpace="0"/>
        </w:sectPr>
      </w:pPr>
    </w:p>
    <w:p>
      <w:pPr>
        <w:jc w:val="center"/>
        <w:rPr>
          <w:b/>
          <w:sz w:val="28"/>
        </w:rPr>
      </w:pPr>
      <w:r>
        <w:rPr>
          <w:b/>
          <w:sz w:val="28"/>
        </w:rPr>
        <w:t>南方医科大学第五附属医院</w:t>
      </w:r>
      <w:r>
        <w:rPr>
          <w:rFonts w:hint="eastAsia"/>
          <w:b/>
          <w:sz w:val="28"/>
        </w:rPr>
        <w:t>病理项目外送检验服务合同</w:t>
      </w:r>
    </w:p>
    <w:p>
      <w:r>
        <w:t xml:space="preserve"> </w:t>
      </w:r>
    </w:p>
    <w:p>
      <w:pPr>
        <w:spacing w:line="360" w:lineRule="exact"/>
        <w:rPr>
          <w:szCs w:val="21"/>
        </w:rPr>
      </w:pPr>
      <w:r>
        <w:rPr>
          <w:b/>
          <w:szCs w:val="21"/>
        </w:rPr>
        <w:t>甲方：</w:t>
      </w:r>
    </w:p>
    <w:p>
      <w:pPr>
        <w:spacing w:line="360" w:lineRule="exact"/>
        <w:jc w:val="left"/>
        <w:rPr>
          <w:b/>
          <w:szCs w:val="21"/>
        </w:rPr>
      </w:pPr>
      <w:r>
        <w:rPr>
          <w:b/>
          <w:szCs w:val="21"/>
        </w:rPr>
        <w:t>乙方：</w:t>
      </w:r>
    </w:p>
    <w:p>
      <w:pPr>
        <w:pStyle w:val="2"/>
        <w:spacing w:line="360" w:lineRule="exact"/>
        <w:ind w:firstLine="420" w:firstLineChars="200"/>
        <w:rPr>
          <w:b/>
          <w:szCs w:val="21"/>
        </w:rPr>
      </w:pPr>
      <w:r>
        <w:rPr>
          <w:rFonts w:hint="eastAsia" w:ascii="宋体" w:hAnsi="宋体" w:cs="宋体"/>
          <w:szCs w:val="21"/>
        </w:rPr>
        <w:t>依照《中华人民共和国民法典》中关于“合同”部分的规定及“南方医科大学第五附属医院病理项目外送检验项目”（项目编号：NYWYF20220012）的采购结果和乙方《响应文件》内容，为明确双方权利和义务，保障双方权益，甲、乙双方在自愿、平等、协商、互利的基础上，订立本合同，合同签订后，需共同遵守。具体条款如下：</w:t>
      </w:r>
    </w:p>
    <w:p>
      <w:pPr>
        <w:spacing w:line="360" w:lineRule="exact"/>
        <w:ind w:firstLine="482"/>
        <w:rPr>
          <w:szCs w:val="21"/>
        </w:rPr>
      </w:pPr>
      <w:r>
        <w:rPr>
          <w:rFonts w:hint="eastAsia"/>
          <w:b/>
          <w:szCs w:val="21"/>
        </w:rPr>
        <w:t xml:space="preserve">第一条 </w:t>
      </w:r>
      <w:r>
        <w:rPr>
          <w:b/>
          <w:szCs w:val="21"/>
        </w:rPr>
        <w:t>项目内容</w:t>
      </w:r>
    </w:p>
    <w:p>
      <w:pPr>
        <w:spacing w:line="360" w:lineRule="exact"/>
        <w:ind w:firstLine="480"/>
        <w:rPr>
          <w:szCs w:val="21"/>
        </w:rPr>
      </w:pPr>
      <w:r>
        <w:rPr>
          <w:rFonts w:hint="eastAsia"/>
          <w:szCs w:val="21"/>
        </w:rPr>
        <w:t>1.</w:t>
      </w:r>
      <w:r>
        <w:rPr>
          <w:szCs w:val="21"/>
        </w:rPr>
        <w:t>乙方接受甲方的委托，作为</w:t>
      </w:r>
      <w:r>
        <w:rPr>
          <w:rFonts w:hint="eastAsia"/>
          <w:szCs w:val="21"/>
        </w:rPr>
        <w:t>南方医科大学第五附属医院病理项目外送检验</w:t>
      </w:r>
      <w:r>
        <w:rPr>
          <w:szCs w:val="21"/>
        </w:rPr>
        <w:t>服务单位，在合同期内向甲方提供外送检验服务。</w:t>
      </w:r>
    </w:p>
    <w:p>
      <w:pPr>
        <w:spacing w:line="360" w:lineRule="exact"/>
        <w:ind w:firstLine="420" w:firstLineChars="200"/>
        <w:rPr>
          <w:szCs w:val="21"/>
        </w:rPr>
      </w:pPr>
      <w:r>
        <w:rPr>
          <w:rFonts w:hint="eastAsia"/>
          <w:szCs w:val="21"/>
        </w:rPr>
        <w:t>2.具体内容：疑难病理、肾脏病理、分子病理、远程病理会诊等。（如项目甲方科室能够开展，将逐步减少或停止外送。）</w:t>
      </w:r>
    </w:p>
    <w:p>
      <w:pPr>
        <w:spacing w:line="360" w:lineRule="exact"/>
        <w:ind w:firstLine="482"/>
        <w:rPr>
          <w:szCs w:val="21"/>
        </w:rPr>
      </w:pPr>
      <w:r>
        <w:rPr>
          <w:rFonts w:hint="eastAsia"/>
          <w:b/>
          <w:szCs w:val="21"/>
        </w:rPr>
        <w:t xml:space="preserve">第二条 </w:t>
      </w:r>
      <w:r>
        <w:rPr>
          <w:b/>
          <w:szCs w:val="21"/>
        </w:rPr>
        <w:t>服务价格</w:t>
      </w:r>
    </w:p>
    <w:p>
      <w:pPr>
        <w:spacing w:line="360" w:lineRule="exact"/>
        <w:ind w:firstLine="480"/>
        <w:jc w:val="left"/>
        <w:rPr>
          <w:szCs w:val="21"/>
        </w:rPr>
      </w:pPr>
      <w:r>
        <w:rPr>
          <w:szCs w:val="21"/>
        </w:rPr>
        <w:t>甲方委托乙方</w:t>
      </w:r>
      <w:r>
        <w:rPr>
          <w:rFonts w:hint="eastAsia"/>
          <w:szCs w:val="21"/>
        </w:rPr>
        <w:t>病理项目</w:t>
      </w:r>
      <w:r>
        <w:rPr>
          <w:szCs w:val="21"/>
        </w:rPr>
        <w:t>外送检验的每个</w:t>
      </w:r>
      <w:r>
        <w:rPr>
          <w:rFonts w:hint="eastAsia"/>
          <w:szCs w:val="21"/>
        </w:rPr>
        <w:t>检测</w:t>
      </w:r>
      <w:r>
        <w:rPr>
          <w:szCs w:val="21"/>
        </w:rPr>
        <w:t>项目</w:t>
      </w:r>
      <w:r>
        <w:rPr>
          <w:rFonts w:hint="eastAsia"/>
          <w:szCs w:val="21"/>
        </w:rPr>
        <w:t>按照《广州市公立医疗机构基本医疗服务价格》</w:t>
      </w:r>
      <w:r>
        <w:rPr>
          <w:szCs w:val="21"/>
        </w:rPr>
        <w:t>（</w:t>
      </w: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以最新版本为准,</w:t>
      </w:r>
      <w:r>
        <w:rPr>
          <w:szCs w:val="21"/>
        </w:rPr>
        <w:t>如遇国家调整，则以调整后价格为准）规定的价格为基准，折扣*****%为结算单价,结算单价包含</w:t>
      </w:r>
      <w:r>
        <w:rPr>
          <w:rFonts w:hint="eastAsia"/>
          <w:szCs w:val="21"/>
        </w:rPr>
        <w:t>但不限于各种人力成本、货物成本、资料费、服务费、税费、物流服务、标本采集试管、保存装置及合同实施过程中的所有费用</w:t>
      </w:r>
      <w:r>
        <w:rPr>
          <w:szCs w:val="21"/>
        </w:rPr>
        <w:t>（以人民币为结算单位）</w:t>
      </w:r>
      <w:r>
        <w:rPr>
          <w:rFonts w:hint="eastAsia"/>
          <w:szCs w:val="21"/>
        </w:rPr>
        <w:t>，</w:t>
      </w:r>
      <w:r>
        <w:rPr>
          <w:szCs w:val="21"/>
        </w:rPr>
        <w:t>合同期内结算总价不得超过*****万元。</w:t>
      </w:r>
    </w:p>
    <w:p>
      <w:pPr>
        <w:numPr>
          <w:ilvl w:val="0"/>
          <w:numId w:val="7"/>
        </w:numPr>
        <w:spacing w:line="360" w:lineRule="exact"/>
        <w:ind w:firstLine="482"/>
        <w:rPr>
          <w:b/>
          <w:szCs w:val="21"/>
        </w:rPr>
      </w:pPr>
      <w:r>
        <w:rPr>
          <w:b/>
          <w:szCs w:val="21"/>
        </w:rPr>
        <w:t>付款</w:t>
      </w:r>
      <w:r>
        <w:rPr>
          <w:rFonts w:hint="eastAsia"/>
          <w:b/>
          <w:szCs w:val="21"/>
        </w:rPr>
        <w:t>和结算</w:t>
      </w:r>
      <w:r>
        <w:rPr>
          <w:b/>
          <w:szCs w:val="21"/>
        </w:rPr>
        <w:t>方式</w:t>
      </w:r>
    </w:p>
    <w:p>
      <w:pPr>
        <w:pStyle w:val="2"/>
        <w:spacing w:line="360" w:lineRule="exact"/>
        <w:ind w:firstLine="420" w:firstLineChars="200"/>
        <w:rPr>
          <w:rFonts w:ascii="宋体" w:hAnsi="宋体" w:cs="宋体"/>
          <w:szCs w:val="21"/>
        </w:rPr>
      </w:pPr>
      <w:r>
        <w:rPr>
          <w:rFonts w:hint="eastAsia" w:ascii="宋体" w:hAnsi="宋体" w:cs="宋体"/>
          <w:szCs w:val="21"/>
        </w:rPr>
        <w:t>1.按季度结算，本季度结算上季度服务金额。</w:t>
      </w:r>
    </w:p>
    <w:p>
      <w:pPr>
        <w:pStyle w:val="2"/>
        <w:spacing w:line="360" w:lineRule="exact"/>
        <w:ind w:firstLine="420" w:firstLineChars="200"/>
        <w:rPr>
          <w:rFonts w:ascii="宋体" w:hAnsi="宋体" w:cs="宋体"/>
          <w:szCs w:val="21"/>
        </w:rPr>
      </w:pPr>
      <w:r>
        <w:rPr>
          <w:rFonts w:hint="eastAsia" w:ascii="宋体" w:hAnsi="宋体" w:cs="宋体"/>
          <w:szCs w:val="21"/>
        </w:rPr>
        <w:t>2.实际检测项目结算单价=实际检测项目收费标准×报价折扣率。</w:t>
      </w:r>
    </w:p>
    <w:p>
      <w:pPr>
        <w:pStyle w:val="2"/>
        <w:spacing w:line="360" w:lineRule="exact"/>
        <w:ind w:firstLine="420" w:firstLineChars="200"/>
        <w:rPr>
          <w:rFonts w:ascii="宋体" w:hAnsi="宋体" w:cs="宋体"/>
          <w:szCs w:val="21"/>
        </w:rPr>
      </w:pPr>
      <w:r>
        <w:rPr>
          <w:rFonts w:hint="eastAsia" w:ascii="宋体" w:hAnsi="宋体" w:cs="宋体"/>
          <w:szCs w:val="21"/>
        </w:rPr>
        <w:t>3.每季度结算金额=实际检测项目收费标准×报价折扣率×上季度实际检测数量。乙方于每季度首月5 日前提供上季度送检数量结算明细清单给甲方, 甲方收到资料审核无误后通知乙方开具发票，甲方收到发票后15个工作日内转账支付乙方等额服务费用。</w:t>
      </w:r>
    </w:p>
    <w:p>
      <w:pPr>
        <w:spacing w:line="360" w:lineRule="exact"/>
        <w:ind w:firstLine="422" w:firstLineChars="200"/>
        <w:rPr>
          <w:b/>
          <w:szCs w:val="21"/>
        </w:rPr>
      </w:pPr>
      <w:r>
        <w:rPr>
          <w:rFonts w:hint="eastAsia"/>
          <w:b/>
          <w:szCs w:val="21"/>
        </w:rPr>
        <w:t>第四条 合同组成</w:t>
      </w:r>
    </w:p>
    <w:p>
      <w:pPr>
        <w:pStyle w:val="2"/>
        <w:spacing w:line="360" w:lineRule="exact"/>
        <w:ind w:firstLine="420" w:firstLineChars="200"/>
        <w:rPr>
          <w:rFonts w:ascii="宋体" w:hAnsi="宋体" w:cs="宋体"/>
          <w:szCs w:val="21"/>
        </w:rPr>
      </w:pPr>
      <w:r>
        <w:rPr>
          <w:rFonts w:ascii="宋体" w:hAnsi="宋体" w:cs="宋体"/>
          <w:szCs w:val="21"/>
        </w:rPr>
        <w:t xml:space="preserve">1.合同文件组成内容包括：本合同书 </w:t>
      </w:r>
      <w:r>
        <w:rPr>
          <w:rFonts w:hint="eastAsia" w:ascii="宋体" w:hAnsi="宋体" w:cs="宋体"/>
          <w:szCs w:val="21"/>
        </w:rPr>
        <w:t>、采购文件、响应文件等均为合同的有效组成部分，并纳入本合同条款内容，与本合同具有同等法律效力。</w:t>
      </w:r>
    </w:p>
    <w:p>
      <w:pPr>
        <w:pStyle w:val="2"/>
        <w:spacing w:line="360" w:lineRule="exact"/>
        <w:ind w:firstLine="420" w:firstLineChars="200"/>
        <w:rPr>
          <w:rFonts w:ascii="宋体" w:hAnsi="宋体" w:cs="宋体"/>
          <w:szCs w:val="21"/>
        </w:rPr>
      </w:pPr>
      <w:r>
        <w:rPr>
          <w:rFonts w:ascii="宋体" w:hAnsi="宋体" w:cs="宋体"/>
          <w:szCs w:val="21"/>
        </w:rPr>
        <w:t>2.在协商和执行本合同的过程中，所有经双方签署确认的文件（包括会议纪要、补充协议、往来信函）也可成为本合同的有效组成部分。</w:t>
      </w:r>
    </w:p>
    <w:p>
      <w:pPr>
        <w:pStyle w:val="2"/>
        <w:spacing w:line="360" w:lineRule="exact"/>
        <w:ind w:firstLine="420" w:firstLineChars="200"/>
        <w:rPr>
          <w:rFonts w:ascii="宋体" w:hAnsi="宋体" w:cs="宋体"/>
          <w:szCs w:val="21"/>
        </w:rPr>
      </w:pPr>
      <w:r>
        <w:rPr>
          <w:rFonts w:ascii="宋体" w:hAnsi="宋体" w:cs="宋体"/>
          <w:szCs w:val="21"/>
        </w:rPr>
        <w:t>3.以上</w:t>
      </w:r>
      <w:r>
        <w:rPr>
          <w:rFonts w:hint="eastAsia" w:ascii="宋体" w:hAnsi="宋体" w:cs="宋体"/>
          <w:szCs w:val="21"/>
        </w:rPr>
        <w:t>若不同文件之间有冲突的，适用有利于甲方的条款。</w:t>
      </w:r>
    </w:p>
    <w:p>
      <w:pPr>
        <w:spacing w:line="360" w:lineRule="exact"/>
        <w:ind w:firstLine="482"/>
        <w:rPr>
          <w:szCs w:val="21"/>
        </w:rPr>
      </w:pPr>
      <w:r>
        <w:rPr>
          <w:rFonts w:hint="eastAsia"/>
          <w:b/>
          <w:szCs w:val="21"/>
        </w:rPr>
        <w:t xml:space="preserve">第五条 </w:t>
      </w:r>
      <w:r>
        <w:rPr>
          <w:b/>
          <w:szCs w:val="21"/>
        </w:rPr>
        <w:t>服务期限</w:t>
      </w:r>
    </w:p>
    <w:p>
      <w:pPr>
        <w:spacing w:line="360" w:lineRule="exact"/>
        <w:ind w:firstLine="420" w:firstLineChars="200"/>
        <w:rPr>
          <w:szCs w:val="21"/>
        </w:rPr>
      </w:pPr>
      <w:r>
        <w:rPr>
          <w:szCs w:val="21"/>
        </w:rPr>
        <w:t>1.服务期限：自合同签订生效之日起3年。</w:t>
      </w:r>
      <w:r>
        <w:rPr>
          <w:rFonts w:hint="eastAsia"/>
          <w:szCs w:val="21"/>
        </w:rPr>
        <w:t>每年合作期满对中标人进行年度考核，年度考核合格自动履行下一年合同。</w:t>
      </w:r>
    </w:p>
    <w:p>
      <w:pPr>
        <w:spacing w:line="360" w:lineRule="exact"/>
        <w:ind w:firstLine="420"/>
        <w:rPr>
          <w:szCs w:val="21"/>
        </w:rPr>
      </w:pPr>
      <w:r>
        <w:rPr>
          <w:szCs w:val="21"/>
        </w:rPr>
        <w:t>2.服务地点：南方医科大学第五附属医院。</w:t>
      </w:r>
    </w:p>
    <w:p>
      <w:pPr>
        <w:spacing w:line="360" w:lineRule="exact"/>
        <w:ind w:firstLine="420"/>
        <w:rPr>
          <w:szCs w:val="21"/>
          <w:highlight w:val="yellow"/>
        </w:rPr>
      </w:pPr>
      <w:r>
        <w:rPr>
          <w:szCs w:val="21"/>
        </w:rPr>
        <w:t>3.服务方式：乙方根据甲方要求专人接收标本负责样本外送检验。</w:t>
      </w:r>
    </w:p>
    <w:p>
      <w:pPr>
        <w:spacing w:line="360" w:lineRule="exact"/>
        <w:ind w:firstLine="482"/>
        <w:rPr>
          <w:b/>
          <w:szCs w:val="21"/>
          <w:highlight w:val="yellow"/>
        </w:rPr>
      </w:pPr>
      <w:r>
        <w:rPr>
          <w:rFonts w:hint="eastAsia"/>
          <w:b/>
          <w:szCs w:val="21"/>
        </w:rPr>
        <w:t>第六条  检验要求</w:t>
      </w:r>
      <w:r>
        <w:rPr>
          <w:rFonts w:hint="eastAsia"/>
          <w:b/>
          <w:szCs w:val="21"/>
          <w:highlight w:val="yellow"/>
        </w:rPr>
        <w:t>（参照响应文件，根据甲方实际要求调整）</w:t>
      </w:r>
    </w:p>
    <w:p>
      <w:pPr>
        <w:spacing w:line="360" w:lineRule="exact"/>
        <w:ind w:firstLine="420" w:firstLineChars="200"/>
        <w:rPr>
          <w:rFonts w:ascii="宋体" w:hAnsi="宋体" w:cs="宋体"/>
          <w:szCs w:val="21"/>
        </w:rPr>
      </w:pPr>
      <w:r>
        <w:rPr>
          <w:rFonts w:hint="eastAsia" w:ascii="宋体" w:hAnsi="宋体" w:cs="宋体"/>
          <w:szCs w:val="21"/>
        </w:rPr>
        <w:t>1.乙方实验室符合国家卫健委《医疗机构临床实验室管理办法》等法律法规要求。</w:t>
      </w:r>
    </w:p>
    <w:p>
      <w:pPr>
        <w:spacing w:line="360" w:lineRule="exact"/>
        <w:ind w:firstLine="420" w:firstLineChars="200"/>
        <w:rPr>
          <w:rFonts w:ascii="宋体" w:hAnsi="宋体" w:cs="宋体"/>
          <w:szCs w:val="21"/>
        </w:rPr>
      </w:pPr>
      <w:r>
        <w:rPr>
          <w:rFonts w:hint="eastAsia" w:ascii="宋体" w:hAnsi="宋体" w:cs="宋体"/>
          <w:szCs w:val="21"/>
        </w:rPr>
        <w:t>2.乙方保证按国家检测规范进行操作，并对标本的检测报告承担相应的责任。</w:t>
      </w:r>
    </w:p>
    <w:p>
      <w:pPr>
        <w:pStyle w:val="45"/>
        <w:widowControl/>
        <w:shd w:val="clear" w:color="auto" w:fill="FFFFFF"/>
        <w:spacing w:line="360" w:lineRule="exact"/>
        <w:rPr>
          <w:rFonts w:ascii="宋体" w:hAnsi="宋体" w:cs="宋体"/>
          <w:szCs w:val="21"/>
        </w:rPr>
      </w:pPr>
      <w:r>
        <w:rPr>
          <w:rFonts w:hint="eastAsia" w:ascii="宋体" w:hAnsi="宋体" w:cs="宋体"/>
          <w:szCs w:val="21"/>
        </w:rPr>
        <w:t>3.乙方实验室通过临床检验中心组织的室间质评。</w:t>
      </w:r>
    </w:p>
    <w:p>
      <w:pPr>
        <w:pStyle w:val="45"/>
        <w:widowControl/>
        <w:shd w:val="clear" w:color="auto" w:fill="FFFFFF"/>
        <w:spacing w:line="360" w:lineRule="exact"/>
        <w:rPr>
          <w:rFonts w:ascii="宋体" w:hAnsi="宋体" w:cs="宋体"/>
          <w:szCs w:val="21"/>
        </w:rPr>
      </w:pPr>
      <w:r>
        <w:rPr>
          <w:rFonts w:hint="eastAsia" w:ascii="宋体" w:hAnsi="宋体" w:cs="宋体"/>
          <w:szCs w:val="21"/>
        </w:rPr>
        <w:t>4.乙方实验室须具有临床检验中心颁发临床基因扩增检验实验室技术审核验收合格证书。</w:t>
      </w:r>
    </w:p>
    <w:p>
      <w:pPr>
        <w:pStyle w:val="45"/>
        <w:widowControl/>
        <w:shd w:val="clear" w:color="auto" w:fill="FFFFFF"/>
        <w:spacing w:line="360" w:lineRule="exact"/>
        <w:rPr>
          <w:rFonts w:ascii="宋体" w:hAnsi="宋体" w:cs="宋体"/>
          <w:szCs w:val="21"/>
        </w:rPr>
      </w:pPr>
      <w:r>
        <w:rPr>
          <w:rFonts w:hint="eastAsia" w:ascii="宋体" w:hAnsi="宋体" w:cs="宋体"/>
          <w:szCs w:val="21"/>
        </w:rPr>
        <w:t>5.乙方实验室通过ISO15189《医学实验室-质量和能力的要求》认证、通过美国病理学家学会（CAP）认证。</w:t>
      </w:r>
    </w:p>
    <w:p>
      <w:pPr>
        <w:pStyle w:val="45"/>
        <w:widowControl/>
        <w:shd w:val="clear" w:color="auto" w:fill="FFFFFF"/>
        <w:spacing w:line="360" w:lineRule="exact"/>
        <w:rPr>
          <w:rFonts w:ascii="宋体" w:hAnsi="宋体" w:cs="宋体"/>
          <w:szCs w:val="21"/>
        </w:rPr>
      </w:pPr>
      <w:r>
        <w:rPr>
          <w:rFonts w:hint="eastAsia" w:ascii="宋体" w:hAnsi="宋体" w:cs="宋体"/>
          <w:szCs w:val="21"/>
        </w:rPr>
        <w:t>6.乙方实验室需拥有专业的技术人员，可提供专业的检测服务。</w:t>
      </w:r>
    </w:p>
    <w:p>
      <w:pPr>
        <w:pStyle w:val="45"/>
        <w:widowControl/>
        <w:shd w:val="clear" w:color="auto" w:fill="FFFFFF"/>
        <w:spacing w:line="360" w:lineRule="exact"/>
        <w:rPr>
          <w:rFonts w:ascii="宋体" w:hAnsi="宋体" w:cs="宋体"/>
          <w:szCs w:val="21"/>
        </w:rPr>
      </w:pPr>
      <w:r>
        <w:rPr>
          <w:rFonts w:hint="eastAsia" w:ascii="宋体" w:hAnsi="宋体" w:cs="宋体"/>
          <w:szCs w:val="21"/>
        </w:rPr>
        <w:t>7.乙方病理实验室拥有完善的病理技术平台，包括细胞病理、组织病理、分子病理、远程病理等；乙方拥有丰富远程病理诊断服务经验和良好运营能力；可提供良好的临床病理学术沟通平台，协助解决病理疑难病例。</w:t>
      </w:r>
    </w:p>
    <w:p>
      <w:pPr>
        <w:pStyle w:val="28"/>
        <w:spacing w:line="360" w:lineRule="exact"/>
        <w:jc w:val="left"/>
        <w:rPr>
          <w:rFonts w:ascii="宋体" w:hAnsi="宋体" w:cs="宋体"/>
          <w:szCs w:val="21"/>
        </w:rPr>
      </w:pPr>
      <w:r>
        <w:rPr>
          <w:rFonts w:hint="eastAsia" w:ascii="宋体" w:hAnsi="宋体" w:cs="宋体"/>
          <w:szCs w:val="21"/>
        </w:rPr>
        <w:t>8.</w:t>
      </w:r>
      <w:r>
        <w:rPr>
          <w:rFonts w:ascii="宋体" w:hAnsi="宋体" w:cs="宋体"/>
          <w:szCs w:val="21"/>
        </w:rPr>
        <w:t>分子病理项目</w:t>
      </w:r>
      <w:r>
        <w:rPr>
          <w:rFonts w:hint="eastAsia" w:ascii="宋体" w:hAnsi="宋体" w:cs="宋体"/>
          <w:szCs w:val="21"/>
        </w:rPr>
        <w:t>：甲方将根据情况提供石蜡切片进行外送，用于辅助分子检测，所有检测数据需完整准确回传至甲方病理科。</w:t>
      </w:r>
    </w:p>
    <w:p>
      <w:pPr>
        <w:pStyle w:val="45"/>
        <w:widowControl/>
        <w:shd w:val="clear" w:color="auto" w:fill="FFFFFF"/>
        <w:spacing w:line="360" w:lineRule="exact"/>
        <w:rPr>
          <w:rFonts w:ascii="宋体" w:hAnsi="宋体" w:cs="宋体"/>
          <w:szCs w:val="21"/>
        </w:rPr>
      </w:pPr>
      <w:r>
        <w:rPr>
          <w:rFonts w:hint="eastAsia" w:ascii="宋体" w:hAnsi="宋体" w:cs="宋体"/>
          <w:szCs w:val="21"/>
        </w:rPr>
        <w:t>9.乙方具有医学肾脏穿刺病理活检项目工作经验，提供医学肾脏穿刺病理活检标本采集、检测、报告应用的咨询、指导。</w:t>
      </w:r>
    </w:p>
    <w:p>
      <w:pPr>
        <w:pStyle w:val="28"/>
        <w:spacing w:line="360" w:lineRule="exact"/>
        <w:jc w:val="left"/>
        <w:rPr>
          <w:rFonts w:ascii="宋体" w:hAnsi="宋体" w:cs="宋体"/>
          <w:szCs w:val="21"/>
        </w:rPr>
      </w:pPr>
      <w:r>
        <w:rPr>
          <w:rFonts w:hint="eastAsia" w:ascii="宋体" w:hAnsi="宋体" w:cs="宋体"/>
          <w:szCs w:val="21"/>
        </w:rPr>
        <w:t>10.肾脏组织免疫荧光、光镜检查病理诊断及电镜检查病理诊断项目报告需在标本到达乙方实验室后2天内出具；乙方对其出具的病理诊断报告结果负责并对其内容进行解释。</w:t>
      </w:r>
    </w:p>
    <w:p>
      <w:pPr>
        <w:pStyle w:val="28"/>
        <w:spacing w:line="360" w:lineRule="exact"/>
        <w:jc w:val="left"/>
        <w:rPr>
          <w:rFonts w:ascii="宋体" w:hAnsi="宋体" w:cs="宋体"/>
          <w:szCs w:val="21"/>
        </w:rPr>
      </w:pPr>
      <w:r>
        <w:rPr>
          <w:rFonts w:hint="eastAsia" w:ascii="宋体" w:hAnsi="宋体" w:cs="宋体"/>
          <w:szCs w:val="21"/>
        </w:rPr>
        <w:t>11.肾穿技术层面要求：穿刺针在16号或以上的光镜标本，除常规连续切片外，能进行3层面连续切片，可最大限度观察到穿刺出来的每一个肾小球。</w:t>
      </w:r>
    </w:p>
    <w:p>
      <w:pPr>
        <w:pStyle w:val="45"/>
        <w:widowControl/>
        <w:shd w:val="clear" w:color="auto" w:fill="FFFFFF"/>
        <w:spacing w:line="360" w:lineRule="exact"/>
        <w:rPr>
          <w:rFonts w:ascii="宋体" w:hAnsi="宋体" w:cs="宋体"/>
          <w:szCs w:val="21"/>
        </w:rPr>
      </w:pPr>
      <w:r>
        <w:rPr>
          <w:rFonts w:hint="eastAsia" w:ascii="宋体" w:hAnsi="宋体" w:cs="宋体"/>
          <w:szCs w:val="21"/>
        </w:rPr>
        <w:t>12.乙方对所发放的医学肾脏穿刺病理活检报告负责。合作期间，因为乙方的医学肾脏穿刺病理活检报告质量问题发生医疗纠纷或医疗事故，甲方及时通知乙方，并按甲方的相关程序进行调解和处理，因乙方医学肾脏穿刺病理活检报告存在质量问题导致医疗纠纷或医疗事故而造成甲方经济损失由乙方承担相关责任。</w:t>
      </w:r>
    </w:p>
    <w:p>
      <w:pPr>
        <w:pStyle w:val="45"/>
        <w:widowControl/>
        <w:shd w:val="clear" w:color="auto" w:fill="FFFFFF"/>
        <w:spacing w:line="360" w:lineRule="exact"/>
        <w:rPr>
          <w:rFonts w:ascii="宋体" w:hAnsi="宋体" w:cs="宋体"/>
          <w:szCs w:val="21"/>
        </w:rPr>
      </w:pPr>
      <w:r>
        <w:rPr>
          <w:rFonts w:hint="eastAsia" w:ascii="宋体" w:hAnsi="宋体" w:cs="宋体"/>
          <w:szCs w:val="21"/>
        </w:rPr>
        <w:t>13.乙方拥有权威医学院校的技术支撑，协助甲方开展病理检查人员进修培训、协助甲方开展继续教育、专题讲座等学术交流活动。</w:t>
      </w:r>
    </w:p>
    <w:p>
      <w:pPr>
        <w:pStyle w:val="45"/>
        <w:widowControl/>
        <w:shd w:val="clear" w:color="auto" w:fill="FFFFFF"/>
        <w:spacing w:line="360" w:lineRule="exact"/>
        <w:rPr>
          <w:rFonts w:ascii="宋体" w:hAnsi="宋体" w:cs="宋体"/>
          <w:szCs w:val="21"/>
        </w:rPr>
      </w:pPr>
      <w:r>
        <w:rPr>
          <w:rFonts w:hint="eastAsia" w:ascii="宋体" w:hAnsi="宋体" w:cs="宋体"/>
          <w:szCs w:val="21"/>
        </w:rPr>
        <w:t xml:space="preserve">14.乙方LIS系统可与甲方的LIS对接，实现检验项目结果传输，方便检验项目的统一管理。 </w:t>
      </w:r>
    </w:p>
    <w:p>
      <w:pPr>
        <w:autoSpaceDE w:val="0"/>
        <w:autoSpaceDN w:val="0"/>
        <w:adjustRightInd w:val="0"/>
        <w:spacing w:line="360" w:lineRule="exact"/>
        <w:ind w:firstLine="422" w:firstLineChars="200"/>
        <w:jc w:val="left"/>
        <w:rPr>
          <w:rFonts w:ascii="宋体" w:hAnsi="宋体" w:cs="宋体"/>
          <w:b/>
          <w:bCs/>
          <w:szCs w:val="21"/>
        </w:rPr>
      </w:pPr>
      <w:r>
        <w:rPr>
          <w:rFonts w:hint="eastAsia" w:ascii="宋体" w:hAnsi="宋体" w:cs="宋体"/>
          <w:b/>
          <w:bCs/>
          <w:szCs w:val="21"/>
        </w:rPr>
        <w:t>其中，被委托实验室的质量要求包括：</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（1）质量要求</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 xml:space="preserve">①标本规范化固定率≥ 99% </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② HE 染色切片优良率≥ 99%</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③免疫组化切片优良率≥ 98%</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④术中快速冰冻病理诊断及时率≥99%</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 xml:space="preserve">⑤组织病理诊断及时率≥ 98% </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⑥细胞病理诊断及时率≥ 99%</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⑦免疫组化染色室间质评合格率≥ 99%</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⑧细胞病理诊断质控符合率≥98%</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⑨术中快速冰冻与石蜡诊断符合率≥ 95%</w:t>
      </w:r>
    </w:p>
    <w:p>
      <w:pPr>
        <w:widowControl/>
        <w:spacing w:line="360" w:lineRule="exact"/>
        <w:ind w:firstLine="420" w:firstLineChars="200"/>
        <w:rPr>
          <w:rFonts w:ascii="宋体" w:hAnsi="宋体" w:cs="宋体"/>
          <w:szCs w:val="21"/>
        </w:rPr>
      </w:pPr>
      <w:r>
        <w:rPr>
          <w:rFonts w:hint="eastAsia" w:ascii="宋体" w:hAnsi="宋体" w:cs="宋体"/>
          <w:szCs w:val="21"/>
        </w:rPr>
        <w:t>（2）甲方每季度对乙方的服务质量进行季度考核并根据考核结果扣罚乙方的服务费，考核标准由甲方与乙方协商确定。</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（3）乙方对甲方送检的合格样本结果负责，对于按照乙方取材要求进行取材的合格样本，若因乙方原因导致检测结果存在质量问题，由乙方承担相关责任。</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（4）乙方均按日或检测批次对甲方委托项目进行室内质控，按季度提供室内质量控制报表，其内容包括质控检测数据、控制标准、质控分析、失控报告。</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（5）乙方参加临床病理质量控制中心室间质评，每半年提供委托项目的能力验证活动报告，没有能力验证的检查项目应提供与委托方认可的实验室结果一致性的证据。</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（6）按甲方要求，随时提供质量和技术资料，如更换试剂批号、仪器维修后、检验系统更换后的质控记录和性能验证报告。</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（7）乙方有专人负责招标人业务及质量、技术、培训等工作。</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（8）乙方随时接受并妥善安排甲方查阅项目检测、质量控制等情况。</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（9）对于样本周转时间（TAT）的要求：</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①有明确的样本送检和报告发布时间服务承诺。检测报告需按照乙方提供的《检测项目手册》规定的出报告时间出具。</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②样本周转时间起点为委托检测单位接收样本，终点为甲方病理科或临床科室收到检查报告。</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③报告延误率≤1/1000。</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④定期提供委托项目的样本周转时间（TAT）分析，对于甲方提出的要求及时反馈并更正。</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⑤如乙方检测报告超出约定时间而又未书面通知甲方而造成恶劣影响的，包括造成医疗纠纷、群众投诉造成严重后果等情况，乙方应承担相应的经济和法律责任。</w:t>
      </w:r>
    </w:p>
    <w:p>
      <w:pPr>
        <w:autoSpaceDE w:val="0"/>
        <w:autoSpaceDN w:val="0"/>
        <w:adjustRightInd w:val="0"/>
        <w:spacing w:line="360" w:lineRule="exact"/>
        <w:ind w:firstLine="422" w:firstLineChars="200"/>
        <w:jc w:val="left"/>
        <w:rPr>
          <w:b/>
          <w:szCs w:val="21"/>
        </w:rPr>
      </w:pPr>
      <w:r>
        <w:rPr>
          <w:rFonts w:hint="eastAsia"/>
          <w:b/>
          <w:szCs w:val="21"/>
        </w:rPr>
        <w:t>第七条 服务要求</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1.乙方需安排专人每周一至周六定时前往甲方收取标本的服务，时间为8:30-17:30。遇特殊标本可机动收取。</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2.免费提供特殊检查项目所需要的相关耗材、知情同意书、专用申请单等。</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3.乙方配备完善医疗物流系统，保证标本接收、送检运输过程的安全与规范，保证标本的检测前质量。标本运输须要求直立、冷藏、封闭，符合生物安全要求，确保运输过程的样品质量和环境安全。对于需低温冷冻或有特殊要求的样本视具体项目与采购人商定。</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4.乙方具备CNAS货物运输条件鉴定书（包括血液样品、病理组织玻片、蜡块等）。</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5.乙方需按照公开的诊断项目本的报告时间内为甲方出具检查报告。</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6.乙方配备完善的信息系统，与甲方医院LIS系统对接，使医务人员可以随时调阅，可实现检验项目的多终端查询，包括网页端、手机端等，对紧急报告可提供口头报告或邮件报告等形式。</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7.未经甲方同意，不得将甲方标本用于他用。</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8.有为用户保密的义务，未经同意不得向第三方泄露甲方委托检查项目、检查的内容、检查结果。</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9.检测样本、检测数据的所有权、使用权为患者及甲方病理科所有，未经许可不得挪作它用。须按照国家或甲方要求归还或妥善保存及销毁检测后样本。</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10.乙方必须保证检测结果的公正性，不受任何诱使或压力而对检查结果进行修正及更改。</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11.乙方须建立快速的客户服务反应机制，如有针对乙方或甲方与乙方双方的投诉或需处理的情况，乙方应派代表在半日内到达甲方及时沟通处理；若主要针对甲方的投诉或需处理的情况，乙方有义务协助甲方及时沟通处理。</w:t>
      </w:r>
    </w:p>
    <w:p>
      <w:pPr>
        <w:autoSpaceDE w:val="0"/>
        <w:autoSpaceDN w:val="0"/>
        <w:spacing w:line="400" w:lineRule="exact"/>
        <w:ind w:firstLine="420" w:firstLineChars="200"/>
        <w:rPr>
          <w:rFonts w:ascii="宋体" w:hAnsi="宋体" w:cs="宋体"/>
          <w:color w:val="000000"/>
          <w:szCs w:val="21"/>
        </w:rPr>
      </w:pPr>
      <w:r>
        <w:rPr>
          <w:rFonts w:hint="eastAsia" w:ascii="宋体" w:hAnsi="宋体" w:cs="宋体"/>
          <w:color w:val="000000"/>
          <w:szCs w:val="21"/>
        </w:rPr>
        <w:t>12.乙方专职病理医生具有病理专业高级职称，从事病理疑难病例诊断5年以上，肾脏病理诊断经验3年以上，，还应具有疑难病理诊断需要的辅助检查技术，包含但不限于丰富的免疫组化抗体及检测平台，分子检测（qPCR，NGS），及免疫荧光等。</w:t>
      </w:r>
    </w:p>
    <w:p>
      <w:pPr>
        <w:spacing w:line="360" w:lineRule="exact"/>
        <w:ind w:firstLine="482"/>
        <w:rPr>
          <w:szCs w:val="21"/>
        </w:rPr>
      </w:pPr>
      <w:r>
        <w:rPr>
          <w:rFonts w:hint="eastAsia"/>
          <w:b/>
          <w:szCs w:val="21"/>
        </w:rPr>
        <w:t xml:space="preserve">第八条 </w:t>
      </w:r>
      <w:r>
        <w:rPr>
          <w:b/>
          <w:szCs w:val="21"/>
        </w:rPr>
        <w:t>双方的权利和义务</w:t>
      </w:r>
    </w:p>
    <w:p>
      <w:pPr>
        <w:spacing w:line="360" w:lineRule="exact"/>
        <w:ind w:firstLine="480"/>
        <w:rPr>
          <w:szCs w:val="21"/>
        </w:rPr>
      </w:pPr>
      <w:r>
        <w:rPr>
          <w:rFonts w:hint="eastAsia"/>
          <w:szCs w:val="21"/>
        </w:rPr>
        <w:t>1.</w:t>
      </w:r>
      <w:r>
        <w:rPr>
          <w:szCs w:val="21"/>
        </w:rPr>
        <w:t>甲方的权利和义务</w:t>
      </w:r>
    </w:p>
    <w:p>
      <w:pPr>
        <w:spacing w:line="360" w:lineRule="exact"/>
        <w:ind w:firstLine="420" w:firstLineChars="200"/>
        <w:rPr>
          <w:szCs w:val="21"/>
        </w:rPr>
      </w:pPr>
      <w:r>
        <w:rPr>
          <w:rFonts w:hint="eastAsia"/>
          <w:szCs w:val="21"/>
        </w:rPr>
        <w:t>（1）</w:t>
      </w:r>
      <w:r>
        <w:rPr>
          <w:szCs w:val="21"/>
        </w:rPr>
        <w:t>甲方负责组织人员进行，提供检查项目人员基本信息、以及检查项目内容。</w:t>
      </w:r>
    </w:p>
    <w:p>
      <w:pPr>
        <w:spacing w:line="360" w:lineRule="exact"/>
        <w:ind w:firstLine="420" w:firstLineChars="200"/>
        <w:rPr>
          <w:szCs w:val="21"/>
        </w:rPr>
      </w:pPr>
      <w:r>
        <w:rPr>
          <w:rFonts w:hint="eastAsia"/>
          <w:szCs w:val="21"/>
        </w:rPr>
        <w:t>（2）</w:t>
      </w:r>
      <w:r>
        <w:rPr>
          <w:szCs w:val="21"/>
        </w:rPr>
        <w:t>甲方委托乙方进行检测的项目，前提是甲方须具有进行该项目检验的相关政策所要求的资质资格。</w:t>
      </w:r>
    </w:p>
    <w:p>
      <w:pPr>
        <w:spacing w:line="360" w:lineRule="exact"/>
        <w:ind w:firstLine="420" w:firstLineChars="200"/>
        <w:rPr>
          <w:szCs w:val="21"/>
        </w:rPr>
      </w:pPr>
      <w:r>
        <w:rPr>
          <w:rFonts w:hint="eastAsia"/>
          <w:szCs w:val="21"/>
        </w:rPr>
        <w:t>（3）</w:t>
      </w:r>
      <w:r>
        <w:rPr>
          <w:szCs w:val="21"/>
        </w:rPr>
        <w:t>甲方需按合同约定的付款方式按时向乙方支付服务费用。</w:t>
      </w:r>
    </w:p>
    <w:p>
      <w:pPr>
        <w:spacing w:line="360" w:lineRule="exact"/>
        <w:ind w:firstLine="480"/>
        <w:rPr>
          <w:szCs w:val="21"/>
        </w:rPr>
      </w:pPr>
      <w:r>
        <w:rPr>
          <w:rFonts w:hint="eastAsia"/>
          <w:szCs w:val="21"/>
        </w:rPr>
        <w:t>2.</w:t>
      </w:r>
      <w:r>
        <w:rPr>
          <w:szCs w:val="21"/>
        </w:rPr>
        <w:t>乙方的权利和义务</w:t>
      </w:r>
    </w:p>
    <w:p>
      <w:pPr>
        <w:spacing w:line="360" w:lineRule="exact"/>
        <w:ind w:firstLine="420" w:firstLineChars="200"/>
        <w:rPr>
          <w:szCs w:val="21"/>
        </w:rPr>
      </w:pPr>
      <w:r>
        <w:rPr>
          <w:rFonts w:hint="eastAsia"/>
          <w:szCs w:val="21"/>
        </w:rPr>
        <w:t>（1）</w:t>
      </w:r>
      <w:r>
        <w:rPr>
          <w:szCs w:val="21"/>
        </w:rPr>
        <w:t>乙方须具备向甲方提供基因检测的专业技术人员的能力，所提供的专业技术人员应满足甲方样本外送检验的要求。</w:t>
      </w:r>
    </w:p>
    <w:p>
      <w:pPr>
        <w:spacing w:line="360" w:lineRule="exact"/>
        <w:ind w:firstLine="420" w:firstLineChars="200"/>
        <w:rPr>
          <w:szCs w:val="21"/>
        </w:rPr>
      </w:pPr>
      <w:r>
        <w:rPr>
          <w:rFonts w:hint="eastAsia"/>
          <w:szCs w:val="21"/>
        </w:rPr>
        <w:t>（2）</w:t>
      </w:r>
      <w:r>
        <w:rPr>
          <w:szCs w:val="21"/>
        </w:rPr>
        <w:t>如甲方或受检者对检测结果有疑问，乙方有义务做好配合解释工作。</w:t>
      </w:r>
    </w:p>
    <w:p>
      <w:pPr>
        <w:spacing w:line="360" w:lineRule="exact"/>
        <w:ind w:firstLine="420" w:firstLineChars="200"/>
        <w:rPr>
          <w:szCs w:val="21"/>
        </w:rPr>
      </w:pPr>
      <w:r>
        <w:rPr>
          <w:rFonts w:hint="eastAsia"/>
          <w:szCs w:val="21"/>
        </w:rPr>
        <w:t>（3）</w:t>
      </w:r>
      <w:r>
        <w:rPr>
          <w:szCs w:val="21"/>
        </w:rPr>
        <w:t>乙方所投入的专业技术人员必须与乙方存在稳定的劳动关系，签订书面劳动合同，乙方为其购买社会保险。</w:t>
      </w:r>
    </w:p>
    <w:p>
      <w:pPr>
        <w:spacing w:line="360" w:lineRule="exact"/>
        <w:ind w:firstLine="420" w:firstLineChars="200"/>
        <w:rPr>
          <w:szCs w:val="21"/>
        </w:rPr>
      </w:pPr>
      <w:r>
        <w:rPr>
          <w:rFonts w:hint="eastAsia"/>
          <w:szCs w:val="21"/>
        </w:rPr>
        <w:t>（4）</w:t>
      </w:r>
      <w:r>
        <w:rPr>
          <w:szCs w:val="21"/>
        </w:rPr>
        <w:t>乙方技术人员在检测活动中因各种原因被客户投诉，甲方可协助处理，但不承担赔偿责任（包括名誉损害责任）；如乙方出现下列情形，造成的损失、费用和责任，由乙方承担全部责任，且甲方有权即时终止与乙方合作，乙方按违约条款对甲方进行赔偿。</w:t>
      </w:r>
    </w:p>
    <w:p>
      <w:pPr>
        <w:spacing w:line="360" w:lineRule="exact"/>
        <w:ind w:firstLine="480"/>
        <w:rPr>
          <w:szCs w:val="21"/>
        </w:rPr>
      </w:pPr>
      <w:r>
        <w:rPr>
          <w:rFonts w:hint="eastAsia" w:ascii="宋体" w:hAnsi="宋体" w:cs="宋体"/>
          <w:szCs w:val="21"/>
        </w:rPr>
        <w:t>①</w:t>
      </w:r>
      <w:r>
        <w:rPr>
          <w:szCs w:val="21"/>
        </w:rPr>
        <w:t>乙方医务人员故意造假，出具虚假报告；</w:t>
      </w:r>
    </w:p>
    <w:p>
      <w:pPr>
        <w:spacing w:line="360" w:lineRule="exact"/>
        <w:ind w:firstLine="480"/>
        <w:rPr>
          <w:szCs w:val="21"/>
        </w:rPr>
      </w:pPr>
      <w:r>
        <w:rPr>
          <w:rFonts w:hint="eastAsia" w:ascii="宋体" w:hAnsi="宋体" w:cs="宋体"/>
          <w:szCs w:val="21"/>
        </w:rPr>
        <w:t>②</w:t>
      </w:r>
      <w:r>
        <w:rPr>
          <w:szCs w:val="21"/>
        </w:rPr>
        <w:t>乙方医务人员在酒醉或药剂麻醉状态下进行检测活动；</w:t>
      </w:r>
    </w:p>
    <w:p>
      <w:pPr>
        <w:spacing w:line="360" w:lineRule="exact"/>
        <w:ind w:firstLine="480"/>
        <w:rPr>
          <w:szCs w:val="21"/>
        </w:rPr>
      </w:pPr>
      <w:r>
        <w:rPr>
          <w:rFonts w:hint="eastAsia" w:ascii="宋体" w:hAnsi="宋体" w:cs="宋体"/>
          <w:szCs w:val="21"/>
        </w:rPr>
        <w:t>③</w:t>
      </w:r>
      <w:r>
        <w:rPr>
          <w:szCs w:val="21"/>
        </w:rPr>
        <w:t>乙方医务人员趁工作职能之便以其他方式侵害客户权益而被投诉，经调查属实；</w:t>
      </w:r>
    </w:p>
    <w:p>
      <w:pPr>
        <w:spacing w:line="360" w:lineRule="exact"/>
        <w:ind w:firstLine="480"/>
        <w:rPr>
          <w:szCs w:val="21"/>
        </w:rPr>
      </w:pPr>
      <w:r>
        <w:rPr>
          <w:rFonts w:hint="eastAsia"/>
          <w:szCs w:val="21"/>
        </w:rPr>
        <w:t>3.</w:t>
      </w:r>
      <w:r>
        <w:rPr>
          <w:szCs w:val="21"/>
        </w:rPr>
        <w:t>乙方如需召回检测结果的，可通过电话、邮寄、传真、电子邮件、当面告知等任一方式通知甲方召回检测结果，并通过上述形式提供新的检测结果，并告知受检者，否则应承担相应的责任。</w:t>
      </w:r>
    </w:p>
    <w:p>
      <w:pPr>
        <w:pStyle w:val="2"/>
        <w:spacing w:line="360" w:lineRule="exact"/>
        <w:ind w:firstLine="420" w:firstLineChars="200"/>
        <w:rPr>
          <w:rFonts w:ascii="宋体" w:hAnsi="宋体" w:cs="宋体"/>
          <w:szCs w:val="21"/>
        </w:rPr>
      </w:pPr>
      <w:r>
        <w:rPr>
          <w:rFonts w:hint="eastAsia" w:ascii="宋体" w:hAnsi="宋体" w:cs="宋体"/>
          <w:szCs w:val="21"/>
        </w:rPr>
        <w:t>4.乙方履行本合同的指定联系人及授权代表为【】，职务：【】；身份证件号码：【】联系电话</w:t>
      </w:r>
      <w:r>
        <w:rPr>
          <w:rFonts w:ascii="宋体" w:hAnsi="宋体" w:cs="宋体"/>
          <w:szCs w:val="21"/>
        </w:rPr>
        <w:t xml:space="preserve"> </w:t>
      </w:r>
      <w:r>
        <w:rPr>
          <w:rFonts w:hint="eastAsia" w:ascii="宋体" w:hAnsi="宋体" w:cs="宋体"/>
          <w:szCs w:val="21"/>
        </w:rPr>
        <w:t>【】。在履行合同过程中，该指定联系人及授权代表的行为、意思表示及对甲方所作的任何承诺、通知等，都对乙方直接具有约束力；甲方通知送达该联系人及授权代表时，即视为通知送达乙方。</w:t>
      </w:r>
    </w:p>
    <w:p>
      <w:pPr>
        <w:pStyle w:val="2"/>
        <w:spacing w:line="360" w:lineRule="exact"/>
        <w:ind w:firstLine="420" w:firstLineChars="200"/>
        <w:rPr>
          <w:b/>
          <w:szCs w:val="21"/>
        </w:rPr>
      </w:pPr>
      <w:r>
        <w:rPr>
          <w:rFonts w:hint="eastAsia" w:ascii="宋体" w:hAnsi="宋体" w:cs="宋体"/>
          <w:szCs w:val="21"/>
        </w:rPr>
        <w:t>5.乙方须接受甲方履约诚信评价。</w:t>
      </w:r>
      <w:r>
        <w:rPr>
          <w:rFonts w:hint="eastAsia" w:ascii="宋体" w:hAnsi="宋体" w:cs="宋体"/>
          <w:b/>
          <w:bCs/>
          <w:szCs w:val="21"/>
        </w:rPr>
        <w:t>（详见附件南方医科大学第五附属医院供应商履约诚信评价量表）</w:t>
      </w:r>
    </w:p>
    <w:p>
      <w:pPr>
        <w:spacing w:line="360" w:lineRule="exact"/>
        <w:ind w:firstLine="482"/>
        <w:rPr>
          <w:szCs w:val="21"/>
        </w:rPr>
      </w:pPr>
      <w:r>
        <w:rPr>
          <w:rFonts w:hint="eastAsia"/>
          <w:b/>
          <w:szCs w:val="21"/>
        </w:rPr>
        <w:t xml:space="preserve">第九条 </w:t>
      </w:r>
      <w:r>
        <w:rPr>
          <w:b/>
          <w:szCs w:val="21"/>
        </w:rPr>
        <w:t>违约责任</w:t>
      </w:r>
    </w:p>
    <w:p>
      <w:pPr>
        <w:spacing w:line="360" w:lineRule="exact"/>
        <w:ind w:firstLine="480"/>
        <w:rPr>
          <w:szCs w:val="21"/>
        </w:rPr>
      </w:pPr>
      <w:r>
        <w:rPr>
          <w:szCs w:val="21"/>
        </w:rPr>
        <w:t>1.乙方提供的检测项目未能满足甲方要求的，乙方须向甲方支付当季度结算总金额5%的违约金。</w:t>
      </w:r>
    </w:p>
    <w:p>
      <w:pPr>
        <w:spacing w:line="360" w:lineRule="exact"/>
        <w:ind w:firstLine="480"/>
        <w:rPr>
          <w:szCs w:val="21"/>
        </w:rPr>
      </w:pPr>
      <w:r>
        <w:rPr>
          <w:szCs w:val="21"/>
        </w:rPr>
        <w:t>2.乙方未能按甲方规定时间提供服务的，每次按当季度结算总金额1%的数额向甲方支付违约金；超过10次以上（含10次）的，甲方有权终止合同，要求乙方支付违约金，并且给甲方造成的经济损失由乙方承担赔偿责任。</w:t>
      </w:r>
    </w:p>
    <w:p>
      <w:pPr>
        <w:spacing w:line="360" w:lineRule="exact"/>
        <w:ind w:firstLine="480"/>
        <w:rPr>
          <w:szCs w:val="21"/>
        </w:rPr>
      </w:pPr>
      <w:r>
        <w:rPr>
          <w:szCs w:val="21"/>
        </w:rPr>
        <w:t>3.甲方无正当理由拒收接受服务，到期拒付服务款项的，甲方向乙方偿付当季度结算总金额5%的违约金。甲方逾期付款，则每日按本合同总价的3‰向乙方偿付违约金，违约金最高不超过逾期未付金额的5%。</w:t>
      </w:r>
    </w:p>
    <w:p>
      <w:pPr>
        <w:spacing w:line="360" w:lineRule="exact"/>
        <w:ind w:firstLine="480"/>
        <w:rPr>
          <w:szCs w:val="21"/>
        </w:rPr>
      </w:pPr>
      <w:r>
        <w:rPr>
          <w:szCs w:val="21"/>
        </w:rPr>
        <w:t>4.发生本合同第</w:t>
      </w:r>
      <w:r>
        <w:rPr>
          <w:rFonts w:hint="eastAsia"/>
          <w:szCs w:val="21"/>
        </w:rPr>
        <w:t>八</w:t>
      </w:r>
      <w:r>
        <w:rPr>
          <w:szCs w:val="21"/>
        </w:rPr>
        <w:t>条第（二）款第</w:t>
      </w:r>
      <w:r>
        <w:rPr>
          <w:rFonts w:hint="eastAsia"/>
          <w:szCs w:val="21"/>
        </w:rPr>
        <w:t>4</w:t>
      </w:r>
      <w:r>
        <w:rPr>
          <w:szCs w:val="21"/>
        </w:rPr>
        <w:t>项之</w:t>
      </w:r>
      <w:r>
        <w:rPr>
          <w:rFonts w:hint="eastAsia"/>
          <w:szCs w:val="21"/>
        </w:rPr>
        <w:t>一</w:t>
      </w:r>
      <w:r>
        <w:rPr>
          <w:szCs w:val="21"/>
        </w:rPr>
        <w:t>情形的，甲方有权无责任解除本合同，要求乙方退还所有已支付款项并赔偿违约金1万元。</w:t>
      </w:r>
    </w:p>
    <w:p>
      <w:pPr>
        <w:spacing w:line="360" w:lineRule="exact"/>
        <w:ind w:firstLine="480"/>
        <w:rPr>
          <w:szCs w:val="21"/>
        </w:rPr>
      </w:pPr>
      <w:r>
        <w:rPr>
          <w:rFonts w:hint="eastAsia"/>
          <w:szCs w:val="21"/>
        </w:rPr>
        <w:t>5. 乙方不得以任何方式将本项目转包、分包，否则甲方有权解除本合同，同时扣除乙方全额履约保证金，乙方还应赔偿甲方由此受到的一切损失。</w:t>
      </w:r>
    </w:p>
    <w:p>
      <w:pPr>
        <w:spacing w:line="360" w:lineRule="exact"/>
        <w:ind w:firstLine="480"/>
        <w:rPr>
          <w:szCs w:val="21"/>
        </w:rPr>
      </w:pPr>
      <w:r>
        <w:rPr>
          <w:rFonts w:hint="eastAsia"/>
          <w:szCs w:val="21"/>
        </w:rPr>
        <w:t>6.其它违约责任按《中华人民共和国民法典》中“关于合同”的部分处理。</w:t>
      </w:r>
    </w:p>
    <w:p>
      <w:pPr>
        <w:spacing w:line="360" w:lineRule="exact"/>
        <w:ind w:firstLine="480"/>
        <w:rPr>
          <w:szCs w:val="21"/>
        </w:rPr>
      </w:pPr>
      <w:r>
        <w:rPr>
          <w:rFonts w:hint="eastAsia"/>
          <w:szCs w:val="21"/>
        </w:rPr>
        <w:t>7.本合同生效后，如任何一方违约，守约方为维护权益，向违约方追偿的一切费用，包括但不限于律师费、诉讼费、保全费、鉴定费、差旅费等由违约方承担。由于乙方违约所产生的违约金或赔偿金，甲方有权在应付未付给乙方的合同款项中直接扣除，同时甲方有权根据本合同的相关约定向乙方提出不足部分的赔偿。</w:t>
      </w:r>
    </w:p>
    <w:p>
      <w:pPr>
        <w:spacing w:line="360" w:lineRule="exact"/>
        <w:ind w:firstLine="482"/>
        <w:rPr>
          <w:szCs w:val="21"/>
        </w:rPr>
      </w:pPr>
      <w:r>
        <w:rPr>
          <w:rFonts w:hint="eastAsia"/>
          <w:b/>
          <w:szCs w:val="21"/>
        </w:rPr>
        <w:t xml:space="preserve">第十条 </w:t>
      </w:r>
      <w:r>
        <w:rPr>
          <w:b/>
          <w:szCs w:val="21"/>
        </w:rPr>
        <w:t>不可抗力</w:t>
      </w:r>
    </w:p>
    <w:p>
      <w:pPr>
        <w:spacing w:line="360" w:lineRule="exact"/>
        <w:ind w:firstLine="480"/>
        <w:rPr>
          <w:szCs w:val="21"/>
        </w:rPr>
      </w:pPr>
      <w:r>
        <w:rPr>
          <w:szCs w:val="21"/>
        </w:rPr>
        <w:t>1.不可抗力指战争、严重火灾、洪水、台风、地震等或其它双方认定的不可抗力事件。</w:t>
      </w:r>
    </w:p>
    <w:p>
      <w:pPr>
        <w:spacing w:line="360" w:lineRule="exact"/>
        <w:ind w:firstLine="480"/>
        <w:rPr>
          <w:szCs w:val="21"/>
        </w:rPr>
      </w:pPr>
      <w:r>
        <w:rPr>
          <w:szCs w:val="21"/>
        </w:rPr>
        <w:t>2.签约双方中任何一方由于不可抗力影响合同履行时，发生不可抗力一方应尽快将事故通知另一方。在此情况下，乙方仍然有责任采取必要的措施提供服务，双方应通过友好协商尽快解决本合同的履行问题。</w:t>
      </w:r>
    </w:p>
    <w:p>
      <w:pPr>
        <w:spacing w:line="360" w:lineRule="exact"/>
        <w:ind w:firstLine="482"/>
        <w:rPr>
          <w:szCs w:val="21"/>
        </w:rPr>
      </w:pPr>
      <w:r>
        <w:rPr>
          <w:rFonts w:hint="eastAsia"/>
          <w:b/>
          <w:szCs w:val="21"/>
        </w:rPr>
        <w:t xml:space="preserve">第十一条 </w:t>
      </w:r>
      <w:r>
        <w:rPr>
          <w:b/>
          <w:szCs w:val="21"/>
        </w:rPr>
        <w:t>纠纷的解决方式</w:t>
      </w:r>
    </w:p>
    <w:p>
      <w:pPr>
        <w:spacing w:line="360" w:lineRule="exact"/>
        <w:ind w:firstLine="480"/>
        <w:rPr>
          <w:szCs w:val="21"/>
        </w:rPr>
      </w:pPr>
      <w:r>
        <w:rPr>
          <w:rFonts w:hint="eastAsia"/>
          <w:szCs w:val="21"/>
        </w:rPr>
        <w:t>签约双方在履约中发生争执和分歧，双方应通过友好协商解决;若经协商不能达成协议时，应向甲方所在地法院起诉。受理期间，双方应继续执行合同其余部分。</w:t>
      </w:r>
    </w:p>
    <w:p>
      <w:pPr>
        <w:spacing w:line="360" w:lineRule="exact"/>
        <w:ind w:firstLine="482"/>
        <w:rPr>
          <w:szCs w:val="21"/>
        </w:rPr>
      </w:pPr>
      <w:r>
        <w:rPr>
          <w:rFonts w:hint="eastAsia"/>
          <w:b/>
          <w:szCs w:val="21"/>
        </w:rPr>
        <w:t xml:space="preserve">第十二条 </w:t>
      </w:r>
      <w:r>
        <w:rPr>
          <w:b/>
          <w:szCs w:val="21"/>
        </w:rPr>
        <w:t>其他</w:t>
      </w:r>
    </w:p>
    <w:p>
      <w:pPr>
        <w:spacing w:line="360" w:lineRule="exact"/>
        <w:ind w:firstLine="480"/>
        <w:rPr>
          <w:szCs w:val="21"/>
        </w:rPr>
      </w:pPr>
      <w:r>
        <w:rPr>
          <w:rFonts w:hint="eastAsia"/>
          <w:szCs w:val="21"/>
        </w:rPr>
        <w:t>1.如一方地址、电话有变更，应在变更当日内书面通知对方，否则，应承担相应责任。</w:t>
      </w:r>
    </w:p>
    <w:p>
      <w:pPr>
        <w:spacing w:line="360" w:lineRule="exact"/>
        <w:ind w:firstLine="480"/>
        <w:rPr>
          <w:szCs w:val="21"/>
        </w:rPr>
      </w:pPr>
      <w:r>
        <w:rPr>
          <w:rFonts w:hint="eastAsia"/>
          <w:szCs w:val="21"/>
        </w:rPr>
        <w:t>2.本合同未尽事宜，由双方协商处理,另行签订《补充协议》。</w:t>
      </w:r>
    </w:p>
    <w:p>
      <w:pPr>
        <w:spacing w:line="360" w:lineRule="exact"/>
        <w:ind w:firstLine="480"/>
        <w:rPr>
          <w:szCs w:val="21"/>
        </w:rPr>
      </w:pPr>
      <w:r>
        <w:rPr>
          <w:rFonts w:hint="eastAsia"/>
          <w:szCs w:val="21"/>
        </w:rPr>
        <w:t>3.本合同在甲乙双方法定代表人或其授权代表签字并加盖公章后生效。</w:t>
      </w:r>
    </w:p>
    <w:p>
      <w:pPr>
        <w:spacing w:line="360" w:lineRule="exact"/>
        <w:ind w:firstLine="480"/>
        <w:rPr>
          <w:szCs w:val="21"/>
        </w:rPr>
      </w:pPr>
      <w:r>
        <w:rPr>
          <w:rFonts w:hint="eastAsia"/>
          <w:szCs w:val="21"/>
        </w:rPr>
        <w:t>4.本合同一式   份，甲方执  份，乙方执  份。各份合同具有同等法律效力。</w:t>
      </w:r>
    </w:p>
    <w:p>
      <w:pPr>
        <w:spacing w:line="360" w:lineRule="exact"/>
        <w:jc w:val="center"/>
        <w:rPr>
          <w:b/>
          <w:bCs/>
          <w:szCs w:val="21"/>
        </w:rPr>
      </w:pPr>
      <w:r>
        <w:rPr>
          <w:b/>
          <w:bCs/>
          <w:szCs w:val="21"/>
        </w:rPr>
        <w:t>(以下无正文)</w:t>
      </w:r>
    </w:p>
    <w:p>
      <w:pPr>
        <w:spacing w:line="360" w:lineRule="exact"/>
        <w:ind w:firstLine="632" w:firstLineChars="300"/>
        <w:rPr>
          <w:b/>
          <w:szCs w:val="21"/>
        </w:rPr>
      </w:pPr>
      <w:r>
        <w:rPr>
          <w:rFonts w:hint="eastAsia"/>
          <w:b/>
          <w:szCs w:val="21"/>
        </w:rPr>
        <w:t>附件：南方医科大学第五附属医院供应商履约诚信评价量表</w:t>
      </w:r>
    </w:p>
    <w:p>
      <w:pPr>
        <w:spacing w:line="360" w:lineRule="exact"/>
        <w:jc w:val="center"/>
        <w:rPr>
          <w:szCs w:val="21"/>
        </w:rPr>
      </w:pPr>
      <w:r>
        <w:rPr>
          <w:b/>
          <w:szCs w:val="21"/>
        </w:rPr>
        <w:t>签署页</w:t>
      </w:r>
    </w:p>
    <w:p>
      <w:pPr>
        <w:spacing w:line="360" w:lineRule="exact"/>
        <w:jc w:val="left"/>
        <w:rPr>
          <w:szCs w:val="21"/>
        </w:rPr>
      </w:pPr>
      <w:r>
        <w:rPr>
          <w:szCs w:val="21"/>
        </w:rPr>
        <w:t xml:space="preserve"> </w:t>
      </w:r>
    </w:p>
    <w:p>
      <w:pPr>
        <w:spacing w:line="360" w:lineRule="exact"/>
        <w:jc w:val="left"/>
        <w:rPr>
          <w:szCs w:val="21"/>
        </w:rPr>
      </w:pPr>
      <w:r>
        <w:rPr>
          <w:b/>
          <w:szCs w:val="21"/>
        </w:rPr>
        <w:t xml:space="preserve">甲方：                                 </w:t>
      </w:r>
      <w:r>
        <w:rPr>
          <w:rFonts w:hint="eastAsia"/>
          <w:b/>
          <w:szCs w:val="21"/>
        </w:rPr>
        <w:t xml:space="preserve">       </w:t>
      </w:r>
      <w:r>
        <w:rPr>
          <w:b/>
          <w:szCs w:val="21"/>
        </w:rPr>
        <w:t xml:space="preserve"> 乙方： </w:t>
      </w:r>
    </w:p>
    <w:p>
      <w:pPr>
        <w:spacing w:line="360" w:lineRule="exact"/>
        <w:jc w:val="left"/>
        <w:rPr>
          <w:szCs w:val="21"/>
        </w:rPr>
      </w:pPr>
      <w:r>
        <w:rPr>
          <w:b/>
          <w:szCs w:val="21"/>
        </w:rPr>
        <w:t xml:space="preserve"> </w:t>
      </w:r>
    </w:p>
    <w:p>
      <w:pPr>
        <w:spacing w:line="360" w:lineRule="exact"/>
        <w:jc w:val="left"/>
        <w:rPr>
          <w:szCs w:val="21"/>
        </w:rPr>
      </w:pPr>
      <w:r>
        <w:rPr>
          <w:b/>
          <w:szCs w:val="21"/>
        </w:rPr>
        <w:t xml:space="preserve"> </w:t>
      </w:r>
    </w:p>
    <w:p>
      <w:pPr>
        <w:spacing w:line="360" w:lineRule="exact"/>
        <w:jc w:val="left"/>
        <w:rPr>
          <w:szCs w:val="21"/>
        </w:rPr>
      </w:pPr>
      <w:r>
        <w:rPr>
          <w:b/>
          <w:szCs w:val="21"/>
        </w:rPr>
        <w:t xml:space="preserve">法定代表人或授权代表：            </w:t>
      </w:r>
      <w:r>
        <w:rPr>
          <w:rFonts w:hint="eastAsia"/>
          <w:b/>
          <w:szCs w:val="21"/>
        </w:rPr>
        <w:t xml:space="preserve">      </w:t>
      </w:r>
      <w:r>
        <w:rPr>
          <w:b/>
          <w:szCs w:val="21"/>
        </w:rPr>
        <w:t xml:space="preserve">  法定代表人或授权代表：</w:t>
      </w:r>
    </w:p>
    <w:p>
      <w:pPr>
        <w:spacing w:line="360" w:lineRule="exact"/>
        <w:jc w:val="left"/>
        <w:rPr>
          <w:szCs w:val="21"/>
        </w:rPr>
      </w:pPr>
      <w:r>
        <w:rPr>
          <w:b/>
          <w:szCs w:val="21"/>
        </w:rPr>
        <w:t xml:space="preserve">                           </w:t>
      </w:r>
    </w:p>
    <w:p>
      <w:pPr>
        <w:spacing w:line="360" w:lineRule="exact"/>
        <w:jc w:val="left"/>
        <w:rPr>
          <w:b/>
          <w:szCs w:val="21"/>
        </w:rPr>
      </w:pPr>
    </w:p>
    <w:p>
      <w:pPr>
        <w:spacing w:line="360" w:lineRule="exact"/>
        <w:jc w:val="left"/>
        <w:rPr>
          <w:b/>
          <w:szCs w:val="21"/>
        </w:rPr>
      </w:pPr>
    </w:p>
    <w:p>
      <w:pPr>
        <w:spacing w:line="360" w:lineRule="exact"/>
        <w:jc w:val="left"/>
        <w:rPr>
          <w:szCs w:val="21"/>
        </w:rPr>
      </w:pPr>
      <w:r>
        <w:rPr>
          <w:b/>
          <w:szCs w:val="21"/>
        </w:rPr>
        <w:t xml:space="preserve">日期：   年   月   日                 </w:t>
      </w:r>
      <w:r>
        <w:rPr>
          <w:rFonts w:hint="eastAsia"/>
          <w:b/>
          <w:szCs w:val="21"/>
        </w:rPr>
        <w:t xml:space="preserve">             </w:t>
      </w:r>
      <w:r>
        <w:rPr>
          <w:b/>
          <w:szCs w:val="21"/>
        </w:rPr>
        <w:t xml:space="preserve">  日期：   年   月   日</w:t>
      </w:r>
    </w:p>
    <w:p>
      <w:pPr>
        <w:spacing w:line="360" w:lineRule="exact"/>
        <w:jc w:val="left"/>
        <w:rPr>
          <w:szCs w:val="21"/>
        </w:rPr>
      </w:pPr>
      <w:r>
        <w:rPr>
          <w:szCs w:val="21"/>
        </w:rPr>
        <w:t xml:space="preserve"> </w:t>
      </w:r>
    </w:p>
    <w:p>
      <w:pPr>
        <w:spacing w:line="360" w:lineRule="auto"/>
        <w:jc w:val="left"/>
      </w:pPr>
      <w:r>
        <w:t xml:space="preserve"> </w:t>
      </w:r>
    </w:p>
    <w:p>
      <w:pPr>
        <w:spacing w:line="360" w:lineRule="auto"/>
        <w:jc w:val="left"/>
      </w:pPr>
      <w:r>
        <w:t xml:space="preserve"> </w:t>
      </w:r>
    </w:p>
    <w:p/>
    <w:p>
      <w:pPr>
        <w:rPr>
          <w:rFonts w:hAnsi="宋体"/>
          <w:b/>
          <w:bCs/>
        </w:rPr>
      </w:pPr>
    </w:p>
    <w:p>
      <w:pPr>
        <w:rPr>
          <w:rFonts w:hAnsi="宋体"/>
          <w:b/>
          <w:bCs/>
        </w:rPr>
      </w:pPr>
    </w:p>
    <w:p>
      <w:pPr>
        <w:rPr>
          <w:rFonts w:hAnsi="宋体"/>
          <w:b/>
          <w:bCs/>
        </w:rPr>
      </w:pPr>
    </w:p>
    <w:p>
      <w:pPr>
        <w:rPr>
          <w:rFonts w:hAnsi="宋体"/>
          <w:b/>
          <w:bCs/>
        </w:rPr>
      </w:pPr>
    </w:p>
    <w:p>
      <w:pPr>
        <w:rPr>
          <w:rFonts w:hAnsi="宋体"/>
          <w:b/>
          <w:bCs/>
        </w:rPr>
      </w:pPr>
    </w:p>
    <w:p>
      <w:pPr>
        <w:rPr>
          <w:rFonts w:hAnsi="宋体"/>
          <w:b/>
          <w:bCs/>
        </w:rPr>
      </w:pPr>
    </w:p>
    <w:p>
      <w:pPr>
        <w:rPr>
          <w:rFonts w:hAnsi="宋体"/>
          <w:b/>
          <w:bCs/>
        </w:rPr>
      </w:pPr>
    </w:p>
    <w:p>
      <w:pPr>
        <w:rPr>
          <w:rFonts w:hAnsi="宋体"/>
          <w:b/>
          <w:bCs/>
        </w:rPr>
      </w:pPr>
    </w:p>
    <w:p>
      <w:pPr>
        <w:rPr>
          <w:rFonts w:hAnsi="宋体"/>
          <w:b/>
          <w:bCs/>
        </w:rPr>
      </w:pPr>
    </w:p>
    <w:p>
      <w:pPr>
        <w:rPr>
          <w:rFonts w:hAnsi="宋体"/>
          <w:b/>
          <w:bCs/>
        </w:rPr>
      </w:pPr>
    </w:p>
    <w:p>
      <w:pPr>
        <w:rPr>
          <w:rFonts w:hAnsi="宋体"/>
          <w:b/>
          <w:bCs/>
        </w:rPr>
      </w:pPr>
    </w:p>
    <w:p>
      <w:pPr>
        <w:rPr>
          <w:rFonts w:hAnsi="宋体"/>
          <w:b/>
          <w:bCs/>
        </w:rPr>
      </w:pPr>
    </w:p>
    <w:p>
      <w:pPr>
        <w:rPr>
          <w:rFonts w:hAnsi="宋体"/>
          <w:b/>
        </w:rPr>
      </w:pPr>
      <w:r>
        <w:rPr>
          <w:rFonts w:hint="eastAsia" w:hAnsi="宋体"/>
          <w:b/>
          <w:bCs/>
        </w:rPr>
        <w:t>附件</w:t>
      </w:r>
    </w:p>
    <w:p>
      <w:pPr>
        <w:jc w:val="center"/>
        <w:rPr>
          <w:rFonts w:hAnsi="宋体"/>
          <w:b/>
          <w:szCs w:val="21"/>
        </w:rPr>
      </w:pPr>
      <w:r>
        <w:rPr>
          <w:rFonts w:hint="eastAsia" w:hAnsi="宋体"/>
          <w:b/>
          <w:szCs w:val="21"/>
        </w:rPr>
        <w:t>南方医科大学第五附属医院供应商履约诚信评价量表</w:t>
      </w:r>
    </w:p>
    <w:p>
      <w:pPr>
        <w:spacing w:line="360" w:lineRule="auto"/>
        <w:ind w:firstLine="361" w:firstLineChars="200"/>
        <w:rPr>
          <w:rFonts w:hint="eastAsia" w:hAnsi="宋体" w:cs="宋体"/>
          <w:b/>
          <w:sz w:val="18"/>
          <w:szCs w:val="18"/>
        </w:rPr>
      </w:pPr>
    </w:p>
    <w:p>
      <w:pPr>
        <w:spacing w:line="360" w:lineRule="auto"/>
        <w:ind w:firstLine="361" w:firstLineChars="200"/>
        <w:rPr>
          <w:rFonts w:hAnsi="宋体" w:cs="宋体"/>
          <w:b/>
          <w:sz w:val="18"/>
          <w:szCs w:val="18"/>
        </w:rPr>
      </w:pPr>
      <w:r>
        <w:rPr>
          <w:rFonts w:hint="eastAsia" w:hAnsi="宋体" w:cs="宋体"/>
          <w:b/>
          <w:sz w:val="18"/>
          <w:szCs w:val="18"/>
        </w:rPr>
        <w:t>（1）医教部评价（占70%）</w:t>
      </w:r>
    </w:p>
    <w:tbl>
      <w:tblPr>
        <w:tblStyle w:val="19"/>
        <w:tblW w:w="9475" w:type="dxa"/>
        <w:jc w:val="center"/>
        <w:tblLayout w:type="fixed"/>
        <w:tblCellMar>
          <w:top w:w="0" w:type="dxa"/>
          <w:left w:w="108" w:type="dxa"/>
          <w:bottom w:w="0" w:type="dxa"/>
          <w:right w:w="108" w:type="dxa"/>
        </w:tblCellMar>
      </w:tblPr>
      <w:tblGrid>
        <w:gridCol w:w="473"/>
        <w:gridCol w:w="838"/>
        <w:gridCol w:w="780"/>
        <w:gridCol w:w="450"/>
        <w:gridCol w:w="765"/>
        <w:gridCol w:w="660"/>
        <w:gridCol w:w="645"/>
        <w:gridCol w:w="645"/>
        <w:gridCol w:w="582"/>
        <w:gridCol w:w="633"/>
        <w:gridCol w:w="690"/>
        <w:gridCol w:w="525"/>
        <w:gridCol w:w="660"/>
        <w:gridCol w:w="540"/>
        <w:gridCol w:w="589"/>
      </w:tblGrid>
      <w:tr>
        <w:tblPrEx>
          <w:tblCellMar>
            <w:top w:w="0" w:type="dxa"/>
            <w:left w:w="108" w:type="dxa"/>
            <w:bottom w:w="0" w:type="dxa"/>
            <w:right w:w="108" w:type="dxa"/>
          </w:tblCellMar>
        </w:tblPrEx>
        <w:trPr>
          <w:trHeight w:val="436" w:hRule="atLeast"/>
          <w:jc w:val="center"/>
        </w:trPr>
        <w:tc>
          <w:tcPr>
            <w:tcW w:w="47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序号</w:t>
            </w:r>
          </w:p>
        </w:tc>
        <w:tc>
          <w:tcPr>
            <w:tcW w:w="838" w:type="dxa"/>
            <w:vMerge w:val="restart"/>
            <w:tcBorders>
              <w:top w:val="single" w:color="auto" w:sz="4" w:space="0"/>
              <w:left w:val="single" w:color="auto" w:sz="4" w:space="0"/>
              <w:bottom w:val="single" w:color="auto" w:sz="4" w:space="0"/>
              <w:right w:val="single" w:color="auto" w:sz="4" w:space="0"/>
            </w:tcBorders>
            <w:vAlign w:val="center"/>
          </w:tcPr>
          <w:p>
            <w:pPr>
              <w:widowControl/>
              <w:rPr>
                <w:rFonts w:hAnsi="宋体" w:cs="宋体"/>
                <w:sz w:val="18"/>
                <w:szCs w:val="18"/>
              </w:rPr>
            </w:pPr>
            <w:r>
              <w:rPr>
                <w:rFonts w:hint="eastAsia" w:hAnsi="宋体" w:cs="宋体"/>
                <w:sz w:val="18"/>
                <w:szCs w:val="18"/>
              </w:rPr>
              <w:t>供应商</w:t>
            </w:r>
          </w:p>
        </w:tc>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货物/服务/工程名称</w:t>
            </w:r>
          </w:p>
        </w:tc>
        <w:tc>
          <w:tcPr>
            <w:tcW w:w="4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开标时间</w:t>
            </w:r>
          </w:p>
        </w:tc>
        <w:tc>
          <w:tcPr>
            <w:tcW w:w="2070" w:type="dxa"/>
            <w:gridSpan w:val="3"/>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质量水平评价</w:t>
            </w:r>
          </w:p>
        </w:tc>
        <w:tc>
          <w:tcPr>
            <w:tcW w:w="1227" w:type="dxa"/>
            <w:gridSpan w:val="2"/>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响应能力评价</w:t>
            </w:r>
          </w:p>
        </w:tc>
        <w:tc>
          <w:tcPr>
            <w:tcW w:w="1848" w:type="dxa"/>
            <w:gridSpan w:val="3"/>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服务能力评价</w:t>
            </w:r>
          </w:p>
        </w:tc>
        <w:tc>
          <w:tcPr>
            <w:tcW w:w="1200" w:type="dxa"/>
            <w:gridSpan w:val="2"/>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履约合作评价</w:t>
            </w:r>
          </w:p>
        </w:tc>
        <w:tc>
          <w:tcPr>
            <w:tcW w:w="58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合</w:t>
            </w:r>
          </w:p>
          <w:p>
            <w:pPr>
              <w:widowControl/>
              <w:jc w:val="center"/>
              <w:rPr>
                <w:rFonts w:hAnsi="宋体" w:cs="宋体"/>
                <w:sz w:val="18"/>
                <w:szCs w:val="18"/>
              </w:rPr>
            </w:pPr>
            <w:r>
              <w:rPr>
                <w:rFonts w:hint="eastAsia" w:hAnsi="宋体" w:cs="宋体"/>
                <w:sz w:val="18"/>
                <w:szCs w:val="18"/>
              </w:rPr>
              <w:t>计</w:t>
            </w:r>
          </w:p>
        </w:tc>
      </w:tr>
      <w:tr>
        <w:tblPrEx>
          <w:tblCellMar>
            <w:top w:w="0" w:type="dxa"/>
            <w:left w:w="108" w:type="dxa"/>
            <w:bottom w:w="0" w:type="dxa"/>
            <w:right w:w="108" w:type="dxa"/>
          </w:tblCellMar>
        </w:tblPrEx>
        <w:trPr>
          <w:trHeight w:val="326" w:hRule="atLeast"/>
          <w:jc w:val="center"/>
        </w:trPr>
        <w:tc>
          <w:tcPr>
            <w:tcW w:w="47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83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2070" w:type="dxa"/>
            <w:gridSpan w:val="3"/>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（40分）</w:t>
            </w:r>
          </w:p>
        </w:tc>
        <w:tc>
          <w:tcPr>
            <w:tcW w:w="1227" w:type="dxa"/>
            <w:gridSpan w:val="2"/>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（20分）</w:t>
            </w:r>
          </w:p>
        </w:tc>
        <w:tc>
          <w:tcPr>
            <w:tcW w:w="1848" w:type="dxa"/>
            <w:gridSpan w:val="3"/>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（25分）</w:t>
            </w:r>
          </w:p>
        </w:tc>
        <w:tc>
          <w:tcPr>
            <w:tcW w:w="1200" w:type="dxa"/>
            <w:gridSpan w:val="2"/>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（15分）</w:t>
            </w:r>
          </w:p>
        </w:tc>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r>
      <w:tr>
        <w:tblPrEx>
          <w:tblCellMar>
            <w:top w:w="0" w:type="dxa"/>
            <w:left w:w="108" w:type="dxa"/>
            <w:bottom w:w="0" w:type="dxa"/>
            <w:right w:w="108" w:type="dxa"/>
          </w:tblCellMar>
        </w:tblPrEx>
        <w:trPr>
          <w:trHeight w:val="3442" w:hRule="atLeast"/>
          <w:jc w:val="center"/>
        </w:trPr>
        <w:tc>
          <w:tcPr>
            <w:tcW w:w="47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83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65"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与报价响应文件要求的一致性</w:t>
            </w:r>
          </w:p>
        </w:tc>
        <w:tc>
          <w:tcPr>
            <w:tcW w:w="660" w:type="dxa"/>
            <w:tcBorders>
              <w:top w:val="nil"/>
              <w:left w:val="nil"/>
              <w:bottom w:val="single" w:color="auto" w:sz="4" w:space="0"/>
              <w:right w:val="single" w:color="auto" w:sz="4" w:space="0"/>
            </w:tcBorders>
            <w:vAlign w:val="center"/>
          </w:tcPr>
          <w:p>
            <w:pPr>
              <w:spacing w:line="300" w:lineRule="exact"/>
              <w:rPr>
                <w:rFonts w:hAnsi="宋体" w:cs="宋体"/>
                <w:sz w:val="18"/>
                <w:szCs w:val="18"/>
              </w:rPr>
            </w:pPr>
            <w:r>
              <w:rPr>
                <w:rFonts w:hint="eastAsia" w:hAnsi="宋体" w:cs="宋体"/>
                <w:sz w:val="18"/>
                <w:szCs w:val="18"/>
              </w:rPr>
              <w:t>服务/工程品质</w:t>
            </w:r>
          </w:p>
        </w:tc>
        <w:tc>
          <w:tcPr>
            <w:tcW w:w="645" w:type="dxa"/>
            <w:tcBorders>
              <w:top w:val="nil"/>
              <w:left w:val="nil"/>
              <w:bottom w:val="single" w:color="auto" w:sz="4" w:space="0"/>
              <w:right w:val="single" w:color="auto" w:sz="4" w:space="0"/>
            </w:tcBorders>
            <w:vAlign w:val="center"/>
          </w:tcPr>
          <w:p>
            <w:pPr>
              <w:spacing w:line="300" w:lineRule="exact"/>
              <w:rPr>
                <w:rFonts w:hAnsi="宋体" w:cs="宋体"/>
                <w:sz w:val="18"/>
                <w:szCs w:val="18"/>
              </w:rPr>
            </w:pPr>
            <w:r>
              <w:rPr>
                <w:rFonts w:hint="eastAsia" w:hAnsi="宋体" w:cs="宋体"/>
                <w:sz w:val="18"/>
                <w:szCs w:val="18"/>
              </w:rPr>
              <w:t>质量管理措施</w:t>
            </w:r>
          </w:p>
          <w:p>
            <w:pPr>
              <w:spacing w:line="300" w:lineRule="exact"/>
              <w:rPr>
                <w:rFonts w:hAnsi="宋体" w:cs="宋体"/>
                <w:sz w:val="18"/>
                <w:szCs w:val="18"/>
              </w:rPr>
            </w:pPr>
          </w:p>
        </w:tc>
        <w:tc>
          <w:tcPr>
            <w:tcW w:w="645" w:type="dxa"/>
            <w:tcBorders>
              <w:top w:val="nil"/>
              <w:left w:val="nil"/>
              <w:bottom w:val="single" w:color="auto" w:sz="4" w:space="0"/>
              <w:right w:val="single" w:color="auto" w:sz="4" w:space="0"/>
            </w:tcBorders>
            <w:vAlign w:val="center"/>
          </w:tcPr>
          <w:p>
            <w:pPr>
              <w:spacing w:line="300" w:lineRule="exact"/>
              <w:rPr>
                <w:rFonts w:hAnsi="宋体" w:cs="宋体"/>
                <w:sz w:val="18"/>
                <w:szCs w:val="18"/>
              </w:rPr>
            </w:pPr>
            <w:r>
              <w:rPr>
                <w:rFonts w:hint="eastAsia" w:hAnsi="宋体" w:cs="宋体"/>
                <w:sz w:val="18"/>
                <w:szCs w:val="18"/>
              </w:rPr>
              <w:t>服务及时性/工 程进度把控能力</w:t>
            </w:r>
          </w:p>
        </w:tc>
        <w:tc>
          <w:tcPr>
            <w:tcW w:w="582" w:type="dxa"/>
            <w:tcBorders>
              <w:top w:val="nil"/>
              <w:left w:val="nil"/>
              <w:bottom w:val="single" w:color="auto" w:sz="4" w:space="0"/>
              <w:right w:val="single" w:color="auto" w:sz="4" w:space="0"/>
            </w:tcBorders>
            <w:vAlign w:val="center"/>
          </w:tcPr>
          <w:p>
            <w:pPr>
              <w:widowControl/>
              <w:spacing w:line="300" w:lineRule="exact"/>
              <w:jc w:val="center"/>
              <w:textAlignment w:val="center"/>
              <w:rPr>
                <w:rFonts w:hAnsi="宋体" w:cs="宋体"/>
                <w:sz w:val="18"/>
                <w:szCs w:val="18"/>
              </w:rPr>
            </w:pPr>
            <w:r>
              <w:rPr>
                <w:rFonts w:hint="eastAsia" w:hAnsi="宋体" w:cs="宋体"/>
                <w:sz w:val="18"/>
                <w:szCs w:val="18"/>
              </w:rPr>
              <w:t xml:space="preserve">沟通协 </w:t>
            </w:r>
          </w:p>
          <w:p>
            <w:pPr>
              <w:widowControl/>
              <w:spacing w:line="300" w:lineRule="exact"/>
              <w:jc w:val="center"/>
              <w:textAlignment w:val="center"/>
              <w:rPr>
                <w:rFonts w:hAnsi="宋体" w:cs="宋体"/>
                <w:sz w:val="18"/>
                <w:szCs w:val="18"/>
              </w:rPr>
            </w:pPr>
            <w:r>
              <w:rPr>
                <w:rFonts w:hint="eastAsia" w:hAnsi="宋体" w:cs="宋体"/>
                <w:sz w:val="18"/>
                <w:szCs w:val="18"/>
              </w:rPr>
              <w:t xml:space="preserve">调能力 </w:t>
            </w:r>
          </w:p>
        </w:tc>
        <w:tc>
          <w:tcPr>
            <w:tcW w:w="633"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配套售后服务质量</w:t>
            </w:r>
          </w:p>
          <w:p>
            <w:pPr>
              <w:spacing w:line="300" w:lineRule="exact"/>
              <w:jc w:val="center"/>
              <w:rPr>
                <w:rFonts w:hAnsi="宋体" w:cs="宋体"/>
                <w:sz w:val="18"/>
                <w:szCs w:val="18"/>
              </w:rPr>
            </w:pPr>
          </w:p>
        </w:tc>
        <w:tc>
          <w:tcPr>
            <w:tcW w:w="690"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故障或应急到修的能力</w:t>
            </w:r>
          </w:p>
          <w:p>
            <w:pPr>
              <w:spacing w:line="300" w:lineRule="exact"/>
              <w:jc w:val="center"/>
              <w:rPr>
                <w:rFonts w:hAnsi="宋体" w:cs="宋体"/>
                <w:sz w:val="18"/>
                <w:szCs w:val="18"/>
              </w:rPr>
            </w:pPr>
          </w:p>
        </w:tc>
        <w:tc>
          <w:tcPr>
            <w:tcW w:w="525"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服务态度</w:t>
            </w:r>
          </w:p>
          <w:p>
            <w:pPr>
              <w:spacing w:line="300" w:lineRule="exact"/>
              <w:rPr>
                <w:rFonts w:hAnsi="宋体" w:cs="宋体"/>
                <w:sz w:val="18"/>
                <w:szCs w:val="18"/>
              </w:rPr>
            </w:pPr>
          </w:p>
        </w:tc>
        <w:tc>
          <w:tcPr>
            <w:tcW w:w="660"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合同完全履约情况</w:t>
            </w:r>
          </w:p>
          <w:p>
            <w:pPr>
              <w:spacing w:line="300" w:lineRule="exact"/>
              <w:jc w:val="center"/>
              <w:rPr>
                <w:rFonts w:hAnsi="宋体" w:cs="宋体"/>
                <w:sz w:val="18"/>
                <w:szCs w:val="18"/>
              </w:rPr>
            </w:pPr>
          </w:p>
        </w:tc>
        <w:tc>
          <w:tcPr>
            <w:tcW w:w="540"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性价比情况</w:t>
            </w:r>
          </w:p>
          <w:p>
            <w:pPr>
              <w:spacing w:line="300" w:lineRule="exact"/>
              <w:jc w:val="center"/>
              <w:rPr>
                <w:rFonts w:hAnsi="宋体" w:cs="宋体"/>
                <w:sz w:val="18"/>
                <w:szCs w:val="18"/>
              </w:rPr>
            </w:pPr>
          </w:p>
        </w:tc>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r>
      <w:tr>
        <w:tblPrEx>
          <w:tblCellMar>
            <w:top w:w="0" w:type="dxa"/>
            <w:left w:w="108" w:type="dxa"/>
            <w:bottom w:w="0" w:type="dxa"/>
            <w:right w:w="108" w:type="dxa"/>
          </w:tblCellMar>
        </w:tblPrEx>
        <w:trPr>
          <w:trHeight w:val="646" w:hRule="atLeast"/>
          <w:jc w:val="center"/>
        </w:trPr>
        <w:tc>
          <w:tcPr>
            <w:tcW w:w="47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83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65"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15分</w:t>
            </w:r>
          </w:p>
        </w:tc>
        <w:tc>
          <w:tcPr>
            <w:tcW w:w="660"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645"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15分</w:t>
            </w:r>
          </w:p>
        </w:tc>
        <w:tc>
          <w:tcPr>
            <w:tcW w:w="645"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15分</w:t>
            </w:r>
          </w:p>
        </w:tc>
        <w:tc>
          <w:tcPr>
            <w:tcW w:w="582"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5分</w:t>
            </w:r>
          </w:p>
        </w:tc>
        <w:tc>
          <w:tcPr>
            <w:tcW w:w="633"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690"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525"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5分</w:t>
            </w:r>
          </w:p>
        </w:tc>
        <w:tc>
          <w:tcPr>
            <w:tcW w:w="660"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540"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5分</w:t>
            </w:r>
          </w:p>
        </w:tc>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r>
    </w:tbl>
    <w:p>
      <w:pPr>
        <w:rPr>
          <w:rFonts w:hAnsi="宋体" w:cs="宋体"/>
          <w:szCs w:val="21"/>
        </w:rPr>
      </w:pPr>
    </w:p>
    <w:p>
      <w:pPr>
        <w:spacing w:line="360" w:lineRule="auto"/>
        <w:ind w:firstLine="422" w:firstLineChars="200"/>
        <w:rPr>
          <w:rFonts w:hAnsi="宋体" w:cs="宋体"/>
          <w:b/>
        </w:rPr>
      </w:pPr>
      <w:r>
        <w:rPr>
          <w:rFonts w:hint="eastAsia" w:hAnsi="宋体" w:cs="宋体"/>
          <w:b/>
        </w:rPr>
        <w:t>（2）招标采购办公室评价（占30%）</w:t>
      </w:r>
    </w:p>
    <w:tbl>
      <w:tblPr>
        <w:tblStyle w:val="19"/>
        <w:tblW w:w="9816" w:type="dxa"/>
        <w:jc w:val="center"/>
        <w:tblLayout w:type="fixed"/>
        <w:tblCellMar>
          <w:top w:w="0" w:type="dxa"/>
          <w:left w:w="108" w:type="dxa"/>
          <w:bottom w:w="0" w:type="dxa"/>
          <w:right w:w="108" w:type="dxa"/>
        </w:tblCellMar>
      </w:tblPr>
      <w:tblGrid>
        <w:gridCol w:w="683"/>
        <w:gridCol w:w="928"/>
        <w:gridCol w:w="857"/>
        <w:gridCol w:w="746"/>
        <w:gridCol w:w="652"/>
        <w:gridCol w:w="630"/>
        <w:gridCol w:w="613"/>
        <w:gridCol w:w="632"/>
        <w:gridCol w:w="1356"/>
        <w:gridCol w:w="654"/>
        <w:gridCol w:w="570"/>
        <w:gridCol w:w="525"/>
        <w:gridCol w:w="615"/>
        <w:gridCol w:w="355"/>
      </w:tblGrid>
      <w:tr>
        <w:tblPrEx>
          <w:tblCellMar>
            <w:top w:w="0" w:type="dxa"/>
            <w:left w:w="108" w:type="dxa"/>
            <w:bottom w:w="0" w:type="dxa"/>
            <w:right w:w="108" w:type="dxa"/>
          </w:tblCellMar>
        </w:tblPrEx>
        <w:trPr>
          <w:trHeight w:val="467" w:hRule="atLeast"/>
          <w:jc w:val="center"/>
        </w:trPr>
        <w:tc>
          <w:tcPr>
            <w:tcW w:w="6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序号</w:t>
            </w:r>
          </w:p>
        </w:tc>
        <w:tc>
          <w:tcPr>
            <w:tcW w:w="928" w:type="dxa"/>
            <w:vMerge w:val="restart"/>
            <w:tcBorders>
              <w:top w:val="single" w:color="auto" w:sz="4" w:space="0"/>
              <w:left w:val="single" w:color="auto" w:sz="4" w:space="0"/>
              <w:bottom w:val="single" w:color="auto" w:sz="4" w:space="0"/>
              <w:right w:val="single" w:color="auto" w:sz="4" w:space="0"/>
            </w:tcBorders>
            <w:vAlign w:val="center"/>
          </w:tcPr>
          <w:p>
            <w:pPr>
              <w:widowControl/>
              <w:rPr>
                <w:rFonts w:hAnsi="宋体" w:cs="宋体"/>
                <w:sz w:val="18"/>
                <w:szCs w:val="18"/>
              </w:rPr>
            </w:pPr>
            <w:r>
              <w:rPr>
                <w:rFonts w:hint="eastAsia" w:hAnsi="宋体" w:cs="宋体"/>
                <w:sz w:val="18"/>
                <w:szCs w:val="18"/>
              </w:rPr>
              <w:t>供应商</w:t>
            </w:r>
          </w:p>
        </w:tc>
        <w:tc>
          <w:tcPr>
            <w:tcW w:w="85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货物/服务/工程名称</w:t>
            </w:r>
          </w:p>
        </w:tc>
        <w:tc>
          <w:tcPr>
            <w:tcW w:w="74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开标时间</w:t>
            </w:r>
          </w:p>
        </w:tc>
        <w:tc>
          <w:tcPr>
            <w:tcW w:w="2527" w:type="dxa"/>
            <w:gridSpan w:val="4"/>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及时性</w:t>
            </w:r>
          </w:p>
        </w:tc>
        <w:tc>
          <w:tcPr>
            <w:tcW w:w="1356" w:type="dxa"/>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投诉</w:t>
            </w:r>
          </w:p>
        </w:tc>
        <w:tc>
          <w:tcPr>
            <w:tcW w:w="2364" w:type="dxa"/>
            <w:gridSpan w:val="4"/>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履约合作评价</w:t>
            </w:r>
          </w:p>
        </w:tc>
        <w:tc>
          <w:tcPr>
            <w:tcW w:w="3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合计</w:t>
            </w:r>
          </w:p>
        </w:tc>
      </w:tr>
      <w:tr>
        <w:tblPrEx>
          <w:tblCellMar>
            <w:top w:w="0" w:type="dxa"/>
            <w:left w:w="108" w:type="dxa"/>
            <w:bottom w:w="0" w:type="dxa"/>
            <w:right w:w="108" w:type="dxa"/>
          </w:tblCellMar>
        </w:tblPrEx>
        <w:trPr>
          <w:trHeight w:val="362"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85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2527" w:type="dxa"/>
            <w:gridSpan w:val="4"/>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（40分）</w:t>
            </w:r>
          </w:p>
        </w:tc>
        <w:tc>
          <w:tcPr>
            <w:tcW w:w="1356" w:type="dxa"/>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（30分）</w:t>
            </w:r>
          </w:p>
        </w:tc>
        <w:tc>
          <w:tcPr>
            <w:tcW w:w="2364" w:type="dxa"/>
            <w:gridSpan w:val="4"/>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（30分）</w:t>
            </w:r>
          </w:p>
        </w:tc>
        <w:tc>
          <w:tcPr>
            <w:tcW w:w="35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r>
      <w:tr>
        <w:tblPrEx>
          <w:tblCellMar>
            <w:top w:w="0" w:type="dxa"/>
            <w:left w:w="108" w:type="dxa"/>
            <w:bottom w:w="0" w:type="dxa"/>
            <w:right w:w="108" w:type="dxa"/>
          </w:tblCellMar>
        </w:tblPrEx>
        <w:trPr>
          <w:trHeight w:val="2885"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85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652"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合同签订的及时性</w:t>
            </w:r>
          </w:p>
        </w:tc>
        <w:tc>
          <w:tcPr>
            <w:tcW w:w="630" w:type="dxa"/>
            <w:tcBorders>
              <w:top w:val="nil"/>
              <w:left w:val="nil"/>
              <w:bottom w:val="single" w:color="auto" w:sz="4" w:space="0"/>
              <w:right w:val="single" w:color="auto" w:sz="4" w:space="0"/>
            </w:tcBorders>
            <w:vAlign w:val="center"/>
          </w:tcPr>
          <w:p>
            <w:pPr>
              <w:spacing w:line="300" w:lineRule="exact"/>
              <w:rPr>
                <w:rFonts w:hAnsi="宋体" w:cs="宋体"/>
                <w:sz w:val="18"/>
                <w:szCs w:val="18"/>
              </w:rPr>
            </w:pPr>
            <w:r>
              <w:rPr>
                <w:rFonts w:hint="eastAsia" w:hAnsi="宋体" w:cs="宋体"/>
                <w:sz w:val="18"/>
                <w:szCs w:val="18"/>
              </w:rPr>
              <w:t>安装/实施/到位的及时性</w:t>
            </w:r>
          </w:p>
        </w:tc>
        <w:tc>
          <w:tcPr>
            <w:tcW w:w="613" w:type="dxa"/>
            <w:tcBorders>
              <w:top w:val="nil"/>
              <w:left w:val="nil"/>
              <w:bottom w:val="single" w:color="auto" w:sz="4" w:space="0"/>
              <w:right w:val="single" w:color="auto" w:sz="4" w:space="0"/>
            </w:tcBorders>
            <w:vAlign w:val="center"/>
          </w:tcPr>
          <w:p>
            <w:pPr>
              <w:spacing w:line="300" w:lineRule="exact"/>
              <w:rPr>
                <w:rFonts w:hAnsi="宋体" w:cs="宋体"/>
                <w:sz w:val="18"/>
                <w:szCs w:val="18"/>
              </w:rPr>
            </w:pPr>
            <w:r>
              <w:rPr>
                <w:rFonts w:hint="eastAsia" w:hAnsi="宋体" w:cs="宋体"/>
                <w:sz w:val="18"/>
                <w:szCs w:val="18"/>
              </w:rPr>
              <w:t>培训的及时性与全面性</w:t>
            </w:r>
          </w:p>
          <w:p>
            <w:pPr>
              <w:spacing w:line="300" w:lineRule="exact"/>
              <w:rPr>
                <w:rFonts w:hAnsi="宋体" w:cs="宋体"/>
                <w:sz w:val="18"/>
                <w:szCs w:val="18"/>
              </w:rPr>
            </w:pPr>
          </w:p>
        </w:tc>
        <w:tc>
          <w:tcPr>
            <w:tcW w:w="632"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故障解决的及时性</w:t>
            </w:r>
          </w:p>
        </w:tc>
        <w:tc>
          <w:tcPr>
            <w:tcW w:w="1356" w:type="dxa"/>
            <w:tcBorders>
              <w:top w:val="nil"/>
              <w:left w:val="nil"/>
              <w:bottom w:val="single" w:color="auto" w:sz="4" w:space="0"/>
              <w:right w:val="single" w:color="auto" w:sz="4" w:space="0"/>
            </w:tcBorders>
            <w:vAlign w:val="center"/>
          </w:tcPr>
          <w:p>
            <w:pPr>
              <w:widowControl/>
              <w:spacing w:line="300" w:lineRule="exact"/>
              <w:textAlignment w:val="center"/>
              <w:rPr>
                <w:rFonts w:hAnsi="宋体" w:cs="宋体"/>
                <w:sz w:val="18"/>
                <w:szCs w:val="18"/>
              </w:rPr>
            </w:pPr>
            <w:r>
              <w:rPr>
                <w:rFonts w:hint="eastAsia" w:hAnsi="宋体" w:cs="宋体"/>
                <w:sz w:val="18"/>
                <w:szCs w:val="18"/>
              </w:rPr>
              <w:t>收到科室的电话/书面投诉</w:t>
            </w:r>
          </w:p>
          <w:p>
            <w:pPr>
              <w:widowControl/>
              <w:spacing w:line="300" w:lineRule="exact"/>
              <w:textAlignment w:val="center"/>
              <w:rPr>
                <w:rFonts w:hAnsi="宋体" w:cs="宋体"/>
                <w:sz w:val="18"/>
                <w:szCs w:val="18"/>
              </w:rPr>
            </w:pPr>
            <w:r>
              <w:rPr>
                <w:rFonts w:hint="eastAsia" w:hAnsi="宋体" w:cs="宋体"/>
                <w:sz w:val="18"/>
                <w:szCs w:val="18"/>
              </w:rPr>
              <w:t>（每收到一次投诉扣10分）</w:t>
            </w:r>
          </w:p>
        </w:tc>
        <w:tc>
          <w:tcPr>
            <w:tcW w:w="654" w:type="dxa"/>
            <w:tcBorders>
              <w:top w:val="nil"/>
              <w:left w:val="nil"/>
              <w:bottom w:val="single" w:color="auto" w:sz="4" w:space="0"/>
              <w:right w:val="single" w:color="auto" w:sz="4" w:space="0"/>
            </w:tcBorders>
            <w:vAlign w:val="center"/>
          </w:tcPr>
          <w:p>
            <w:pPr>
              <w:spacing w:line="300" w:lineRule="exact"/>
              <w:rPr>
                <w:rFonts w:hAnsi="宋体" w:cs="宋体"/>
                <w:sz w:val="18"/>
                <w:szCs w:val="18"/>
              </w:rPr>
            </w:pPr>
            <w:r>
              <w:rPr>
                <w:rFonts w:hint="eastAsia" w:hAnsi="宋体" w:cs="宋体"/>
                <w:sz w:val="18"/>
                <w:szCs w:val="18"/>
              </w:rPr>
              <w:t>非正当理由中止合同</w:t>
            </w:r>
          </w:p>
        </w:tc>
        <w:tc>
          <w:tcPr>
            <w:tcW w:w="570"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服务态度</w:t>
            </w:r>
          </w:p>
        </w:tc>
        <w:tc>
          <w:tcPr>
            <w:tcW w:w="525"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性价比情况</w:t>
            </w:r>
          </w:p>
        </w:tc>
        <w:tc>
          <w:tcPr>
            <w:tcW w:w="615"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消化涨价的能力</w:t>
            </w:r>
          </w:p>
        </w:tc>
        <w:tc>
          <w:tcPr>
            <w:tcW w:w="35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r>
      <w:tr>
        <w:tblPrEx>
          <w:tblCellMar>
            <w:top w:w="0" w:type="dxa"/>
            <w:left w:w="108" w:type="dxa"/>
            <w:bottom w:w="0" w:type="dxa"/>
            <w:right w:w="108" w:type="dxa"/>
          </w:tblCellMar>
        </w:tblPrEx>
        <w:trPr>
          <w:trHeight w:val="51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85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652"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630"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613"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632"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1356"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30分</w:t>
            </w:r>
          </w:p>
        </w:tc>
        <w:tc>
          <w:tcPr>
            <w:tcW w:w="654"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15分</w:t>
            </w:r>
          </w:p>
        </w:tc>
        <w:tc>
          <w:tcPr>
            <w:tcW w:w="570"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5分</w:t>
            </w:r>
          </w:p>
        </w:tc>
        <w:tc>
          <w:tcPr>
            <w:tcW w:w="525"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5分</w:t>
            </w:r>
          </w:p>
        </w:tc>
        <w:tc>
          <w:tcPr>
            <w:tcW w:w="615"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5分</w:t>
            </w:r>
          </w:p>
        </w:tc>
        <w:tc>
          <w:tcPr>
            <w:tcW w:w="35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r>
    </w:tbl>
    <w:p>
      <w:pPr>
        <w:ind w:firstLine="420" w:firstLineChars="200"/>
        <w:rPr>
          <w:rFonts w:hAnsi="宋体" w:cs="宋体"/>
          <w:lang w:val="zh-CN"/>
        </w:rPr>
      </w:pPr>
    </w:p>
    <w:p>
      <w:pPr>
        <w:ind w:firstLine="420" w:firstLineChars="200"/>
        <w:rPr>
          <w:rFonts w:ascii="黑体" w:hAnsi="黑体" w:eastAsia="黑体" w:cs="黑体"/>
          <w:b/>
          <w:bCs/>
          <w:sz w:val="28"/>
          <w:szCs w:val="28"/>
        </w:rPr>
      </w:pPr>
      <w:r>
        <w:rPr>
          <w:rFonts w:hint="eastAsia" w:hAnsi="宋体" w:cs="宋体"/>
          <w:lang w:val="zh-CN"/>
        </w:rPr>
        <w:t>注：履约期间每半年将按《南方医科大学第五附属医院供应商履约诚信评价量化表》对供应商履约行为进行考评一次，壹年累计考核两次不合格者将进行淘汰，纳入黑名单管理。</w:t>
      </w:r>
    </w:p>
    <w:sectPr>
      <w:headerReference r:id="rId13" w:type="default"/>
      <w:footerReference r:id="rId14"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165CE4-2083-4AED-894B-0407F14A9165}"/>
  </w:font>
  <w:font w:name="Courier New">
    <w:panose1 w:val="02070309020205020404"/>
    <w:charset w:val="01"/>
    <w:family w:val="modern"/>
    <w:pitch w:val="default"/>
    <w:sig w:usb0="E0002AFF" w:usb1="C0007843" w:usb2="00000009" w:usb3="00000000" w:csb0="400001FF" w:csb1="FFFF0000"/>
    <w:embedRegular r:id="rId2" w:fontKey="{E0D13ED9-A747-4F55-BDB3-FE5C8361965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323C3955-A968-4B7E-8923-F5507430EFD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E0061B68-A85A-4022-91EE-06D6965426A9}"/>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embedRegular r:id="rId5" w:fontKey="{3C7E71E1-19C0-49E5-B4B4-AA1A15F04844}"/>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embedRegular r:id="rId6" w:fontKey="{DB58430D-AA94-4109-84F8-048BA0311D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3"/>
      </w:rPr>
    </w:pPr>
    <w:r>
      <w:fldChar w:fldCharType="begin"/>
    </w:r>
    <w:r>
      <w:rPr>
        <w:rStyle w:val="23"/>
      </w:rPr>
      <w:instrText xml:space="preserve">PAGE  </w:instrTex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rPr>
                            <w:t>29</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rPr>
                      <w:t>29</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rPr>
                            <w:t>30</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rPr>
                      <w:t>30</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23</w:t>
                          </w:r>
                          <w:r>
                            <w:fldChar w:fldCharType="end"/>
                          </w:r>
                          <w:r>
                            <w:t xml:space="preserve"> 页 共</w:t>
                          </w:r>
                          <w:r>
                            <w:rPr>
                              <w:rFonts w:hint="eastAsia"/>
                            </w:rPr>
                            <w:t>29</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23</w:t>
                    </w:r>
                    <w:r>
                      <w:fldChar w:fldCharType="end"/>
                    </w:r>
                    <w:r>
                      <w:t xml:space="preserve"> 页 共</w:t>
                    </w:r>
                    <w:r>
                      <w:rPr>
                        <w:rFonts w:hint="eastAsia"/>
                      </w:rPr>
                      <w:t>29</w:t>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29</w:t>
                          </w:r>
                          <w:r>
                            <w:fldChar w:fldCharType="end"/>
                          </w:r>
                          <w:r>
                            <w:t xml:space="preserve"> 页 共</w:t>
                          </w:r>
                          <w:r>
                            <w:rPr>
                              <w:rFonts w:hint="eastAsia"/>
                            </w:rPr>
                            <w:t>29</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29</w:t>
                    </w:r>
                    <w:r>
                      <w:fldChar w:fldCharType="end"/>
                    </w:r>
                    <w:r>
                      <w:t xml:space="preserve"> 页 共</w:t>
                    </w:r>
                    <w:r>
                      <w:rPr>
                        <w:rFonts w:hint="eastAsia"/>
                      </w:rPr>
                      <w:t>29</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180" w:firstLineChars="100"/>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AB2A6"/>
    <w:multiLevelType w:val="singleLevel"/>
    <w:tmpl w:val="9A8AB2A6"/>
    <w:lvl w:ilvl="0" w:tentative="0">
      <w:start w:val="3"/>
      <w:numFmt w:val="chineseCounting"/>
      <w:suff w:val="space"/>
      <w:lvlText w:val="第%1条"/>
      <w:lvlJc w:val="left"/>
      <w:rPr>
        <w:rFonts w:hint="eastAsia"/>
      </w:rPr>
    </w:lvl>
  </w:abstractNum>
  <w:abstractNum w:abstractNumId="1">
    <w:nsid w:val="9FACAFD1"/>
    <w:multiLevelType w:val="singleLevel"/>
    <w:tmpl w:val="9FACAFD1"/>
    <w:lvl w:ilvl="0" w:tentative="0">
      <w:start w:val="1"/>
      <w:numFmt w:val="decimal"/>
      <w:suff w:val="nothing"/>
      <w:lvlText w:val="（%1）"/>
      <w:lvlJc w:val="left"/>
    </w:lvl>
  </w:abstractNum>
  <w:abstractNum w:abstractNumId="2">
    <w:nsid w:val="D18F0839"/>
    <w:multiLevelType w:val="singleLevel"/>
    <w:tmpl w:val="D18F0839"/>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3">
    <w:nsid w:val="0CB03AB1"/>
    <w:multiLevelType w:val="singleLevel"/>
    <w:tmpl w:val="0CB03AB1"/>
    <w:lvl w:ilvl="0" w:tentative="0">
      <w:start w:val="5"/>
      <w:numFmt w:val="chineseCounting"/>
      <w:suff w:val="space"/>
      <w:lvlText w:val="第%1部分"/>
      <w:lvlJc w:val="left"/>
      <w:rPr>
        <w:rFonts w:hint="eastAsia"/>
      </w:rPr>
    </w:lvl>
  </w:abstractNum>
  <w:abstractNum w:abstractNumId="4">
    <w:nsid w:val="5CAE089B"/>
    <w:multiLevelType w:val="singleLevel"/>
    <w:tmpl w:val="5CAE089B"/>
    <w:lvl w:ilvl="0" w:tentative="0">
      <w:start w:val="2"/>
      <w:numFmt w:val="chineseCounting"/>
      <w:suff w:val="space"/>
      <w:lvlText w:val="第%1部分"/>
      <w:lvlJc w:val="left"/>
      <w:rPr>
        <w:rFonts w:hint="eastAsia"/>
      </w:rPr>
    </w:lvl>
  </w:abstractNum>
  <w:abstractNum w:abstractNumId="5">
    <w:nsid w:val="67630BED"/>
    <w:multiLevelType w:val="multilevel"/>
    <w:tmpl w:val="67630BE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B018060"/>
    <w:multiLevelType w:val="singleLevel"/>
    <w:tmpl w:val="6B018060"/>
    <w:lvl w:ilvl="0" w:tentative="0">
      <w:start w:val="1"/>
      <w:numFmt w:val="chineseCounting"/>
      <w:suff w:val="nothing"/>
      <w:lvlText w:val="%1、"/>
      <w:lvlJc w:val="left"/>
      <w:rPr>
        <w:rFonts w:hint="eastAsia"/>
      </w:rPr>
    </w:lvl>
  </w:abstractNum>
  <w:num w:numId="1">
    <w:abstractNumId w:val="2"/>
  </w:num>
  <w:num w:numId="2">
    <w:abstractNumId w:val="6"/>
  </w:num>
  <w:num w:numId="3">
    <w:abstractNumId w:val="4"/>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22993"/>
    <w:rsid w:val="000333B3"/>
    <w:rsid w:val="000359A3"/>
    <w:rsid w:val="0003631E"/>
    <w:rsid w:val="00037ECF"/>
    <w:rsid w:val="000716CC"/>
    <w:rsid w:val="00092452"/>
    <w:rsid w:val="000A3636"/>
    <w:rsid w:val="000A4F42"/>
    <w:rsid w:val="000C20F2"/>
    <w:rsid w:val="000F1EB0"/>
    <w:rsid w:val="00101514"/>
    <w:rsid w:val="00110D15"/>
    <w:rsid w:val="00120B10"/>
    <w:rsid w:val="001259C2"/>
    <w:rsid w:val="001539DE"/>
    <w:rsid w:val="00165A7F"/>
    <w:rsid w:val="00180931"/>
    <w:rsid w:val="001B3325"/>
    <w:rsid w:val="001C6714"/>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5B1F"/>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3C02"/>
    <w:rsid w:val="0067762C"/>
    <w:rsid w:val="006818D6"/>
    <w:rsid w:val="00681F9A"/>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D3A9E"/>
    <w:rsid w:val="008F06AC"/>
    <w:rsid w:val="008F2853"/>
    <w:rsid w:val="0090067A"/>
    <w:rsid w:val="009069D3"/>
    <w:rsid w:val="00906BCB"/>
    <w:rsid w:val="00906FB9"/>
    <w:rsid w:val="009162AB"/>
    <w:rsid w:val="009235D2"/>
    <w:rsid w:val="00934814"/>
    <w:rsid w:val="009360DE"/>
    <w:rsid w:val="00947FA4"/>
    <w:rsid w:val="00950FB8"/>
    <w:rsid w:val="00963D43"/>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47830"/>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80F47"/>
    <w:rsid w:val="00B93EB4"/>
    <w:rsid w:val="00BA06CE"/>
    <w:rsid w:val="00BA631D"/>
    <w:rsid w:val="00BB32FC"/>
    <w:rsid w:val="00BB4CC5"/>
    <w:rsid w:val="00BC107C"/>
    <w:rsid w:val="00BC46B3"/>
    <w:rsid w:val="00BE3B71"/>
    <w:rsid w:val="00BF4947"/>
    <w:rsid w:val="00C01163"/>
    <w:rsid w:val="00C0441A"/>
    <w:rsid w:val="00C32498"/>
    <w:rsid w:val="00C33302"/>
    <w:rsid w:val="00C44318"/>
    <w:rsid w:val="00C52E26"/>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2AB7"/>
    <w:rsid w:val="00E2604C"/>
    <w:rsid w:val="00E426B7"/>
    <w:rsid w:val="00E535C8"/>
    <w:rsid w:val="00E601B2"/>
    <w:rsid w:val="00E80372"/>
    <w:rsid w:val="00E81A6E"/>
    <w:rsid w:val="00EB731A"/>
    <w:rsid w:val="00EC444E"/>
    <w:rsid w:val="00EC774C"/>
    <w:rsid w:val="00ED63A0"/>
    <w:rsid w:val="00EE1612"/>
    <w:rsid w:val="00EE4E5B"/>
    <w:rsid w:val="00EF50DB"/>
    <w:rsid w:val="00F146CF"/>
    <w:rsid w:val="00F14E2C"/>
    <w:rsid w:val="00F15436"/>
    <w:rsid w:val="00F21ECB"/>
    <w:rsid w:val="00F229BC"/>
    <w:rsid w:val="00F26779"/>
    <w:rsid w:val="00F32CF7"/>
    <w:rsid w:val="00F33A31"/>
    <w:rsid w:val="00F33EEF"/>
    <w:rsid w:val="00F35E93"/>
    <w:rsid w:val="00F375C0"/>
    <w:rsid w:val="00F44EEF"/>
    <w:rsid w:val="00F53078"/>
    <w:rsid w:val="00F54A78"/>
    <w:rsid w:val="00F60284"/>
    <w:rsid w:val="00F63149"/>
    <w:rsid w:val="00F7528E"/>
    <w:rsid w:val="00F86E2B"/>
    <w:rsid w:val="00F870B6"/>
    <w:rsid w:val="00FA3158"/>
    <w:rsid w:val="00FB37B4"/>
    <w:rsid w:val="00FB4E2C"/>
    <w:rsid w:val="00FC406A"/>
    <w:rsid w:val="00FD0E67"/>
    <w:rsid w:val="00FD1381"/>
    <w:rsid w:val="0141572E"/>
    <w:rsid w:val="01AE423C"/>
    <w:rsid w:val="02BE3A7E"/>
    <w:rsid w:val="02F51CFD"/>
    <w:rsid w:val="031C04E2"/>
    <w:rsid w:val="034404CF"/>
    <w:rsid w:val="035A45AA"/>
    <w:rsid w:val="039B179B"/>
    <w:rsid w:val="03FE5F42"/>
    <w:rsid w:val="04151569"/>
    <w:rsid w:val="048E4CB4"/>
    <w:rsid w:val="04E57AC0"/>
    <w:rsid w:val="04EE7118"/>
    <w:rsid w:val="0543317C"/>
    <w:rsid w:val="054E169D"/>
    <w:rsid w:val="05907E7A"/>
    <w:rsid w:val="066F5ED2"/>
    <w:rsid w:val="06A01BDE"/>
    <w:rsid w:val="070261C2"/>
    <w:rsid w:val="074C23F8"/>
    <w:rsid w:val="07862043"/>
    <w:rsid w:val="079C2FAC"/>
    <w:rsid w:val="07ED2710"/>
    <w:rsid w:val="07ED5D2D"/>
    <w:rsid w:val="08A76D63"/>
    <w:rsid w:val="09867089"/>
    <w:rsid w:val="0A926349"/>
    <w:rsid w:val="0A9C5E28"/>
    <w:rsid w:val="0AA45825"/>
    <w:rsid w:val="0B07259F"/>
    <w:rsid w:val="0B27461F"/>
    <w:rsid w:val="0BCD2048"/>
    <w:rsid w:val="0C1C35A2"/>
    <w:rsid w:val="0C490708"/>
    <w:rsid w:val="0C705246"/>
    <w:rsid w:val="0CAD27D4"/>
    <w:rsid w:val="0D1F6A7A"/>
    <w:rsid w:val="0E237B27"/>
    <w:rsid w:val="0E970697"/>
    <w:rsid w:val="0ED05230"/>
    <w:rsid w:val="0EE9378D"/>
    <w:rsid w:val="0F2B5904"/>
    <w:rsid w:val="10284A96"/>
    <w:rsid w:val="10402DD2"/>
    <w:rsid w:val="10D65F8A"/>
    <w:rsid w:val="11B73ED3"/>
    <w:rsid w:val="12795449"/>
    <w:rsid w:val="12C312C4"/>
    <w:rsid w:val="12EB2AD0"/>
    <w:rsid w:val="136354E7"/>
    <w:rsid w:val="13AB25E3"/>
    <w:rsid w:val="142E0F15"/>
    <w:rsid w:val="14331D3D"/>
    <w:rsid w:val="14907BE5"/>
    <w:rsid w:val="14DF7EC1"/>
    <w:rsid w:val="152C7B6C"/>
    <w:rsid w:val="15325191"/>
    <w:rsid w:val="158C2B6D"/>
    <w:rsid w:val="15A9050B"/>
    <w:rsid w:val="15D22F3B"/>
    <w:rsid w:val="16133E5E"/>
    <w:rsid w:val="164C7363"/>
    <w:rsid w:val="169C3C7F"/>
    <w:rsid w:val="17087F4C"/>
    <w:rsid w:val="17562ADF"/>
    <w:rsid w:val="17687698"/>
    <w:rsid w:val="18714DB4"/>
    <w:rsid w:val="18B40CCA"/>
    <w:rsid w:val="18DE6649"/>
    <w:rsid w:val="18DF1F77"/>
    <w:rsid w:val="19A1106F"/>
    <w:rsid w:val="1A697189"/>
    <w:rsid w:val="1A812401"/>
    <w:rsid w:val="1AC74E69"/>
    <w:rsid w:val="1AF93CE3"/>
    <w:rsid w:val="1B90034D"/>
    <w:rsid w:val="1B977D90"/>
    <w:rsid w:val="1C517C05"/>
    <w:rsid w:val="1CAC7FE6"/>
    <w:rsid w:val="1CB42DF5"/>
    <w:rsid w:val="1D1E2032"/>
    <w:rsid w:val="1DE30DB3"/>
    <w:rsid w:val="1E34368D"/>
    <w:rsid w:val="1E4F22B0"/>
    <w:rsid w:val="1F187406"/>
    <w:rsid w:val="20995391"/>
    <w:rsid w:val="20B81B4B"/>
    <w:rsid w:val="21282075"/>
    <w:rsid w:val="21AD42B4"/>
    <w:rsid w:val="21BA464B"/>
    <w:rsid w:val="21CF3215"/>
    <w:rsid w:val="21D627A8"/>
    <w:rsid w:val="22A53EBB"/>
    <w:rsid w:val="22F85FBE"/>
    <w:rsid w:val="22FB2B87"/>
    <w:rsid w:val="23410884"/>
    <w:rsid w:val="23FE269A"/>
    <w:rsid w:val="25066E01"/>
    <w:rsid w:val="25394189"/>
    <w:rsid w:val="254863CC"/>
    <w:rsid w:val="255D353C"/>
    <w:rsid w:val="25673FA5"/>
    <w:rsid w:val="262F2952"/>
    <w:rsid w:val="26712973"/>
    <w:rsid w:val="26C20E41"/>
    <w:rsid w:val="26F058DC"/>
    <w:rsid w:val="272975C1"/>
    <w:rsid w:val="274618E3"/>
    <w:rsid w:val="27715F5E"/>
    <w:rsid w:val="27D538F3"/>
    <w:rsid w:val="27E21FC8"/>
    <w:rsid w:val="28084236"/>
    <w:rsid w:val="282633A8"/>
    <w:rsid w:val="28716EFA"/>
    <w:rsid w:val="2886681A"/>
    <w:rsid w:val="28EF5E90"/>
    <w:rsid w:val="297A2811"/>
    <w:rsid w:val="298D7034"/>
    <w:rsid w:val="2A241B69"/>
    <w:rsid w:val="2A8A0209"/>
    <w:rsid w:val="2AA74AF5"/>
    <w:rsid w:val="2B062BB7"/>
    <w:rsid w:val="2B694EC9"/>
    <w:rsid w:val="2BD8709E"/>
    <w:rsid w:val="2BE11C14"/>
    <w:rsid w:val="2BE44CCE"/>
    <w:rsid w:val="2C1134D3"/>
    <w:rsid w:val="2C35024D"/>
    <w:rsid w:val="2C695F59"/>
    <w:rsid w:val="2D07550B"/>
    <w:rsid w:val="2D957D5C"/>
    <w:rsid w:val="2DA7679B"/>
    <w:rsid w:val="2F076D3F"/>
    <w:rsid w:val="2F6B2487"/>
    <w:rsid w:val="2FB56247"/>
    <w:rsid w:val="2FD823C2"/>
    <w:rsid w:val="2FD82C2E"/>
    <w:rsid w:val="2FE14059"/>
    <w:rsid w:val="300F2D70"/>
    <w:rsid w:val="30120A8D"/>
    <w:rsid w:val="311010E0"/>
    <w:rsid w:val="31120C66"/>
    <w:rsid w:val="31EA386E"/>
    <w:rsid w:val="32C24615"/>
    <w:rsid w:val="336B3CCC"/>
    <w:rsid w:val="355732FA"/>
    <w:rsid w:val="36917A9F"/>
    <w:rsid w:val="370B587C"/>
    <w:rsid w:val="377A2F71"/>
    <w:rsid w:val="37DA60BB"/>
    <w:rsid w:val="380B2F5F"/>
    <w:rsid w:val="384F4A95"/>
    <w:rsid w:val="38622708"/>
    <w:rsid w:val="38E823FB"/>
    <w:rsid w:val="390B75A6"/>
    <w:rsid w:val="39395860"/>
    <w:rsid w:val="39D13924"/>
    <w:rsid w:val="39F00790"/>
    <w:rsid w:val="3A534537"/>
    <w:rsid w:val="3B195509"/>
    <w:rsid w:val="3BA11444"/>
    <w:rsid w:val="3C683C2C"/>
    <w:rsid w:val="3C943841"/>
    <w:rsid w:val="3CF94A44"/>
    <w:rsid w:val="3D361B6B"/>
    <w:rsid w:val="3D6A0B18"/>
    <w:rsid w:val="3DBE51F4"/>
    <w:rsid w:val="3E5D51F2"/>
    <w:rsid w:val="3EA57EE8"/>
    <w:rsid w:val="3EBA1C45"/>
    <w:rsid w:val="3F0C37EA"/>
    <w:rsid w:val="3F1A6226"/>
    <w:rsid w:val="3F794EB1"/>
    <w:rsid w:val="3F8955E2"/>
    <w:rsid w:val="3FF52FF7"/>
    <w:rsid w:val="40065B1F"/>
    <w:rsid w:val="407B764C"/>
    <w:rsid w:val="416135FA"/>
    <w:rsid w:val="41B60C35"/>
    <w:rsid w:val="41CD076A"/>
    <w:rsid w:val="42A321BA"/>
    <w:rsid w:val="42AF6223"/>
    <w:rsid w:val="435B5C8B"/>
    <w:rsid w:val="44062D00"/>
    <w:rsid w:val="443A04B0"/>
    <w:rsid w:val="44546201"/>
    <w:rsid w:val="44581F51"/>
    <w:rsid w:val="449832F3"/>
    <w:rsid w:val="451E6F60"/>
    <w:rsid w:val="45244DEA"/>
    <w:rsid w:val="45617CBE"/>
    <w:rsid w:val="46D069DB"/>
    <w:rsid w:val="485129D4"/>
    <w:rsid w:val="48F44CB0"/>
    <w:rsid w:val="49040430"/>
    <w:rsid w:val="49054F84"/>
    <w:rsid w:val="492F3D3A"/>
    <w:rsid w:val="49386EF2"/>
    <w:rsid w:val="499A10DB"/>
    <w:rsid w:val="4A3B6FBA"/>
    <w:rsid w:val="4A8A2EEF"/>
    <w:rsid w:val="4A950DCF"/>
    <w:rsid w:val="4B09713B"/>
    <w:rsid w:val="4B0C61BF"/>
    <w:rsid w:val="4C603C95"/>
    <w:rsid w:val="4C981BA5"/>
    <w:rsid w:val="4CAF6F6C"/>
    <w:rsid w:val="4CED0E45"/>
    <w:rsid w:val="4D72553A"/>
    <w:rsid w:val="4DAC34B5"/>
    <w:rsid w:val="4DDF729F"/>
    <w:rsid w:val="4E011820"/>
    <w:rsid w:val="4E2D698F"/>
    <w:rsid w:val="4E4C452A"/>
    <w:rsid w:val="4E5B17A7"/>
    <w:rsid w:val="4E5E5E11"/>
    <w:rsid w:val="4E98699E"/>
    <w:rsid w:val="4ECF4067"/>
    <w:rsid w:val="4ED23FAB"/>
    <w:rsid w:val="508A3B18"/>
    <w:rsid w:val="50C82D96"/>
    <w:rsid w:val="50FC2A30"/>
    <w:rsid w:val="51403B6E"/>
    <w:rsid w:val="514C42EA"/>
    <w:rsid w:val="51A73BDA"/>
    <w:rsid w:val="51AF3A51"/>
    <w:rsid w:val="51C413B8"/>
    <w:rsid w:val="52726854"/>
    <w:rsid w:val="53725443"/>
    <w:rsid w:val="538E410D"/>
    <w:rsid w:val="53A776AF"/>
    <w:rsid w:val="53F868F1"/>
    <w:rsid w:val="54634D71"/>
    <w:rsid w:val="55BF6A67"/>
    <w:rsid w:val="55D55D03"/>
    <w:rsid w:val="56187F25"/>
    <w:rsid w:val="5623033B"/>
    <w:rsid w:val="56553C8D"/>
    <w:rsid w:val="5658445F"/>
    <w:rsid w:val="568F6108"/>
    <w:rsid w:val="579161E1"/>
    <w:rsid w:val="584A1AA0"/>
    <w:rsid w:val="5851284C"/>
    <w:rsid w:val="58D76A1B"/>
    <w:rsid w:val="59287F31"/>
    <w:rsid w:val="59FE640F"/>
    <w:rsid w:val="5A3A4D0D"/>
    <w:rsid w:val="5A4B59E1"/>
    <w:rsid w:val="5A6E3589"/>
    <w:rsid w:val="5A9814EF"/>
    <w:rsid w:val="5B245060"/>
    <w:rsid w:val="5B6836FC"/>
    <w:rsid w:val="5C8E6CC1"/>
    <w:rsid w:val="5CD4150B"/>
    <w:rsid w:val="5CFC008B"/>
    <w:rsid w:val="5D284FF2"/>
    <w:rsid w:val="5D453D32"/>
    <w:rsid w:val="5D6F1865"/>
    <w:rsid w:val="5D8E3A90"/>
    <w:rsid w:val="5DC65AD7"/>
    <w:rsid w:val="5DDA4E1C"/>
    <w:rsid w:val="5E927E82"/>
    <w:rsid w:val="5ED21E8E"/>
    <w:rsid w:val="5ED7519A"/>
    <w:rsid w:val="5EEE5C79"/>
    <w:rsid w:val="5F0B7BE8"/>
    <w:rsid w:val="5F6869EF"/>
    <w:rsid w:val="5F7243E2"/>
    <w:rsid w:val="601D78EB"/>
    <w:rsid w:val="60423FDD"/>
    <w:rsid w:val="60636240"/>
    <w:rsid w:val="60AB196A"/>
    <w:rsid w:val="61306A6A"/>
    <w:rsid w:val="614B10EF"/>
    <w:rsid w:val="62FC7815"/>
    <w:rsid w:val="63360D84"/>
    <w:rsid w:val="635941B3"/>
    <w:rsid w:val="63D27641"/>
    <w:rsid w:val="641E2A62"/>
    <w:rsid w:val="64432C13"/>
    <w:rsid w:val="64C02086"/>
    <w:rsid w:val="65877B96"/>
    <w:rsid w:val="658925AF"/>
    <w:rsid w:val="66845C96"/>
    <w:rsid w:val="66C26AA6"/>
    <w:rsid w:val="673451CA"/>
    <w:rsid w:val="6772399F"/>
    <w:rsid w:val="6780006F"/>
    <w:rsid w:val="684D2239"/>
    <w:rsid w:val="689C77C3"/>
    <w:rsid w:val="68B72DD1"/>
    <w:rsid w:val="69C82BBA"/>
    <w:rsid w:val="6A274C05"/>
    <w:rsid w:val="6B1B462D"/>
    <w:rsid w:val="6D6F26C8"/>
    <w:rsid w:val="6D971A88"/>
    <w:rsid w:val="6DA25BA6"/>
    <w:rsid w:val="6DF7372A"/>
    <w:rsid w:val="6E562EDE"/>
    <w:rsid w:val="6EB74476"/>
    <w:rsid w:val="6F32730A"/>
    <w:rsid w:val="705C256B"/>
    <w:rsid w:val="709D4BC6"/>
    <w:rsid w:val="7139323E"/>
    <w:rsid w:val="71782D70"/>
    <w:rsid w:val="71D35F01"/>
    <w:rsid w:val="71F6334C"/>
    <w:rsid w:val="72705D84"/>
    <w:rsid w:val="73093017"/>
    <w:rsid w:val="73DF28C9"/>
    <w:rsid w:val="743D52CE"/>
    <w:rsid w:val="751F6B51"/>
    <w:rsid w:val="752A0A70"/>
    <w:rsid w:val="752E6281"/>
    <w:rsid w:val="754135B9"/>
    <w:rsid w:val="75524DAA"/>
    <w:rsid w:val="75656114"/>
    <w:rsid w:val="757F6892"/>
    <w:rsid w:val="75D4789D"/>
    <w:rsid w:val="76727098"/>
    <w:rsid w:val="776963DA"/>
    <w:rsid w:val="77A7135E"/>
    <w:rsid w:val="77BD5C4C"/>
    <w:rsid w:val="783919C4"/>
    <w:rsid w:val="787E7D96"/>
    <w:rsid w:val="78AE7030"/>
    <w:rsid w:val="78D00495"/>
    <w:rsid w:val="78FA1F51"/>
    <w:rsid w:val="795067BF"/>
    <w:rsid w:val="79CB3169"/>
    <w:rsid w:val="79FA6E97"/>
    <w:rsid w:val="7A597865"/>
    <w:rsid w:val="7A6F193F"/>
    <w:rsid w:val="7B0E33F0"/>
    <w:rsid w:val="7B1665E7"/>
    <w:rsid w:val="7BB0043A"/>
    <w:rsid w:val="7BC55433"/>
    <w:rsid w:val="7C4A0BE1"/>
    <w:rsid w:val="7C66738C"/>
    <w:rsid w:val="7C6737CC"/>
    <w:rsid w:val="7CC01DE0"/>
    <w:rsid w:val="7D79252F"/>
    <w:rsid w:val="7D876186"/>
    <w:rsid w:val="7E7B76A5"/>
    <w:rsid w:val="7EB4618D"/>
    <w:rsid w:val="7EE929F5"/>
    <w:rsid w:val="7F4D74FA"/>
    <w:rsid w:val="7F525868"/>
    <w:rsid w:val="7F5319DC"/>
    <w:rsid w:val="7FDD5802"/>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4"/>
    <w:semiHidden/>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annotation text"/>
    <w:basedOn w:val="1"/>
    <w:unhideWhenUsed/>
    <w:qFormat/>
    <w:uiPriority w:val="0"/>
    <w:pPr>
      <w:jc w:val="left"/>
    </w:pPr>
  </w:style>
  <w:style w:type="paragraph" w:styleId="8">
    <w:name w:val="Body Text"/>
    <w:basedOn w:val="1"/>
    <w:link w:val="41"/>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rPr>
  </w:style>
  <w:style w:type="paragraph" w:styleId="10">
    <w:name w:val="Block Text"/>
    <w:basedOn w:val="1"/>
    <w:unhideWhenUsed/>
    <w:qFormat/>
    <w:uiPriority w:val="99"/>
    <w:pPr>
      <w:spacing w:after="120"/>
      <w:ind w:left="1440" w:leftChars="700" w:right="1440" w:rightChars="700"/>
    </w:pPr>
  </w:style>
  <w:style w:type="paragraph" w:styleId="11">
    <w:name w:val="List Bullet 2"/>
    <w:basedOn w:val="1"/>
    <w:qFormat/>
    <w:uiPriority w:val="0"/>
    <w:pPr>
      <w:numPr>
        <w:ilvl w:val="0"/>
        <w:numId w:val="1"/>
      </w:numPr>
    </w:pPr>
  </w:style>
  <w:style w:type="paragraph" w:styleId="12">
    <w:name w:val="index 4"/>
    <w:basedOn w:val="1"/>
    <w:next w:val="1"/>
    <w:unhideWhenUsed/>
    <w:qFormat/>
    <w:uiPriority w:val="99"/>
    <w:pPr>
      <w:ind w:left="600" w:leftChars="600"/>
    </w:pPr>
  </w:style>
  <w:style w:type="paragraph" w:styleId="13">
    <w:name w:val="Plain Text"/>
    <w:basedOn w:val="1"/>
    <w:qFormat/>
    <w:uiPriority w:val="0"/>
    <w:rPr>
      <w:rFonts w:ascii="宋体" w:hAnsi="Courier New" w:cs="Courier New"/>
      <w:szCs w:val="21"/>
    </w:rPr>
  </w:style>
  <w:style w:type="paragraph" w:styleId="14">
    <w:name w:val="Balloon Text"/>
    <w:basedOn w:val="1"/>
    <w:link w:val="33"/>
    <w:qFormat/>
    <w:uiPriority w:val="0"/>
    <w:rPr>
      <w:sz w:val="18"/>
      <w:szCs w:val="18"/>
    </w:rPr>
  </w:style>
  <w:style w:type="paragraph" w:styleId="15">
    <w:name w:val="footer"/>
    <w:basedOn w:val="1"/>
    <w:link w:val="39"/>
    <w:qFormat/>
    <w:uiPriority w:val="99"/>
    <w:pPr>
      <w:tabs>
        <w:tab w:val="center" w:pos="4153"/>
        <w:tab w:val="right" w:pos="8306"/>
      </w:tabs>
      <w:snapToGrid w:val="0"/>
      <w:jc w:val="left"/>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after="120"/>
      <w:ind w:left="420" w:leftChars="200"/>
    </w:pPr>
    <w:rPr>
      <w:sz w:val="16"/>
      <w:szCs w:val="16"/>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0">
    <w:name w:val="Table Grid"/>
    <w:basedOn w:val="19"/>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rFonts w:ascii="Tahoma" w:hAnsi="Tahoma" w:eastAsia="宋体"/>
      <w:b/>
      <w:bCs/>
      <w:spacing w:val="10"/>
      <w:kern w:val="2"/>
      <w:sz w:val="24"/>
      <w:szCs w:val="24"/>
      <w:lang w:val="en-US" w:eastAsia="zh-CN" w:bidi="ar-SA"/>
    </w:rPr>
  </w:style>
  <w:style w:type="character" w:styleId="23">
    <w:name w:val="page number"/>
    <w:qFormat/>
    <w:uiPriority w:val="0"/>
    <w:rPr>
      <w:lang w:val="en-US" w:eastAsia="zh-CN" w:bidi="ar-SA"/>
    </w:rPr>
  </w:style>
  <w:style w:type="character" w:styleId="24">
    <w:name w:val="Hyperlink"/>
    <w:qFormat/>
    <w:uiPriority w:val="99"/>
    <w:rPr>
      <w:rFonts w:eastAsia="宋体"/>
      <w:color w:val="0000FF"/>
      <w:kern w:val="2"/>
      <w:sz w:val="24"/>
      <w:szCs w:val="24"/>
      <w:u w:val="single"/>
      <w:lang w:val="en-US" w:eastAsia="zh-CN" w:bidi="ar-SA"/>
    </w:rPr>
  </w:style>
  <w:style w:type="character" w:styleId="25">
    <w:name w:val="annotation reference"/>
    <w:basedOn w:val="21"/>
    <w:unhideWhenUsed/>
    <w:qFormat/>
    <w:uiPriority w:val="0"/>
    <w:rPr>
      <w:sz w:val="21"/>
      <w:szCs w:val="21"/>
    </w:rPr>
  </w:style>
  <w:style w:type="paragraph" w:customStyle="1" w:styleId="26">
    <w:name w:val="_Style 3"/>
    <w:next w:val="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styleId="28">
    <w:name w:val="List Paragraph"/>
    <w:basedOn w:val="1"/>
    <w:qFormat/>
    <w:uiPriority w:val="0"/>
    <w:pPr>
      <w:ind w:firstLine="420" w:firstLineChars="200"/>
    </w:pPr>
    <w:rPr>
      <w:rFonts w:ascii="Calibri" w:hAnsi="Calibri"/>
      <w:szCs w:val="22"/>
    </w:rPr>
  </w:style>
  <w:style w:type="paragraph" w:customStyle="1" w:styleId="2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p16"/>
    <w:basedOn w:val="1"/>
    <w:qFormat/>
    <w:uiPriority w:val="0"/>
    <w:pPr>
      <w:widowControl/>
    </w:pPr>
    <w:rPr>
      <w:rFonts w:ascii="宋体" w:hAnsi="宋体" w:cs="宋体"/>
      <w:kern w:val="0"/>
      <w:szCs w:val="21"/>
    </w:rPr>
  </w:style>
  <w:style w:type="paragraph" w:customStyle="1" w:styleId="3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NormalCharacter"/>
    <w:qFormat/>
    <w:uiPriority w:val="0"/>
  </w:style>
  <w:style w:type="character" w:customStyle="1" w:styleId="33">
    <w:name w:val="批注框文本 Char"/>
    <w:basedOn w:val="21"/>
    <w:link w:val="14"/>
    <w:qFormat/>
    <w:uiPriority w:val="0"/>
    <w:rPr>
      <w:rFonts w:ascii="Times New Roman" w:hAnsi="Times New Roman" w:eastAsia="宋体" w:cs="Times New Roman"/>
      <w:kern w:val="2"/>
      <w:sz w:val="18"/>
      <w:szCs w:val="18"/>
    </w:rPr>
  </w:style>
  <w:style w:type="character" w:customStyle="1" w:styleId="34">
    <w:name w:val="标题 3 Char"/>
    <w:basedOn w:val="21"/>
    <w:link w:val="5"/>
    <w:semiHidden/>
    <w:qFormat/>
    <w:uiPriority w:val="0"/>
    <w:rPr>
      <w:rFonts w:ascii="Times New Roman" w:hAnsi="Times New Roman" w:eastAsia="宋体" w:cs="Times New Roman"/>
      <w:b/>
      <w:bCs/>
      <w:kern w:val="2"/>
      <w:sz w:val="32"/>
      <w:szCs w:val="32"/>
    </w:rPr>
  </w:style>
  <w:style w:type="paragraph" w:customStyle="1" w:styleId="35">
    <w:name w:val="--规划正文"/>
    <w:basedOn w:val="1"/>
    <w:qFormat/>
    <w:uiPriority w:val="0"/>
    <w:pPr>
      <w:spacing w:line="360" w:lineRule="auto"/>
      <w:ind w:firstLine="200" w:firstLineChars="200"/>
    </w:pPr>
    <w:rPr>
      <w:rFonts w:ascii="宋体"/>
      <w:kern w:val="0"/>
      <w:sz w:val="24"/>
      <w:szCs w:val="20"/>
    </w:rPr>
  </w:style>
  <w:style w:type="paragraph" w:customStyle="1" w:styleId="36">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9">
    <w:name w:val="页脚 Char"/>
    <w:basedOn w:val="21"/>
    <w:link w:val="15"/>
    <w:qFormat/>
    <w:uiPriority w:val="99"/>
    <w:rPr>
      <w:rFonts w:ascii="Times New Roman" w:hAnsi="Times New Roman" w:eastAsia="宋体" w:cs="Times New Roman"/>
      <w:kern w:val="2"/>
      <w:sz w:val="18"/>
      <w:szCs w:val="18"/>
    </w:rPr>
  </w:style>
  <w:style w:type="paragraph" w:customStyle="1" w:styleId="40">
    <w:name w:val="Table Paragraph"/>
    <w:basedOn w:val="1"/>
    <w:qFormat/>
    <w:uiPriority w:val="1"/>
    <w:pPr>
      <w:spacing w:before="58"/>
    </w:pPr>
    <w:rPr>
      <w:rFonts w:ascii="华文仿宋" w:hAnsi="华文仿宋" w:eastAsia="华文仿宋" w:cs="华文仿宋"/>
      <w:lang w:val="zh-CN" w:bidi="zh-CN"/>
    </w:rPr>
  </w:style>
  <w:style w:type="character" w:customStyle="1" w:styleId="41">
    <w:name w:val="正文文本 Char"/>
    <w:basedOn w:val="21"/>
    <w:link w:val="8"/>
    <w:qFormat/>
    <w:uiPriority w:val="0"/>
    <w:rPr>
      <w:rFonts w:ascii="Times New Roman" w:hAnsi="Times New Roman" w:eastAsia="宋体" w:cs="Times New Roman"/>
      <w:kern w:val="2"/>
      <w:sz w:val="21"/>
      <w:szCs w:val="24"/>
    </w:rPr>
  </w:style>
  <w:style w:type="paragraph" w:customStyle="1" w:styleId="42">
    <w:name w:val="正文文本_0"/>
    <w:basedOn w:val="1"/>
    <w:qFormat/>
    <w:uiPriority w:val="0"/>
    <w:pPr>
      <w:spacing w:after="120" w:line="276" w:lineRule="auto"/>
    </w:pPr>
    <w:rPr>
      <w:rFonts w:ascii="Tahoma" w:hAnsi="Tahoma"/>
      <w:kern w:val="0"/>
      <w:sz w:val="20"/>
      <w:szCs w:val="20"/>
    </w:rPr>
  </w:style>
  <w:style w:type="paragraph" w:customStyle="1" w:styleId="43">
    <w:name w:val="普通(网站)1"/>
    <w:basedOn w:val="1"/>
    <w:qFormat/>
    <w:uiPriority w:val="0"/>
    <w:pPr>
      <w:widowControl/>
    </w:pPr>
    <w:rPr>
      <w:rFonts w:hAnsi="宋体"/>
      <w:sz w:val="15"/>
      <w:szCs w:val="15"/>
    </w:rPr>
  </w:style>
  <w:style w:type="paragraph" w:customStyle="1" w:styleId="4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列出段落1"/>
    <w:basedOn w:val="1"/>
    <w:qFormat/>
    <w:uiPriority w:val="34"/>
    <w:pPr>
      <w:ind w:firstLine="420" w:firstLineChars="200"/>
    </w:pPr>
    <w:rPr>
      <w:rFonts w:ascii="Calibri" w:hAnsi="Calibri" w:cs="黑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31</Pages>
  <Words>15930</Words>
  <Characters>16601</Characters>
  <Lines>137</Lines>
  <Paragraphs>38</Paragraphs>
  <TotalTime>21</TotalTime>
  <ScaleCrop>false</ScaleCrop>
  <LinksUpToDate>false</LinksUpToDate>
  <CharactersWithSpaces>17809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2022-09-15T10:45:00Z</cp:lastPrinted>
  <dcterms:modified xsi:type="dcterms:W3CDTF">2022-11-04T08:39:47Z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47429C040DC449BB8D491E4A4BA5268A</vt:lpwstr>
  </property>
</Properties>
</file>