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病理项目外送检验服务</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w:t>
      </w:r>
      <w:r>
        <w:rPr>
          <w:rFonts w:hint="eastAsia" w:ascii="宋体" w:hAnsi="宋体"/>
          <w:b/>
          <w:bCs/>
          <w:sz w:val="32"/>
          <w:szCs w:val="32"/>
        </w:rPr>
        <w:t>NYWYF20220012</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期：2022年9月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7"/>
            <w:tabs>
              <w:tab w:val="right" w:leader="dot" w:pos="9638"/>
            </w:tabs>
            <w:spacing w:line="360" w:lineRule="auto"/>
            <w:rPr>
              <w:rFonts w:ascii="宋体" w:hAnsi="宋体" w:cs="宋体"/>
              <w:b/>
              <w:sz w:val="30"/>
              <w:szCs w:val="30"/>
            </w:rPr>
          </w:pPr>
          <w:r>
            <w:rPr>
              <w:rFonts w:hint="eastAsia" w:ascii="宋体" w:hAnsi="宋体" w:cs="宋体"/>
              <w:b/>
              <w:sz w:val="30"/>
              <w:szCs w:val="30"/>
            </w:rPr>
            <w:fldChar w:fldCharType="begin"/>
          </w:r>
          <w:r>
            <w:rPr>
              <w:rFonts w:hint="eastAsia" w:ascii="宋体" w:hAnsi="宋体" w:cs="宋体"/>
              <w:b/>
              <w:sz w:val="30"/>
              <w:szCs w:val="30"/>
            </w:rPr>
            <w:instrText xml:space="preserve">TOC \o "1-1" \h \u </w:instrText>
          </w:r>
          <w:r>
            <w:rPr>
              <w:rFonts w:hint="eastAsia" w:ascii="宋体" w:hAnsi="宋体" w:cs="宋体"/>
              <w:b/>
              <w:sz w:val="30"/>
              <w:szCs w:val="30"/>
            </w:rPr>
            <w:fldChar w:fldCharType="separate"/>
          </w:r>
          <w:r>
            <w:fldChar w:fldCharType="begin"/>
          </w:r>
          <w:r>
            <w:instrText xml:space="preserve"> HYPERLINK \l "_Toc14957" </w:instrText>
          </w:r>
          <w:r>
            <w:fldChar w:fldCharType="separate"/>
          </w:r>
          <w:r>
            <w:rPr>
              <w:rFonts w:hint="eastAsia" w:ascii="宋体" w:hAnsi="宋体" w:cs="宋体"/>
              <w:b/>
              <w:sz w:val="30"/>
              <w:szCs w:val="30"/>
            </w:rPr>
            <w:t>第一部分 报名邀请函</w:t>
          </w:r>
          <w:r>
            <w:rPr>
              <w:rFonts w:hint="eastAsia" w:ascii="宋体" w:hAnsi="宋体" w:cs="宋体"/>
              <w:b/>
              <w:sz w:val="30"/>
              <w:szCs w:val="30"/>
            </w:rPr>
            <w:tab/>
          </w:r>
          <w:r>
            <w:rPr>
              <w:rFonts w:hint="eastAsia" w:ascii="宋体" w:hAnsi="宋体" w:cs="宋体"/>
              <w:b/>
              <w:sz w:val="30"/>
              <w:szCs w:val="30"/>
            </w:rPr>
            <w:fldChar w:fldCharType="begin"/>
          </w:r>
          <w:r>
            <w:rPr>
              <w:rFonts w:hint="eastAsia" w:ascii="宋体" w:hAnsi="宋体" w:cs="宋体"/>
              <w:b/>
              <w:sz w:val="30"/>
              <w:szCs w:val="30"/>
            </w:rPr>
            <w:instrText xml:space="preserve"> PAGEREF _Toc14957 \h </w:instrText>
          </w:r>
          <w:r>
            <w:rPr>
              <w:rFonts w:hint="eastAsia" w:ascii="宋体" w:hAnsi="宋体" w:cs="宋体"/>
              <w:b/>
              <w:sz w:val="30"/>
              <w:szCs w:val="30"/>
            </w:rPr>
            <w:fldChar w:fldCharType="separate"/>
          </w:r>
          <w:r>
            <w:rPr>
              <w:rFonts w:hint="eastAsia" w:ascii="宋体" w:hAnsi="宋体" w:cs="宋体"/>
              <w:b/>
              <w:sz w:val="30"/>
              <w:szCs w:val="30"/>
            </w:rPr>
            <w:t>1</w:t>
          </w:r>
          <w:r>
            <w:rPr>
              <w:rFonts w:hint="eastAsia" w:ascii="宋体" w:hAnsi="宋体" w:cs="宋体"/>
              <w:b/>
              <w:sz w:val="30"/>
              <w:szCs w:val="30"/>
            </w:rPr>
            <w:fldChar w:fldCharType="end"/>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"_Toc1526" </w:instrText>
          </w:r>
          <w:r>
            <w:fldChar w:fldCharType="separate"/>
          </w:r>
          <w:r>
            <w:rPr>
              <w:rFonts w:hint="eastAsia" w:ascii="宋体" w:hAnsi="宋体" w:cs="宋体"/>
              <w:b/>
              <w:sz w:val="30"/>
              <w:szCs w:val="30"/>
            </w:rPr>
            <w:t>第二部分  用户需求书</w:t>
          </w:r>
          <w:r>
            <w:rPr>
              <w:rFonts w:hint="eastAsia" w:ascii="宋体" w:hAnsi="宋体" w:cs="宋体"/>
              <w:b/>
              <w:sz w:val="30"/>
              <w:szCs w:val="30"/>
            </w:rPr>
            <w:tab/>
          </w:r>
          <w:r>
            <w:rPr>
              <w:rFonts w:hint="eastAsia" w:ascii="宋体" w:hAnsi="宋体" w:cs="宋体"/>
              <w:b/>
              <w:sz w:val="30"/>
              <w:szCs w:val="30"/>
            </w:rPr>
            <w:t>3</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"_Toc2432" </w:instrText>
          </w:r>
          <w:r>
            <w:fldChar w:fldCharType="separate"/>
          </w:r>
          <w:r>
            <w:rPr>
              <w:rFonts w:hint="eastAsia" w:ascii="宋体" w:hAnsi="宋体" w:cs="宋体"/>
              <w:b/>
              <w:sz w:val="30"/>
              <w:szCs w:val="30"/>
            </w:rPr>
            <w:t>第三部分  资料整理注意事项</w:t>
          </w:r>
          <w:r>
            <w:rPr>
              <w:rFonts w:hint="eastAsia" w:ascii="宋体" w:hAnsi="宋体" w:cs="宋体"/>
              <w:b/>
              <w:sz w:val="30"/>
              <w:szCs w:val="30"/>
            </w:rPr>
            <w:tab/>
          </w:r>
          <w:r>
            <w:rPr>
              <w:rFonts w:hint="eastAsia" w:ascii="宋体" w:hAnsi="宋体" w:cs="宋体"/>
              <w:b/>
              <w:sz w:val="30"/>
              <w:szCs w:val="30"/>
            </w:rPr>
            <w:t>7</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"_Toc1634" </w:instrText>
          </w:r>
          <w:r>
            <w:fldChar w:fldCharType="separate"/>
          </w:r>
          <w:r>
            <w:rPr>
              <w:rFonts w:hint="eastAsia" w:ascii="宋体" w:hAnsi="宋体" w:cs="宋体"/>
              <w:b/>
              <w:sz w:val="30"/>
              <w:szCs w:val="30"/>
            </w:rPr>
            <w:t>第四部分  相关格式文件(含评分自查表）</w:t>
          </w:r>
          <w:r>
            <w:rPr>
              <w:rFonts w:hint="eastAsia" w:ascii="宋体" w:hAnsi="宋体" w:cs="宋体"/>
              <w:b/>
              <w:sz w:val="30"/>
              <w:szCs w:val="30"/>
            </w:rPr>
            <w:tab/>
          </w:r>
          <w:r>
            <w:rPr>
              <w:rFonts w:hint="eastAsia" w:ascii="宋体" w:hAnsi="宋体" w:cs="宋体"/>
              <w:b/>
              <w:sz w:val="30"/>
              <w:szCs w:val="30"/>
            </w:rPr>
            <w:t>8</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"_Toc26773" </w:instrText>
          </w:r>
          <w:r>
            <w:fldChar w:fldCharType="separate"/>
          </w:r>
          <w:r>
            <w:rPr>
              <w:rFonts w:hint="eastAsia" w:ascii="宋体" w:hAnsi="宋体" w:cs="宋体"/>
              <w:b/>
              <w:sz w:val="30"/>
              <w:szCs w:val="30"/>
            </w:rPr>
            <w:t>第五部分 合同模板</w:t>
          </w:r>
          <w:r>
            <w:rPr>
              <w:rFonts w:hint="eastAsia" w:ascii="宋体" w:hAnsi="宋体" w:cs="宋体"/>
              <w:b/>
              <w:sz w:val="30"/>
              <w:szCs w:val="30"/>
            </w:rPr>
            <w:tab/>
          </w:r>
          <w:r>
            <w:rPr>
              <w:rFonts w:hint="eastAsia" w:ascii="宋体" w:hAnsi="宋体" w:cs="宋体"/>
              <w:b/>
              <w:sz w:val="30"/>
              <w:szCs w:val="30"/>
            </w:rPr>
            <w:fldChar w:fldCharType="end"/>
          </w:r>
          <w:r>
            <w:rPr>
              <w:rFonts w:hint="eastAsia" w:ascii="宋体" w:hAnsi="宋体" w:cs="宋体"/>
              <w:b/>
              <w:sz w:val="30"/>
              <w:szCs w:val="30"/>
            </w:rPr>
            <w:t>21</w:t>
          </w:r>
        </w:p>
        <w:p>
          <w:pPr>
            <w:spacing w:line="360" w:lineRule="auto"/>
            <w:jc w:val="center"/>
            <w:rPr>
              <w:rFonts w:ascii="黑体" w:hAnsi="黑体" w:eastAsia="黑体" w:cs="黑体"/>
              <w:b/>
              <w:bCs/>
              <w:kern w:val="0"/>
              <w:sz w:val="30"/>
              <w:szCs w:val="30"/>
            </w:rPr>
          </w:pPr>
          <w:r>
            <w:rPr>
              <w:rFonts w:hint="eastAsia" w:ascii="宋体" w:hAnsi="宋体" w:cs="宋体"/>
              <w:b/>
              <w:kern w:val="0"/>
              <w:sz w:val="30"/>
              <w:szCs w:val="30"/>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autoSpaceDE w:val="0"/>
        <w:autoSpaceDN w:val="0"/>
        <w:spacing w:line="400" w:lineRule="exact"/>
        <w:ind w:firstLine="420" w:firstLineChars="200"/>
        <w:rPr>
          <w:rFonts w:ascii="宋体" w:hAnsi="宋体" w:cs="宋体"/>
          <w:szCs w:val="21"/>
        </w:rPr>
      </w:pPr>
      <w:r>
        <w:rPr>
          <w:rFonts w:hint="eastAsia" w:ascii="宋体" w:hAnsi="宋体" w:cs="宋体"/>
          <w:szCs w:val="21"/>
        </w:rPr>
        <w:t>根据我院业务发展需要，近期拟对</w:t>
      </w:r>
      <w:r>
        <w:rPr>
          <w:rFonts w:hint="eastAsia" w:ascii="宋体" w:hAnsi="宋体"/>
          <w:color w:val="000000"/>
          <w:szCs w:val="21"/>
        </w:rPr>
        <w:t>病理项目外送检验服务</w:t>
      </w:r>
      <w:r>
        <w:rPr>
          <w:rFonts w:hint="eastAsia" w:ascii="宋体" w:hAnsi="宋体" w:cs="宋体"/>
          <w:szCs w:val="21"/>
        </w:rPr>
        <w:t>进行采购，现根据相关规定特此公告，欢迎符合条件的供应商参加。</w:t>
      </w:r>
    </w:p>
    <w:p>
      <w:pPr>
        <w:numPr>
          <w:ilvl w:val="0"/>
          <w:numId w:val="2"/>
        </w:num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采购需求</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NYWYF20220012</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2.项目名称：</w:t>
      </w:r>
      <w:r>
        <w:rPr>
          <w:rFonts w:hint="eastAsia" w:ascii="宋体" w:hAnsi="宋体" w:cs="宋体"/>
          <w:szCs w:val="21"/>
        </w:rPr>
        <w:t>南方医科大学第五附属医院病理项目外送检验服务项目</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3.项目限价：</w:t>
      </w:r>
      <w:r>
        <w:rPr>
          <w:rFonts w:hint="eastAsia" w:ascii="宋体" w:hAnsi="宋体" w:cs="宋体"/>
          <w:szCs w:val="21"/>
        </w:rPr>
        <w:t>15万元/年。</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4.采购内容及要求：</w:t>
      </w:r>
      <w:r>
        <w:rPr>
          <w:rFonts w:hint="eastAsia" w:ascii="宋体" w:hAnsi="宋体" w:cs="宋体"/>
          <w:szCs w:val="21"/>
        </w:rPr>
        <w:t>详见附件1采购文件第二部分用户需求书。</w:t>
      </w:r>
    </w:p>
    <w:p>
      <w:p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二、提供资料相关事项</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2022年9月</w:t>
      </w:r>
      <w:r>
        <w:rPr>
          <w:rFonts w:hint="eastAsia" w:ascii="宋体" w:hAnsi="宋体" w:cs="宋体"/>
          <w:szCs w:val="21"/>
          <w:lang w:val="en-US" w:eastAsia="zh-CN"/>
        </w:rPr>
        <w:t>28</w:t>
      </w:r>
      <w:r>
        <w:rPr>
          <w:rFonts w:hint="eastAsia" w:ascii="宋体" w:hAnsi="宋体" w:cs="宋体"/>
          <w:szCs w:val="21"/>
        </w:rPr>
        <w:t>日下午17点30分，</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400" w:lineRule="exact"/>
        <w:ind w:firstLine="422" w:firstLineChars="200"/>
        <w:rPr>
          <w:rFonts w:ascii="宋体" w:hAnsi="宋体" w:cs="宋体"/>
          <w:color w:val="FF0000"/>
          <w:szCs w:val="21"/>
        </w:rPr>
      </w:pPr>
      <w:r>
        <w:rPr>
          <w:rFonts w:hint="eastAsia" w:ascii="宋体" w:hAnsi="宋体" w:cs="宋体"/>
          <w:b/>
          <w:color w:val="FF0000"/>
          <w:szCs w:val="21"/>
        </w:rPr>
        <w:t>3.报名所需提供资料及要求</w:t>
      </w:r>
      <w:r>
        <w:rPr>
          <w:rFonts w:hint="eastAsia" w:ascii="宋体" w:hAnsi="宋体" w:cs="宋体"/>
          <w:color w:val="FF0000"/>
          <w:szCs w:val="21"/>
        </w:rPr>
        <w:t>：详见报名资料。</w:t>
      </w:r>
    </w:p>
    <w:p>
      <w:pPr>
        <w:spacing w:line="400" w:lineRule="exact"/>
        <w:ind w:firstLine="420" w:firstLineChars="200"/>
        <w:contextualSpacing/>
        <w:rPr>
          <w:rFonts w:ascii="宋体" w:hAnsi="宋体" w:cs="宋体"/>
          <w:b/>
          <w:bCs/>
          <w:color w:val="FF0000"/>
          <w:szCs w:val="21"/>
        </w:rPr>
      </w:pPr>
      <w:r>
        <w:rPr>
          <w:rFonts w:hint="eastAsia"/>
          <w:szCs w:val="21"/>
        </w:rPr>
        <w:t xml:space="preserve"> </w:t>
      </w:r>
      <w:r>
        <w:rPr>
          <w:rFonts w:hint="eastAsia" w:ascii="宋体" w:hAnsi="宋体" w:cs="宋体"/>
          <w:b/>
          <w:bCs/>
          <w:color w:val="FF0000"/>
          <w:szCs w:val="21"/>
        </w:rPr>
        <w:t>*温馨告知：</w:t>
      </w:r>
      <w:r>
        <w:rPr>
          <w:rFonts w:hint="eastAsia" w:ascii="宋体" w:hAnsi="宋体" w:cs="宋体"/>
          <w:color w:val="FF0000"/>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adjustRightInd w:val="0"/>
        <w:snapToGrid w:val="0"/>
        <w:spacing w:line="400" w:lineRule="exact"/>
        <w:ind w:firstLine="422" w:firstLineChars="200"/>
        <w:rPr>
          <w:szCs w:val="21"/>
        </w:rPr>
      </w:pPr>
      <w:r>
        <w:rPr>
          <w:rFonts w:hint="eastAsia" w:ascii="宋体" w:hAnsi="宋体" w:cs="宋体"/>
          <w:b/>
          <w:bCs/>
          <w:szCs w:val="21"/>
        </w:rPr>
        <w:t>5.</w:t>
      </w:r>
      <w:r>
        <w:rPr>
          <w:rStyle w:val="22"/>
          <w:rFonts w:hint="eastAsia" w:ascii="宋体" w:hAnsi="宋体" w:cs="宋体"/>
          <w:color w:val="FF0000"/>
          <w:sz w:val="21"/>
          <w:szCs w:val="21"/>
          <w:shd w:val="clear" w:color="auto" w:fill="FFFFFF"/>
        </w:rPr>
        <w:t>疫情防控要求：</w:t>
      </w:r>
      <w:r>
        <w:rPr>
          <w:rFonts w:hint="eastAsia" w:ascii="宋体" w:hAnsi="宋体" w:cs="宋体"/>
          <w:b/>
          <w:bCs/>
          <w:color w:val="FF0000"/>
          <w:szCs w:val="21"/>
          <w:shd w:val="clear" w:color="auto" w:fill="FFFFFF"/>
        </w:rPr>
        <w:t>参加评审会议供应商必须无流行病学史，需提供健康码绿码、行程码绿码、72小时核酸检测结果阴性。(如有最新防疫政策要求，按最新的政策要求执行）</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三、供应商资质要求</w:t>
      </w:r>
    </w:p>
    <w:p>
      <w:pPr>
        <w:autoSpaceDE w:val="0"/>
        <w:autoSpaceDN w:val="0"/>
        <w:spacing w:line="400" w:lineRule="exact"/>
        <w:ind w:firstLine="420" w:firstLineChars="200"/>
        <w:rPr>
          <w:rFonts w:ascii="宋体" w:hAnsi="宋体" w:cs="宋体"/>
          <w:szCs w:val="21"/>
        </w:rPr>
      </w:pPr>
      <w:r>
        <w:rPr>
          <w:rFonts w:hint="eastAsia" w:ascii="宋体" w:hAnsi="宋体" w:cs="宋体"/>
          <w:szCs w:val="21"/>
        </w:rPr>
        <w:t>1.具备《中华人民共和国政府采购法》第二十二条规定的条件：</w:t>
      </w:r>
    </w:p>
    <w:p>
      <w:pPr>
        <w:pStyle w:val="2"/>
        <w:spacing w:line="400" w:lineRule="exact"/>
        <w:ind w:firstLine="420" w:firstLineChars="200"/>
        <w:rPr>
          <w:rFonts w:ascii="宋体" w:hAnsi="宋体" w:cs="宋体"/>
          <w:szCs w:val="21"/>
        </w:rPr>
      </w:pPr>
      <w:r>
        <w:rPr>
          <w:rFonts w:hint="eastAsia" w:ascii="宋体" w:hAnsi="宋体" w:cs="宋体"/>
          <w:szCs w:val="21"/>
        </w:rPr>
        <w:t>1.1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p>
      <w:pPr>
        <w:widowControl/>
        <w:spacing w:line="400" w:lineRule="exact"/>
        <w:ind w:firstLine="420"/>
        <w:jc w:val="left"/>
        <w:rPr>
          <w:rFonts w:ascii="宋体" w:hAnsi="宋体" w:cs="宋体"/>
          <w:szCs w:val="21"/>
        </w:rPr>
      </w:pPr>
      <w:r>
        <w:rPr>
          <w:rFonts w:hint="eastAsia" w:ascii="宋体" w:hAnsi="宋体" w:cs="宋体"/>
          <w:szCs w:val="21"/>
        </w:rPr>
        <w:t>1.2具有独立承担民事责任的能力（提供承诺函，承诺函必须包含相关文字内容，格式自拟）；</w:t>
      </w:r>
    </w:p>
    <w:p>
      <w:pPr>
        <w:widowControl/>
        <w:spacing w:line="400" w:lineRule="exact"/>
        <w:ind w:firstLine="420"/>
        <w:jc w:val="left"/>
        <w:rPr>
          <w:rFonts w:ascii="宋体" w:hAnsi="宋体" w:cs="宋体"/>
          <w:szCs w:val="21"/>
        </w:rPr>
      </w:pPr>
      <w:r>
        <w:rPr>
          <w:rFonts w:hint="eastAsia" w:ascii="宋体" w:hAnsi="宋体" w:cs="宋体"/>
          <w:szCs w:val="21"/>
        </w:rPr>
        <w:t>1.3具有履行合同所必需的设备和专业技术能力(填报设备及专业技术能力情况或者提供承诺函，承诺函必须包含相关文字内容，格式自拟)；</w:t>
      </w:r>
    </w:p>
    <w:p>
      <w:pPr>
        <w:widowControl/>
        <w:spacing w:line="400" w:lineRule="exact"/>
        <w:ind w:firstLine="420"/>
        <w:jc w:val="left"/>
        <w:rPr>
          <w:rFonts w:ascii="宋体" w:hAnsi="宋体" w:cs="宋体"/>
          <w:szCs w:val="21"/>
        </w:rPr>
      </w:pPr>
      <w:r>
        <w:rPr>
          <w:rFonts w:hint="eastAsia" w:ascii="宋体" w:hAnsi="宋体" w:cs="宋体"/>
          <w:szCs w:val="21"/>
        </w:rPr>
        <w:t>1.4具有依法缴纳税收和社会保障资金的良好记录（提供承诺函，承诺函必须包含相关文字内容，格式自拟）；</w:t>
      </w:r>
    </w:p>
    <w:p>
      <w:pPr>
        <w:widowControl/>
        <w:spacing w:line="400" w:lineRule="exact"/>
        <w:ind w:firstLine="420"/>
        <w:jc w:val="left"/>
        <w:rPr>
          <w:rFonts w:ascii="宋体" w:hAnsi="宋体" w:cs="宋体"/>
          <w:szCs w:val="21"/>
        </w:rPr>
      </w:pPr>
      <w:r>
        <w:rPr>
          <w:rFonts w:hint="eastAsia" w:ascii="宋体" w:hAnsi="宋体" w:cs="宋体"/>
          <w:szCs w:val="21"/>
        </w:rPr>
        <w:t>1.5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widowControl/>
        <w:spacing w:line="400" w:lineRule="exact"/>
        <w:ind w:firstLine="420" w:firstLineChars="200"/>
        <w:jc w:val="left"/>
        <w:rPr>
          <w:rFonts w:ascii="宋体" w:hAnsi="宋体"/>
          <w:color w:val="000000"/>
          <w:szCs w:val="21"/>
        </w:rPr>
      </w:pPr>
      <w:r>
        <w:rPr>
          <w:rFonts w:hint="eastAsia" w:ascii="宋体" w:hAnsi="宋体"/>
          <w:color w:val="000000"/>
          <w:szCs w:val="21"/>
        </w:rPr>
        <w:t xml:space="preserve">2.具有中华人民共和国卫生行政部门颁发的医疗机构执业许可证（各级疾控中心参与的无需提供《医疗机构执业许可证》）（提供相关证件复印件，并加盖公章） </w:t>
      </w:r>
    </w:p>
    <w:p>
      <w:pPr>
        <w:widowControl/>
        <w:spacing w:line="400" w:lineRule="exact"/>
        <w:ind w:firstLine="420"/>
        <w:jc w:val="left"/>
        <w:rPr>
          <w:rFonts w:ascii="宋体" w:hAnsi="宋体"/>
          <w:color w:val="000000"/>
          <w:szCs w:val="21"/>
        </w:rPr>
      </w:pPr>
      <w:r>
        <w:rPr>
          <w:rFonts w:hint="eastAsia" w:ascii="宋体" w:hAnsi="宋体"/>
          <w:color w:val="000000"/>
          <w:szCs w:val="21"/>
        </w:rPr>
        <w:t>3.法定代表人或单位负责人为同一人或者存在直接控股、管理关系的不同响应单位，不得参加同一合同项下的政府采购活动（提供承诺函，承诺函必须包含相关文字内容，格式自拟）</w:t>
      </w:r>
    </w:p>
    <w:p>
      <w:pPr>
        <w:widowControl/>
        <w:spacing w:line="400" w:lineRule="exact"/>
        <w:ind w:firstLine="420"/>
        <w:jc w:val="left"/>
        <w:rPr>
          <w:rFonts w:ascii="宋体" w:hAnsi="宋体"/>
          <w:color w:val="000000"/>
          <w:szCs w:val="21"/>
        </w:rPr>
      </w:pPr>
      <w:r>
        <w:rPr>
          <w:rFonts w:hint="eastAsia" w:ascii="宋体" w:hAnsi="宋体"/>
          <w:color w:val="000000"/>
          <w:szCs w:val="21"/>
        </w:rPr>
        <w:t>4.本项目不接受联合体。（提供声明函，承诺函必须包含相关内容描述，格式自拟）。</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注：供应商若不能同时满足以上条件则视为投标参与无效。（如发现提供虚假材料者，取消其参加评审资格和成交资格）</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四、联系方式</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冯老师：020-61780580（采购业务咨询）  邮箱：</w:t>
      </w:r>
      <w:r>
        <w:rPr>
          <w:rFonts w:ascii="宋体" w:hAnsi="宋体" w:cs="宋体"/>
          <w:kern w:val="0"/>
          <w:szCs w:val="21"/>
        </w:rPr>
        <w:t>nywycgb@126.com</w:t>
      </w:r>
    </w:p>
    <w:p>
      <w:pPr>
        <w:widowControl/>
        <w:spacing w:line="400" w:lineRule="exact"/>
        <w:ind w:firstLine="315" w:firstLineChars="150"/>
        <w:jc w:val="left"/>
        <w:rPr>
          <w:rFonts w:ascii="宋体" w:hAnsi="宋体" w:cs="宋体"/>
          <w:kern w:val="0"/>
          <w:szCs w:val="21"/>
        </w:rPr>
      </w:pPr>
      <w:r>
        <w:rPr>
          <w:rFonts w:hint="eastAsia" w:ascii="宋体" w:hAnsi="宋体" w:cs="宋体"/>
          <w:szCs w:val="21"/>
        </w:rPr>
        <w:t>翁老师：020-61780011（项目需求咨询）</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刘老师：020-61780096（投诉举报电话）</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400" w:lineRule="exact"/>
        <w:jc w:val="right"/>
        <w:rPr>
          <w:rFonts w:ascii="宋体" w:hAnsi="宋体" w:cs="宋体"/>
          <w:kern w:val="0"/>
          <w:szCs w:val="21"/>
        </w:rPr>
      </w:pPr>
    </w:p>
    <w:p>
      <w:pPr>
        <w:adjustRightInd w:val="0"/>
        <w:snapToGrid w:val="0"/>
        <w:spacing w:line="400" w:lineRule="exact"/>
        <w:ind w:firstLine="420" w:firstLineChars="200"/>
        <w:jc w:val="right"/>
        <w:rPr>
          <w:rFonts w:ascii="宋体" w:hAnsi="宋体" w:cs="宋体"/>
          <w:szCs w:val="21"/>
          <w:lang w:val="zh-CN"/>
        </w:rPr>
      </w:pPr>
      <w:r>
        <w:rPr>
          <w:rFonts w:hint="eastAsia" w:ascii="宋体" w:hAnsi="宋体" w:cs="宋体"/>
          <w:szCs w:val="21"/>
          <w:lang w:val="zh-CN"/>
        </w:rPr>
        <w:t>南方医科大学第五附属医院</w:t>
      </w:r>
    </w:p>
    <w:p>
      <w:pPr>
        <w:pStyle w:val="2"/>
        <w:spacing w:line="400" w:lineRule="exact"/>
        <w:jc w:val="right"/>
        <w:rPr>
          <w:rFonts w:ascii="宋体" w:hAnsi="宋体" w:cs="宋体"/>
          <w:szCs w:val="21"/>
        </w:rPr>
      </w:pPr>
      <w:r>
        <w:rPr>
          <w:rFonts w:hint="eastAsia" w:ascii="宋体" w:hAnsi="宋体" w:cs="宋体"/>
          <w:szCs w:val="21"/>
          <w:lang w:val="zh-CN"/>
        </w:rPr>
        <w:t>202</w:t>
      </w:r>
      <w:r>
        <w:rPr>
          <w:rFonts w:hint="eastAsia" w:ascii="宋体" w:hAnsi="宋体" w:cs="宋体"/>
          <w:szCs w:val="21"/>
        </w:rPr>
        <w:t>2</w:t>
      </w:r>
      <w:r>
        <w:rPr>
          <w:rFonts w:hint="eastAsia" w:ascii="宋体" w:hAnsi="宋体" w:cs="宋体"/>
          <w:szCs w:val="21"/>
          <w:lang w:val="zh-CN"/>
        </w:rPr>
        <w:t>年</w:t>
      </w:r>
      <w:r>
        <w:rPr>
          <w:rFonts w:hint="eastAsia" w:ascii="宋体" w:hAnsi="宋体" w:cs="宋体"/>
          <w:szCs w:val="21"/>
        </w:rPr>
        <w:t>9</w:t>
      </w:r>
      <w:r>
        <w:rPr>
          <w:rFonts w:hint="eastAsia" w:ascii="宋体" w:hAnsi="宋体" w:cs="宋体"/>
          <w:szCs w:val="21"/>
          <w:lang w:val="zh-CN"/>
        </w:rPr>
        <w:t>月</w:t>
      </w:r>
      <w:r>
        <w:rPr>
          <w:rFonts w:hint="eastAsia" w:ascii="宋体" w:hAnsi="宋体" w:cs="宋体"/>
          <w:szCs w:val="21"/>
          <w:lang w:val="en-US" w:eastAsia="zh-CN"/>
        </w:rPr>
        <w:t>23</w:t>
      </w:r>
      <w:r>
        <w:rPr>
          <w:rFonts w:hint="eastAsia" w:ascii="宋体" w:hAnsi="宋体" w:cs="宋体"/>
          <w:szCs w:val="21"/>
          <w:lang w:val="zh-CN"/>
        </w:rPr>
        <w:t>日</w:t>
      </w:r>
    </w:p>
    <w:p>
      <w:pPr>
        <w:pStyle w:val="2"/>
        <w:spacing w:line="400" w:lineRule="exact"/>
        <w:jc w:val="right"/>
        <w:rPr>
          <w:rFonts w:ascii="宋体" w:hAnsi="宋体" w:cs="宋体"/>
          <w:szCs w:val="21"/>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numPr>
          <w:ilvl w:val="0"/>
          <w:numId w:val="3"/>
        </w:numPr>
        <w:spacing w:line="360" w:lineRule="auto"/>
        <w:jc w:val="center"/>
        <w:outlineLvl w:val="0"/>
        <w:rPr>
          <w:rFonts w:ascii="宋体" w:hAnsi="宋体"/>
          <w:b/>
          <w:bCs/>
          <w:sz w:val="30"/>
          <w:szCs w:val="30"/>
        </w:rPr>
      </w:pPr>
      <w:bookmarkStart w:id="2" w:name="_Toc1526"/>
      <w:bookmarkStart w:id="3" w:name="_Toc25861"/>
      <w:bookmarkStart w:id="4" w:name="_Toc27350"/>
      <w:r>
        <w:rPr>
          <w:rFonts w:hint="eastAsia" w:ascii="宋体" w:hAnsi="宋体"/>
          <w:b/>
          <w:bCs/>
          <w:sz w:val="30"/>
          <w:szCs w:val="30"/>
        </w:rPr>
        <w:t xml:space="preserve"> 用户需求书</w:t>
      </w:r>
      <w:bookmarkEnd w:id="2"/>
      <w:bookmarkEnd w:id="3"/>
      <w:bookmarkEnd w:id="4"/>
    </w:p>
    <w:p>
      <w:pPr>
        <w:spacing w:line="400" w:lineRule="exact"/>
        <w:rPr>
          <w:rFonts w:ascii="宋体" w:hAnsi="宋体" w:cs="宋体"/>
          <w:b/>
          <w:bCs/>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一、采购内容</w:t>
      </w:r>
    </w:p>
    <w:tbl>
      <w:tblPr>
        <w:tblStyle w:val="20"/>
        <w:tblW w:w="4551" w:type="pct"/>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5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806" w:type="pct"/>
            <w:vAlign w:val="center"/>
          </w:tcPr>
          <w:p>
            <w:pPr>
              <w:spacing w:line="400" w:lineRule="exact"/>
              <w:jc w:val="center"/>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采购内容</w:t>
            </w:r>
          </w:p>
        </w:tc>
        <w:tc>
          <w:tcPr>
            <w:tcW w:w="3193" w:type="pct"/>
            <w:vAlign w:val="center"/>
          </w:tcPr>
          <w:p>
            <w:pPr>
              <w:spacing w:line="400" w:lineRule="exact"/>
              <w:jc w:val="center"/>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06" w:type="pct"/>
            <w:vAlign w:val="center"/>
          </w:tcPr>
          <w:p>
            <w:pPr>
              <w:spacing w:line="400" w:lineRule="exact"/>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病理项目外送检查项目</w:t>
            </w:r>
          </w:p>
        </w:tc>
        <w:tc>
          <w:tcPr>
            <w:tcW w:w="3193" w:type="pct"/>
            <w:vAlign w:val="center"/>
          </w:tcPr>
          <w:p>
            <w:pPr>
              <w:spacing w:line="400" w:lineRule="exact"/>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疑难病理、肾脏病理、分子病理、远程病理会诊等</w:t>
            </w:r>
          </w:p>
        </w:tc>
      </w:tr>
    </w:tbl>
    <w:p>
      <w:pPr>
        <w:spacing w:line="400" w:lineRule="exact"/>
        <w:ind w:firstLine="210" w:firstLineChars="10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如以上项目采购人科室能够开展，将逐步减少或停止外送。</w:t>
      </w:r>
    </w:p>
    <w:p>
      <w:pPr>
        <w:spacing w:line="400" w:lineRule="exact"/>
        <w:rPr>
          <w:rFonts w:ascii="宋体" w:hAnsi="宋体" w:cs="宋体"/>
          <w:b/>
          <w:bCs/>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二、商务要求</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1.报价要求</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lang w:val="en-GB"/>
          <w14:textFill>
            <w14:solidFill>
              <w14:schemeClr w14:val="tx1">
                <w14:lumMod w14:val="95000"/>
                <w14:lumOff w14:val="5000"/>
              </w14:schemeClr>
            </w14:solidFill>
          </w14:textFill>
        </w:rPr>
        <w:t>★</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供应商应按照《广州市公立医疗机构基本医疗服务价格》（以最新版本为准），对本项目所有检验内容按折扣率进行报价，报价应包括但不限于各种人力成本、货物成本、资料费、服务费、信息系统接口费、税费、物流服务、标本采集试管、保存装置及合同实施过程中的所有费用。</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2.服务年限：签订合同之日起3年，每年合作期满对成交供应商进行年度考核，年度考核合格后自动履行下一年合同。</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3.预算：15万元/年。</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4.服务地点：采购人指定的地点。</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5.付款和结算方式：</w:t>
      </w:r>
    </w:p>
    <w:p>
      <w:pPr>
        <w:spacing w:line="400" w:lineRule="exact"/>
        <w:ind w:firstLine="210" w:firstLineChars="100"/>
        <w:rPr>
          <w:rFonts w:hint="eastAsia"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5.1按季度结算，本季度结算上季度服务金额。</w:t>
      </w:r>
    </w:p>
    <w:p>
      <w:pPr>
        <w:spacing w:line="400" w:lineRule="exact"/>
        <w:ind w:firstLine="210" w:firstLineChars="100"/>
        <w:rPr>
          <w:rFonts w:hint="eastAsia"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5.2实际检测项目结算单价=实际检测项目收费标准×报价折扣率。</w:t>
      </w:r>
    </w:p>
    <w:p>
      <w:pPr>
        <w:pStyle w:val="28"/>
        <w:spacing w:line="400" w:lineRule="exact"/>
        <w:ind w:firstLine="210" w:firstLineChars="100"/>
        <w:rPr>
          <w:rFonts w:hint="eastAsia"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5.3每季度结算金额=实际检测项目收费标准×报价折扣率×上季度实际检测数量。成交供应商于每季度首月5日前提供上一季度送检数量结算明细清单交到给采购人处, 采购人收到资料审核无误后通知成交供应商开具发票，采购人收到发票后15个工作日内转账支付服务费用。</w:t>
      </w:r>
    </w:p>
    <w:p>
      <w:pPr>
        <w:pStyle w:val="28"/>
        <w:spacing w:line="400" w:lineRule="exact"/>
        <w:ind w:firstLine="211" w:firstLineChars="100"/>
        <w:rPr>
          <w:rFonts w:ascii="宋体" w:hAnsi="宋体" w:cs="宋体"/>
          <w:b/>
          <w:bCs/>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三、技术服务要求</w:t>
      </w:r>
    </w:p>
    <w:p>
      <w:pPr>
        <w:spacing w:line="400" w:lineRule="exact"/>
        <w:rPr>
          <w:rFonts w:ascii="宋体" w:hAnsi="宋体" w:cs="宋体"/>
          <w:b/>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
          <w:snapToGrid w:val="0"/>
          <w:color w:val="0D0D0D" w:themeColor="text1" w:themeTint="F2"/>
          <w:szCs w:val="21"/>
          <w14:textFill>
            <w14:solidFill>
              <w14:schemeClr w14:val="tx1">
                <w14:lumMod w14:val="95000"/>
                <w14:lumOff w14:val="5000"/>
              </w14:schemeClr>
            </w14:solidFill>
          </w14:textFill>
        </w:rPr>
        <w:t>1.技术要求</w:t>
      </w:r>
    </w:p>
    <w:p>
      <w:pPr>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（1）供应商实验室符合国家卫健委《医疗机构临床实验室管理办法》等法律法规要求。</w:t>
      </w:r>
    </w:p>
    <w:p>
      <w:pPr>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（2）供应商保证按国家检测规范进行操作，并对标本的检测报告承担相应的责任。</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（3）供应商实验室通过临床检验中心组织的室间质评。</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（4）供应商实验室须具有临床检验中心颁发临床基因扩增检验实验室技术审核验收合格证书。</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（5）供应商实验室通过ISO15189《医学实验室-质量和能力的要求》认证、通过美国病理学家学会（CAP）认证。</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（6）供应商实验室需拥有专业的技术人员，可提供专业的检测服务。</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7）供应商病理实验室拥有完善的病理技术平台，包括细胞病理、组织病理、分子病理、远程病理等；供应商拥有丰富远程病理诊断服务经验和良好运营能力；可提供良好的临床病理学术沟通平台，协助解决病理疑难病例。</w:t>
      </w:r>
    </w:p>
    <w:p>
      <w:pPr>
        <w:pStyle w:val="28"/>
        <w:spacing w:line="400" w:lineRule="exact"/>
        <w:ind w:firstLine="0" w:firstLineChars="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（8）分子病理项目：采购人将根据情况提供石蜡切片进行外送，用于辅助分子检测，供应商所有检测数据需完整准确回传至采购人病理科。</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（9）供应商具有医学肾脏穿刺病理活检项目工作经验，提供医学肾脏穿刺病理活检标本采集、检测、报告应用的咨询、指导。</w:t>
      </w:r>
    </w:p>
    <w:p>
      <w:pPr>
        <w:pStyle w:val="28"/>
        <w:spacing w:line="400" w:lineRule="exact"/>
        <w:ind w:firstLine="0" w:firstLineChars="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（10）肾脏组织免疫荧光、光镜检查病理诊断及电镜检查病理诊断项目报告需在标本到达供应商实验室后2天内出具，成交供应商对其出具的病理诊断报告结果，负责并对其内容进行解释。</w:t>
      </w:r>
    </w:p>
    <w:p>
      <w:pPr>
        <w:pStyle w:val="28"/>
        <w:spacing w:line="400" w:lineRule="exact"/>
        <w:ind w:firstLine="0" w:firstLineChars="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（11）肾穿技术层面要求：穿刺针在16号或以上的光镜标本，除常规连续切片外，能进行3层面连续切片，可最大限度观察到穿刺出来的每一个肾小球。</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12）供应商对所发放的医学肾脏穿刺病理活检报告负责。合作期间，因为供应商的医学肾脏穿刺病理活检报告质量问题发生医疗纠纷或医疗事故，采购人及时通知供应商，并按采购人的相关程序进行调解和处理，因供应商医学肾脏穿刺病理活检报告存在质量问题导致医疗纠纷或医疗事故而造成采购人经济损失由供应商承担相关责任。</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（13）供应商拥有权威医学院校的技术支撑，协助采购人开展病理检查人员进修培训、协助采购人开展继续教育、专题讲座等学术交流活动。</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（14）供应商LIS系统可与医院的LIS对接，实现检验项目结果传输，方便检验项目的统一管理。 </w:t>
      </w:r>
    </w:p>
    <w:p>
      <w:pPr>
        <w:autoSpaceDE w:val="0"/>
        <w:autoSpaceDN w:val="0"/>
        <w:adjustRightInd w:val="0"/>
        <w:spacing w:line="400" w:lineRule="exact"/>
        <w:jc w:val="left"/>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其中，被委托实验室的质量要求包括：</w:t>
      </w:r>
    </w:p>
    <w:p>
      <w:pPr>
        <w:autoSpaceDE w:val="0"/>
        <w:autoSpaceDN w:val="0"/>
        <w:adjustRightInd w:val="0"/>
        <w:spacing w:line="400" w:lineRule="exact"/>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（1）质量要求</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 xml:space="preserve">①标本规范化固定率≥ 99% </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② HE 染色切片优良率≥ 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③免疫组化切片优良率≥ 98%</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④术中快速冰冻病理诊断及时率≥99%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 xml:space="preserve">⑤组织病理诊断及时率≥ 98% </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⑥细胞病理诊断及时率≥ 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⑦免疫组化染色室间质评合格率≥ 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⑧细胞病理诊断质控符合率≥98%</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⑨术中快速冰冻与石蜡诊断符合率≥ 95%</w:t>
      </w:r>
    </w:p>
    <w:p>
      <w:pPr>
        <w:widowControl/>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（2）采购人每季度对成交供应商的服务质量进行季度考核并根据考核结果扣罚成交供应商的服务费，考核标准由采购人与成交供应商协商确定。</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（2）供应商对采购人送检的合格样本结果负责，对于按照供应商取材要求进行取材的合格样本，若因供应商原因导致检测结果存在质量问题，由供应商承担相关责任。</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（3）供应商均按日或检测批次对采购人委托项目进行室内质控，按季度提供室内质量控制报表，其内容包括质控检测数据、控制标准、质控分析、失控报告。</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（4）供应商参加临床病理质量控制中心室间质评，每半年提供委托项目的能力验证活动报告，没有能力验证的检查项目应提供与委托方认可的实验室结果一致性的证据。</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（5）按采购人要求，随时提供质量和技术资料，如更换试剂批号、仪器维修后、检验系统更换后的质控记录和性能验证报告。</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（6）供应商有专人负责采购人业务及质量、技术、培训等工作。</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（7）供应商随时接受并妥善安排采购人查阅项目检测、质量控制等情况。</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（8）对于样本周转时间（TAT）的要求：</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①有明确的样本送检和报告发布时间服务承诺。</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②样本周转时间起点为委托检测单位接收样本，终点为采购人病理科或临床科室收到检查报告。</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③报告延误率≤1/1000。</w:t>
      </w:r>
    </w:p>
    <w:p>
      <w:pPr>
        <w:autoSpaceDE w:val="0"/>
        <w:autoSpaceDN w:val="0"/>
        <w:adjustRightInd w:val="0"/>
        <w:spacing w:line="400" w:lineRule="exact"/>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④定期提供委托项目的样本周转时间（TAT）分析，对于采购人提出的要求及时反馈并更正。</w:t>
      </w:r>
    </w:p>
    <w:p>
      <w:pPr>
        <w:autoSpaceDE w:val="0"/>
        <w:autoSpaceDN w:val="0"/>
        <w:adjustRightInd w:val="0"/>
        <w:spacing w:line="400" w:lineRule="exact"/>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⑤如供应商检测报告超出约定时间而又未书面通知采购人而造成恶劣影响的，包括造成医疗纠纷、群众投诉造成严重后果等情况，供应商应承担相应的经济和法律责任。</w:t>
      </w:r>
    </w:p>
    <w:p>
      <w:pPr>
        <w:autoSpaceDE w:val="0"/>
        <w:autoSpaceDN w:val="0"/>
        <w:adjustRightInd w:val="0"/>
        <w:spacing w:line="400" w:lineRule="exact"/>
        <w:jc w:val="left"/>
        <w:rPr>
          <w:rFonts w:ascii="宋体" w:hAnsi="宋体" w:cs="宋体"/>
          <w:b/>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2.</w:t>
      </w:r>
      <w:r>
        <w:rPr>
          <w:rFonts w:hint="eastAsia" w:ascii="宋体" w:hAnsi="宋体" w:cs="宋体"/>
          <w:b/>
          <w:bCs/>
          <w:snapToGrid w:val="0"/>
          <w:color w:val="0D0D0D" w:themeColor="text1" w:themeTint="F2"/>
          <w:szCs w:val="21"/>
          <w14:textFill>
            <w14:solidFill>
              <w14:schemeClr w14:val="tx1">
                <w14:lumMod w14:val="95000"/>
                <w14:lumOff w14:val="5000"/>
              </w14:schemeClr>
            </w14:solidFill>
          </w14:textFill>
        </w:rPr>
        <w:t>服务要求</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（1）供应商需安排专人每周一至周六定时前往采购人指定地点收取标本的服务，时间为8:30-17:30。遇特殊标本可机动收取。</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（2）免费提供特殊检查项目所需要的相关耗材、知情同意书、专用申请单等。</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（4）供应商具备CNAS货物运输条件鉴定书（包括血液样品、病理组织玻片、蜡块等）。</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（5）供应商需按照公开的诊断项目本的报告时间内为采购人出具检查报告。</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（6）供应商配备完善的信息系统，与医院LIS系统对接，使医务人员可以随时调阅，可实现检验项目的多终端查询，包括网页端、手机端等，对紧急报告可提供口头报告或邮件报告等形式。</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（7）未经采购人同意，不得将采购人标本用于他用。</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（8）有为用户保密的义务，未经同意不得向第三方泄露委托检查项目、检查的内容、检查结果。</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（9）检测样本、检测数据的所有权、使用权为患者及采购人病理科所有，未经许可不得挪作它用。须按照国家或采购人要求归还或妥善保存及销毁检测后样本。</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（10）供应商必须保证检测结果的公正性，不受任何诱使或压力而对检查结果进行修正及更改。</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供应商须建立快速的客户服务反应机制，如有针对供应商或采购人与供应商双方的投诉或需处理的情况，供应商应派代表在半日内到达医院及时沟通处理；若主要针对采购人的投诉或需处理的情况，供应商有义务协助采购人及时沟通处理。</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供应商专职病理医生具有病理专业高级职称，并有国内区域医学中心病理科工作经验，从事病理疑难病例诊断5年以上，并在国内病理行业有一定影响力，担任过省级以上医学会专业委员，或发表过相关有影响力论著，还应具有疑难病理诊断需要的辅助检查技术，包含但不限于丰富的免疫组化抗体及检测平台，分子检测（qPCR，NGS），及免疫荧光等，其分子检测结果由具备生物信息学背景的人员分析。</w:t>
      </w:r>
    </w:p>
    <w:p>
      <w:pPr>
        <w:spacing w:line="400" w:lineRule="exact"/>
        <w:ind w:firstLine="422" w:firstLineChars="200"/>
        <w:rPr>
          <w:rFonts w:ascii="宋体" w:hAnsi="宋体" w:cs="宋体"/>
          <w:b/>
          <w:color w:val="0000FF"/>
          <w:szCs w:val="21"/>
        </w:rPr>
      </w:pPr>
      <w:r>
        <w:rPr>
          <w:rFonts w:hint="eastAsia" w:ascii="宋体" w:hAnsi="宋体" w:cs="宋体"/>
          <w:b/>
          <w:color w:val="0000FF"/>
          <w:szCs w:val="21"/>
        </w:rPr>
        <w:t>四、</w:t>
      </w:r>
      <w:bookmarkStart w:id="5" w:name="_Toc20762"/>
      <w:bookmarkStart w:id="6" w:name="_Toc20606"/>
      <w:bookmarkStart w:id="7" w:name="_Toc6416"/>
      <w:bookmarkStart w:id="8" w:name="_Toc28850"/>
      <w:bookmarkStart w:id="9" w:name="_Toc27614"/>
      <w:bookmarkStart w:id="10" w:name="_Toc26796"/>
      <w:bookmarkStart w:id="11" w:name="_Toc8122"/>
      <w:r>
        <w:rPr>
          <w:rFonts w:hint="eastAsia" w:ascii="宋体" w:hAnsi="宋体" w:cs="宋体"/>
          <w:b/>
          <w:color w:val="0000FF"/>
          <w:szCs w:val="21"/>
        </w:rPr>
        <w:t>疫情防控要求</w:t>
      </w:r>
    </w:p>
    <w:p>
      <w:pPr>
        <w:tabs>
          <w:tab w:val="left" w:pos="284"/>
          <w:tab w:val="left" w:pos="426"/>
        </w:tabs>
        <w:spacing w:line="400" w:lineRule="exact"/>
        <w:ind w:firstLine="420" w:firstLineChars="200"/>
        <w:rPr>
          <w:rStyle w:val="22"/>
          <w:rFonts w:ascii="宋体" w:hAnsi="宋体" w:cs="宋体"/>
          <w:b w:val="0"/>
          <w:bCs w:val="0"/>
          <w:color w:val="0000FF"/>
          <w:spacing w:val="0"/>
          <w:sz w:val="21"/>
          <w:szCs w:val="21"/>
          <w:shd w:val="clear" w:color="auto" w:fill="FFFFFF"/>
        </w:rPr>
      </w:pPr>
      <w:r>
        <w:rPr>
          <w:rStyle w:val="22"/>
          <w:rFonts w:hint="eastAsia" w:ascii="宋体" w:hAnsi="宋体" w:cs="宋体"/>
          <w:b w:val="0"/>
          <w:bCs w:val="0"/>
          <w:color w:val="0000FF"/>
          <w:spacing w:val="0"/>
          <w:sz w:val="21"/>
          <w:szCs w:val="21"/>
          <w:shd w:val="clear" w:color="auto" w:fill="FFFFFF"/>
        </w:rPr>
        <w:t>参加评审会议供应商必须无流行病学史，需提供健康码绿码、行程码绿码、72小时核酸检测结果阴性。(如有最新防疫政策要求，按最新的政策要求执行）</w:t>
      </w:r>
    </w:p>
    <w:p>
      <w:pPr>
        <w:spacing w:line="400" w:lineRule="exact"/>
        <w:ind w:firstLine="422" w:firstLineChars="200"/>
        <w:rPr>
          <w:rFonts w:ascii="宋体" w:hAnsi="宋体" w:cs="宋体"/>
          <w:b/>
          <w:szCs w:val="21"/>
        </w:rPr>
      </w:pPr>
      <w:r>
        <w:rPr>
          <w:rFonts w:hint="eastAsia" w:ascii="宋体" w:hAnsi="宋体" w:cs="宋体"/>
          <w:b/>
          <w:szCs w:val="21"/>
        </w:rPr>
        <w:t>备注：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4075"/>
      <w:bookmarkStart w:id="13" w:name="_Toc11917"/>
      <w:bookmarkStart w:id="14" w:name="_Toc3222"/>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4.供应商有下列情形之一的，将列入我院黑名单管理，在此后的三年内不得参与我院任何采买活动：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spacing w:line="400" w:lineRule="exact"/>
        <w:jc w:val="center"/>
        <w:outlineLvl w:val="0"/>
        <w:rPr>
          <w:rFonts w:ascii="宋体" w:hAnsi="宋体" w:cs="宋体"/>
          <w:b/>
          <w:bCs/>
          <w:kern w:val="0"/>
          <w:szCs w:val="21"/>
        </w:rPr>
      </w:pPr>
      <w:bookmarkStart w:id="15" w:name="_Toc2432"/>
    </w:p>
    <w:p>
      <w:pPr>
        <w:spacing w:line="400" w:lineRule="exact"/>
        <w:jc w:val="center"/>
        <w:outlineLvl w:val="0"/>
        <w:rPr>
          <w:rFonts w:ascii="宋体" w:hAnsi="宋体" w:cs="宋体"/>
          <w:b/>
          <w:bCs/>
          <w:kern w:val="0"/>
          <w:szCs w:val="21"/>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rFonts w:ascii="宋体" w:hAnsi="宋体"/>
          <w:sz w:val="30"/>
          <w:szCs w:val="30"/>
        </w:rPr>
      </w:pPr>
      <w:r>
        <w:rPr>
          <w:rFonts w:hint="eastAsia"/>
          <w:b/>
          <w:bCs/>
          <w:kern w:val="0"/>
          <w:sz w:val="30"/>
          <w:szCs w:val="30"/>
        </w:rPr>
        <w:t xml:space="preserve">第三部分  </w:t>
      </w:r>
      <w:bookmarkStart w:id="16" w:name="_Toc270"/>
      <w:r>
        <w:rPr>
          <w:rFonts w:hint="eastAsia"/>
          <w:b/>
          <w:bCs/>
          <w:kern w:val="0"/>
          <w:sz w:val="30"/>
          <w:szCs w:val="30"/>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315" w:firstLineChars="150"/>
        <w:rPr>
          <w:rFonts w:ascii="宋体" w:hAnsi="宋体"/>
          <w:szCs w:val="21"/>
        </w:rPr>
      </w:pPr>
      <w:r>
        <w:rPr>
          <w:rFonts w:hint="eastAsia" w:ascii="宋体" w:hAnsi="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b/>
          <w:bCs/>
          <w:szCs w:val="21"/>
          <w:highlight w:val="yellow"/>
        </w:rPr>
      </w:pPr>
      <w:r>
        <w:rPr>
          <w:rFonts w:hint="eastAsia" w:ascii="宋体" w:hAnsi="宋体"/>
          <w:b/>
          <w:bCs/>
          <w:szCs w:val="21"/>
          <w:highlight w:val="yellow"/>
        </w:rPr>
        <w:t>2.响应文件除封面外，其他材料须双面打印，各报名供应商应确保所提供响应文件资料一定要</w:t>
      </w:r>
      <w:r>
        <w:rPr>
          <w:rFonts w:hint="eastAsia" w:ascii="宋体" w:hAnsi="宋体"/>
          <w:b/>
          <w:bCs/>
          <w:color w:val="FF0000"/>
          <w:szCs w:val="21"/>
          <w:highlight w:val="yellow"/>
        </w:rPr>
        <w:t>真实、完整、清晰可辨</w:t>
      </w:r>
      <w:r>
        <w:rPr>
          <w:rFonts w:hint="eastAsia" w:ascii="宋体" w:hAnsi="宋体"/>
          <w:b/>
          <w:bCs/>
          <w:szCs w:val="21"/>
          <w:highlight w:val="yellow"/>
        </w:rPr>
        <w:t>，响应文件模糊不清、难以</w:t>
      </w:r>
      <w:r>
        <w:rPr>
          <w:rFonts w:hint="eastAsia" w:ascii="宋体" w:hAnsi="宋体"/>
          <w:b/>
          <w:bCs/>
          <w:color w:val="FF0000"/>
          <w:szCs w:val="21"/>
          <w:highlight w:val="yellow"/>
        </w:rPr>
        <w:t>辨认，</w:t>
      </w:r>
      <w:r>
        <w:rPr>
          <w:rFonts w:hint="eastAsia" w:ascii="宋体" w:hAnsi="宋体"/>
          <w:b/>
          <w:bCs/>
          <w:szCs w:val="21"/>
          <w:highlight w:val="yellow"/>
        </w:rPr>
        <w:t>视为未提供处理，由此造成不能进入评审环节等严重后果由供应商自行负责。</w:t>
      </w:r>
    </w:p>
    <w:p>
      <w:pPr>
        <w:spacing w:line="400" w:lineRule="exact"/>
        <w:ind w:firstLine="315" w:firstLineChars="150"/>
        <w:rPr>
          <w:rFonts w:ascii="宋体" w:hAnsi="宋体"/>
          <w:szCs w:val="21"/>
        </w:rPr>
      </w:pPr>
      <w:r>
        <w:rPr>
          <w:rFonts w:hint="eastAsia" w:ascii="宋体" w:hAnsi="宋体"/>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Cs w:val="21"/>
        </w:rPr>
      </w:pPr>
      <w:r>
        <w:rPr>
          <w:rFonts w:hint="eastAsia" w:ascii="宋体" w:hAnsi="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szCs w:val="21"/>
        </w:rPr>
      </w:pPr>
      <w:r>
        <w:rPr>
          <w:rFonts w:hint="eastAsia" w:ascii="宋体" w:hAnsi="宋体"/>
          <w:szCs w:val="21"/>
        </w:rPr>
        <w:t>5.供应商携带密封的响应文件参加院内采购评审会议。</w:t>
      </w:r>
    </w:p>
    <w:p>
      <w:pPr>
        <w:spacing w:line="400" w:lineRule="exact"/>
        <w:ind w:firstLine="315" w:firstLineChars="150"/>
        <w:rPr>
          <w:rFonts w:ascii="宋体" w:hAnsi="宋体"/>
          <w:szCs w:val="21"/>
        </w:rPr>
      </w:pPr>
      <w:r>
        <w:rPr>
          <w:rFonts w:hint="eastAsia" w:ascii="宋体" w:hAnsi="宋体"/>
          <w:szCs w:val="21"/>
        </w:rPr>
        <w:t>6.报名时提供的资料与响应文件不一致时以响应文件为准。</w:t>
      </w:r>
    </w:p>
    <w:p>
      <w:pPr>
        <w:spacing w:line="400" w:lineRule="exact"/>
        <w:ind w:firstLine="315" w:firstLineChars="150"/>
        <w:rPr>
          <w:rFonts w:ascii="宋体" w:hAnsi="宋体"/>
          <w:szCs w:val="21"/>
        </w:rPr>
      </w:pPr>
      <w:r>
        <w:rPr>
          <w:rFonts w:hint="eastAsia" w:ascii="宋体" w:hAnsi="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szCs w:val="21"/>
        </w:rPr>
      </w:pPr>
      <w:r>
        <w:rPr>
          <w:rFonts w:hint="eastAsia" w:ascii="宋体" w:hAnsi="宋体"/>
          <w:szCs w:val="21"/>
        </w:rPr>
        <w:t>8.各供应商需认真阅读以上注意事项，不按要求提供响应文件者后果自负。</w:t>
      </w:r>
    </w:p>
    <w:p>
      <w:pPr>
        <w:spacing w:line="400" w:lineRule="exact"/>
        <w:ind w:firstLine="420"/>
        <w:rPr>
          <w:rFonts w:ascii="宋体" w:hAnsi="宋体"/>
          <w:szCs w:val="21"/>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17" w:name="_Toc13814"/>
      <w:bookmarkStart w:id="18" w:name="_Toc40776108"/>
      <w:bookmarkStart w:id="19" w:name="_Toc9461"/>
      <w:bookmarkStart w:id="20" w:name="_Toc2347"/>
      <w:bookmarkStart w:id="21" w:name="_Toc32164"/>
      <w:bookmarkStart w:id="22" w:name="_Toc32228"/>
      <w:bookmarkStart w:id="23" w:name="_Toc2647"/>
      <w:bookmarkStart w:id="24" w:name="_Toc19354"/>
      <w:bookmarkStart w:id="25" w:name="_Toc7581"/>
      <w:bookmarkStart w:id="26" w:name="_Toc30230"/>
      <w:bookmarkStart w:id="27" w:name="_Toc5829"/>
      <w:bookmarkStart w:id="28" w:name="_Toc30326"/>
      <w:bookmarkStart w:id="29" w:name="_Toc1634"/>
      <w:bookmarkStart w:id="30" w:name="_Toc40346213"/>
    </w:p>
    <w:p>
      <w:pPr>
        <w:pStyle w:val="4"/>
        <w:jc w:val="center"/>
        <w:rPr>
          <w:rFonts w:ascii="宋体" w:hAnsi="宋体" w:eastAsia="宋体"/>
          <w:sz w:val="40"/>
        </w:rPr>
      </w:pPr>
    </w:p>
    <w:p>
      <w:pPr>
        <w:pStyle w:val="4"/>
        <w:jc w:val="center"/>
        <w:rPr>
          <w:rFonts w:ascii="宋体" w:hAnsi="宋体" w:eastAsia="宋体" w:cs="Courier New"/>
          <w:sz w:val="40"/>
        </w:rPr>
      </w:pPr>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26"/>
      </w:pPr>
      <w:bookmarkStart w:id="31" w:name="_Toc17987"/>
      <w:bookmarkStart w:id="32" w:name="_Toc30201"/>
      <w:bookmarkStart w:id="33" w:name="_Toc13972"/>
      <w:bookmarkStart w:id="34" w:name="_Toc40346214"/>
      <w:bookmarkStart w:id="35" w:name="_Toc23126"/>
      <w:bookmarkStart w:id="36" w:name="_Toc26336"/>
      <w:bookmarkStart w:id="37" w:name="_Toc11236"/>
      <w:bookmarkStart w:id="38" w:name="_Toc10941"/>
      <w:bookmarkStart w:id="39" w:name="_Toc10842"/>
      <w:bookmarkStart w:id="40" w:name="_Toc40776109"/>
      <w:bookmarkStart w:id="41" w:name="_Toc40346373"/>
    </w:p>
    <w:p>
      <w:pPr>
        <w:pStyle w:val="26"/>
      </w:pPr>
    </w:p>
    <w:p>
      <w:pPr>
        <w:pStyle w:val="26"/>
      </w:pPr>
    </w:p>
    <w:p>
      <w:pPr>
        <w:pStyle w:val="26"/>
      </w:pPr>
    </w:p>
    <w:p>
      <w:pPr>
        <w:pStyle w:val="26"/>
      </w:pPr>
    </w:p>
    <w:p>
      <w:pPr>
        <w:pStyle w:val="26"/>
      </w:pPr>
    </w:p>
    <w:p>
      <w:pPr>
        <w:pStyle w:val="26"/>
      </w:pPr>
    </w:p>
    <w:p>
      <w:pPr>
        <w:pStyle w:val="26"/>
      </w:pPr>
    </w:p>
    <w:p>
      <w:pPr>
        <w:widowControl/>
        <w:spacing w:line="360" w:lineRule="auto"/>
        <w:jc w:val="left"/>
        <w:rPr>
          <w:rFonts w:ascii="仿宋" w:hAnsi="仿宋" w:eastAsia="仿宋" w:cs="宋体"/>
          <w:b/>
          <w:kern w:val="0"/>
          <w:sz w:val="24"/>
          <w:szCs w:val="32"/>
        </w:rPr>
      </w:pPr>
      <w:bookmarkStart w:id="42" w:name="_Toc3033"/>
      <w:bookmarkStart w:id="43" w:name="_Toc12695"/>
      <w:bookmarkStart w:id="44" w:name="_Toc1329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22864"/>
      <w:bookmarkStart w:id="47" w:name="_Toc22145"/>
      <w:bookmarkStart w:id="48" w:name="_Toc28217"/>
      <w:bookmarkStart w:id="49" w:name="_Toc40346381"/>
      <w:bookmarkStart w:id="50" w:name="_Toc25470"/>
      <w:bookmarkStart w:id="51" w:name="_Toc18837"/>
      <w:bookmarkStart w:id="52" w:name="_Toc9134"/>
      <w:bookmarkStart w:id="53" w:name="_Toc23156"/>
      <w:bookmarkStart w:id="54" w:name="_Toc10213"/>
      <w:bookmarkStart w:id="55" w:name="_Toc40346222"/>
      <w:bookmarkStart w:id="56" w:name="_Toc3784"/>
      <w:bookmarkStart w:id="57" w:name="_Toc12431"/>
      <w:bookmarkStart w:id="58" w:name="_Toc40776117"/>
      <w:bookmarkStart w:id="59" w:name="_Toc4407"/>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6547"/>
      <w:bookmarkStart w:id="61" w:name="_Toc21249"/>
      <w:bookmarkStart w:id="62" w:name="_Toc15870"/>
      <w:bookmarkStart w:id="63" w:name="_Toc29113"/>
      <w:bookmarkStart w:id="64" w:name="_Toc1994"/>
      <w:bookmarkStart w:id="65" w:name="_Toc40346375"/>
      <w:bookmarkStart w:id="66" w:name="_Toc12520"/>
      <w:bookmarkStart w:id="67" w:name="_Toc28703"/>
      <w:bookmarkStart w:id="68" w:name="_Toc11075"/>
      <w:bookmarkStart w:id="69" w:name="_Toc7291"/>
      <w:bookmarkStart w:id="70" w:name="_Toc8364"/>
      <w:bookmarkStart w:id="71" w:name="_Toc3471"/>
      <w:bookmarkStart w:id="72" w:name="_Toc11305"/>
      <w:bookmarkStart w:id="73" w:name="_Toc40776111"/>
      <w:bookmarkStart w:id="74" w:name="_Toc26267"/>
      <w:bookmarkStart w:id="75" w:name="_Toc40346216"/>
      <w:bookmarkStart w:id="76" w:name="_Toc435"/>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1743"/>
      <w:bookmarkStart w:id="79" w:name="_Toc17709"/>
      <w:bookmarkStart w:id="80" w:name="_Toc40776112"/>
      <w:bookmarkStart w:id="81" w:name="_Toc20884"/>
      <w:bookmarkStart w:id="82" w:name="_Toc2916"/>
      <w:bookmarkStart w:id="83" w:name="_Toc27997"/>
      <w:bookmarkStart w:id="84" w:name="_Toc40346217"/>
      <w:bookmarkStart w:id="85" w:name="_Toc40346376"/>
    </w:p>
    <w:p>
      <w:pPr>
        <w:widowControl/>
        <w:spacing w:line="360" w:lineRule="auto"/>
        <w:ind w:firstLine="600"/>
        <w:outlineLvl w:val="0"/>
        <w:rPr>
          <w:rFonts w:cs="宋体"/>
          <w:kern w:val="0"/>
          <w:sz w:val="30"/>
          <w:szCs w:val="30"/>
        </w:rPr>
      </w:pPr>
      <w:bookmarkStart w:id="86" w:name="_Toc23992"/>
      <w:bookmarkStart w:id="87" w:name="_Toc23097"/>
      <w:bookmarkStart w:id="88" w:name="_Toc2012"/>
      <w:bookmarkStart w:id="89" w:name="_Toc30979"/>
      <w:bookmarkStart w:id="90" w:name="_Toc11485"/>
      <w:bookmarkStart w:id="91" w:name="_Toc2029"/>
      <w:bookmarkStart w:id="92" w:name="_Toc29102"/>
      <w:bookmarkStart w:id="93" w:name="_Toc5238"/>
      <w:bookmarkStart w:id="94" w:name="_Toc31538"/>
      <w:bookmarkStart w:id="95" w:name="_Toc19699"/>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2645"/>
      <w:bookmarkStart w:id="97" w:name="_Toc24763"/>
      <w:bookmarkStart w:id="98" w:name="_Toc40346377"/>
      <w:bookmarkStart w:id="99" w:name="_Toc11558"/>
      <w:bookmarkStart w:id="100" w:name="_Toc4013"/>
      <w:bookmarkStart w:id="101" w:name="_Toc40346218"/>
      <w:bookmarkStart w:id="102" w:name="_Toc29767"/>
      <w:bookmarkStart w:id="103" w:name="_Toc28064"/>
      <w:bookmarkStart w:id="104" w:name="_Toc11141"/>
      <w:bookmarkStart w:id="105" w:name="_Toc16794"/>
      <w:bookmarkStart w:id="106" w:name="_Toc14824"/>
      <w:bookmarkStart w:id="107" w:name="_Toc12113"/>
      <w:bookmarkStart w:id="108" w:name="_Toc27867"/>
      <w:bookmarkStart w:id="109" w:name="_Toc31993"/>
      <w:bookmarkStart w:id="110" w:name="_Toc7052"/>
      <w:bookmarkStart w:id="111" w:name="_Toc21483"/>
      <w:bookmarkStart w:id="112" w:name="_Toc17930"/>
      <w:bookmarkStart w:id="113" w:name="_Toc40776113"/>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40776114"/>
      <w:bookmarkStart w:id="115" w:name="_Toc40346219"/>
      <w:bookmarkStart w:id="116" w:name="_Toc31197"/>
      <w:bookmarkStart w:id="117" w:name="_Toc16813"/>
      <w:bookmarkStart w:id="118" w:name="_Toc27771"/>
      <w:bookmarkStart w:id="119" w:name="_Toc4563"/>
      <w:bookmarkStart w:id="120" w:name="_Toc19831"/>
      <w:bookmarkStart w:id="121" w:name="_Toc11334"/>
      <w:bookmarkStart w:id="122" w:name="_Toc14287"/>
      <w:bookmarkStart w:id="123" w:name="_Toc17537"/>
      <w:bookmarkStart w:id="124" w:name="_Toc6438"/>
      <w:bookmarkStart w:id="125" w:name="_Toc1324"/>
      <w:bookmarkStart w:id="126" w:name="_Toc32709"/>
      <w:bookmarkStart w:id="127" w:name="_Toc40346378"/>
      <w:bookmarkStart w:id="128" w:name="_Toc25370"/>
      <w:bookmarkStart w:id="129" w:name="_Toc24651"/>
      <w:bookmarkStart w:id="130" w:name="_Toc26029"/>
      <w:bookmarkStart w:id="131" w:name="_Toc9883"/>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14586"/>
      <w:bookmarkStart w:id="133" w:name="_Toc40346220"/>
      <w:bookmarkStart w:id="134" w:name="_Toc40776115"/>
      <w:bookmarkStart w:id="135" w:name="_Toc13222"/>
      <w:bookmarkStart w:id="136" w:name="_Toc17483"/>
      <w:bookmarkStart w:id="137" w:name="_Toc20994"/>
      <w:bookmarkStart w:id="138" w:name="_Toc21940"/>
      <w:bookmarkStart w:id="139" w:name="_Toc3895"/>
      <w:bookmarkStart w:id="140" w:name="_Toc21686"/>
      <w:bookmarkStart w:id="141" w:name="_Toc5189"/>
      <w:bookmarkStart w:id="142" w:name="_Toc27206"/>
      <w:bookmarkStart w:id="143" w:name="_Toc27868"/>
      <w:bookmarkStart w:id="144" w:name="_Toc12650"/>
      <w:bookmarkStart w:id="145" w:name="_Toc18353"/>
      <w:bookmarkStart w:id="146" w:name="_Toc5634"/>
      <w:bookmarkStart w:id="147" w:name="_Toc30336"/>
      <w:bookmarkStart w:id="148" w:name="_Toc40346379"/>
      <w:bookmarkStart w:id="149" w:name="_Toc19057"/>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30856"/>
      <w:bookmarkStart w:id="151" w:name="_Toc30904"/>
      <w:bookmarkStart w:id="152" w:name="_Toc32371"/>
      <w:bookmarkStart w:id="153" w:name="_Toc8526"/>
      <w:bookmarkStart w:id="154" w:name="_Toc21449"/>
      <w:bookmarkStart w:id="155" w:name="_Toc5220"/>
      <w:bookmarkStart w:id="156" w:name="_Toc40776116"/>
      <w:bookmarkStart w:id="157" w:name="_Toc12127"/>
      <w:bookmarkStart w:id="158" w:name="_Toc9282"/>
      <w:bookmarkStart w:id="159" w:name="_Toc27009"/>
      <w:bookmarkStart w:id="160" w:name="_Toc11547"/>
      <w:bookmarkStart w:id="161" w:name="_Toc40346221"/>
      <w:bookmarkStart w:id="162" w:name="_Toc22276"/>
      <w:bookmarkStart w:id="163" w:name="_Toc27646"/>
      <w:bookmarkStart w:id="164" w:name="_Toc10454"/>
      <w:bookmarkStart w:id="165" w:name="_Toc3498"/>
      <w:bookmarkStart w:id="166" w:name="_Toc14462"/>
      <w:bookmarkStart w:id="167" w:name="_Toc40346380"/>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sz w:val="36"/>
          <w:szCs w:val="36"/>
        </w:rPr>
      </w:pPr>
      <w:bookmarkStart w:id="169" w:name="_Toc31006"/>
      <w:bookmarkStart w:id="170" w:name="_Toc27920"/>
      <w:bookmarkStart w:id="171" w:name="_Toc24584"/>
      <w:bookmarkStart w:id="172" w:name="_Toc6985"/>
      <w:r>
        <w:rPr>
          <w:rFonts w:hint="eastAsia"/>
          <w:b/>
          <w:bCs/>
          <w:sz w:val="36"/>
          <w:szCs w:val="36"/>
        </w:rPr>
        <w:t>目  录</w:t>
      </w:r>
      <w:bookmarkEnd w:id="169"/>
      <w:bookmarkEnd w:id="170"/>
      <w:bookmarkEnd w:id="171"/>
      <w:bookmarkEnd w:id="172"/>
    </w:p>
    <w:tbl>
      <w:tblPr>
        <w:tblStyle w:val="19"/>
        <w:tblW w:w="10766" w:type="dxa"/>
        <w:jc w:val="center"/>
        <w:tblLayout w:type="fixed"/>
        <w:tblCellMar>
          <w:top w:w="0" w:type="dxa"/>
          <w:left w:w="108" w:type="dxa"/>
          <w:bottom w:w="0" w:type="dxa"/>
          <w:right w:w="108" w:type="dxa"/>
        </w:tblCellMar>
      </w:tblPr>
      <w:tblGrid>
        <w:gridCol w:w="876"/>
        <w:gridCol w:w="8066"/>
        <w:gridCol w:w="1824"/>
      </w:tblGrid>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7</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8</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9</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10</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11</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684"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12</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具有中华人民共和国卫生行政部门颁发的医疗机构执业许可证（各级疾控中心参与的无需提供《医疗机构执业许可证》）（提供相关证件复印件，并加盖公章）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13</w:t>
            </w:r>
          </w:p>
        </w:tc>
        <w:tc>
          <w:tcPr>
            <w:tcW w:w="8066" w:type="dxa"/>
            <w:tcBorders>
              <w:top w:val="single" w:color="000000" w:sz="4" w:space="0"/>
              <w:left w:val="nil"/>
              <w:bottom w:val="single" w:color="000000" w:sz="4" w:space="0"/>
              <w:right w:val="single" w:color="000000" w:sz="4" w:space="0"/>
            </w:tcBorders>
            <w:vAlign w:val="center"/>
          </w:tcPr>
          <w:p>
            <w:pPr>
              <w:widowControl/>
              <w:ind w:left="23"/>
              <w:jc w:val="left"/>
              <w:rPr>
                <w:rFonts w:ascii="宋体" w:hAnsi="宋体"/>
                <w:bCs/>
                <w:szCs w:val="21"/>
              </w:rPr>
            </w:pPr>
            <w:r>
              <w:rPr>
                <w:rFonts w:hint="eastAsia" w:ascii="宋体" w:hAnsi="宋体"/>
                <w:bCs/>
                <w:szCs w:val="21"/>
              </w:rPr>
              <w:t>法定代表人或单位负责人为同一人或者存在直接控股、管理关系的不同响应单位，不得参加同一合同项下的政府采购活动（提供承诺函，承诺函必须包含相关文字内容，格式自拟）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14</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本项目不接受联合体。（提供声明函，承诺函必须包含相关内容描述，格式自拟）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28"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15</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both"/>
              <w:rPr>
                <w:rFonts w:ascii="宋体" w:hAnsi="宋体"/>
                <w:bCs/>
                <w:szCs w:val="21"/>
              </w:rPr>
            </w:pPr>
            <w:r>
              <w:rPr>
                <w:rFonts w:hint="eastAsia" w:ascii="宋体" w:hAnsi="宋体"/>
                <w:bCs/>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16</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both"/>
              <w:rPr>
                <w:rFonts w:ascii="宋体" w:hAnsi="宋体"/>
                <w:bCs/>
                <w:szCs w:val="21"/>
                <w:lang w:val="zh-CN"/>
              </w:rPr>
            </w:pPr>
            <w:r>
              <w:rPr>
                <w:rFonts w:hint="eastAsia" w:ascii="宋体" w:hAnsi="宋体"/>
                <w:bCs/>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17</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ascii="宋体" w:hAnsi="宋体"/>
                <w:bCs/>
                <w:szCs w:val="21"/>
              </w:rPr>
            </w:pPr>
            <w:r>
              <w:rPr>
                <w:rFonts w:hint="eastAsia" w:ascii="宋体" w:hAnsi="宋体"/>
                <w:bCs/>
                <w:szCs w:val="21"/>
              </w:rPr>
              <w:t>项目配备技术人员情况（提供相关人员职称证书复印件、并加盖供应商公章；提供</w:t>
            </w:r>
            <w:r>
              <w:rPr>
                <w:rFonts w:hint="eastAsia" w:ascii="宋体" w:hAnsi="宋体" w:cs="宋体"/>
                <w:b/>
                <w:color w:val="0D0D0D" w:themeColor="text1" w:themeTint="F2"/>
                <w:szCs w:val="21"/>
                <w14:textFill>
                  <w14:solidFill>
                    <w14:schemeClr w14:val="tx1">
                      <w14:lumMod w14:val="95000"/>
                      <w14:lumOff w14:val="5000"/>
                    </w14:schemeClr>
                  </w14:solidFill>
                </w14:textFill>
              </w:rPr>
              <w:t>劳动合同复印件或本项目报名截止日之前六个月内任意一个月的投标单位代缴的投保单或社会保险参保人员缴费证明。</w:t>
            </w:r>
            <w:r>
              <w:rPr>
                <w:rFonts w:hint="eastAsia" w:ascii="宋体" w:hAnsi="宋体"/>
                <w:bCs/>
                <w:szCs w:val="21"/>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18</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项目实施服务方案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19</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ascii="宋体" w:hAnsi="宋体"/>
                <w:bCs/>
                <w:szCs w:val="21"/>
              </w:rPr>
            </w:pPr>
            <w:r>
              <w:rPr>
                <w:rFonts w:hint="eastAsia" w:ascii="宋体" w:hAnsi="宋体"/>
                <w:bCs/>
                <w:szCs w:val="21"/>
              </w:rPr>
              <w:t>技术服务能力（内容包含但不限于远程病理技术服务能力、疑难病例诊断能力、肾脏病理项目技术服务能力、信息化服务能力等，格式自拟）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20</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ascii="宋体" w:hAnsi="宋体"/>
                <w:bCs/>
                <w:szCs w:val="21"/>
              </w:rPr>
            </w:pPr>
            <w:r>
              <w:rPr>
                <w:rFonts w:hint="eastAsia" w:ascii="宋体" w:hAnsi="宋体"/>
                <w:bCs/>
                <w:szCs w:val="21"/>
              </w:rPr>
              <w:t>2018年至今同类项目的业绩用户名单（需提供合同关键页复印件或中标通知书复印件，并加盖供应商公司公章）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21</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22</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23</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第(       )页</w:t>
            </w:r>
          </w:p>
        </w:tc>
      </w:tr>
    </w:tbl>
    <w:p>
      <w:pPr>
        <w:widowControl/>
        <w:spacing w:line="360" w:lineRule="auto"/>
        <w:jc w:val="left"/>
        <w:rPr>
          <w:rFonts w:ascii="仿宋" w:hAnsi="仿宋" w:eastAsia="仿宋" w:cs="宋体"/>
          <w:b/>
          <w:kern w:val="0"/>
          <w:sz w:val="24"/>
          <w:szCs w:val="32"/>
        </w:rPr>
      </w:pPr>
      <w:bookmarkStart w:id="173" w:name="_Toc21936"/>
      <w:bookmarkStart w:id="174" w:name="_Toc11232"/>
      <w:bookmarkStart w:id="175" w:name="_Toc24508"/>
      <w:bookmarkStart w:id="176" w:name="_Toc562"/>
    </w:p>
    <w:p>
      <w:pPr>
        <w:widowControl/>
        <w:spacing w:line="360" w:lineRule="auto"/>
        <w:jc w:val="left"/>
        <w:rPr>
          <w:rFonts w:ascii="仿宋" w:hAnsi="仿宋" w:eastAsia="仿宋" w:cs="宋体"/>
          <w:b/>
          <w:kern w:val="0"/>
          <w:sz w:val="24"/>
          <w:szCs w:val="32"/>
        </w:rPr>
      </w:pPr>
    </w:p>
    <w:p>
      <w:pPr>
        <w:autoSpaceDE w:val="0"/>
        <w:autoSpaceDN w:val="0"/>
        <w:spacing w:line="360" w:lineRule="auto"/>
        <w:ind w:firstLine="482" w:firstLineChars="200"/>
        <w:jc w:val="center"/>
        <w:rPr>
          <w:rFonts w:ascii="宋体" w:hAnsi="宋体" w:cs="宋体"/>
          <w:b/>
          <w:sz w:val="24"/>
        </w:rPr>
      </w:pPr>
      <w:bookmarkStart w:id="177" w:name="_Toc18896"/>
      <w:r>
        <w:rPr>
          <w:rFonts w:hint="eastAsia" w:ascii="宋体" w:hAnsi="宋体" w:cs="宋体"/>
          <w:b/>
          <w:sz w:val="24"/>
        </w:rPr>
        <w:t>南方医科大学第五附属医院病理项目外送检验服务项目评分自查表</w:t>
      </w:r>
    </w:p>
    <w:tbl>
      <w:tblPr>
        <w:tblStyle w:val="19"/>
        <w:tblW w:w="11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42"/>
        <w:gridCol w:w="6334"/>
        <w:gridCol w:w="866"/>
        <w:gridCol w:w="130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dxa"/>
            <w:vAlign w:val="center"/>
          </w:tcPr>
          <w:p>
            <w:pPr>
              <w:jc w:val="center"/>
              <w:textAlignment w:val="center"/>
              <w:rPr>
                <w:rFonts w:ascii="宋体" w:hAnsi="宋体" w:cs="宋体"/>
                <w:sz w:val="18"/>
                <w:szCs w:val="18"/>
              </w:rPr>
            </w:pPr>
            <w:r>
              <w:rPr>
                <w:rFonts w:hint="eastAsia" w:ascii="宋体" w:hAnsi="宋体" w:cs="宋体"/>
                <w:b/>
                <w:sz w:val="18"/>
                <w:szCs w:val="18"/>
                <w:lang w:bidi="ar"/>
              </w:rPr>
              <w:t>序号</w:t>
            </w:r>
            <w:r>
              <w:rPr>
                <w:rFonts w:ascii="宋体" w:hAnsi="宋体" w:cs="宋体"/>
                <w:b/>
                <w:sz w:val="18"/>
                <w:szCs w:val="18"/>
                <w:lang w:bidi="ar"/>
              </w:rPr>
              <w:t xml:space="preserve"> </w:t>
            </w:r>
          </w:p>
        </w:tc>
        <w:tc>
          <w:tcPr>
            <w:tcW w:w="1042" w:type="dxa"/>
            <w:vAlign w:val="center"/>
          </w:tcPr>
          <w:p>
            <w:pPr>
              <w:jc w:val="center"/>
              <w:textAlignment w:val="center"/>
              <w:rPr>
                <w:rFonts w:ascii="宋体" w:hAnsi="宋体" w:cs="宋体"/>
                <w:sz w:val="18"/>
                <w:szCs w:val="18"/>
              </w:rPr>
            </w:pPr>
            <w:r>
              <w:rPr>
                <w:rFonts w:hint="eastAsia" w:ascii="宋体" w:hAnsi="宋体" w:cs="宋体"/>
                <w:b/>
                <w:sz w:val="18"/>
                <w:szCs w:val="18"/>
                <w:lang w:bidi="ar"/>
              </w:rPr>
              <w:t>评审内容</w:t>
            </w:r>
          </w:p>
        </w:tc>
        <w:tc>
          <w:tcPr>
            <w:tcW w:w="6334" w:type="dxa"/>
            <w:vAlign w:val="center"/>
          </w:tcPr>
          <w:p>
            <w:pPr>
              <w:jc w:val="center"/>
              <w:textAlignment w:val="center"/>
              <w:rPr>
                <w:rFonts w:ascii="宋体" w:hAnsi="宋体" w:cs="宋体"/>
                <w:sz w:val="18"/>
                <w:szCs w:val="18"/>
              </w:rPr>
            </w:pPr>
            <w:r>
              <w:rPr>
                <w:rFonts w:hint="eastAsia" w:ascii="宋体" w:hAnsi="宋体" w:cs="宋体"/>
                <w:b/>
                <w:sz w:val="18"/>
                <w:szCs w:val="18"/>
                <w:lang w:bidi="ar"/>
              </w:rPr>
              <w:t>评审细则</w:t>
            </w:r>
          </w:p>
        </w:tc>
        <w:tc>
          <w:tcPr>
            <w:tcW w:w="866" w:type="dxa"/>
            <w:vAlign w:val="center"/>
          </w:tcPr>
          <w:p>
            <w:pPr>
              <w:jc w:val="center"/>
              <w:textAlignment w:val="center"/>
              <w:rPr>
                <w:rFonts w:ascii="宋体" w:hAnsi="宋体" w:cs="宋体"/>
                <w:sz w:val="18"/>
                <w:szCs w:val="18"/>
              </w:rPr>
            </w:pPr>
            <w:r>
              <w:rPr>
                <w:rFonts w:hint="eastAsia" w:ascii="宋体" w:hAnsi="宋体" w:cs="宋体"/>
                <w:b/>
                <w:sz w:val="18"/>
                <w:szCs w:val="18"/>
                <w:lang w:bidi="ar"/>
              </w:rPr>
              <w:t>分值</w:t>
            </w:r>
          </w:p>
        </w:tc>
        <w:tc>
          <w:tcPr>
            <w:tcW w:w="1300" w:type="dxa"/>
            <w:vAlign w:val="center"/>
          </w:tcPr>
          <w:p>
            <w:pPr>
              <w:jc w:val="center"/>
              <w:textAlignment w:val="center"/>
              <w:rPr>
                <w:rFonts w:ascii="宋体" w:hAnsi="宋体" w:cs="宋体"/>
                <w:b/>
                <w:sz w:val="18"/>
                <w:szCs w:val="18"/>
                <w:lang w:bidi="ar"/>
              </w:rPr>
            </w:pPr>
            <w:r>
              <w:rPr>
                <w:rFonts w:hint="eastAsia" w:ascii="宋体" w:hAnsi="宋体" w:cs="宋体"/>
                <w:b/>
                <w:kern w:val="0"/>
                <w:sz w:val="18"/>
                <w:szCs w:val="18"/>
              </w:rPr>
              <w:t>页码</w:t>
            </w:r>
          </w:p>
        </w:tc>
        <w:tc>
          <w:tcPr>
            <w:tcW w:w="1075" w:type="dxa"/>
            <w:vAlign w:val="center"/>
          </w:tcPr>
          <w:p>
            <w:pPr>
              <w:widowControl/>
              <w:jc w:val="center"/>
              <w:rPr>
                <w:rFonts w:ascii="宋体" w:hAnsi="宋体" w:cs="宋体"/>
                <w:b/>
                <w:kern w:val="0"/>
                <w:sz w:val="18"/>
                <w:szCs w:val="18"/>
              </w:rPr>
            </w:pPr>
            <w:r>
              <w:rPr>
                <w:rFonts w:hint="eastAsia" w:ascii="宋体" w:hAnsi="宋体" w:cs="宋体"/>
                <w:b/>
                <w:kern w:val="0"/>
                <w:sz w:val="18"/>
                <w:szCs w:val="18"/>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455" w:type="dxa"/>
            <w:vAlign w:val="center"/>
          </w:tcPr>
          <w:p>
            <w:pPr>
              <w:pStyle w:val="43"/>
              <w:widowControl w:val="0"/>
              <w:spacing w:line="240" w:lineRule="exact"/>
              <w:jc w:val="center"/>
              <w:rPr>
                <w:rFonts w:ascii="宋体" w:cs="宋体"/>
                <w:b/>
                <w:sz w:val="18"/>
                <w:szCs w:val="18"/>
              </w:rPr>
            </w:pPr>
            <w:r>
              <w:rPr>
                <w:rFonts w:hint="eastAsia" w:ascii="宋体" w:cs="宋体"/>
                <w:b/>
                <w:sz w:val="18"/>
                <w:szCs w:val="18"/>
              </w:rPr>
              <w:t>1</w:t>
            </w:r>
          </w:p>
        </w:tc>
        <w:tc>
          <w:tcPr>
            <w:tcW w:w="1042" w:type="dxa"/>
            <w:vAlign w:val="center"/>
          </w:tcPr>
          <w:p>
            <w:pPr>
              <w:pStyle w:val="43"/>
              <w:widowControl w:val="0"/>
              <w:spacing w:line="240" w:lineRule="exact"/>
              <w:jc w:val="center"/>
              <w:rPr>
                <w:rFonts w:ascii="宋体" w:cs="宋体"/>
                <w:b/>
                <w:sz w:val="18"/>
                <w:szCs w:val="18"/>
                <w:lang w:bidi="ar"/>
              </w:rPr>
            </w:pPr>
            <w:r>
              <w:rPr>
                <w:rFonts w:hint="eastAsia" w:ascii="宋体" w:cs="宋体"/>
                <w:b/>
                <w:sz w:val="18"/>
                <w:szCs w:val="18"/>
                <w:lang w:bidi="ar"/>
              </w:rPr>
              <w:t>供应商综合情况</w:t>
            </w:r>
          </w:p>
          <w:p>
            <w:pPr>
              <w:pStyle w:val="43"/>
              <w:widowControl w:val="0"/>
              <w:spacing w:line="240" w:lineRule="exact"/>
              <w:jc w:val="center"/>
              <w:rPr>
                <w:rFonts w:ascii="宋体" w:eastAsia="仿宋" w:cs="宋体"/>
                <w:b/>
                <w:color w:val="000000"/>
                <w:sz w:val="18"/>
                <w:szCs w:val="18"/>
                <w:lang w:bidi="ar"/>
              </w:rPr>
            </w:pPr>
            <w:r>
              <w:rPr>
                <w:rFonts w:hint="eastAsia" w:ascii="宋体" w:cs="宋体"/>
                <w:b/>
                <w:sz w:val="18"/>
                <w:szCs w:val="18"/>
                <w:lang w:bidi="ar"/>
              </w:rPr>
              <w:t>（12分）</w:t>
            </w:r>
          </w:p>
        </w:tc>
        <w:tc>
          <w:tcPr>
            <w:tcW w:w="6334" w:type="dxa"/>
          </w:tcPr>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(1)具备有效的知识产权管理体系认证证书，其认证范围包括病理诊断、肿瘤和遗传性疾病基因检测服务的管理的，得4分，未提供不得分。</w:t>
            </w:r>
          </w:p>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(2)获得省级或以上科学技术厅认定的病理相关工程技术研究中心的，得4分，市级科学技术部门认定的病理检验工程技术研究中心的，得2分，其他或未提供不得分。</w:t>
            </w:r>
          </w:p>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(3)病理相关研究及应用项目获得过国家级科技部项目立项支持的，得4分；省级科技部项目立项支持的，得2分；市级科技部项目立项支持的，得1分；其他或未提供不得分。</w:t>
            </w:r>
          </w:p>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注：需提供证书扫描件或有效的证明文件复印件并加盖供应商公章。</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12分</w:t>
            </w:r>
          </w:p>
        </w:tc>
        <w:tc>
          <w:tcPr>
            <w:tcW w:w="1300" w:type="dxa"/>
            <w:vAlign w:val="center"/>
          </w:tcPr>
          <w:p>
            <w:pPr>
              <w:pStyle w:val="43"/>
              <w:widowControl w:val="0"/>
              <w:jc w:val="center"/>
              <w:rPr>
                <w:rFonts w:ascii="宋体" w:cs="宋体"/>
                <w:kern w:val="0"/>
                <w:sz w:val="21"/>
                <w:szCs w:val="21"/>
              </w:rPr>
            </w:pPr>
            <w:r>
              <w:rPr>
                <w:rFonts w:hint="eastAsia" w:ascii="宋体" w:cs="宋体"/>
                <w:kern w:val="0"/>
                <w:sz w:val="21"/>
                <w:szCs w:val="21"/>
              </w:rPr>
              <w:t>（第</w:t>
            </w:r>
            <w:r>
              <w:rPr>
                <w:rFonts w:ascii="宋体" w:cs="宋体"/>
                <w:kern w:val="0"/>
                <w:sz w:val="21"/>
                <w:szCs w:val="21"/>
              </w:rPr>
              <w:t xml:space="preserve">   </w:t>
            </w:r>
            <w:r>
              <w:rPr>
                <w:rFonts w:hint="eastAsia" w:ascii="宋体" w:cs="宋体"/>
                <w:kern w:val="0"/>
                <w:sz w:val="21"/>
                <w:szCs w:val="21"/>
              </w:rPr>
              <w:t>页）</w:t>
            </w:r>
          </w:p>
        </w:tc>
        <w:tc>
          <w:tcPr>
            <w:tcW w:w="1075" w:type="dxa"/>
            <w:vAlign w:val="center"/>
          </w:tcPr>
          <w:p>
            <w:pPr>
              <w:pStyle w:val="43"/>
              <w:widowControl w:val="0"/>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55" w:type="dxa"/>
            <w:vMerge w:val="restart"/>
            <w:vAlign w:val="center"/>
          </w:tcPr>
          <w:p>
            <w:pPr>
              <w:pStyle w:val="43"/>
              <w:widowControl w:val="0"/>
              <w:spacing w:line="240" w:lineRule="exact"/>
              <w:jc w:val="center"/>
              <w:rPr>
                <w:rFonts w:ascii="宋体" w:cs="宋体"/>
                <w:b/>
                <w:sz w:val="18"/>
                <w:szCs w:val="18"/>
              </w:rPr>
            </w:pPr>
            <w:r>
              <w:rPr>
                <w:rFonts w:hint="eastAsia" w:ascii="宋体" w:cs="宋体"/>
                <w:b/>
                <w:sz w:val="18"/>
                <w:szCs w:val="18"/>
              </w:rPr>
              <w:t>2</w:t>
            </w:r>
          </w:p>
        </w:tc>
        <w:tc>
          <w:tcPr>
            <w:tcW w:w="1042" w:type="dxa"/>
            <w:vMerge w:val="restart"/>
            <w:vAlign w:val="center"/>
          </w:tcPr>
          <w:p>
            <w:pPr>
              <w:pStyle w:val="43"/>
              <w:widowControl w:val="0"/>
              <w:spacing w:line="240" w:lineRule="exact"/>
              <w:jc w:val="center"/>
              <w:rPr>
                <w:rFonts w:ascii="宋体" w:cs="宋体"/>
                <w:b/>
                <w:sz w:val="18"/>
                <w:szCs w:val="18"/>
                <w:lang w:bidi="ar"/>
              </w:rPr>
            </w:pPr>
            <w:r>
              <w:rPr>
                <w:rFonts w:hint="eastAsia" w:ascii="宋体" w:cs="宋体"/>
                <w:b/>
                <w:sz w:val="18"/>
                <w:szCs w:val="18"/>
                <w:lang w:bidi="ar"/>
              </w:rPr>
              <w:t>实验室技术与质量能力保障（7分）</w:t>
            </w:r>
          </w:p>
        </w:tc>
        <w:tc>
          <w:tcPr>
            <w:tcW w:w="6334" w:type="dxa"/>
          </w:tcPr>
          <w:p>
            <w:pPr>
              <w:spacing w:line="240" w:lineRule="exact"/>
              <w:rPr>
                <w:sz w:val="18"/>
                <w:szCs w:val="18"/>
              </w:rPr>
            </w:pPr>
            <w:r>
              <w:rPr>
                <w:rFonts w:hint="eastAsia"/>
                <w:sz w:val="18"/>
                <w:szCs w:val="18"/>
              </w:rPr>
              <w:t>(1)实验室通过ISO15189《医学实验室-质量和能力的要求》认证，满足得2分，未提供不得分。</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(2)实验室通过CAP认证，满足得2分，未提供不得分。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sz w:val="18"/>
                <w:szCs w:val="18"/>
              </w:rPr>
              <w:t>注：需提供证书复印件加盖供应商公章。</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4分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pStyle w:val="43"/>
              <w:widowControl w:val="0"/>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55" w:type="dxa"/>
            <w:vMerge w:val="continue"/>
            <w:vAlign w:val="center"/>
          </w:tcPr>
          <w:p>
            <w:pPr>
              <w:pStyle w:val="43"/>
              <w:widowControl w:val="0"/>
              <w:spacing w:line="240" w:lineRule="exact"/>
              <w:jc w:val="center"/>
              <w:rPr>
                <w:rFonts w:ascii="宋体" w:cs="宋体"/>
                <w:b/>
                <w:sz w:val="18"/>
                <w:szCs w:val="18"/>
              </w:rPr>
            </w:pPr>
          </w:p>
        </w:tc>
        <w:tc>
          <w:tcPr>
            <w:tcW w:w="1042" w:type="dxa"/>
            <w:vMerge w:val="continue"/>
            <w:vAlign w:val="center"/>
          </w:tcPr>
          <w:p>
            <w:pPr>
              <w:pStyle w:val="43"/>
              <w:widowControl w:val="0"/>
              <w:spacing w:line="240" w:lineRule="exact"/>
              <w:jc w:val="center"/>
              <w:rPr>
                <w:rFonts w:ascii="宋体" w:cs="宋体"/>
                <w:b/>
                <w:sz w:val="18"/>
                <w:szCs w:val="18"/>
                <w:lang w:bidi="ar"/>
              </w:rPr>
            </w:pPr>
          </w:p>
        </w:tc>
        <w:tc>
          <w:tcPr>
            <w:tcW w:w="6334" w:type="dxa"/>
          </w:tcPr>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(3)具有由国家认证认可监督管理部门批准设立的认证机构颁发并在有效期内的质量管理体系认证证书、环境管理体系认</w:t>
            </w:r>
            <w:r>
              <w:rPr>
                <w:rFonts w:hint="eastAsia" w:ascii="宋体" w:hAnsi="宋体" w:cs="宋体"/>
                <w:sz w:val="18"/>
                <w:szCs w:val="18"/>
              </w:rPr>
              <w:t>证证书、职业健康安全管理体系认证证书的，每提供一个得1分，满分得3分。</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未提供不得分。</w:t>
            </w:r>
          </w:p>
          <w:p>
            <w:pPr>
              <w:pStyle w:val="2"/>
              <w:spacing w:line="240" w:lineRule="exact"/>
              <w:rPr>
                <w:rFonts w:ascii="宋体" w:hAnsi="宋体" w:cs="宋体"/>
                <w:b/>
                <w:sz w:val="18"/>
                <w:szCs w:val="18"/>
              </w:rPr>
            </w:pPr>
            <w:r>
              <w:rPr>
                <w:rFonts w:hint="eastAsia" w:ascii="宋体" w:hAnsi="宋体" w:cs="宋体"/>
                <w:b/>
                <w:sz w:val="18"/>
                <w:szCs w:val="18"/>
              </w:rPr>
              <w:t>注：需提供有效证书复印件及 “全国认证认可信息公共服务平台”网站（http://cx.cnca.cn/）的查询截图（证书状态为有效）并加盖供应商公章为准。</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3分</w:t>
            </w:r>
          </w:p>
        </w:tc>
        <w:tc>
          <w:tcPr>
            <w:tcW w:w="1300" w:type="dxa"/>
            <w:vAlign w:val="center"/>
          </w:tcPr>
          <w:p>
            <w:pPr>
              <w:pStyle w:val="43"/>
              <w:widowControl w:val="0"/>
              <w:jc w:val="center"/>
              <w:rPr>
                <w:rFonts w:ascii="宋体" w:cs="宋体"/>
                <w:sz w:val="21"/>
                <w:szCs w:val="21"/>
              </w:rPr>
            </w:pPr>
            <w:r>
              <w:rPr>
                <w:rFonts w:hint="eastAsia" w:ascii="宋体" w:cs="宋体"/>
                <w:kern w:val="0"/>
                <w:sz w:val="21"/>
                <w:szCs w:val="21"/>
              </w:rPr>
              <w:t>（第</w:t>
            </w:r>
            <w:r>
              <w:rPr>
                <w:rFonts w:ascii="宋体" w:cs="宋体"/>
                <w:kern w:val="0"/>
                <w:sz w:val="21"/>
                <w:szCs w:val="21"/>
              </w:rPr>
              <w:t xml:space="preserve">   </w:t>
            </w:r>
            <w:r>
              <w:rPr>
                <w:rFonts w:hint="eastAsia" w:ascii="宋体" w:cs="宋体"/>
                <w:kern w:val="0"/>
                <w:sz w:val="21"/>
                <w:szCs w:val="21"/>
              </w:rPr>
              <w:t>页）</w:t>
            </w:r>
          </w:p>
        </w:tc>
        <w:tc>
          <w:tcPr>
            <w:tcW w:w="1075" w:type="dxa"/>
            <w:vAlign w:val="center"/>
          </w:tcPr>
          <w:p>
            <w:pPr>
              <w:pStyle w:val="43"/>
              <w:widowControl w:val="0"/>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55" w:type="dxa"/>
            <w:vAlign w:val="center"/>
          </w:tcPr>
          <w:p>
            <w:pPr>
              <w:pStyle w:val="43"/>
              <w:widowControl w:val="0"/>
              <w:spacing w:line="240" w:lineRule="exact"/>
              <w:jc w:val="center"/>
              <w:rPr>
                <w:rFonts w:ascii="宋体" w:cs="宋体"/>
                <w:b/>
                <w:sz w:val="18"/>
                <w:szCs w:val="18"/>
              </w:rPr>
            </w:pPr>
            <w:r>
              <w:rPr>
                <w:rFonts w:hint="eastAsia" w:ascii="宋体" w:cs="宋体"/>
                <w:b/>
                <w:sz w:val="18"/>
                <w:szCs w:val="18"/>
              </w:rPr>
              <w:t>3</w:t>
            </w:r>
          </w:p>
        </w:tc>
        <w:tc>
          <w:tcPr>
            <w:tcW w:w="1042" w:type="dxa"/>
            <w:vAlign w:val="center"/>
          </w:tcPr>
          <w:p>
            <w:pPr>
              <w:pStyle w:val="43"/>
              <w:widowControl w:val="0"/>
              <w:spacing w:line="240" w:lineRule="exact"/>
              <w:jc w:val="center"/>
              <w:rPr>
                <w:rFonts w:ascii="宋体" w:cs="宋体"/>
                <w:b/>
                <w:sz w:val="18"/>
                <w:szCs w:val="18"/>
                <w:lang w:bidi="ar"/>
              </w:rPr>
            </w:pPr>
            <w:r>
              <w:rPr>
                <w:rFonts w:hint="eastAsia" w:ascii="宋体" w:cs="宋体"/>
                <w:b/>
                <w:sz w:val="18"/>
                <w:szCs w:val="18"/>
                <w:lang w:bidi="ar"/>
              </w:rPr>
              <w:t>同类项目业绩情况（6分）</w:t>
            </w:r>
          </w:p>
        </w:tc>
        <w:tc>
          <w:tcPr>
            <w:tcW w:w="6334" w:type="dxa"/>
          </w:tcPr>
          <w:p>
            <w:pPr>
              <w:pStyle w:val="2"/>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依据供应商2018年1月1日以来（以合同签订时间为准）承担过类似医疗服务机构病理外送项目业绩，每提供1个得1分，最高得6分。</w:t>
            </w:r>
          </w:p>
          <w:p>
            <w:pPr>
              <w:pStyle w:val="2"/>
              <w:spacing w:line="240" w:lineRule="exact"/>
              <w:rPr>
                <w:rFonts w:eastAsia="Times New Roman"/>
                <w:b/>
                <w:sz w:val="18"/>
                <w:szCs w:val="18"/>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注：提供合同关键页复印件或中标通知书复印件或发票复印件，并加盖公章。未提供或所提供文件不清晰造成评委无法判定则不得分。</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6分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pStyle w:val="43"/>
              <w:widowControl w:val="0"/>
              <w:jc w:val="center"/>
              <w:rPr>
                <w:rFonts w:ascii="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455" w:type="dxa"/>
            <w:vAlign w:val="center"/>
          </w:tcPr>
          <w:p>
            <w:pPr>
              <w:pStyle w:val="43"/>
              <w:widowControl w:val="0"/>
              <w:spacing w:line="240" w:lineRule="exact"/>
              <w:jc w:val="center"/>
              <w:rPr>
                <w:rFonts w:ascii="宋体" w:cs="宋体"/>
                <w:b/>
                <w:sz w:val="18"/>
                <w:szCs w:val="18"/>
                <w:highlight w:val="yellow"/>
              </w:rPr>
            </w:pPr>
            <w:r>
              <w:rPr>
                <w:rFonts w:hint="eastAsia" w:ascii="宋体" w:cs="宋体"/>
                <w:b/>
                <w:sz w:val="18"/>
                <w:szCs w:val="18"/>
              </w:rPr>
              <w:t>4</w:t>
            </w:r>
          </w:p>
        </w:tc>
        <w:tc>
          <w:tcPr>
            <w:tcW w:w="1042" w:type="dxa"/>
            <w:vAlign w:val="center"/>
          </w:tcPr>
          <w:p>
            <w:pPr>
              <w:pStyle w:val="43"/>
              <w:widowControl w:val="0"/>
              <w:spacing w:line="240" w:lineRule="exact"/>
              <w:jc w:val="center"/>
              <w:rPr>
                <w:rFonts w:ascii="宋体" w:eastAsia="仿宋" w:cs="宋体"/>
                <w:b/>
                <w:color w:val="000000"/>
                <w:sz w:val="18"/>
                <w:szCs w:val="18"/>
                <w:lang w:bidi="ar"/>
              </w:rPr>
            </w:pPr>
            <w:r>
              <w:rPr>
                <w:rFonts w:hint="eastAsia" w:ascii="宋体" w:cs="宋体"/>
                <w:b/>
                <w:sz w:val="18"/>
                <w:szCs w:val="18"/>
                <w:lang w:bidi="ar"/>
              </w:rPr>
              <w:t>项目实施服务方案（5分）</w:t>
            </w:r>
          </w:p>
        </w:tc>
        <w:tc>
          <w:tcPr>
            <w:tcW w:w="6334" w:type="dxa"/>
          </w:tcPr>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对各供应商组织实施方案是否满足采购人需求，完善可行、具体合理进行综合评分：</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组织实施方案能够结合医院情况设置，方案完善可行、具体合理，得5分；</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组织实施方案能够结合医院情况设置，方案较完善可行、较具体合理，得3分；</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组织实施方案不能结合医院情况设置，方案不够完善且可行性一般、不够具体且不够合理，得1分。</w:t>
            </w:r>
          </w:p>
          <w:p>
            <w:pPr>
              <w:spacing w:line="240" w:lineRule="exact"/>
              <w:rPr>
                <w:sz w:val="18"/>
                <w:szCs w:val="18"/>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注：不提供不得分。</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5分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pStyle w:val="43"/>
              <w:widowControl w:val="0"/>
              <w:jc w:val="center"/>
              <w:rPr>
                <w:rFonts w:ascii="宋体" w:cs="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455" w:type="dxa"/>
            <w:vAlign w:val="center"/>
          </w:tcPr>
          <w:p>
            <w:pPr>
              <w:pStyle w:val="43"/>
              <w:widowControl w:val="0"/>
              <w:spacing w:line="240" w:lineRule="exact"/>
              <w:jc w:val="center"/>
              <w:rPr>
                <w:rFonts w:ascii="宋体" w:cs="宋体"/>
                <w:b/>
                <w:sz w:val="18"/>
                <w:szCs w:val="18"/>
              </w:rPr>
            </w:pPr>
            <w:r>
              <w:rPr>
                <w:rFonts w:hint="eastAsia" w:ascii="宋体" w:cs="宋体"/>
                <w:b/>
                <w:sz w:val="18"/>
                <w:szCs w:val="18"/>
              </w:rPr>
              <w:t>5</w:t>
            </w:r>
          </w:p>
        </w:tc>
        <w:tc>
          <w:tcPr>
            <w:tcW w:w="1042" w:type="dxa"/>
            <w:vAlign w:val="center"/>
          </w:tcPr>
          <w:p>
            <w:pPr>
              <w:pStyle w:val="43"/>
              <w:widowControl w:val="0"/>
              <w:spacing w:line="240" w:lineRule="exact"/>
              <w:jc w:val="center"/>
              <w:rPr>
                <w:rFonts w:hint="eastAsia" w:ascii="宋体" w:cs="宋体"/>
                <w:b/>
                <w:sz w:val="18"/>
                <w:szCs w:val="18"/>
                <w:lang w:bidi="ar"/>
              </w:rPr>
            </w:pPr>
            <w:r>
              <w:rPr>
                <w:rFonts w:hint="eastAsia" w:ascii="宋体" w:cs="宋体"/>
                <w:b/>
                <w:sz w:val="18"/>
                <w:szCs w:val="18"/>
                <w:lang w:bidi="ar"/>
              </w:rPr>
              <w:t>项目配备技术人员情况</w:t>
            </w:r>
          </w:p>
          <w:p>
            <w:pPr>
              <w:pStyle w:val="43"/>
              <w:widowControl w:val="0"/>
              <w:spacing w:line="240" w:lineRule="exact"/>
              <w:jc w:val="center"/>
              <w:rPr>
                <w:rFonts w:ascii="宋体" w:cs="宋体"/>
                <w:b/>
                <w:color w:val="000000"/>
                <w:sz w:val="18"/>
                <w:szCs w:val="18"/>
                <w:lang w:bidi="ar"/>
              </w:rPr>
            </w:pPr>
            <w:r>
              <w:rPr>
                <w:rFonts w:hint="eastAsia" w:ascii="宋体" w:cs="宋体"/>
                <w:b/>
                <w:sz w:val="18"/>
                <w:szCs w:val="18"/>
                <w:lang w:bidi="ar"/>
              </w:rPr>
              <w:t>（10分）</w:t>
            </w:r>
          </w:p>
        </w:tc>
        <w:tc>
          <w:tcPr>
            <w:tcW w:w="6334" w:type="dxa"/>
          </w:tcPr>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(1)供应商实验室具备副主任医师职称及以上病理医师，每提供1名得2分，最高得6分。</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(2)供应商实验室具备其他医师或技术职称的病理技术人员，每提供1名，得1分，最高得4分。</w:t>
            </w:r>
          </w:p>
          <w:p>
            <w:pPr>
              <w:widowControl/>
              <w:spacing w:line="240" w:lineRule="exact"/>
              <w:jc w:val="left"/>
              <w:rPr>
                <w:rFonts w:ascii="宋体" w:hAnsi="宋体" w:cs="宋体"/>
                <w:sz w:val="18"/>
                <w:szCs w:val="18"/>
              </w:rPr>
            </w:pPr>
            <w:r>
              <w:rPr>
                <w:rFonts w:hint="eastAsia" w:ascii="宋体" w:hAnsi="宋体" w:cs="宋体"/>
                <w:b/>
                <w:sz w:val="18"/>
                <w:szCs w:val="18"/>
                <w:lang w:bidi="ar"/>
              </w:rPr>
              <w:t>注：提供相关人员职称证书复印件、并加盖供应商公章；</w:t>
            </w: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提供劳动合同复印件或本项目报名截止日之前六个月内任意一个月的投标单位代缴的投保单或社会保险参保人员缴费证明。不提供不得分。</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10分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pStyle w:val="43"/>
              <w:widowControl w:val="0"/>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455" w:type="dxa"/>
            <w:vMerge w:val="restart"/>
            <w:vAlign w:val="center"/>
          </w:tcPr>
          <w:p>
            <w:pPr>
              <w:spacing w:line="240" w:lineRule="exact"/>
              <w:jc w:val="center"/>
              <w:rPr>
                <w:rFonts w:ascii="宋体" w:hAnsi="宋体" w:cs="宋体"/>
                <w:b/>
                <w:sz w:val="18"/>
                <w:szCs w:val="18"/>
                <w:lang w:bidi="ar"/>
              </w:rPr>
            </w:pPr>
            <w:r>
              <w:rPr>
                <w:rFonts w:hint="eastAsia" w:ascii="宋体" w:hAnsi="宋体" w:cs="宋体"/>
                <w:b/>
                <w:sz w:val="18"/>
                <w:szCs w:val="18"/>
                <w:lang w:bidi="ar"/>
              </w:rPr>
              <w:t>6</w:t>
            </w:r>
          </w:p>
        </w:tc>
        <w:tc>
          <w:tcPr>
            <w:tcW w:w="1042" w:type="dxa"/>
            <w:vMerge w:val="restart"/>
            <w:vAlign w:val="center"/>
          </w:tcPr>
          <w:p>
            <w:pPr>
              <w:pStyle w:val="43"/>
              <w:widowControl w:val="0"/>
              <w:spacing w:line="240" w:lineRule="exact"/>
              <w:jc w:val="center"/>
              <w:rPr>
                <w:rFonts w:ascii="宋体" w:cs="宋体"/>
                <w:b/>
                <w:sz w:val="18"/>
                <w:szCs w:val="18"/>
                <w:lang w:bidi="ar"/>
              </w:rPr>
            </w:pPr>
            <w:r>
              <w:rPr>
                <w:rFonts w:hint="eastAsia" w:ascii="宋体" w:cs="宋体"/>
                <w:b/>
                <w:sz w:val="18"/>
                <w:szCs w:val="18"/>
                <w:lang w:bidi="ar"/>
              </w:rPr>
              <w:t>远程病理技术服务能力</w:t>
            </w:r>
          </w:p>
          <w:p>
            <w:pPr>
              <w:pStyle w:val="43"/>
              <w:widowControl w:val="0"/>
              <w:spacing w:line="240" w:lineRule="exact"/>
              <w:jc w:val="center"/>
              <w:rPr>
                <w:rFonts w:ascii="宋体" w:eastAsia="仿宋" w:cs="宋体"/>
                <w:b/>
                <w:color w:val="000000"/>
                <w:sz w:val="18"/>
                <w:szCs w:val="18"/>
                <w:lang w:bidi="ar"/>
              </w:rPr>
            </w:pPr>
            <w:r>
              <w:rPr>
                <w:rFonts w:hint="eastAsia" w:ascii="宋体" w:cs="宋体"/>
                <w:b/>
                <w:sz w:val="18"/>
                <w:szCs w:val="18"/>
                <w:lang w:bidi="ar"/>
              </w:rPr>
              <w:t>(8分)</w:t>
            </w:r>
          </w:p>
        </w:tc>
        <w:tc>
          <w:tcPr>
            <w:tcW w:w="6334" w:type="dxa"/>
            <w:vAlign w:val="center"/>
          </w:tcPr>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(1)具备远程病理诊断系统相关计算机软件著作权登记证书，满足得1分，不满足或不提供的不得分。</w:t>
            </w:r>
          </w:p>
          <w:p>
            <w:pPr>
              <w:pStyle w:val="12"/>
              <w:spacing w:line="240" w:lineRule="exact"/>
              <w:ind w:left="0" w:leftChars="0"/>
              <w:rPr>
                <w:rFonts w:ascii="宋体" w:hAnsi="宋体" w:cs="宋体"/>
                <w:b/>
                <w:sz w:val="18"/>
                <w:szCs w:val="18"/>
                <w:lang w:bidi="ar"/>
              </w:rPr>
            </w:pPr>
            <w:r>
              <w:rPr>
                <w:rFonts w:hint="eastAsia" w:ascii="宋体" w:hAnsi="宋体" w:cs="宋体"/>
                <w:b/>
                <w:sz w:val="18"/>
                <w:szCs w:val="18"/>
                <w:lang w:bidi="ar"/>
              </w:rPr>
              <w:t>注：提供计算机软件著作权登记证书复印件并加盖供应商公章，如非供应商所有的情况不得分。</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widowControl/>
              <w:jc w:val="center"/>
              <w:textAlignment w:val="center"/>
              <w:rPr>
                <w:rFonts w:ascii="宋体" w:hAnsi="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455" w:type="dxa"/>
            <w:vMerge w:val="continue"/>
            <w:vAlign w:val="center"/>
          </w:tcPr>
          <w:p>
            <w:pPr>
              <w:spacing w:line="240" w:lineRule="exact"/>
              <w:jc w:val="center"/>
              <w:rPr>
                <w:rFonts w:ascii="宋体" w:hAnsi="宋体" w:cs="宋体"/>
                <w:b/>
                <w:sz w:val="18"/>
                <w:szCs w:val="18"/>
                <w:lang w:bidi="ar"/>
              </w:rPr>
            </w:pPr>
          </w:p>
        </w:tc>
        <w:tc>
          <w:tcPr>
            <w:tcW w:w="1042" w:type="dxa"/>
            <w:vMerge w:val="continue"/>
            <w:vAlign w:val="center"/>
          </w:tcPr>
          <w:p>
            <w:pPr>
              <w:pStyle w:val="43"/>
              <w:widowControl w:val="0"/>
              <w:spacing w:line="240" w:lineRule="exact"/>
              <w:jc w:val="center"/>
              <w:rPr>
                <w:rFonts w:ascii="宋体" w:cs="宋体"/>
                <w:b/>
                <w:sz w:val="18"/>
                <w:szCs w:val="18"/>
                <w:lang w:bidi="ar"/>
              </w:rPr>
            </w:pPr>
          </w:p>
        </w:tc>
        <w:tc>
          <w:tcPr>
            <w:tcW w:w="6334" w:type="dxa"/>
            <w:vAlign w:val="center"/>
          </w:tcPr>
          <w:p>
            <w:pPr>
              <w:pStyle w:val="12"/>
              <w:spacing w:line="240" w:lineRule="exact"/>
              <w:ind w:left="0" w:leftChars="0"/>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(2)具有远程病理诊断服务能力，依据2018年以来至本项目报名截止之日投入其远程病理平台已完成的远程病理诊断数量进行评审：数量最多者得3分；次多者得2分；第三者得1分；其他不得分。</w:t>
            </w:r>
          </w:p>
          <w:p>
            <w:pPr>
              <w:spacing w:line="240" w:lineRule="exac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(3)具有开展远程术中冰冻病理诊断的经验，依据2018年以来至本项目报名截止之日累计开展远程冰冻的诊断量进行评审数量最多者得4分；次多者得2分；第三者得1分；其他不得分。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sz w:val="18"/>
                <w:szCs w:val="18"/>
                <w:lang w:bidi="ar"/>
              </w:rPr>
              <w:t>注：需提供客观的远程病理系统数据相关截图证明，加盖供应商公章。</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7分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widowControl/>
              <w:jc w:val="center"/>
              <w:textAlignment w:val="center"/>
              <w:rPr>
                <w:rFonts w:ascii="宋体" w:hAnsi="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jc w:val="center"/>
        </w:trPr>
        <w:tc>
          <w:tcPr>
            <w:tcW w:w="455" w:type="dxa"/>
            <w:vAlign w:val="center"/>
          </w:tcPr>
          <w:p>
            <w:pPr>
              <w:spacing w:line="240" w:lineRule="exact"/>
              <w:jc w:val="center"/>
              <w:rPr>
                <w:rFonts w:ascii="宋体" w:hAnsi="宋体" w:cs="宋体"/>
                <w:b/>
                <w:sz w:val="18"/>
                <w:szCs w:val="18"/>
                <w:lang w:bidi="ar"/>
              </w:rPr>
            </w:pPr>
            <w:r>
              <w:rPr>
                <w:rFonts w:hint="eastAsia" w:ascii="宋体" w:hAnsi="宋体" w:cs="宋体"/>
                <w:b/>
                <w:sz w:val="18"/>
                <w:szCs w:val="18"/>
                <w:lang w:bidi="ar"/>
              </w:rPr>
              <w:t>7</w:t>
            </w:r>
          </w:p>
        </w:tc>
        <w:tc>
          <w:tcPr>
            <w:tcW w:w="1042" w:type="dxa"/>
            <w:vAlign w:val="center"/>
          </w:tcPr>
          <w:p>
            <w:pPr>
              <w:pStyle w:val="43"/>
              <w:widowControl w:val="0"/>
              <w:spacing w:line="240" w:lineRule="exact"/>
              <w:jc w:val="center"/>
              <w:rPr>
                <w:rFonts w:asci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cs="宋体"/>
                <w:b/>
                <w:sz w:val="18"/>
                <w:szCs w:val="18"/>
                <w:lang w:bidi="ar"/>
              </w:rPr>
              <w:t>疑难病例诊断能力(12分)</w:t>
            </w:r>
          </w:p>
        </w:tc>
        <w:tc>
          <w:tcPr>
            <w:tcW w:w="6334" w:type="dxa"/>
            <w:vAlign w:val="center"/>
          </w:tcPr>
          <w:p>
            <w:pPr>
              <w:pStyle w:val="12"/>
              <w:spacing w:line="240" w:lineRule="exact"/>
              <w:ind w:left="0" w:leftChars="0"/>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对各供应商疑难病例诊断能力的进行评估：</w:t>
            </w:r>
          </w:p>
          <w:p>
            <w:pPr>
              <w:pStyle w:val="12"/>
              <w:spacing w:line="240" w:lineRule="exact"/>
              <w:ind w:left="0" w:leftChars="0"/>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（1）专职病理医生具有病理专业高级职称，从事病理疑难病例诊断5年及以上，得5分，不足5年，得2分；</w:t>
            </w:r>
          </w:p>
          <w:p>
            <w:pPr>
              <w:pStyle w:val="12"/>
              <w:spacing w:line="240" w:lineRule="exact"/>
              <w:ind w:left="0" w:leftChars="0"/>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（2）病理医生在国内病理行业有一定学术影响力，担任过省级以上医学会专业委员，或发表过相关有影响力论著（近5年SCI，IF&gt;5分），得4分，具有市级医学会专委会委员资格，得2分；</w:t>
            </w:r>
          </w:p>
          <w:p>
            <w:pPr>
              <w:pStyle w:val="12"/>
              <w:spacing w:line="240" w:lineRule="exact"/>
              <w:ind w:left="0" w:leftChars="0"/>
              <w:rPr>
                <w:rFonts w:hint="eastAsia"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注：须提供相关证明文件并加盖供应商公章，提供劳动合同复印件或本项目报名截止日之前六个月内任意一个月的投标单位代缴的投保单或社会保险参保人员缴费证明。不提供不得分。</w:t>
            </w:r>
          </w:p>
          <w:p>
            <w:pPr>
              <w:pStyle w:val="12"/>
              <w:spacing w:line="240" w:lineRule="exact"/>
              <w:ind w:left="0" w:leftChars="0"/>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具有疑难病理诊断需要的辅助检查技术设备及生信分析人员，得3分，具有疑难病理诊断需要的辅助检查技术设备，无专职生信分析员，得1.5分，无疑难病理诊断需要的辅助检查技术设备及生信分析人员，不得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注：须提供相关证明文件或承诺函并加盖供应商公章，提供劳动合同复印件或本项目报名截止日之前六个月内任意一个月的投标单位代缴的投保单或社会保险参保人员缴费证明。不提供不得分。</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12分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455" w:type="dxa"/>
            <w:vAlign w:val="center"/>
          </w:tcPr>
          <w:p>
            <w:pPr>
              <w:spacing w:line="240" w:lineRule="exact"/>
              <w:jc w:val="center"/>
              <w:rPr>
                <w:rFonts w:ascii="宋体" w:hAnsi="宋体" w:cs="宋体"/>
                <w:b/>
                <w:sz w:val="18"/>
                <w:szCs w:val="18"/>
                <w:lang w:bidi="ar"/>
              </w:rPr>
            </w:pPr>
            <w:r>
              <w:rPr>
                <w:rFonts w:hint="eastAsia" w:ascii="宋体" w:hAnsi="宋体" w:cs="宋体"/>
                <w:b/>
                <w:sz w:val="18"/>
                <w:szCs w:val="18"/>
                <w:lang w:bidi="ar"/>
              </w:rPr>
              <w:t>8</w:t>
            </w:r>
          </w:p>
        </w:tc>
        <w:tc>
          <w:tcPr>
            <w:tcW w:w="1042" w:type="dxa"/>
            <w:vAlign w:val="center"/>
          </w:tcPr>
          <w:p>
            <w:pPr>
              <w:pStyle w:val="43"/>
              <w:widowControl w:val="0"/>
              <w:spacing w:line="240" w:lineRule="exact"/>
              <w:jc w:val="center"/>
              <w:rPr>
                <w:rFonts w:ascii="仿宋" w:hAnsi="仿宋" w:eastAsia="仿宋" w:cs="仿宋"/>
                <w:color w:val="0D0D0D" w:themeColor="text1" w:themeTint="F2"/>
                <w:sz w:val="18"/>
                <w:szCs w:val="18"/>
                <w14:textFill>
                  <w14:solidFill>
                    <w14:schemeClr w14:val="tx1">
                      <w14:lumMod w14:val="95000"/>
                      <w14:lumOff w14:val="5000"/>
                    </w14:schemeClr>
                  </w14:solidFill>
                </w14:textFill>
              </w:rPr>
            </w:pPr>
            <w:r>
              <w:rPr>
                <w:rFonts w:hint="eastAsia" w:ascii="宋体" w:cs="宋体"/>
                <w:b/>
                <w:sz w:val="18"/>
                <w:szCs w:val="18"/>
                <w:lang w:bidi="ar"/>
              </w:rPr>
              <w:t>肾脏病理项目技术服务能力（10分）</w:t>
            </w:r>
          </w:p>
        </w:tc>
        <w:tc>
          <w:tcPr>
            <w:tcW w:w="6334" w:type="dxa"/>
            <w:vAlign w:val="center"/>
          </w:tcPr>
          <w:p>
            <w:pPr>
              <w:pStyle w:val="12"/>
              <w:spacing w:line="240" w:lineRule="exact"/>
              <w:ind w:left="0" w:leftChars="0"/>
              <w:rPr>
                <w:rFonts w:ascii="宋体" w:hAnsi="宋体" w:cs="宋体"/>
                <w:b/>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对供应商的肾脏病理项目技术服务能力进行评估：</w:t>
            </w:r>
          </w:p>
          <w:p>
            <w:pPr>
              <w:pStyle w:val="12"/>
              <w:spacing w:line="240" w:lineRule="exact"/>
              <w:ind w:left="0" w:leftChars="0"/>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（1）专职病理医生具有肾脏病理诊断经验，提供自2018年以来至本项目报名截止之日审核会诊肾脏病理报告数量（根据病理信息系统统计截图）最多者，得3分，第二名，得2分，第三名，得1分；</w:t>
            </w:r>
          </w:p>
          <w:p>
            <w:pPr>
              <w:pStyle w:val="12"/>
              <w:spacing w:line="240" w:lineRule="exact"/>
              <w:ind w:left="0" w:leftChars="0"/>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（2）专职病理医生具有国内外区域医学中心从事肾脏病理相关工作经验的得2分，具有研修经历，得1分；（3）标本抵达实验室后2天</w:t>
            </w:r>
            <w:r>
              <w:rPr>
                <w:rFonts w:hint="eastAsia" w:ascii="宋体" w:hAnsi="宋体" w:cs="宋体"/>
                <w:sz w:val="18"/>
                <w:szCs w:val="18"/>
              </w:rPr>
              <w:t>（含）</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内出具报告者得3分；3天出具报告者得2分；超过3天出具报告者不得分。</w:t>
            </w:r>
          </w:p>
          <w:p>
            <w:pPr>
              <w:pStyle w:val="12"/>
              <w:spacing w:line="240" w:lineRule="exact"/>
              <w:ind w:left="0" w:leftChars="0"/>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（4）具备开展项目所需的病理相关项目电镜、荧光显微镜设备仪器的，得2分。</w:t>
            </w:r>
          </w:p>
          <w:p>
            <w:pPr>
              <w:pStyle w:val="12"/>
              <w:spacing w:line="240" w:lineRule="exact"/>
              <w:ind w:left="0" w:leftChars="0"/>
              <w:rPr>
                <w:rFonts w:eastAsia="Times New Roman"/>
                <w:sz w:val="18"/>
                <w:szCs w:val="18"/>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注：须提供相关证明文件或承诺函并加盖供应商公章，提供劳动合同复印件或本项目报名截止日之前六个月内任意一个月的投标单位代缴的投保单或社会保险参保人员缴费证明。不提供不得分。</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10分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455" w:type="dxa"/>
            <w:vAlign w:val="center"/>
          </w:tcPr>
          <w:p>
            <w:pPr>
              <w:spacing w:line="240" w:lineRule="exact"/>
              <w:jc w:val="center"/>
              <w:rPr>
                <w:rFonts w:ascii="宋体" w:hAnsi="宋体" w:cs="宋体"/>
                <w:b/>
                <w:sz w:val="18"/>
                <w:szCs w:val="18"/>
                <w:lang w:bidi="ar"/>
              </w:rPr>
            </w:pPr>
            <w:r>
              <w:rPr>
                <w:rFonts w:hint="eastAsia" w:ascii="宋体" w:hAnsi="宋体" w:cs="宋体"/>
                <w:b/>
                <w:sz w:val="18"/>
                <w:szCs w:val="18"/>
                <w:lang w:bidi="ar"/>
              </w:rPr>
              <w:t>9</w:t>
            </w:r>
          </w:p>
        </w:tc>
        <w:tc>
          <w:tcPr>
            <w:tcW w:w="1042" w:type="dxa"/>
            <w:vAlign w:val="center"/>
          </w:tcPr>
          <w:p>
            <w:pPr>
              <w:pStyle w:val="43"/>
              <w:widowControl w:val="0"/>
              <w:spacing w:line="240" w:lineRule="exact"/>
              <w:jc w:val="center"/>
              <w:rPr>
                <w:rFonts w:hint="eastAsia" w:ascii="宋体" w:cs="宋体"/>
                <w:b/>
                <w:sz w:val="18"/>
                <w:szCs w:val="18"/>
                <w:lang w:bidi="ar"/>
              </w:rPr>
            </w:pPr>
            <w:r>
              <w:rPr>
                <w:rFonts w:hint="eastAsia" w:ascii="宋体" w:cs="宋体"/>
                <w:b/>
                <w:sz w:val="18"/>
                <w:szCs w:val="18"/>
                <w:lang w:bidi="ar"/>
              </w:rPr>
              <w:t>信息化服务能力</w:t>
            </w:r>
          </w:p>
          <w:p>
            <w:pPr>
              <w:pStyle w:val="43"/>
              <w:widowControl w:val="0"/>
              <w:spacing w:line="240" w:lineRule="exact"/>
              <w:jc w:val="center"/>
              <w:rPr>
                <w:rFonts w:ascii="宋体" w:eastAsia="仿宋" w:cs="宋体"/>
                <w:b/>
                <w:sz w:val="18"/>
                <w:szCs w:val="18"/>
                <w:lang w:bidi="ar"/>
              </w:rPr>
            </w:pPr>
            <w:r>
              <w:rPr>
                <w:rFonts w:hint="eastAsia" w:ascii="宋体" w:cs="宋体"/>
                <w:b/>
                <w:sz w:val="18"/>
                <w:szCs w:val="18"/>
                <w:lang w:bidi="ar"/>
              </w:rPr>
              <w:t>（6分）</w:t>
            </w:r>
          </w:p>
        </w:tc>
        <w:tc>
          <w:tcPr>
            <w:tcW w:w="6334" w:type="dxa"/>
            <w:vAlign w:val="center"/>
          </w:tcPr>
          <w:p>
            <w:pPr>
              <w:pStyle w:val="12"/>
              <w:spacing w:line="240" w:lineRule="exact"/>
              <w:ind w:left="0" w:leftChars="0"/>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(1)具备医学信息化服务能力，配备完善的信息系统，可与医院LIS系统对接，同时需保证医疗信息安全，完全满足得3分，部分满足得2分，不满足不得分。</w:t>
            </w:r>
          </w:p>
          <w:p>
            <w:pPr>
              <w:pStyle w:val="12"/>
              <w:spacing w:line="240" w:lineRule="exact"/>
              <w:ind w:left="0" w:leftChars="0"/>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注：供应商提供承诺函，不提供不得分。</w:t>
            </w:r>
          </w:p>
          <w:p>
            <w:pPr>
              <w:pStyle w:val="12"/>
              <w:spacing w:line="240" w:lineRule="exact"/>
              <w:ind w:left="0" w:leftChars="0"/>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(2)具有国家认证认可监督管理部门批准设立的认证机构颁发并在有效期内的信息技术服务管理体系认证和信息安全管理体系认证，每提供一个证书的，得3分，满分3分。</w:t>
            </w:r>
          </w:p>
          <w:p>
            <w:pPr>
              <w:pStyle w:val="12"/>
              <w:spacing w:line="240" w:lineRule="exact"/>
              <w:ind w:left="0" w:leftChars="0"/>
              <w:jc w:val="lef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注：需提供有效证书复印件及 “全国认证认可信息公共服务平台”网站（http://cx.cnca.cn/）的查询截图（证书状态为有效）并加盖供应商公章为准。</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6分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55" w:type="dxa"/>
            <w:vAlign w:val="center"/>
          </w:tcPr>
          <w:p>
            <w:pPr>
              <w:spacing w:line="240" w:lineRule="exact"/>
              <w:jc w:val="center"/>
              <w:rPr>
                <w:rFonts w:ascii="宋体" w:hAnsi="宋体" w:cs="宋体"/>
                <w:b/>
                <w:sz w:val="18"/>
                <w:szCs w:val="18"/>
                <w:lang w:bidi="ar"/>
              </w:rPr>
            </w:pPr>
            <w:r>
              <w:rPr>
                <w:rFonts w:hint="eastAsia" w:ascii="宋体" w:hAnsi="宋体" w:cs="宋体"/>
                <w:b/>
                <w:sz w:val="18"/>
                <w:szCs w:val="18"/>
                <w:lang w:bidi="ar"/>
              </w:rPr>
              <w:t>10</w:t>
            </w:r>
          </w:p>
        </w:tc>
        <w:tc>
          <w:tcPr>
            <w:tcW w:w="1042" w:type="dxa"/>
            <w:vAlign w:val="center"/>
          </w:tcPr>
          <w:p>
            <w:pPr>
              <w:pStyle w:val="43"/>
              <w:widowControl w:val="0"/>
              <w:spacing w:line="240" w:lineRule="exact"/>
              <w:jc w:val="center"/>
              <w:rPr>
                <w:rFonts w:ascii="仿宋" w:hAnsi="仿宋" w:eastAsia="仿宋" w:cs="仿宋"/>
                <w:color w:val="0D0D0D" w:themeColor="text1" w:themeTint="F2"/>
                <w:sz w:val="18"/>
                <w:szCs w:val="18"/>
                <w14:textFill>
                  <w14:solidFill>
                    <w14:schemeClr w14:val="tx1">
                      <w14:lumMod w14:val="95000"/>
                      <w14:lumOff w14:val="5000"/>
                    </w14:schemeClr>
                  </w14:solidFill>
                </w14:textFill>
              </w:rPr>
            </w:pPr>
            <w:r>
              <w:rPr>
                <w:rFonts w:hint="eastAsia" w:ascii="宋体" w:cs="宋体"/>
                <w:b/>
                <w:sz w:val="18"/>
                <w:szCs w:val="18"/>
                <w:lang w:bidi="ar"/>
              </w:rPr>
              <w:t>基础服务（4分）</w:t>
            </w:r>
          </w:p>
        </w:tc>
        <w:tc>
          <w:tcPr>
            <w:tcW w:w="6334" w:type="dxa"/>
            <w:vAlign w:val="center"/>
          </w:tcPr>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（1）提供本项目物流车辆，符合生物安全要求，确保运输过程的样品质量和环境安全的，得1分；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注：车辆为自有的提供车辆行驶证、车辆照片及采购发票；车辆为租赁的提供采购合同租赁合同复印件加盖供应商公章。</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（2）具备货物运输条件鉴定书（包括血液样品、病理组织玻片、蜡块等），得2分；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注：提供货物运输鉴定书复印件。</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（3）生物医药检测技术外包服务曾获得科技创新、科学技术或高新技术相关认证或荣誉等的，得1分。</w:t>
            </w:r>
          </w:p>
          <w:p>
            <w:pPr>
              <w:pStyle w:val="12"/>
              <w:spacing w:line="240" w:lineRule="exact"/>
              <w:ind w:left="0" w:leftChars="0"/>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注：提供相关证明复印件。</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4分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55" w:type="dxa"/>
            <w:vAlign w:val="center"/>
          </w:tcPr>
          <w:p>
            <w:pPr>
              <w:spacing w:line="240" w:lineRule="exact"/>
              <w:jc w:val="center"/>
              <w:rPr>
                <w:rFonts w:ascii="宋体" w:hAnsi="宋体" w:cs="宋体"/>
                <w:b/>
                <w:sz w:val="18"/>
                <w:szCs w:val="18"/>
                <w:lang w:bidi="ar"/>
              </w:rPr>
            </w:pPr>
            <w:r>
              <w:rPr>
                <w:rFonts w:hint="eastAsia" w:ascii="宋体" w:hAnsi="宋体" w:cs="宋体"/>
                <w:b/>
                <w:sz w:val="18"/>
                <w:szCs w:val="18"/>
                <w:lang w:bidi="ar"/>
              </w:rPr>
              <w:t>11</w:t>
            </w:r>
          </w:p>
        </w:tc>
        <w:tc>
          <w:tcPr>
            <w:tcW w:w="1042" w:type="dxa"/>
            <w:vAlign w:val="center"/>
          </w:tcPr>
          <w:p>
            <w:pPr>
              <w:pStyle w:val="43"/>
              <w:widowControl w:val="0"/>
              <w:spacing w:line="240" w:lineRule="exact"/>
              <w:jc w:val="center"/>
              <w:rPr>
                <w:rFonts w:ascii="宋体" w:cs="宋体"/>
                <w:b/>
                <w:color w:val="000000"/>
                <w:sz w:val="18"/>
                <w:szCs w:val="18"/>
                <w:lang w:bidi="ar"/>
              </w:rPr>
            </w:pPr>
            <w:r>
              <w:rPr>
                <w:rFonts w:hint="eastAsia" w:ascii="宋体" w:cs="宋体"/>
                <w:b/>
                <w:color w:val="000000"/>
                <w:sz w:val="18"/>
                <w:szCs w:val="18"/>
                <w:lang w:bidi="ar"/>
              </w:rPr>
              <w:t>价格分</w:t>
            </w:r>
          </w:p>
          <w:p>
            <w:pPr>
              <w:pStyle w:val="43"/>
              <w:widowControl w:val="0"/>
              <w:spacing w:line="240" w:lineRule="exact"/>
              <w:jc w:val="center"/>
              <w:rPr>
                <w:rFonts w:ascii="宋体" w:cs="宋体"/>
                <w:b/>
                <w:color w:val="000000"/>
                <w:sz w:val="18"/>
                <w:szCs w:val="18"/>
                <w:lang w:bidi="ar"/>
              </w:rPr>
            </w:pPr>
            <w:r>
              <w:rPr>
                <w:rFonts w:hint="eastAsia" w:ascii="宋体" w:cs="宋体"/>
                <w:b/>
                <w:color w:val="000000"/>
                <w:sz w:val="18"/>
                <w:szCs w:val="18"/>
                <w:lang w:bidi="ar"/>
              </w:rPr>
              <w:t>（20分）</w:t>
            </w:r>
          </w:p>
        </w:tc>
        <w:tc>
          <w:tcPr>
            <w:tcW w:w="6334" w:type="dxa"/>
            <w:vAlign w:val="center"/>
          </w:tcPr>
          <w:p>
            <w:pPr>
              <w:spacing w:line="240" w:lineRule="exact"/>
              <w:jc w:val="left"/>
              <w:rPr>
                <w:rFonts w:ascii="宋体" w:hAnsi="宋体" w:cs="宋体"/>
                <w:color w:val="000000"/>
                <w:sz w:val="18"/>
                <w:szCs w:val="18"/>
                <w:lang w:bidi="ar"/>
              </w:rPr>
            </w:pPr>
            <w:r>
              <w:rPr>
                <w:rFonts w:hint="eastAsia"/>
                <w:sz w:val="18"/>
                <w:szCs w:val="18"/>
              </w:rPr>
              <w:t>本项目的价格分采用低价优先法计算，即通过本项目资格性检查与符合性检查且报价价格最低的报价为评审基准价，其价格为满分。报价得分 = （评审基准价/最终报价）×20</w:t>
            </w:r>
          </w:p>
        </w:tc>
        <w:tc>
          <w:tcPr>
            <w:tcW w:w="866" w:type="dxa"/>
            <w:vAlign w:val="center"/>
          </w:tcPr>
          <w:p>
            <w:pPr>
              <w:spacing w:line="240" w:lineRule="exact"/>
              <w:jc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20分</w:t>
            </w:r>
          </w:p>
        </w:tc>
        <w:tc>
          <w:tcPr>
            <w:tcW w:w="1300" w:type="dxa"/>
            <w:vAlign w:val="center"/>
          </w:tcPr>
          <w:p>
            <w:pPr>
              <w:pStyle w:val="43"/>
              <w:widowControl w:val="0"/>
              <w:jc w:val="center"/>
              <w:rPr>
                <w:rFonts w:ascii="宋体" w:cs="宋体"/>
                <w:sz w:val="18"/>
                <w:szCs w:val="18"/>
              </w:rPr>
            </w:pPr>
            <w:r>
              <w:rPr>
                <w:rFonts w:hint="eastAsia" w:ascii="宋体" w:cs="宋体"/>
                <w:sz w:val="18"/>
                <w:szCs w:val="18"/>
              </w:rPr>
              <w:t>不填</w:t>
            </w:r>
          </w:p>
        </w:tc>
        <w:tc>
          <w:tcPr>
            <w:tcW w:w="1075" w:type="dxa"/>
            <w:vAlign w:val="center"/>
          </w:tcPr>
          <w:p>
            <w:pPr>
              <w:pStyle w:val="43"/>
              <w:widowControl w:val="0"/>
              <w:jc w:val="center"/>
              <w:rPr>
                <w:rFonts w:ascii="宋体" w:cs="宋体"/>
                <w:sz w:val="18"/>
                <w:szCs w:val="18"/>
              </w:rPr>
            </w:pPr>
            <w:r>
              <w:rPr>
                <w:rFonts w:hint="eastAsia" w:ascii="宋体" w:cs="宋体"/>
                <w:sz w:val="18"/>
                <w:szCs w:val="18"/>
              </w:rPr>
              <w:t>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831" w:type="dxa"/>
            <w:gridSpan w:val="3"/>
            <w:vAlign w:val="center"/>
          </w:tcPr>
          <w:p>
            <w:pPr>
              <w:jc w:val="center"/>
              <w:rPr>
                <w:rFonts w:ascii="宋体" w:hAnsi="宋体" w:cs="宋体"/>
                <w:b/>
                <w:sz w:val="18"/>
                <w:szCs w:val="18"/>
                <w:u w:val="single"/>
                <w:lang w:bidi="ar"/>
              </w:rPr>
            </w:pPr>
            <w:r>
              <w:rPr>
                <w:rFonts w:hint="eastAsia" w:ascii="宋体" w:hAnsi="宋体" w:cs="宋体"/>
                <w:b/>
                <w:sz w:val="18"/>
                <w:szCs w:val="18"/>
                <w:lang w:bidi="ar"/>
              </w:rPr>
              <w:t>合计</w:t>
            </w:r>
          </w:p>
        </w:tc>
        <w:tc>
          <w:tcPr>
            <w:tcW w:w="866" w:type="dxa"/>
            <w:vAlign w:val="center"/>
          </w:tcPr>
          <w:p>
            <w:pPr>
              <w:pStyle w:val="43"/>
              <w:widowControl w:val="0"/>
              <w:jc w:val="center"/>
              <w:rPr>
                <w:rFonts w:ascii="宋体" w:cs="宋体"/>
                <w:sz w:val="18"/>
                <w:szCs w:val="18"/>
              </w:rPr>
            </w:pPr>
            <w:r>
              <w:rPr>
                <w:rFonts w:hint="eastAsia" w:ascii="宋体" w:cs="宋体"/>
                <w:sz w:val="18"/>
                <w:szCs w:val="18"/>
              </w:rPr>
              <w:t>100分</w:t>
            </w:r>
          </w:p>
        </w:tc>
        <w:tc>
          <w:tcPr>
            <w:tcW w:w="1300" w:type="dxa"/>
            <w:vAlign w:val="center"/>
          </w:tcPr>
          <w:p>
            <w:pPr>
              <w:pStyle w:val="43"/>
              <w:widowControl w:val="0"/>
              <w:jc w:val="center"/>
              <w:rPr>
                <w:rFonts w:ascii="宋体" w:cs="宋体"/>
                <w:sz w:val="18"/>
                <w:szCs w:val="18"/>
              </w:rPr>
            </w:pPr>
            <w:r>
              <w:rPr>
                <w:rFonts w:hint="eastAsia" w:ascii="宋体" w:cs="宋体"/>
                <w:sz w:val="18"/>
                <w:szCs w:val="18"/>
              </w:rPr>
              <w:t>不填</w:t>
            </w:r>
          </w:p>
        </w:tc>
        <w:tc>
          <w:tcPr>
            <w:tcW w:w="1075" w:type="dxa"/>
            <w:vAlign w:val="center"/>
          </w:tcPr>
          <w:p>
            <w:pPr>
              <w:pStyle w:val="43"/>
              <w:widowControl w:val="0"/>
              <w:jc w:val="center"/>
              <w:rPr>
                <w:rFonts w:ascii="宋体" w:cs="宋体"/>
                <w:sz w:val="18"/>
                <w:szCs w:val="18"/>
              </w:rPr>
            </w:pPr>
            <w:r>
              <w:rPr>
                <w:rFonts w:hint="eastAsia" w:ascii="宋体" w:cs="宋体"/>
                <w:sz w:val="18"/>
                <w:szCs w:val="18"/>
              </w:rPr>
              <w:t>不填</w:t>
            </w:r>
          </w:p>
        </w:tc>
      </w:tr>
    </w:tbl>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9"/>
        <w:tabs>
          <w:tab w:val="left" w:pos="1050"/>
          <w:tab w:val="center" w:pos="4535"/>
        </w:tabs>
        <w:jc w:val="center"/>
        <w:outlineLvl w:val="0"/>
        <w:rPr>
          <w:b/>
          <w:bCs/>
          <w:szCs w:val="21"/>
        </w:rPr>
      </w:pPr>
      <w:bookmarkStart w:id="178" w:name="_Toc8481"/>
      <w:bookmarkStart w:id="179" w:name="_Toc29101"/>
      <w:bookmarkStart w:id="180" w:name="_Toc26391"/>
      <w:bookmarkStart w:id="181" w:name="_Toc20065"/>
      <w:bookmarkStart w:id="182" w:name="_Toc9683"/>
      <w:bookmarkStart w:id="183" w:name="_Toc28877"/>
      <w:bookmarkStart w:id="184" w:name="_Toc25102"/>
      <w:bookmarkStart w:id="185" w:name="_Toc10605"/>
      <w:bookmarkStart w:id="186" w:name="_Toc31025"/>
      <w:bookmarkStart w:id="187" w:name="_Toc31804"/>
      <w:bookmarkStart w:id="188" w:name="_Toc11212"/>
      <w:bookmarkStart w:id="189" w:name="_Toc20169"/>
      <w:bookmarkStart w:id="190" w:name="_Toc24565"/>
      <w:bookmarkStart w:id="191" w:name="_Toc10771"/>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32295"/>
      <w:bookmarkStart w:id="194" w:name="_Toc24286"/>
      <w:bookmarkStart w:id="195" w:name="_Toc10398"/>
      <w:bookmarkStart w:id="196" w:name="_Toc24550"/>
      <w:bookmarkStart w:id="197" w:name="_Toc7019"/>
      <w:bookmarkStart w:id="198" w:name="_Toc15079"/>
    </w:p>
    <w:p>
      <w:pPr>
        <w:spacing w:line="300" w:lineRule="auto"/>
        <w:ind w:firstLine="663" w:firstLineChars="300"/>
        <w:outlineLvl w:val="1"/>
        <w:rPr>
          <w:rFonts w:asciiTheme="majorEastAsia" w:hAnsiTheme="majorEastAsia"/>
          <w:b/>
          <w:sz w:val="22"/>
        </w:rPr>
      </w:pPr>
      <w:bookmarkStart w:id="199" w:name="_Toc21905"/>
      <w:bookmarkStart w:id="200" w:name="_Toc1548"/>
      <w:bookmarkStart w:id="201" w:name="_Toc31638"/>
      <w:bookmarkStart w:id="202" w:name="_Toc17416"/>
      <w:bookmarkStart w:id="203" w:name="_Toc14009"/>
      <w:bookmarkStart w:id="204" w:name="_Toc13551"/>
      <w:r>
        <w:rPr>
          <w:rFonts w:hint="eastAsia" w:asciiTheme="majorEastAsia" w:hAnsiTheme="majorEastAsia" w:eastAsiaTheme="majorEastAsia"/>
          <w:b/>
          <w:sz w:val="22"/>
        </w:rPr>
        <w:t>一、</w:t>
      </w:r>
      <w:bookmarkEnd w:id="199"/>
      <w:bookmarkEnd w:id="200"/>
      <w:bookmarkEnd w:id="201"/>
      <w:bookmarkEnd w:id="202"/>
      <w:bookmarkEnd w:id="203"/>
      <w:bookmarkEnd w:id="204"/>
      <w:r>
        <w:rPr>
          <w:rFonts w:hint="eastAsia" w:asciiTheme="majorEastAsia" w:hAnsiTheme="majorEastAsia" w:eastAsiaTheme="majorEastAsia"/>
          <w:b/>
          <w:sz w:val="22"/>
        </w:rPr>
        <w:t>“</w:t>
      </w:r>
      <w:r>
        <w:rPr>
          <w:rFonts w:hint="eastAsia" w:ascii="宋体" w:hAnsi="宋体" w:cs="宋体"/>
          <w:bCs/>
          <w:snapToGrid w:val="0"/>
          <w:color w:val="0D0D0D" w:themeColor="text1" w:themeTint="F2"/>
          <w:szCs w:val="21"/>
          <w:lang w:val="en-GB"/>
          <w14:textFill>
            <w14:solidFill>
              <w14:schemeClr w14:val="tx1">
                <w14:lumMod w14:val="95000"/>
                <w14:lumOff w14:val="5000"/>
              </w14:schemeClr>
            </w14:solidFill>
          </w14:textFill>
        </w:rPr>
        <w:t>★”条款内容</w:t>
      </w:r>
    </w:p>
    <w:bookmarkEnd w:id="192"/>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19330"/>
      <w:bookmarkStart w:id="206" w:name="_Toc15903"/>
      <w:bookmarkStart w:id="207" w:name="_Toc26114"/>
      <w:bookmarkStart w:id="208" w:name="_Toc14718"/>
      <w:bookmarkStart w:id="209" w:name="_Toc28342"/>
      <w:bookmarkStart w:id="210" w:name="_Toc16131"/>
      <w:bookmarkStart w:id="211" w:name="_Toc31897"/>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Theme="majorEastAsia" w:hAnsiTheme="majorEastAsia" w:eastAsiaTheme="majorEastAsia"/>
          <w:b/>
          <w:sz w:val="22"/>
        </w:rPr>
        <w:t>商务要求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p>
    <w:p>
      <w:pPr>
        <w:widowControl/>
        <w:spacing w:line="360" w:lineRule="auto"/>
        <w:ind w:left="420" w:leftChars="200" w:firstLine="221" w:firstLineChars="100"/>
        <w:rPr>
          <w:rFonts w:asciiTheme="majorEastAsia" w:hAnsiTheme="majorEastAsia" w:eastAsiaTheme="majorEastAsia"/>
          <w:b/>
          <w:sz w:val="22"/>
        </w:rPr>
      </w:pPr>
      <w:r>
        <w:rPr>
          <w:rFonts w:hint="eastAsia" w:asciiTheme="majorEastAsia" w:hAnsiTheme="majorEastAsia" w:eastAsiaTheme="majorEastAsia"/>
          <w:b/>
          <w:sz w:val="22"/>
        </w:rPr>
        <w:t>三、技术服务要求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r>
        <w:rPr>
          <w:rFonts w:hint="eastAsia" w:ascii="宋体" w:hAnsi="宋体"/>
          <w:b/>
          <w:bCs/>
          <w:szCs w:val="21"/>
        </w:rPr>
        <w:t xml:space="preserve">     </w:t>
      </w:r>
      <w:r>
        <w:rPr>
          <w:rFonts w:hint="eastAsia" w:asciiTheme="majorEastAsia" w:hAnsiTheme="majorEastAsia" w:eastAsiaTheme="majorEastAsia"/>
          <w:b/>
          <w:sz w:val="22"/>
        </w:rPr>
        <w:t xml:space="preserve"> </w:t>
      </w:r>
    </w:p>
    <w:p>
      <w:pPr>
        <w:spacing w:line="300" w:lineRule="auto"/>
        <w:ind w:firstLine="663" w:firstLineChars="300"/>
        <w:outlineLvl w:val="1"/>
        <w:rPr>
          <w:rFonts w:hint="eastAsia" w:asciiTheme="majorEastAsia" w:hAnsiTheme="majorEastAsia" w:eastAsiaTheme="majorEastAsia"/>
          <w:b/>
          <w:sz w:val="22"/>
          <w:lang w:eastAsia="zh-CN"/>
        </w:rPr>
      </w:pPr>
      <w:r>
        <w:rPr>
          <w:rFonts w:hint="eastAsia" w:asciiTheme="majorEastAsia" w:hAnsiTheme="majorEastAsia" w:eastAsiaTheme="majorEastAsia"/>
          <w:b/>
          <w:sz w:val="22"/>
        </w:rPr>
        <w:t>四、</w:t>
      </w:r>
      <w:r>
        <w:rPr>
          <w:rFonts w:hint="eastAsia" w:asciiTheme="majorEastAsia" w:hAnsiTheme="majorEastAsia" w:eastAsiaTheme="majorEastAsia"/>
          <w:b/>
          <w:sz w:val="22"/>
          <w:lang w:eastAsia="zh-CN"/>
        </w:rPr>
        <w:t>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hint="eastAsia" w:asciiTheme="majorEastAsia" w:hAnsiTheme="majorEastAsia" w:eastAsiaTheme="majorEastAsia"/>
          <w:b/>
          <w:sz w:val="22"/>
          <w:lang w:eastAsia="zh-CN"/>
        </w:rPr>
      </w:pP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lang w:eastAsia="zh-CN"/>
        </w:rPr>
        <w:t>五、</w:t>
      </w:r>
      <w:r>
        <w:rPr>
          <w:rFonts w:hint="eastAsia" w:asciiTheme="majorEastAsia" w:hAnsiTheme="majorEastAsia" w:eastAsiaTheme="majorEastAsia"/>
          <w:b/>
          <w:sz w:val="22"/>
        </w:rPr>
        <w:t>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pgNumType w:fmt="decimal"/>
          <w:cols w:space="720" w:num="1"/>
          <w:docGrid w:linePitch="312" w:charSpace="0"/>
        </w:sectPr>
      </w:pPr>
    </w:p>
    <w:p>
      <w:pPr>
        <w:pStyle w:val="2"/>
        <w:jc w:val="center"/>
        <w:rPr>
          <w:b/>
          <w:bCs/>
          <w:sz w:val="30"/>
          <w:szCs w:val="30"/>
        </w:rPr>
      </w:pPr>
      <w:bookmarkStart w:id="212" w:name="_Toc21213"/>
      <w:bookmarkStart w:id="213" w:name="_Toc6214"/>
      <w:bookmarkStart w:id="214" w:name="_Toc28851"/>
      <w:bookmarkStart w:id="215" w:name="_Toc31077"/>
      <w:bookmarkStart w:id="216" w:name="_Toc21561"/>
      <w:bookmarkStart w:id="217" w:name="_Toc31674"/>
      <w:r>
        <w:rPr>
          <w:rFonts w:hint="eastAsia"/>
          <w:b/>
          <w:bCs/>
          <w:sz w:val="30"/>
          <w:szCs w:val="30"/>
        </w:rPr>
        <w:t>初始报价表</w:t>
      </w:r>
    </w:p>
    <w:p>
      <w:pPr>
        <w:pStyle w:val="2"/>
        <w:jc w:val="center"/>
        <w:rPr>
          <w:b/>
          <w:bCs/>
          <w:sz w:val="30"/>
          <w:szCs w:val="30"/>
        </w:rPr>
      </w:pPr>
    </w:p>
    <w:p>
      <w:pPr>
        <w:widowControl/>
        <w:jc w:val="left"/>
        <w:rPr>
          <w:rFonts w:ascii="宋体" w:hAnsi="宋体" w:cs="宋体"/>
          <w:b/>
          <w:color w:val="000000"/>
          <w:kern w:val="0"/>
          <w:szCs w:val="21"/>
          <w:lang w:bidi="ar"/>
        </w:rPr>
      </w:pPr>
    </w:p>
    <w:tbl>
      <w:tblPr>
        <w:tblStyle w:val="19"/>
        <w:tblW w:w="9834" w:type="dxa"/>
        <w:tblInd w:w="0" w:type="dxa"/>
        <w:tblLayout w:type="fixed"/>
        <w:tblCellMar>
          <w:top w:w="0" w:type="dxa"/>
          <w:left w:w="30" w:type="dxa"/>
          <w:bottom w:w="0" w:type="dxa"/>
          <w:right w:w="30" w:type="dxa"/>
        </w:tblCellMar>
      </w:tblPr>
      <w:tblGrid>
        <w:gridCol w:w="3789"/>
        <w:gridCol w:w="1080"/>
        <w:gridCol w:w="1155"/>
        <w:gridCol w:w="2580"/>
        <w:gridCol w:w="1230"/>
      </w:tblGrid>
      <w:tr>
        <w:tblPrEx>
          <w:tblCellMar>
            <w:top w:w="0" w:type="dxa"/>
            <w:left w:w="30" w:type="dxa"/>
            <w:bottom w:w="0" w:type="dxa"/>
            <w:right w:w="30" w:type="dxa"/>
          </w:tblCellMar>
        </w:tblPrEx>
        <w:trPr>
          <w:trHeight w:val="333" w:hRule="atLeast"/>
        </w:trPr>
        <w:tc>
          <w:tcPr>
            <w:tcW w:w="3789"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项目名称</w:t>
            </w:r>
          </w:p>
        </w:tc>
        <w:tc>
          <w:tcPr>
            <w:tcW w:w="1080"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单位</w:t>
            </w:r>
          </w:p>
        </w:tc>
        <w:tc>
          <w:tcPr>
            <w:tcW w:w="1155"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数量</w:t>
            </w:r>
          </w:p>
        </w:tc>
        <w:tc>
          <w:tcPr>
            <w:tcW w:w="25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折扣率（%）</w:t>
            </w:r>
          </w:p>
        </w:tc>
        <w:tc>
          <w:tcPr>
            <w:tcW w:w="123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服务期</w:t>
            </w:r>
          </w:p>
        </w:tc>
      </w:tr>
      <w:tr>
        <w:tblPrEx>
          <w:tblCellMar>
            <w:top w:w="0" w:type="dxa"/>
            <w:left w:w="30" w:type="dxa"/>
            <w:bottom w:w="0" w:type="dxa"/>
            <w:right w:w="30" w:type="dxa"/>
          </w:tblCellMar>
        </w:tblPrEx>
        <w:trPr>
          <w:trHeight w:val="2407" w:hRule="atLeast"/>
        </w:trPr>
        <w:tc>
          <w:tcPr>
            <w:tcW w:w="3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南方医科大学第五附属医院病理项目外送检验服务项目</w:t>
            </w:r>
          </w:p>
          <w:p>
            <w:pPr>
              <w:autoSpaceDE w:val="0"/>
              <w:autoSpaceDN w:val="0"/>
              <w:spacing w:line="360" w:lineRule="auto"/>
              <w:jc w:val="left"/>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项</w:t>
            </w:r>
          </w:p>
        </w:tc>
        <w:tc>
          <w:tcPr>
            <w:tcW w:w="115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1</w:t>
            </w:r>
          </w:p>
        </w:tc>
        <w:tc>
          <w:tcPr>
            <w:tcW w:w="25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b/>
                <w:bCs/>
                <w:sz w:val="24"/>
                <w:u w:val="single"/>
              </w:rPr>
            </w:pPr>
            <w:r>
              <w:rPr>
                <w:rFonts w:hint="eastAsia" w:ascii="宋体" w:hAnsi="宋体" w:cs="宋体"/>
                <w:b/>
                <w:bCs/>
                <w:sz w:val="24"/>
              </w:rPr>
              <w:t>大写：百分之</w:t>
            </w:r>
            <w:r>
              <w:rPr>
                <w:rFonts w:hint="eastAsia" w:ascii="宋体" w:hAnsi="宋体" w:cs="宋体"/>
                <w:b/>
                <w:bCs/>
                <w:sz w:val="24"/>
                <w:u w:val="single"/>
              </w:rPr>
              <w:t xml:space="preserve">     </w:t>
            </w:r>
          </w:p>
          <w:p>
            <w:pPr>
              <w:pStyle w:val="2"/>
              <w:rPr>
                <w:sz w:val="24"/>
              </w:rPr>
            </w:pPr>
            <w:r>
              <w:rPr>
                <w:rFonts w:hint="eastAsia" w:ascii="宋体" w:hAnsi="宋体" w:cs="宋体"/>
                <w:b/>
                <w:bCs/>
                <w:sz w:val="24"/>
              </w:rPr>
              <w:t>小写：    %</w:t>
            </w:r>
          </w:p>
        </w:tc>
        <w:tc>
          <w:tcPr>
            <w:tcW w:w="123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三年</w:t>
            </w:r>
          </w:p>
        </w:tc>
      </w:tr>
    </w:tbl>
    <w:p>
      <w:pPr>
        <w:pStyle w:val="2"/>
        <w:spacing w:line="360" w:lineRule="auto"/>
        <w:rPr>
          <w:rFonts w:ascii="宋体" w:hAnsi="宋体"/>
          <w:b/>
          <w:bCs/>
          <w:sz w:val="24"/>
        </w:rPr>
      </w:pPr>
    </w:p>
    <w:p>
      <w:pPr>
        <w:pStyle w:val="2"/>
        <w:spacing w:line="400" w:lineRule="exact"/>
        <w:rPr>
          <w:rFonts w:ascii="宋体" w:hAnsi="宋体"/>
          <w:b/>
          <w:bCs/>
          <w:szCs w:val="21"/>
        </w:rPr>
      </w:pPr>
      <w:r>
        <w:rPr>
          <w:rFonts w:hint="eastAsia" w:ascii="宋体" w:hAnsi="宋体"/>
          <w:b/>
          <w:bCs/>
          <w:szCs w:val="21"/>
        </w:rPr>
        <w:t>备注：</w:t>
      </w:r>
    </w:p>
    <w:p>
      <w:pPr>
        <w:pStyle w:val="2"/>
        <w:spacing w:line="400" w:lineRule="exact"/>
        <w:rPr>
          <w:rFonts w:ascii="黑体" w:hAnsi="黑体" w:eastAsia="黑体"/>
          <w:szCs w:val="21"/>
        </w:rPr>
      </w:pPr>
      <w:r>
        <w:rPr>
          <w:rFonts w:hint="eastAsia" w:ascii="宋体" w:hAnsi="宋体"/>
          <w:b/>
          <w:bCs/>
          <w:szCs w:val="21"/>
        </w:rPr>
        <w:t>1.温馨提示（金额大写）：</w:t>
      </w:r>
      <w:r>
        <w:rPr>
          <w:rFonts w:hint="eastAsia" w:ascii="宋体" w:hAnsi="宋体"/>
          <w:szCs w:val="21"/>
        </w:rPr>
        <w:t>壹、贰、叁、肆、伍、陆、柒、捌、玖、拾 、佰、仟、万</w:t>
      </w:r>
    </w:p>
    <w:p>
      <w:pPr>
        <w:spacing w:line="400" w:lineRule="exact"/>
        <w:rPr>
          <w:rFonts w:ascii="宋体" w:hAnsi="宋体"/>
          <w:b/>
          <w:bCs/>
          <w:szCs w:val="21"/>
        </w:rPr>
      </w:pPr>
      <w:r>
        <w:rPr>
          <w:rFonts w:hint="eastAsia" w:ascii="宋体" w:hAnsi="宋体"/>
          <w:b/>
          <w:bCs/>
          <w:szCs w:val="21"/>
        </w:rPr>
        <w:t>2.报价说明：</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按照《广州市公立医疗机构基本医疗服务价格》（以最新版本为准），对本项目所有检验内容按折扣率进行报价，报价应包括但不限于各种人力成本、货物成本、资料费、服务费、信息系统接口费、税费、物流服务、标本采集试管、保存装置及合同实施过程中的所有费用。</w:t>
      </w:r>
    </w:p>
    <w:p>
      <w:pPr>
        <w:widowControl/>
        <w:spacing w:line="400" w:lineRule="exact"/>
        <w:jc w:val="left"/>
        <w:rPr>
          <w:rFonts w:ascii="宋体" w:hAnsi="宋体"/>
          <w:b/>
          <w:bCs/>
          <w:szCs w:val="21"/>
        </w:rPr>
      </w:pPr>
      <w:r>
        <w:rPr>
          <w:rFonts w:hint="eastAsia" w:ascii="宋体" w:hAnsi="宋体"/>
          <w:b/>
          <w:bCs/>
          <w:szCs w:val="21"/>
        </w:rPr>
        <w:t>3.其他：</w:t>
      </w:r>
    </w:p>
    <w:p>
      <w:pPr>
        <w:widowControl/>
        <w:spacing w:line="400" w:lineRule="exact"/>
        <w:jc w:val="left"/>
        <w:rPr>
          <w:rFonts w:ascii="宋体" w:hAnsi="宋体"/>
          <w:szCs w:val="21"/>
        </w:rPr>
      </w:pPr>
      <w:r>
        <w:rPr>
          <w:rFonts w:hint="eastAsia" w:ascii="宋体" w:hAnsi="宋体"/>
          <w:szCs w:val="21"/>
        </w:rPr>
        <w:t>3.1标本到达供应商实验室后</w:t>
      </w:r>
      <w:r>
        <w:rPr>
          <w:rFonts w:hint="eastAsia" w:ascii="宋体" w:hAnsi="宋体"/>
          <w:szCs w:val="21"/>
          <w:u w:val="single"/>
        </w:rPr>
        <w:t xml:space="preserve">    </w:t>
      </w:r>
      <w:r>
        <w:rPr>
          <w:rFonts w:hint="eastAsia" w:ascii="宋体" w:hAnsi="宋体"/>
          <w:szCs w:val="21"/>
        </w:rPr>
        <w:t>天内出具病理报告；</w:t>
      </w:r>
    </w:p>
    <w:p>
      <w:pPr>
        <w:widowControl/>
        <w:spacing w:line="400" w:lineRule="exact"/>
        <w:jc w:val="left"/>
        <w:rPr>
          <w:rFonts w:ascii="宋体" w:hAnsi="宋体"/>
          <w:szCs w:val="21"/>
        </w:rPr>
      </w:pPr>
      <w:r>
        <w:rPr>
          <w:rFonts w:hint="eastAsia" w:ascii="宋体" w:hAnsi="宋体"/>
          <w:szCs w:val="21"/>
        </w:rPr>
        <w:t>3.2其他承诺：</w:t>
      </w:r>
    </w:p>
    <w:p>
      <w:pPr>
        <w:widowControl/>
        <w:spacing w:line="360" w:lineRule="auto"/>
        <w:jc w:val="left"/>
        <w:rPr>
          <w:rFonts w:ascii="宋体" w:hAnsi="宋体"/>
          <w:sz w:val="24"/>
        </w:rPr>
      </w:pPr>
    </w:p>
    <w:p>
      <w:pPr>
        <w:widowControl/>
        <w:spacing w:line="360" w:lineRule="auto"/>
        <w:ind w:firstLine="2280" w:firstLineChars="950"/>
        <w:jc w:val="left"/>
        <w:rPr>
          <w:rFonts w:ascii="宋体" w:hAnsi="宋体"/>
          <w:sz w:val="24"/>
        </w:rPr>
      </w:pPr>
    </w:p>
    <w:p>
      <w:pPr>
        <w:pStyle w:val="2"/>
      </w:pPr>
    </w:p>
    <w:p>
      <w:pPr>
        <w:widowControl/>
        <w:spacing w:line="360" w:lineRule="auto"/>
        <w:ind w:firstLine="4440" w:firstLineChars="1850"/>
        <w:jc w:val="left"/>
        <w:rPr>
          <w:rFonts w:ascii="宋体" w:hAnsi="宋体"/>
          <w:sz w:val="24"/>
        </w:rPr>
      </w:pPr>
    </w:p>
    <w:p>
      <w:pPr>
        <w:widowControl/>
        <w:spacing w:line="360" w:lineRule="auto"/>
        <w:ind w:firstLine="4440" w:firstLineChars="1850"/>
        <w:jc w:val="left"/>
        <w:rPr>
          <w:rFonts w:ascii="宋体" w:hAnsi="宋体"/>
          <w:sz w:val="24"/>
        </w:rPr>
      </w:pPr>
    </w:p>
    <w:p>
      <w:pPr>
        <w:widowControl/>
        <w:spacing w:line="480" w:lineRule="auto"/>
        <w:ind w:firstLine="4440" w:firstLineChars="1850"/>
        <w:jc w:val="left"/>
        <w:rPr>
          <w:rFonts w:ascii="宋体" w:hAnsi="宋体"/>
          <w:sz w:val="24"/>
        </w:rPr>
      </w:pPr>
      <w:r>
        <w:rPr>
          <w:rFonts w:hint="eastAsia" w:ascii="宋体" w:hAnsi="宋体"/>
          <w:sz w:val="24"/>
        </w:rPr>
        <w:t>公司全称（加盖公章）：</w:t>
      </w:r>
    </w:p>
    <w:p>
      <w:pPr>
        <w:widowControl/>
        <w:spacing w:line="48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480" w:lineRule="auto"/>
        <w:ind w:firstLine="6960" w:firstLineChars="2900"/>
        <w:rPr>
          <w:rFonts w:ascii="宋体" w:hAnsi="宋体" w:cs="宋体"/>
          <w:b/>
          <w:sz w:val="24"/>
        </w:rPr>
      </w:pPr>
      <w:r>
        <w:rPr>
          <w:rFonts w:hint="eastAsia" w:ascii="宋体" w:hAnsi="宋体"/>
          <w:sz w:val="24"/>
        </w:rPr>
        <w:t>日  期：  年   月    日</w:t>
      </w:r>
    </w:p>
    <w:p>
      <w:pPr>
        <w:widowControl/>
        <w:spacing w:line="480" w:lineRule="auto"/>
        <w:jc w:val="left"/>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9"/>
        <w:tabs>
          <w:tab w:val="left" w:pos="1050"/>
          <w:tab w:val="center" w:pos="4535"/>
        </w:tabs>
        <w:spacing w:line="360" w:lineRule="auto"/>
        <w:jc w:val="center"/>
        <w:outlineLvl w:val="0"/>
        <w:rPr>
          <w:b/>
          <w:bCs/>
          <w:sz w:val="32"/>
          <w:szCs w:val="32"/>
        </w:rPr>
      </w:pPr>
      <w:bookmarkStart w:id="218" w:name="_Toc11748"/>
      <w:r>
        <w:rPr>
          <w:rFonts w:hint="eastAsia"/>
          <w:b/>
          <w:bCs/>
          <w:sz w:val="32"/>
          <w:szCs w:val="32"/>
        </w:rPr>
        <w:t>法定代表人资格证明书</w:t>
      </w:r>
      <w:bookmarkEnd w:id="212"/>
      <w:bookmarkEnd w:id="213"/>
      <w:bookmarkEnd w:id="214"/>
      <w:bookmarkEnd w:id="215"/>
      <w:bookmarkEnd w:id="218"/>
    </w:p>
    <w:p>
      <w:pPr>
        <w:pStyle w:val="29"/>
        <w:spacing w:line="360" w:lineRule="auto"/>
        <w:jc w:val="center"/>
        <w:rPr>
          <w:b/>
          <w:bCs/>
          <w:sz w:val="30"/>
          <w:szCs w:val="30"/>
        </w:rPr>
      </w:pPr>
    </w:p>
    <w:p>
      <w:pPr>
        <w:pStyle w:val="29"/>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9"/>
        <w:spacing w:line="360" w:lineRule="auto"/>
        <w:ind w:firstLine="560"/>
        <w:rPr>
          <w:sz w:val="28"/>
          <w:szCs w:val="28"/>
        </w:rPr>
      </w:pPr>
    </w:p>
    <w:p>
      <w:pPr>
        <w:pStyle w:val="29"/>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9"/>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9"/>
        <w:spacing w:line="360" w:lineRule="auto"/>
        <w:rPr>
          <w:b/>
          <w:bCs/>
          <w:sz w:val="28"/>
          <w:szCs w:val="28"/>
        </w:rPr>
      </w:pPr>
    </w:p>
    <w:p>
      <w:pPr>
        <w:pStyle w:val="29"/>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9"/>
        <w:spacing w:line="360" w:lineRule="auto"/>
        <w:jc w:val="center"/>
        <w:outlineLvl w:val="0"/>
        <w:rPr>
          <w:b/>
          <w:bCs/>
          <w:sz w:val="32"/>
          <w:szCs w:val="32"/>
        </w:rPr>
      </w:pPr>
      <w:bookmarkStart w:id="219" w:name="_Toc7276"/>
      <w:bookmarkStart w:id="220" w:name="_Toc28957"/>
      <w:bookmarkStart w:id="221" w:name="_Toc14591"/>
      <w:bookmarkStart w:id="222" w:name="_Toc14853"/>
      <w:bookmarkStart w:id="223" w:name="_Toc14020"/>
      <w:bookmarkStart w:id="224" w:name="_Toc11289"/>
      <w:bookmarkStart w:id="225" w:name="_Toc23685"/>
      <w:bookmarkStart w:id="226" w:name="_Toc18443"/>
      <w:bookmarkStart w:id="227" w:name="_Toc15050"/>
      <w:bookmarkStart w:id="228" w:name="_Toc3241"/>
      <w:bookmarkStart w:id="229" w:name="_Toc22175"/>
      <w:bookmarkStart w:id="230" w:name="_Toc3758"/>
    </w:p>
    <w:p>
      <w:pPr>
        <w:pStyle w:val="29"/>
        <w:spacing w:line="360" w:lineRule="auto"/>
        <w:jc w:val="center"/>
        <w:outlineLvl w:val="0"/>
        <w:rPr>
          <w:b/>
          <w:bCs/>
          <w:sz w:val="32"/>
          <w:szCs w:val="32"/>
        </w:rPr>
      </w:pPr>
      <w:r>
        <w:rPr>
          <w:rFonts w:hint="eastAsia"/>
          <w:b/>
          <w:bCs/>
          <w:sz w:val="32"/>
          <w:szCs w:val="32"/>
        </w:rPr>
        <w:t>法定代表人授权委托书</w:t>
      </w:r>
      <w:bookmarkEnd w:id="219"/>
      <w:bookmarkEnd w:id="220"/>
      <w:bookmarkEnd w:id="221"/>
      <w:bookmarkEnd w:id="222"/>
      <w:bookmarkEnd w:id="223"/>
      <w:bookmarkEnd w:id="224"/>
      <w:bookmarkEnd w:id="225"/>
      <w:bookmarkEnd w:id="226"/>
      <w:bookmarkEnd w:id="227"/>
      <w:bookmarkEnd w:id="228"/>
      <w:bookmarkEnd w:id="229"/>
      <w:bookmarkEnd w:id="230"/>
    </w:p>
    <w:p>
      <w:pPr>
        <w:pStyle w:val="30"/>
        <w:spacing w:line="360" w:lineRule="auto"/>
        <w:jc w:val="left"/>
        <w:rPr>
          <w:b/>
          <w:bCs/>
          <w:sz w:val="28"/>
          <w:szCs w:val="28"/>
        </w:rPr>
      </w:pPr>
      <w:r>
        <w:rPr>
          <w:rFonts w:hint="eastAsia"/>
          <w:b/>
          <w:bCs/>
          <w:sz w:val="28"/>
          <w:szCs w:val="28"/>
        </w:rPr>
        <w:t>本授权书声明：</w:t>
      </w:r>
    </w:p>
    <w:p>
      <w:pPr>
        <w:pStyle w:val="29"/>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29"/>
        <w:spacing w:line="360" w:lineRule="auto"/>
        <w:ind w:firstLine="560"/>
        <w:rPr>
          <w:sz w:val="28"/>
          <w:szCs w:val="28"/>
        </w:rPr>
      </w:pPr>
      <w:r>
        <w:rPr>
          <w:rFonts w:hint="eastAsia"/>
          <w:sz w:val="28"/>
          <w:szCs w:val="28"/>
        </w:rPr>
        <w:t>本授权书在签字盖章后生效，特此声明。</w:t>
      </w:r>
    </w:p>
    <w:p>
      <w:pPr>
        <w:pStyle w:val="29"/>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9"/>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9"/>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rPr>
          <w:b/>
          <w:bCs/>
          <w:sz w:val="32"/>
          <w:szCs w:val="32"/>
        </w:rPr>
      </w:pPr>
    </w:p>
    <w:p>
      <w:pPr>
        <w:pStyle w:val="29"/>
        <w:tabs>
          <w:tab w:val="left" w:pos="1050"/>
          <w:tab w:val="center" w:pos="4535"/>
        </w:tabs>
        <w:spacing w:line="360" w:lineRule="auto"/>
        <w:jc w:val="center"/>
        <w:outlineLvl w:val="0"/>
        <w:rPr>
          <w:b/>
          <w:bCs/>
          <w:sz w:val="32"/>
          <w:szCs w:val="32"/>
        </w:rPr>
      </w:pPr>
      <w:bookmarkStart w:id="231" w:name="_Toc10212"/>
      <w:bookmarkStart w:id="232" w:name="_Toc32281"/>
      <w:bookmarkStart w:id="233" w:name="_Toc31757"/>
      <w:r>
        <w:rPr>
          <w:rFonts w:hint="eastAsia"/>
          <w:b/>
          <w:bCs/>
          <w:sz w:val="32"/>
          <w:szCs w:val="32"/>
        </w:rPr>
        <w:t>2018年1月1日以来同类项目经验情况一览表</w:t>
      </w:r>
      <w:bookmarkEnd w:id="216"/>
      <w:bookmarkEnd w:id="217"/>
      <w:bookmarkEnd w:id="231"/>
      <w:bookmarkEnd w:id="232"/>
      <w:bookmarkEnd w:id="233"/>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34" w:name="_Toc6536"/>
      <w:bookmarkStart w:id="235" w:name="_Toc16613"/>
      <w:bookmarkStart w:id="236" w:name="_Toc3109"/>
      <w:r>
        <w:rPr>
          <w:rFonts w:hint="eastAsia" w:ascii="宋体" w:hAnsi="宋体"/>
          <w:sz w:val="24"/>
        </w:rPr>
        <w:t>注：2018年至今同类项目的业绩用户名单及证明材料（（需提供合同关键页复印件或中标通知书复印件，并加盖供应商公章）</w:t>
      </w:r>
      <w:bookmarkEnd w:id="234"/>
      <w:bookmarkEnd w:id="235"/>
      <w:bookmarkEnd w:id="236"/>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7" w:name="_Toc40776119"/>
      <w:bookmarkStart w:id="238" w:name="_Toc9749"/>
      <w:bookmarkStart w:id="239" w:name="_Toc16505"/>
      <w:bookmarkStart w:id="240" w:name="_Toc21435"/>
      <w:bookmarkStart w:id="241" w:name="_Toc23732"/>
      <w:bookmarkStart w:id="242" w:name="_Toc20164"/>
      <w:bookmarkStart w:id="243" w:name="_Toc40346226"/>
      <w:bookmarkStart w:id="244" w:name="_Toc17929"/>
      <w:bookmarkStart w:id="245" w:name="_Toc40346385"/>
      <w:bookmarkStart w:id="246" w:name="_Toc30558"/>
      <w:bookmarkStart w:id="247" w:name="_Toc27180"/>
      <w:bookmarkStart w:id="248" w:name="_Toc24877"/>
    </w:p>
    <w:bookmarkEnd w:id="237"/>
    <w:bookmarkEnd w:id="238"/>
    <w:bookmarkEnd w:id="239"/>
    <w:bookmarkEnd w:id="240"/>
    <w:bookmarkEnd w:id="241"/>
    <w:bookmarkEnd w:id="242"/>
    <w:bookmarkEnd w:id="243"/>
    <w:bookmarkEnd w:id="244"/>
    <w:bookmarkEnd w:id="245"/>
    <w:bookmarkEnd w:id="246"/>
    <w:bookmarkEnd w:id="247"/>
    <w:bookmarkEnd w:id="248"/>
    <w:p>
      <w:pPr>
        <w:widowControl/>
        <w:spacing w:line="360" w:lineRule="auto"/>
        <w:ind w:firstLine="2570" w:firstLineChars="800"/>
        <w:outlineLvl w:val="0"/>
        <w:rPr>
          <w:rFonts w:ascii="宋体" w:hAnsi="宋体" w:cs="宋体"/>
          <w:b/>
          <w:bCs/>
          <w:kern w:val="0"/>
          <w:sz w:val="32"/>
          <w:szCs w:val="32"/>
        </w:rPr>
      </w:pPr>
      <w:bookmarkStart w:id="249" w:name="_Toc15272"/>
      <w:bookmarkStart w:id="250" w:name="_Toc5499"/>
      <w:r>
        <w:rPr>
          <w:rFonts w:hint="eastAsia" w:ascii="宋体" w:hAnsi="宋体" w:cs="宋体"/>
          <w:b/>
          <w:bCs/>
          <w:kern w:val="0"/>
          <w:sz w:val="32"/>
          <w:szCs w:val="32"/>
        </w:rPr>
        <w:t>项目投入人员一览表</w:t>
      </w:r>
      <w:bookmarkEnd w:id="249"/>
      <w:bookmarkEnd w:id="250"/>
    </w:p>
    <w:p>
      <w:pPr>
        <w:pStyle w:val="2"/>
        <w:rPr>
          <w:rFonts w:ascii="宋体" w:hAnsi="宋体" w:cs="宋体"/>
          <w:b/>
          <w:bCs/>
          <w:kern w:val="0"/>
          <w:sz w:val="32"/>
          <w:szCs w:val="32"/>
        </w:rPr>
      </w:pPr>
    </w:p>
    <w:p>
      <w:pPr>
        <w:pStyle w:val="8"/>
      </w:pPr>
    </w:p>
    <w:tbl>
      <w:tblPr>
        <w:tblStyle w:val="19"/>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widowControl/>
              <w:jc w:val="left"/>
            </w:pPr>
            <w:r>
              <w:rPr>
                <w:rFonts w:hint="eastAsia" w:ascii="宋体" w:hAnsi="宋体" w:cs="宋体"/>
                <w:b/>
                <w:bCs/>
                <w:color w:val="000000"/>
                <w:kern w:val="0"/>
                <w:szCs w:val="21"/>
                <w:lang w:bidi="ar"/>
              </w:rPr>
              <w:t xml:space="preserve">资料所在页码 </w:t>
            </w:r>
          </w:p>
          <w:p>
            <w:pPr>
              <w:widowControl/>
              <w:jc w:val="left"/>
              <w:rPr>
                <w:rFonts w:ascii="Calibri" w:hAnsi="Calibri"/>
                <w:b/>
                <w:bCs/>
                <w:sz w:val="24"/>
              </w:rPr>
            </w:pPr>
            <w:r>
              <w:rPr>
                <w:rFonts w:hint="eastAsia" w:ascii="宋体" w:hAnsi="宋体" w:cs="宋体"/>
                <w:b/>
                <w:bCs/>
                <w:color w:val="000000"/>
                <w:kern w:val="0"/>
                <w:szCs w:val="21"/>
                <w:lang w:bidi="ar"/>
              </w:rPr>
              <w:t>范围（必填项）</w:t>
            </w:r>
          </w:p>
        </w:tc>
      </w:tr>
      <w:tr>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6"/>
        <w:ind w:firstLine="0"/>
        <w:rPr>
          <w:b/>
          <w:sz w:val="24"/>
        </w:rPr>
      </w:pPr>
    </w:p>
    <w:p>
      <w:pPr>
        <w:widowControl/>
        <w:jc w:val="left"/>
        <w:rPr>
          <w:bCs/>
          <w:sz w:val="24"/>
        </w:rPr>
      </w:pPr>
      <w:r>
        <w:rPr>
          <w:rFonts w:hint="eastAsia"/>
          <w:bCs/>
          <w:sz w:val="24"/>
        </w:rPr>
        <w:t>注：</w:t>
      </w:r>
    </w:p>
    <w:p>
      <w:pPr>
        <w:widowControl/>
        <w:jc w:val="left"/>
        <w:rPr>
          <w:bCs/>
          <w:sz w:val="24"/>
        </w:rPr>
      </w:pPr>
      <w:r>
        <w:rPr>
          <w:rFonts w:hint="eastAsia"/>
          <w:bCs/>
          <w:sz w:val="24"/>
        </w:rPr>
        <w:t xml:space="preserve">1.供应商须提供投入人员职称复印件，并加盖供应商公章； </w:t>
      </w:r>
    </w:p>
    <w:p>
      <w:pPr>
        <w:widowControl/>
        <w:jc w:val="left"/>
        <w:rPr>
          <w:bCs/>
          <w:sz w:val="24"/>
          <w:highlight w:val="yellow"/>
        </w:rPr>
      </w:pPr>
      <w:r>
        <w:rPr>
          <w:rFonts w:hint="eastAsia"/>
          <w:bCs/>
          <w:sz w:val="24"/>
        </w:rPr>
        <w:t>2.提供劳动合同复印件或本项目报名截止日之前六个月内任意一个月的投标单位代缴的投保单或社会保险参保人员缴费证明。</w:t>
      </w:r>
    </w:p>
    <w:p>
      <w:pPr>
        <w:widowControl/>
        <w:jc w:val="left"/>
        <w:rPr>
          <w:bCs/>
          <w:sz w:val="24"/>
        </w:rPr>
      </w:pPr>
      <w:r>
        <w:rPr>
          <w:rFonts w:hint="eastAsia"/>
          <w:bCs/>
          <w:sz w:val="24"/>
        </w:rPr>
        <w:t>3. 供应商未按上表和要求填写的，视为无效材料。</w:t>
      </w:r>
    </w:p>
    <w:p>
      <w:pPr>
        <w:widowControl/>
        <w:jc w:val="left"/>
        <w:rPr>
          <w:b/>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ind w:firstLine="4480" w:firstLineChars="1600"/>
        <w:jc w:val="left"/>
        <w:rPr>
          <w:rFonts w:ascii="宋体" w:hAnsi="宋体" w:cs="宋体"/>
          <w:color w:val="000000"/>
          <w:kern w:val="0"/>
          <w:sz w:val="24"/>
          <w:lang w:bidi="ar"/>
        </w:rPr>
      </w:pPr>
      <w:r>
        <w:rPr>
          <w:rFonts w:hint="eastAsia"/>
          <w:color w:val="0000FF"/>
          <w:sz w:val="28"/>
          <w:szCs w:val="28"/>
        </w:rPr>
        <w:t xml:space="preserve"> </w:t>
      </w:r>
      <w:r>
        <w:rPr>
          <w:rFonts w:hint="eastAsia" w:ascii="宋体" w:hAnsi="宋体" w:cs="宋体"/>
          <w:color w:val="000000"/>
          <w:kern w:val="0"/>
          <w:sz w:val="24"/>
          <w:lang w:bidi="ar"/>
        </w:rPr>
        <w:t xml:space="preserve"> 供应商公司名称（签章）：</w:t>
      </w:r>
    </w:p>
    <w:p>
      <w:pPr>
        <w:widowControl/>
        <w:jc w:val="left"/>
        <w:rPr>
          <w:rFonts w:ascii="宋体" w:hAnsi="宋体" w:cs="宋体"/>
          <w:color w:val="000000"/>
          <w:kern w:val="0"/>
          <w:sz w:val="24"/>
          <w:lang w:bidi="ar"/>
        </w:rPr>
      </w:pPr>
    </w:p>
    <w:p>
      <w:pPr>
        <w:widowControl/>
        <w:ind w:firstLine="1920" w:firstLineChars="800"/>
        <w:jc w:val="left"/>
        <w:rPr>
          <w:rFonts w:ascii="宋体" w:hAnsi="宋体" w:cs="宋体"/>
          <w:color w:val="000000"/>
          <w:kern w:val="0"/>
          <w:sz w:val="24"/>
          <w:lang w:bidi="ar"/>
        </w:rPr>
      </w:pPr>
      <w:r>
        <w:rPr>
          <w:rFonts w:hint="eastAsia" w:ascii="宋体" w:hAnsi="宋体" w:cs="宋体"/>
          <w:color w:val="000000"/>
          <w:kern w:val="0"/>
          <w:sz w:val="24"/>
          <w:lang w:bidi="ar"/>
        </w:rPr>
        <w:t xml:space="preserve">供应商法定代表人/负责人（或授权人）签字或签章：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日 期： 年  月   日</w:t>
      </w:r>
    </w:p>
    <w:p>
      <w:pPr>
        <w:widowControl/>
        <w:spacing w:line="500" w:lineRule="atLeast"/>
        <w:jc w:val="righ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9"/>
        <w:spacing w:line="360" w:lineRule="auto"/>
        <w:jc w:val="center"/>
        <w:outlineLvl w:val="0"/>
        <w:rPr>
          <w:b/>
          <w:bCs/>
          <w:sz w:val="32"/>
          <w:szCs w:val="32"/>
        </w:rPr>
      </w:pPr>
      <w:bookmarkStart w:id="251" w:name="_Toc5396"/>
      <w:bookmarkStart w:id="252" w:name="_Toc27834"/>
      <w:bookmarkStart w:id="253" w:name="_Toc16816"/>
      <w:bookmarkStart w:id="254" w:name="_Toc14321"/>
      <w:bookmarkStart w:id="255" w:name="_Toc2196"/>
      <w:bookmarkStart w:id="256" w:name="_Toc19803"/>
      <w:bookmarkStart w:id="257" w:name="_Toc17932"/>
      <w:bookmarkStart w:id="258" w:name="_Toc31988"/>
      <w:bookmarkStart w:id="259" w:name="_Toc24705"/>
      <w:bookmarkStart w:id="260" w:name="_Toc14093"/>
      <w:bookmarkStart w:id="261" w:name="_Toc1521"/>
      <w:bookmarkStart w:id="262" w:name="_Toc25012"/>
      <w:r>
        <w:rPr>
          <w:rFonts w:hint="eastAsia"/>
          <w:b/>
          <w:bCs/>
          <w:sz w:val="32"/>
          <w:szCs w:val="32"/>
        </w:rPr>
        <w:t>公平竞争承诺书</w:t>
      </w:r>
      <w:bookmarkEnd w:id="251"/>
      <w:bookmarkEnd w:id="252"/>
      <w:bookmarkEnd w:id="253"/>
      <w:bookmarkEnd w:id="254"/>
      <w:bookmarkEnd w:id="255"/>
      <w:bookmarkEnd w:id="256"/>
      <w:bookmarkEnd w:id="257"/>
      <w:bookmarkEnd w:id="258"/>
      <w:bookmarkEnd w:id="259"/>
      <w:bookmarkEnd w:id="260"/>
      <w:bookmarkEnd w:id="261"/>
      <w:bookmarkEnd w:id="262"/>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9"/>
        <w:spacing w:line="360" w:lineRule="auto"/>
        <w:jc w:val="center"/>
        <w:outlineLvl w:val="0"/>
        <w:rPr>
          <w:b/>
          <w:bCs/>
          <w:sz w:val="32"/>
          <w:szCs w:val="32"/>
        </w:rPr>
      </w:pPr>
      <w:bookmarkStart w:id="263" w:name="_Toc9085"/>
      <w:bookmarkStart w:id="264" w:name="_Toc4538"/>
      <w:bookmarkStart w:id="265" w:name="_Toc20949"/>
      <w:bookmarkStart w:id="266" w:name="_Toc9308"/>
      <w:bookmarkStart w:id="267" w:name="_Toc12567"/>
      <w:bookmarkStart w:id="268" w:name="_Toc9333"/>
      <w:bookmarkStart w:id="269" w:name="_Toc22349"/>
      <w:bookmarkStart w:id="270" w:name="_Toc9813"/>
      <w:bookmarkStart w:id="271" w:name="_Toc12986"/>
      <w:bookmarkStart w:id="272" w:name="_Toc6773"/>
      <w:bookmarkStart w:id="273" w:name="_Toc29986"/>
      <w:bookmarkStart w:id="274" w:name="_Toc5237"/>
      <w:r>
        <w:rPr>
          <w:rFonts w:hint="eastAsia"/>
          <w:b/>
          <w:bCs/>
          <w:sz w:val="32"/>
          <w:szCs w:val="32"/>
        </w:rPr>
        <w:t>关于资格和响应文件的声明函</w:t>
      </w:r>
      <w:bookmarkEnd w:id="263"/>
      <w:bookmarkEnd w:id="264"/>
      <w:bookmarkEnd w:id="265"/>
      <w:bookmarkEnd w:id="266"/>
      <w:bookmarkEnd w:id="267"/>
      <w:bookmarkEnd w:id="268"/>
      <w:bookmarkEnd w:id="269"/>
      <w:bookmarkEnd w:id="270"/>
      <w:bookmarkEnd w:id="271"/>
      <w:bookmarkEnd w:id="272"/>
      <w:bookmarkEnd w:id="273"/>
      <w:bookmarkEnd w:id="274"/>
    </w:p>
    <w:p>
      <w:pPr>
        <w:spacing w:line="276" w:lineRule="auto"/>
        <w:rPr>
          <w:rFonts w:hint="eastAsia" w:ascii="宋体" w:hAnsi="宋体"/>
          <w:sz w:val="24"/>
        </w:rPr>
      </w:pPr>
      <w:r>
        <w:rPr>
          <w:rFonts w:hint="eastAsia" w:ascii="宋体" w:hAnsi="宋体"/>
          <w:sz w:val="24"/>
        </w:rPr>
        <w:t>致：南方医科大学第五附属医院</w:t>
      </w:r>
    </w:p>
    <w:p>
      <w:pPr>
        <w:spacing w:line="276" w:lineRule="auto"/>
        <w:ind w:firstLine="480" w:firstLineChars="200"/>
        <w:rPr>
          <w:rFonts w:hint="eastAsia"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及服务，并证明提交的下列文件和说明是准确的和真实的，并作出如下声明：</w:t>
      </w:r>
    </w:p>
    <w:p>
      <w:pPr>
        <w:spacing w:line="276" w:lineRule="auto"/>
        <w:rPr>
          <w:rFonts w:hint="eastAsia" w:ascii="宋体" w:hAnsi="宋体"/>
          <w:sz w:val="24"/>
        </w:rPr>
      </w:pPr>
      <w:r>
        <w:rPr>
          <w:rFonts w:hint="eastAsia" w:ascii="宋体" w:hAnsi="宋体"/>
          <w:sz w:val="24"/>
        </w:rPr>
        <w:t>1.我方具有独立承担民事责任的能力；</w:t>
      </w:r>
    </w:p>
    <w:p>
      <w:pPr>
        <w:spacing w:line="276" w:lineRule="auto"/>
        <w:rPr>
          <w:rFonts w:hint="eastAsia" w:ascii="宋体" w:hAnsi="宋体"/>
          <w:sz w:val="24"/>
        </w:rPr>
      </w:pPr>
      <w:r>
        <w:rPr>
          <w:rFonts w:hint="eastAsia" w:ascii="宋体" w:hAnsi="宋体"/>
          <w:sz w:val="24"/>
        </w:rPr>
        <w:t>2.我方具有良好的商业信誉和健全的财务会计制度；</w:t>
      </w:r>
    </w:p>
    <w:p>
      <w:pPr>
        <w:spacing w:line="276" w:lineRule="auto"/>
        <w:rPr>
          <w:rFonts w:hint="eastAsia" w:ascii="宋体" w:hAnsi="宋体"/>
          <w:sz w:val="24"/>
        </w:rPr>
      </w:pPr>
      <w:r>
        <w:rPr>
          <w:rFonts w:hint="eastAsia" w:ascii="宋体" w:hAnsi="宋体"/>
          <w:sz w:val="24"/>
        </w:rPr>
        <w:t>3.我方有依法缴纳税收和社会保障资金的良好记录；</w:t>
      </w:r>
    </w:p>
    <w:p>
      <w:pPr>
        <w:spacing w:line="276" w:lineRule="auto"/>
        <w:rPr>
          <w:rFonts w:hint="eastAsia" w:ascii="宋体" w:hAnsi="宋体"/>
          <w:sz w:val="24"/>
        </w:rPr>
      </w:pPr>
      <w:r>
        <w:rPr>
          <w:rFonts w:hint="eastAsia" w:ascii="宋体" w:hAnsi="宋体"/>
          <w:sz w:val="24"/>
        </w:rPr>
        <w:t>4.我方具有履行合同所必需的设备和专业技术能力；</w:t>
      </w:r>
    </w:p>
    <w:p>
      <w:pPr>
        <w:spacing w:line="276" w:lineRule="auto"/>
        <w:rPr>
          <w:rFonts w:hint="eastAsia" w:ascii="宋体" w:hAnsi="宋体"/>
          <w:sz w:val="24"/>
        </w:rPr>
      </w:pPr>
      <w:r>
        <w:rPr>
          <w:rFonts w:hint="eastAsia" w:ascii="宋体" w:hAnsi="宋体"/>
          <w:sz w:val="24"/>
        </w:rPr>
        <w:t>5.我方在参加政府采购活动前3年内在经营活动中没有重大违法、违规、违纪、违约记录；</w:t>
      </w:r>
    </w:p>
    <w:p>
      <w:pPr>
        <w:spacing w:line="276" w:lineRule="auto"/>
        <w:rPr>
          <w:rFonts w:hint="eastAsia" w:ascii="宋体" w:hAnsi="宋体"/>
          <w:sz w:val="24"/>
        </w:rPr>
      </w:pPr>
      <w:r>
        <w:rPr>
          <w:rFonts w:hint="eastAsia" w:ascii="宋体" w:hAnsi="宋体"/>
          <w:sz w:val="24"/>
        </w:rPr>
        <w:t>6.我方不存在以下情况：法定代表人或单位负责人为同一人或者存在直接控股、管理关系的不同供应商，不得同时参加本采购项目的院内采购活动。</w:t>
      </w:r>
    </w:p>
    <w:p>
      <w:pPr>
        <w:spacing w:line="276" w:lineRule="auto"/>
        <w:rPr>
          <w:rFonts w:hint="eastAsia" w:ascii="宋体" w:hAnsi="宋体"/>
          <w:sz w:val="24"/>
        </w:rPr>
      </w:pPr>
      <w:r>
        <w:rPr>
          <w:rFonts w:hint="eastAsia" w:ascii="宋体" w:hAnsi="宋体"/>
          <w:sz w:val="24"/>
          <w:lang w:val="en-US" w:eastAsia="zh-CN"/>
        </w:rPr>
        <w:t>7</w:t>
      </w:r>
      <w:r>
        <w:rPr>
          <w:rFonts w:hint="eastAsia" w:ascii="宋体" w:hAnsi="宋体"/>
          <w:sz w:val="24"/>
        </w:rPr>
        <w:t>.我方不存在以下情况：以联合体形式参加本项目院内采购活动。</w:t>
      </w:r>
    </w:p>
    <w:p>
      <w:pPr>
        <w:spacing w:line="276" w:lineRule="auto"/>
        <w:rPr>
          <w:rFonts w:hint="eastAsia" w:ascii="宋体" w:hAnsi="宋体"/>
          <w:sz w:val="24"/>
        </w:rPr>
      </w:pPr>
      <w:r>
        <w:rPr>
          <w:rFonts w:hint="eastAsia" w:ascii="宋体" w:hAnsi="宋体"/>
          <w:sz w:val="24"/>
          <w:lang w:val="en-US" w:eastAsia="zh-CN"/>
        </w:rPr>
        <w:t>8</w:t>
      </w:r>
      <w:r>
        <w:rPr>
          <w:rFonts w:hint="eastAsia" w:ascii="宋体" w:hAnsi="宋体"/>
          <w:sz w:val="24"/>
        </w:rPr>
        <w:t>.我方不存在转包、分包情况。</w:t>
      </w:r>
    </w:p>
    <w:p>
      <w:pPr>
        <w:spacing w:line="276" w:lineRule="auto"/>
        <w:rPr>
          <w:rFonts w:hint="eastAsia" w:ascii="宋体" w:hAnsi="宋体"/>
          <w:sz w:val="24"/>
        </w:rPr>
      </w:pPr>
      <w:r>
        <w:rPr>
          <w:rFonts w:hint="eastAsia" w:ascii="宋体" w:hAnsi="宋体"/>
          <w:sz w:val="24"/>
          <w:lang w:val="en-US" w:eastAsia="zh-CN"/>
        </w:rPr>
        <w:t>9</w:t>
      </w:r>
      <w:r>
        <w:rPr>
          <w:rFonts w:hint="eastAsia" w:ascii="宋体" w:hAnsi="宋体"/>
          <w:sz w:val="24"/>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hint="eastAsia" w:ascii="宋体" w:hAnsi="宋体"/>
          <w:sz w:val="24"/>
        </w:rPr>
      </w:pPr>
      <w:r>
        <w:rPr>
          <w:rFonts w:hint="eastAsia" w:ascii="宋体" w:hAnsi="宋体"/>
          <w:sz w:val="24"/>
          <w:lang w:val="en-US" w:eastAsia="zh-CN"/>
        </w:rPr>
        <w:t>10</w:t>
      </w:r>
      <w:r>
        <w:rPr>
          <w:rFonts w:hint="eastAsia" w:ascii="宋体" w:hAnsi="宋体"/>
          <w:sz w:val="24"/>
        </w:rPr>
        <w:t>.我方为本次磋商所提交的所有证明其合格和资格的文件是真实的和正确的，并愿为其真实性和正确性承担法律责任；</w:t>
      </w:r>
    </w:p>
    <w:p>
      <w:pPr>
        <w:spacing w:line="276" w:lineRule="auto"/>
        <w:rPr>
          <w:rFonts w:hint="eastAsia"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hint="eastAsia"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hint="eastAsia" w:ascii="宋体" w:hAnsi="宋体"/>
          <w:sz w:val="24"/>
        </w:rPr>
      </w:pPr>
      <w:r>
        <w:rPr>
          <w:rFonts w:hint="eastAsia" w:ascii="宋体" w:hAnsi="宋体"/>
          <w:sz w:val="24"/>
        </w:rPr>
        <w:t>供应商名称（盖章）：</w:t>
      </w:r>
    </w:p>
    <w:p>
      <w:pPr>
        <w:pStyle w:val="2"/>
        <w:jc w:val="left"/>
      </w:pPr>
    </w:p>
    <w:p>
      <w:pPr>
        <w:spacing w:line="360" w:lineRule="auto"/>
        <w:jc w:val="left"/>
        <w:rPr>
          <w:rFonts w:hint="eastAsia" w:ascii="宋体" w:hAnsi="宋体"/>
          <w:sz w:val="24"/>
        </w:rPr>
      </w:pPr>
      <w:r>
        <w:rPr>
          <w:rFonts w:hint="eastAsia" w:ascii="宋体" w:hAnsi="宋体"/>
          <w:sz w:val="24"/>
        </w:rPr>
        <w:t>供应商法定代表人（或法定代表人授权代表）（签字或盖章）：</w:t>
      </w:r>
    </w:p>
    <w:p>
      <w:pPr>
        <w:pStyle w:val="2"/>
        <w:jc w:val="left"/>
      </w:pPr>
    </w:p>
    <w:p>
      <w:pPr>
        <w:spacing w:line="360" w:lineRule="auto"/>
        <w:jc w:val="left"/>
        <w:rPr>
          <w:rFonts w:ascii="宋体" w:hAnsi="宋体"/>
          <w:sz w:val="24"/>
        </w:rPr>
      </w:pPr>
      <w:r>
        <w:rPr>
          <w:rFonts w:hint="eastAsia" w:ascii="宋体" w:hAnsi="宋体"/>
          <w:sz w:val="24"/>
        </w:rPr>
        <w:t>日期：　　年　  月　  日</w:t>
      </w:r>
    </w:p>
    <w:p>
      <w:pPr>
        <w:pStyle w:val="2"/>
        <w:jc w:val="left"/>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pPr>
    </w:p>
    <w:p>
      <w:pPr>
        <w:pStyle w:val="4"/>
        <w:numPr>
          <w:ilvl w:val="0"/>
          <w:numId w:val="4"/>
        </w:numPr>
        <w:jc w:val="center"/>
        <w:rPr>
          <w:rFonts w:ascii="宋体" w:hAnsi="宋体" w:eastAsia="宋体"/>
          <w:sz w:val="40"/>
        </w:rPr>
      </w:pPr>
      <w:r>
        <w:rPr>
          <w:rFonts w:hint="eastAsia" w:ascii="宋体" w:hAnsi="宋体" w:eastAsia="宋体"/>
          <w:sz w:val="40"/>
        </w:rPr>
        <w:t xml:space="preserve"> </w:t>
      </w:r>
      <w:bookmarkStart w:id="275" w:name="_Toc26773"/>
      <w:bookmarkStart w:id="276" w:name="_Toc17933"/>
      <w:r>
        <w:rPr>
          <w:rFonts w:hint="eastAsia" w:ascii="宋体" w:hAnsi="宋体" w:eastAsia="宋体"/>
          <w:sz w:val="40"/>
        </w:rPr>
        <w:t>合同模板</w:t>
      </w:r>
      <w:bookmarkEnd w:id="275"/>
      <w:bookmarkEnd w:id="276"/>
    </w:p>
    <w:p/>
    <w:p>
      <w:pPr>
        <w:pStyle w:val="2"/>
      </w:pPr>
    </w:p>
    <w:p>
      <w:pPr>
        <w:pStyle w:val="2"/>
      </w:pPr>
    </w:p>
    <w:p>
      <w:pPr>
        <w:pStyle w:val="2"/>
      </w:pPr>
    </w:p>
    <w:p>
      <w:pPr>
        <w:pStyle w:val="2"/>
      </w:pPr>
    </w:p>
    <w:p>
      <w:pPr>
        <w:pStyle w:val="2"/>
      </w:pPr>
    </w:p>
    <w:p>
      <w:pPr>
        <w:pStyle w:val="26"/>
        <w:spacing w:line="288" w:lineRule="auto"/>
        <w:rPr>
          <w:rFonts w:ascii="宋体" w:hAnsi="宋体" w:cs="宋体"/>
          <w:szCs w:val="21"/>
        </w:rPr>
      </w:pPr>
    </w:p>
    <w:p>
      <w:pPr>
        <w:rPr>
          <w:rFonts w:hAnsi="宋体" w:cs="宋体"/>
        </w:rPr>
      </w:pPr>
    </w:p>
    <w:p>
      <w:pPr>
        <w:pStyle w:val="17"/>
        <w:ind w:left="0" w:leftChars="0"/>
      </w:pPr>
    </w:p>
    <w:p>
      <w:pPr>
        <w:pStyle w:val="17"/>
        <w:ind w:left="0" w:leftChars="0"/>
      </w:pPr>
    </w:p>
    <w:p>
      <w:pPr>
        <w:pStyle w:val="17"/>
        <w:ind w:left="0" w:leftChars="0"/>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
      <w:pPr>
        <w:jc w:val="center"/>
        <w:rPr>
          <w:b/>
          <w:sz w:val="48"/>
        </w:rPr>
      </w:pPr>
    </w:p>
    <w:p>
      <w:pPr>
        <w:jc w:val="center"/>
        <w:rPr>
          <w:b/>
          <w:sz w:val="48"/>
        </w:rPr>
      </w:pPr>
    </w:p>
    <w:p>
      <w:pPr>
        <w:jc w:val="center"/>
        <w:rPr>
          <w:b/>
          <w:sz w:val="48"/>
        </w:rPr>
      </w:pPr>
    </w:p>
    <w:p>
      <w:pPr>
        <w:jc w:val="center"/>
      </w:pPr>
      <w:r>
        <w:rPr>
          <w:b/>
          <w:sz w:val="48"/>
        </w:rPr>
        <w:t>南方医科大学第五附属医院</w:t>
      </w:r>
    </w:p>
    <w:p>
      <w:pPr>
        <w:jc w:val="center"/>
        <w:rPr>
          <w:b/>
          <w:sz w:val="48"/>
        </w:rPr>
      </w:pPr>
      <w:r>
        <w:rPr>
          <w:rFonts w:hint="eastAsia"/>
          <w:b/>
          <w:sz w:val="48"/>
        </w:rPr>
        <w:t>病理项目外送检验</w:t>
      </w:r>
      <w:r>
        <w:rPr>
          <w:rFonts w:hint="eastAsia"/>
          <w:b/>
          <w:sz w:val="48"/>
          <w:lang w:eastAsia="zh-CN"/>
        </w:rPr>
        <w:t>服务</w:t>
      </w:r>
      <w:r>
        <w:rPr>
          <w:b/>
          <w:sz w:val="48"/>
        </w:rPr>
        <w:t>合同</w:t>
      </w:r>
    </w:p>
    <w:p>
      <w:pPr>
        <w:jc w:val="center"/>
      </w:pPr>
      <w:r>
        <w:rPr>
          <w:b/>
          <w:sz w:val="21"/>
        </w:rPr>
        <w:t xml:space="preserve"> </w:t>
      </w:r>
    </w:p>
    <w:p>
      <w:pPr>
        <w:jc w:val="center"/>
      </w:pPr>
      <w:r>
        <w:rPr>
          <w:sz w:val="21"/>
        </w:rPr>
        <w:t xml:space="preserve"> </w:t>
      </w:r>
    </w:p>
    <w:p>
      <w:pPr>
        <w:jc w:val="center"/>
      </w:pPr>
      <w:r>
        <w:rPr>
          <w:sz w:val="21"/>
        </w:rPr>
        <w:t xml:space="preserve"> </w:t>
      </w:r>
    </w:p>
    <w:p>
      <w:pPr>
        <w:jc w:val="center"/>
      </w:pPr>
      <w:r>
        <w:rPr>
          <w:sz w:val="21"/>
        </w:rPr>
        <w:t xml:space="preserve"> </w:t>
      </w:r>
    </w:p>
    <w:p>
      <w:pPr>
        <w:ind w:firstLine="419"/>
        <w:jc w:val="both"/>
        <w:rPr>
          <w:b/>
          <w:sz w:val="30"/>
        </w:rPr>
      </w:pPr>
    </w:p>
    <w:p>
      <w:pPr>
        <w:ind w:firstLine="419"/>
        <w:jc w:val="both"/>
        <w:rPr>
          <w:b/>
          <w:sz w:val="30"/>
        </w:rPr>
      </w:pPr>
    </w:p>
    <w:p>
      <w:pPr>
        <w:ind w:firstLine="419"/>
        <w:jc w:val="both"/>
        <w:rPr>
          <w:b/>
          <w:sz w:val="30"/>
        </w:rPr>
      </w:pPr>
    </w:p>
    <w:p>
      <w:pPr>
        <w:ind w:firstLine="419"/>
        <w:jc w:val="both"/>
        <w:rPr>
          <w:b/>
          <w:sz w:val="30"/>
        </w:rPr>
      </w:pPr>
    </w:p>
    <w:p>
      <w:pPr>
        <w:ind w:firstLine="419"/>
        <w:jc w:val="both"/>
        <w:rPr>
          <w:b/>
          <w:sz w:val="30"/>
        </w:rPr>
      </w:pPr>
    </w:p>
    <w:p>
      <w:pPr>
        <w:ind w:firstLine="602" w:firstLineChars="200"/>
        <w:jc w:val="both"/>
        <w:rPr>
          <w:b/>
          <w:sz w:val="30"/>
        </w:rPr>
      </w:pPr>
    </w:p>
    <w:p>
      <w:pPr>
        <w:ind w:firstLine="602" w:firstLineChars="200"/>
        <w:jc w:val="both"/>
        <w:rPr>
          <w:sz w:val="21"/>
        </w:rPr>
      </w:pPr>
      <w:r>
        <w:rPr>
          <w:b/>
          <w:sz w:val="30"/>
        </w:rPr>
        <w:t>合同编号：</w:t>
      </w:r>
      <w:r>
        <w:rPr>
          <w:sz w:val="21"/>
        </w:rPr>
        <w:t xml:space="preserve"> </w:t>
      </w:r>
    </w:p>
    <w:p>
      <w:pPr>
        <w:ind w:firstLine="602" w:firstLineChars="200"/>
        <w:jc w:val="both"/>
        <w:rPr>
          <w:b/>
          <w:sz w:val="30"/>
        </w:rPr>
      </w:pPr>
      <w:r>
        <w:rPr>
          <w:b/>
          <w:sz w:val="30"/>
        </w:rPr>
        <w:t>甲方：</w:t>
      </w:r>
    </w:p>
    <w:p>
      <w:pPr>
        <w:ind w:firstLine="602" w:firstLineChars="200"/>
        <w:jc w:val="both"/>
        <w:rPr>
          <w:sz w:val="21"/>
        </w:rPr>
      </w:pPr>
      <w:r>
        <w:rPr>
          <w:b/>
          <w:sz w:val="30"/>
        </w:rPr>
        <w:t>乙方：</w:t>
      </w:r>
      <w:r>
        <w:rPr>
          <w:sz w:val="21"/>
        </w:rPr>
        <w:t xml:space="preserve"> </w:t>
      </w:r>
    </w:p>
    <w:p>
      <w:pPr>
        <w:ind w:firstLine="602" w:firstLineChars="200"/>
        <w:jc w:val="both"/>
      </w:pPr>
      <w:r>
        <w:rPr>
          <w:b/>
          <w:sz w:val="30"/>
        </w:rPr>
        <w:t>签署地点：</w:t>
      </w:r>
    </w:p>
    <w:p/>
    <w:p>
      <w:pPr>
        <w:jc w:val="both"/>
        <w:rPr>
          <w:b/>
          <w:sz w:val="24"/>
        </w:rPr>
      </w:pPr>
    </w:p>
    <w:p>
      <w:pPr>
        <w:jc w:val="both"/>
        <w:rPr>
          <w:b/>
          <w:sz w:val="24"/>
        </w:rPr>
      </w:pPr>
    </w:p>
    <w:p>
      <w:pPr>
        <w:jc w:val="both"/>
        <w:rPr>
          <w:b/>
          <w:sz w:val="24"/>
        </w:rPr>
      </w:pPr>
    </w:p>
    <w:p>
      <w:pPr>
        <w:jc w:val="both"/>
        <w:rPr>
          <w:b/>
          <w:sz w:val="24"/>
        </w:rPr>
      </w:pPr>
    </w:p>
    <w:p>
      <w:pPr>
        <w:spacing w:line="360" w:lineRule="auto"/>
        <w:jc w:val="both"/>
        <w:rPr>
          <w:b/>
          <w:sz w:val="24"/>
        </w:rPr>
      </w:pPr>
    </w:p>
    <w:p>
      <w:pPr>
        <w:spacing w:line="360" w:lineRule="auto"/>
        <w:jc w:val="both"/>
      </w:pPr>
      <w:r>
        <w:rPr>
          <w:b/>
          <w:sz w:val="24"/>
        </w:rPr>
        <w:t>甲方：</w:t>
      </w:r>
      <w:r>
        <w:rPr>
          <w:sz w:val="21"/>
        </w:rPr>
        <w:t xml:space="preserve">             </w:t>
      </w:r>
    </w:p>
    <w:p>
      <w:pPr>
        <w:spacing w:line="360" w:lineRule="auto"/>
        <w:jc w:val="both"/>
      </w:pPr>
      <w:r>
        <w:rPr>
          <w:sz w:val="24"/>
        </w:rPr>
        <w:t>甲方合同编号：</w:t>
      </w:r>
    </w:p>
    <w:p>
      <w:pPr>
        <w:spacing w:line="360" w:lineRule="auto"/>
        <w:jc w:val="both"/>
      </w:pPr>
      <w:r>
        <w:rPr>
          <w:sz w:val="24"/>
        </w:rPr>
        <w:t>联系人：</w:t>
      </w:r>
    </w:p>
    <w:p>
      <w:pPr>
        <w:spacing w:line="360" w:lineRule="auto"/>
        <w:jc w:val="both"/>
      </w:pPr>
      <w:r>
        <w:rPr>
          <w:sz w:val="24"/>
        </w:rPr>
        <w:t xml:space="preserve">电话：            </w:t>
      </w:r>
    </w:p>
    <w:p>
      <w:pPr>
        <w:spacing w:line="360" w:lineRule="auto"/>
        <w:jc w:val="both"/>
      </w:pPr>
      <w:r>
        <w:rPr>
          <w:sz w:val="24"/>
        </w:rPr>
        <w:t>地址：</w:t>
      </w:r>
    </w:p>
    <w:p>
      <w:pPr>
        <w:spacing w:line="360" w:lineRule="auto"/>
        <w:jc w:val="both"/>
      </w:pPr>
      <w:r>
        <w:rPr>
          <w:sz w:val="24"/>
        </w:rPr>
        <w:t xml:space="preserve">开户行：        </w:t>
      </w:r>
    </w:p>
    <w:p>
      <w:pPr>
        <w:spacing w:line="360" w:lineRule="auto"/>
        <w:jc w:val="both"/>
      </w:pPr>
      <w:r>
        <w:rPr>
          <w:sz w:val="24"/>
        </w:rPr>
        <w:t>账号：</w:t>
      </w:r>
    </w:p>
    <w:p>
      <w:pPr>
        <w:spacing w:line="360" w:lineRule="auto"/>
        <w:jc w:val="both"/>
      </w:pPr>
      <w:r>
        <w:rPr>
          <w:sz w:val="24"/>
        </w:rPr>
        <w:t>纳税识别号：</w:t>
      </w:r>
    </w:p>
    <w:p>
      <w:pPr>
        <w:spacing w:line="360" w:lineRule="auto"/>
        <w:jc w:val="both"/>
      </w:pPr>
      <w:r>
        <w:rPr>
          <w:sz w:val="21"/>
        </w:rPr>
        <w:t xml:space="preserve"> </w:t>
      </w:r>
    </w:p>
    <w:p>
      <w:pPr>
        <w:spacing w:line="360" w:lineRule="auto"/>
        <w:jc w:val="left"/>
      </w:pPr>
      <w:r>
        <w:rPr>
          <w:sz w:val="21"/>
        </w:rPr>
        <w:t xml:space="preserve"> </w:t>
      </w:r>
    </w:p>
    <w:p>
      <w:pPr>
        <w:spacing w:line="360" w:lineRule="auto"/>
        <w:jc w:val="both"/>
      </w:pPr>
      <w:r>
        <w:rPr>
          <w:b/>
          <w:sz w:val="24"/>
        </w:rPr>
        <w:t>乙方：</w:t>
      </w:r>
    </w:p>
    <w:p>
      <w:pPr>
        <w:spacing w:line="360" w:lineRule="auto"/>
        <w:jc w:val="both"/>
      </w:pPr>
      <w:r>
        <w:rPr>
          <w:sz w:val="24"/>
        </w:rPr>
        <w:t>乙方合同编号：</w:t>
      </w:r>
    </w:p>
    <w:p>
      <w:pPr>
        <w:spacing w:line="360" w:lineRule="auto"/>
        <w:jc w:val="both"/>
      </w:pPr>
      <w:r>
        <w:rPr>
          <w:sz w:val="24"/>
        </w:rPr>
        <w:t>联系人：</w:t>
      </w:r>
    </w:p>
    <w:p>
      <w:pPr>
        <w:spacing w:line="360" w:lineRule="auto"/>
        <w:jc w:val="both"/>
      </w:pPr>
      <w:r>
        <w:rPr>
          <w:sz w:val="24"/>
        </w:rPr>
        <w:t>电话：</w:t>
      </w:r>
    </w:p>
    <w:p>
      <w:pPr>
        <w:spacing w:line="360" w:lineRule="auto"/>
        <w:jc w:val="both"/>
      </w:pPr>
      <w:r>
        <w:rPr>
          <w:sz w:val="24"/>
        </w:rPr>
        <w:t>地址：</w:t>
      </w:r>
    </w:p>
    <w:p>
      <w:pPr>
        <w:spacing w:line="360" w:lineRule="auto"/>
        <w:jc w:val="both"/>
      </w:pPr>
      <w:r>
        <w:rPr>
          <w:sz w:val="24"/>
        </w:rPr>
        <w:t>开户行：</w:t>
      </w:r>
    </w:p>
    <w:p>
      <w:pPr>
        <w:spacing w:line="360" w:lineRule="auto"/>
        <w:jc w:val="both"/>
      </w:pPr>
      <w:r>
        <w:rPr>
          <w:sz w:val="24"/>
        </w:rPr>
        <w:t>账号：</w:t>
      </w:r>
    </w:p>
    <w:p>
      <w:pPr>
        <w:spacing w:line="360" w:lineRule="auto"/>
        <w:jc w:val="both"/>
      </w:pPr>
      <w:r>
        <w:rPr>
          <w:sz w:val="24"/>
        </w:rPr>
        <w:t>纳税识别号：</w:t>
      </w:r>
    </w:p>
    <w:p>
      <w:pPr>
        <w:jc w:val="both"/>
      </w:pPr>
      <w:r>
        <w:rPr>
          <w:sz w:val="21"/>
        </w:rPr>
        <w:t xml:space="preserve"> </w:t>
      </w:r>
    </w:p>
    <w:p>
      <w:pPr>
        <w:jc w:val="both"/>
      </w:pPr>
      <w:r>
        <w:rPr>
          <w:sz w:val="21"/>
        </w:rPr>
        <w:t xml:space="preserve"> </w:t>
      </w:r>
    </w:p>
    <w:p>
      <w:pPr>
        <w:jc w:val="both"/>
      </w:pPr>
      <w:r>
        <w:rPr>
          <w:sz w:val="21"/>
        </w:rPr>
        <w:t xml:space="preserve"> </w:t>
      </w:r>
    </w:p>
    <w:p>
      <w:pPr>
        <w:jc w:val="both"/>
      </w:pPr>
      <w:r>
        <w:rPr>
          <w:b/>
          <w:sz w:val="21"/>
        </w:rPr>
        <w:t xml:space="preserve"> </w:t>
      </w:r>
    </w:p>
    <w:p>
      <w:pPr>
        <w:jc w:val="both"/>
      </w:pPr>
      <w:r>
        <w:rPr>
          <w:b/>
          <w:sz w:val="21"/>
        </w:rPr>
        <w:t xml:space="preserve"> </w:t>
      </w:r>
    </w:p>
    <w:p>
      <w:pPr>
        <w:jc w:val="left"/>
      </w:pPr>
      <w:r>
        <w:rPr>
          <w:sz w:val="21"/>
        </w:rPr>
        <w:t xml:space="preserve"> </w:t>
      </w:r>
    </w:p>
    <w:p>
      <w:pPr>
        <w:jc w:val="left"/>
      </w:pPr>
      <w:r>
        <w:rPr>
          <w:sz w:val="21"/>
        </w:rPr>
        <w:t xml:space="preserve"> </w:t>
      </w:r>
    </w:p>
    <w:p>
      <w:pPr>
        <w:jc w:val="center"/>
      </w:pPr>
    </w:p>
    <w:p>
      <w:pPr>
        <w:rPr>
          <w:b/>
          <w:sz w:val="28"/>
        </w:rPr>
      </w:pPr>
    </w:p>
    <w:p>
      <w:pPr>
        <w:rPr>
          <w:b/>
          <w:sz w:val="28"/>
        </w:rPr>
      </w:pPr>
    </w:p>
    <w:p>
      <w:pPr>
        <w:jc w:val="center"/>
        <w:rPr>
          <w:b/>
          <w:sz w:val="28"/>
        </w:rPr>
      </w:pPr>
    </w:p>
    <w:p>
      <w:pPr>
        <w:jc w:val="center"/>
        <w:rPr>
          <w:b/>
          <w:sz w:val="28"/>
        </w:rPr>
      </w:pPr>
    </w:p>
    <w:p>
      <w:pPr>
        <w:jc w:val="center"/>
        <w:rPr>
          <w:b/>
          <w:sz w:val="28"/>
        </w:rPr>
        <w:sectPr>
          <w:headerReference r:id="rId11" w:type="default"/>
          <w:footerReference r:id="rId12" w:type="default"/>
          <w:pgSz w:w="11906" w:h="16838"/>
          <w:pgMar w:top="1134" w:right="850" w:bottom="1134" w:left="850" w:header="851" w:footer="992" w:gutter="0"/>
          <w:pgNumType w:fmt="decimal"/>
          <w:cols w:space="425" w:num="1"/>
          <w:docGrid w:type="lines" w:linePitch="312" w:charSpace="0"/>
        </w:sectPr>
      </w:pPr>
    </w:p>
    <w:p>
      <w:pPr>
        <w:jc w:val="center"/>
        <w:rPr>
          <w:rFonts w:hint="eastAsia"/>
          <w:b/>
          <w:sz w:val="28"/>
        </w:rPr>
      </w:pPr>
      <w:r>
        <w:rPr>
          <w:b/>
          <w:sz w:val="28"/>
        </w:rPr>
        <w:t>南方医科大学第五附属医院</w:t>
      </w:r>
      <w:r>
        <w:rPr>
          <w:rFonts w:hint="eastAsia"/>
          <w:b/>
          <w:sz w:val="28"/>
        </w:rPr>
        <w:t>病理项目外送检验服务合同</w:t>
      </w:r>
    </w:p>
    <w:p>
      <w:r>
        <w:t xml:space="preserve"> </w:t>
      </w:r>
    </w:p>
    <w:p>
      <w:pPr>
        <w:pageBreakBefore w:val="0"/>
        <w:kinsoku/>
        <w:wordWrap/>
        <w:overflowPunct/>
        <w:topLinePunct w:val="0"/>
        <w:bidi w:val="0"/>
        <w:snapToGrid/>
        <w:spacing w:line="360" w:lineRule="exact"/>
        <w:jc w:val="both"/>
        <w:textAlignment w:val="auto"/>
        <w:rPr>
          <w:sz w:val="21"/>
          <w:szCs w:val="21"/>
        </w:rPr>
      </w:pPr>
      <w:r>
        <w:rPr>
          <w:b/>
          <w:sz w:val="21"/>
          <w:szCs w:val="21"/>
        </w:rPr>
        <w:t>甲方：</w:t>
      </w:r>
    </w:p>
    <w:p>
      <w:pPr>
        <w:pageBreakBefore w:val="0"/>
        <w:kinsoku/>
        <w:wordWrap/>
        <w:overflowPunct/>
        <w:topLinePunct w:val="0"/>
        <w:bidi w:val="0"/>
        <w:snapToGrid/>
        <w:spacing w:line="360" w:lineRule="exact"/>
        <w:jc w:val="left"/>
        <w:textAlignment w:val="auto"/>
        <w:rPr>
          <w:b/>
          <w:sz w:val="21"/>
          <w:szCs w:val="21"/>
        </w:rPr>
      </w:pPr>
      <w:r>
        <w:rPr>
          <w:b/>
          <w:sz w:val="21"/>
          <w:szCs w:val="21"/>
        </w:rPr>
        <w:t>乙方：</w:t>
      </w:r>
    </w:p>
    <w:p>
      <w:pPr>
        <w:pStyle w:val="2"/>
        <w:pageBreakBefore w:val="0"/>
        <w:kinsoku/>
        <w:wordWrap/>
        <w:overflowPunct/>
        <w:topLinePunct w:val="0"/>
        <w:bidi w:val="0"/>
        <w:snapToGrid/>
        <w:spacing w:line="360" w:lineRule="exact"/>
        <w:ind w:firstLine="420" w:firstLineChars="200"/>
        <w:textAlignment w:val="auto"/>
        <w:rPr>
          <w:b/>
          <w:sz w:val="21"/>
          <w:szCs w:val="21"/>
        </w:rPr>
      </w:pPr>
      <w:r>
        <w:rPr>
          <w:rFonts w:hint="eastAsia" w:ascii="宋体" w:hAnsi="宋体" w:cs="宋体"/>
          <w:sz w:val="21"/>
          <w:szCs w:val="21"/>
        </w:rPr>
        <w:t>依照《中华人民共和国民法典》中关于“合同”部分的规定及“南方医科大学第五附属医院病理项目外送检验项目”（项目编号：NYWYF20220012）的采购结果和乙方《</w:t>
      </w:r>
      <w:r>
        <w:rPr>
          <w:rFonts w:hint="eastAsia" w:ascii="宋体" w:hAnsi="宋体" w:cs="宋体"/>
          <w:sz w:val="21"/>
          <w:szCs w:val="21"/>
          <w:lang w:eastAsia="zh-CN"/>
        </w:rPr>
        <w:t>响应</w:t>
      </w:r>
      <w:r>
        <w:rPr>
          <w:rFonts w:hint="eastAsia" w:ascii="宋体" w:hAnsi="宋体" w:cs="宋体"/>
          <w:sz w:val="21"/>
          <w:szCs w:val="21"/>
        </w:rPr>
        <w:t>文件》内容，为明确双方权利和义务，保障双方权益，甲、乙双方在自愿、平等、协商、互利的基础上，订立本合同，合同签订后，需共同遵守。具体条款如下：</w:t>
      </w:r>
    </w:p>
    <w:p>
      <w:pPr>
        <w:pageBreakBefore w:val="0"/>
        <w:kinsoku/>
        <w:wordWrap/>
        <w:overflowPunct/>
        <w:topLinePunct w:val="0"/>
        <w:bidi w:val="0"/>
        <w:snapToGrid/>
        <w:spacing w:line="360" w:lineRule="exact"/>
        <w:ind w:firstLine="482"/>
        <w:jc w:val="both"/>
        <w:textAlignment w:val="auto"/>
        <w:rPr>
          <w:sz w:val="21"/>
          <w:szCs w:val="21"/>
        </w:rPr>
      </w:pPr>
      <w:r>
        <w:rPr>
          <w:rFonts w:hint="eastAsia"/>
          <w:b/>
          <w:sz w:val="21"/>
          <w:szCs w:val="21"/>
          <w:lang w:eastAsia="zh-CN"/>
        </w:rPr>
        <w:t>第一条</w:t>
      </w:r>
      <w:r>
        <w:rPr>
          <w:rFonts w:hint="eastAsia"/>
          <w:b/>
          <w:sz w:val="21"/>
          <w:szCs w:val="21"/>
          <w:lang w:val="en-US" w:eastAsia="zh-CN"/>
        </w:rPr>
        <w:t xml:space="preserve"> </w:t>
      </w:r>
      <w:r>
        <w:rPr>
          <w:b/>
          <w:sz w:val="21"/>
          <w:szCs w:val="21"/>
        </w:rPr>
        <w:t>项目内容</w:t>
      </w:r>
    </w:p>
    <w:p>
      <w:pPr>
        <w:pageBreakBefore w:val="0"/>
        <w:kinsoku/>
        <w:wordWrap/>
        <w:overflowPunct/>
        <w:topLinePunct w:val="0"/>
        <w:bidi w:val="0"/>
        <w:snapToGrid/>
        <w:spacing w:line="360" w:lineRule="exact"/>
        <w:ind w:firstLine="480"/>
        <w:jc w:val="both"/>
        <w:textAlignment w:val="auto"/>
        <w:rPr>
          <w:sz w:val="21"/>
          <w:szCs w:val="21"/>
        </w:rPr>
      </w:pPr>
      <w:r>
        <w:rPr>
          <w:rFonts w:hint="eastAsia"/>
          <w:sz w:val="21"/>
          <w:szCs w:val="21"/>
          <w:lang w:val="en-US" w:eastAsia="zh-CN"/>
        </w:rPr>
        <w:t>1.</w:t>
      </w:r>
      <w:r>
        <w:rPr>
          <w:sz w:val="21"/>
          <w:szCs w:val="21"/>
        </w:rPr>
        <w:t>乙方接受甲方的委托，作为</w:t>
      </w:r>
      <w:r>
        <w:rPr>
          <w:rFonts w:hint="eastAsia"/>
          <w:sz w:val="21"/>
          <w:szCs w:val="21"/>
        </w:rPr>
        <w:t>南方医科大学第五附属医院病理项目外送检验</w:t>
      </w:r>
      <w:r>
        <w:rPr>
          <w:sz w:val="21"/>
          <w:szCs w:val="21"/>
        </w:rPr>
        <w:t>服务单位，在合同期内向甲方提供外送检验服务。</w:t>
      </w:r>
    </w:p>
    <w:p>
      <w:pPr>
        <w:pageBreakBefore w:val="0"/>
        <w:kinsoku/>
        <w:wordWrap/>
        <w:overflowPunct/>
        <w:topLinePunct w:val="0"/>
        <w:bidi w:val="0"/>
        <w:snapToGrid/>
        <w:spacing w:line="360" w:lineRule="exact"/>
        <w:ind w:firstLine="420" w:firstLineChars="200"/>
        <w:textAlignment w:val="auto"/>
        <w:rPr>
          <w:rFonts w:hint="eastAsia"/>
          <w:sz w:val="21"/>
          <w:szCs w:val="21"/>
          <w:lang w:val="en-US" w:eastAsia="zh-CN"/>
        </w:rPr>
      </w:pPr>
      <w:r>
        <w:rPr>
          <w:rFonts w:hint="eastAsia"/>
          <w:sz w:val="21"/>
          <w:szCs w:val="21"/>
          <w:lang w:val="en-US" w:eastAsia="zh-CN"/>
        </w:rPr>
        <w:t>2.具体内容：</w:t>
      </w:r>
      <w:r>
        <w:rPr>
          <w:rFonts w:hint="eastAsia"/>
          <w:sz w:val="21"/>
          <w:szCs w:val="21"/>
        </w:rPr>
        <w:t>疑难病理、肾脏病理、分子病理、远程病理会诊等</w:t>
      </w:r>
      <w:r>
        <w:rPr>
          <w:rFonts w:hint="eastAsia"/>
          <w:sz w:val="21"/>
          <w:szCs w:val="21"/>
          <w:lang w:eastAsia="zh-CN"/>
        </w:rPr>
        <w:t>。（</w:t>
      </w:r>
      <w:r>
        <w:rPr>
          <w:rFonts w:hint="eastAsia"/>
          <w:sz w:val="21"/>
          <w:szCs w:val="21"/>
        </w:rPr>
        <w:t>如项目</w:t>
      </w:r>
      <w:r>
        <w:rPr>
          <w:rFonts w:hint="eastAsia"/>
          <w:sz w:val="21"/>
          <w:szCs w:val="21"/>
          <w:lang w:eastAsia="zh-CN"/>
        </w:rPr>
        <w:t>甲方</w:t>
      </w:r>
      <w:r>
        <w:rPr>
          <w:rFonts w:hint="eastAsia"/>
          <w:sz w:val="21"/>
          <w:szCs w:val="21"/>
        </w:rPr>
        <w:t>科室能够开展，将逐步减少或停止外送。</w:t>
      </w:r>
      <w:r>
        <w:rPr>
          <w:rFonts w:hint="eastAsia"/>
          <w:sz w:val="21"/>
          <w:szCs w:val="21"/>
          <w:lang w:eastAsia="zh-CN"/>
        </w:rPr>
        <w:t>）</w:t>
      </w:r>
    </w:p>
    <w:p>
      <w:pPr>
        <w:pageBreakBefore w:val="0"/>
        <w:kinsoku/>
        <w:wordWrap/>
        <w:overflowPunct/>
        <w:topLinePunct w:val="0"/>
        <w:bidi w:val="0"/>
        <w:snapToGrid/>
        <w:spacing w:line="360" w:lineRule="exact"/>
        <w:ind w:firstLine="482"/>
        <w:jc w:val="both"/>
        <w:textAlignment w:val="auto"/>
        <w:rPr>
          <w:sz w:val="21"/>
          <w:szCs w:val="21"/>
        </w:rPr>
      </w:pPr>
      <w:r>
        <w:rPr>
          <w:rFonts w:hint="eastAsia"/>
          <w:b/>
          <w:sz w:val="21"/>
          <w:szCs w:val="21"/>
          <w:lang w:eastAsia="zh-CN"/>
        </w:rPr>
        <w:t>第二条</w:t>
      </w:r>
      <w:r>
        <w:rPr>
          <w:rFonts w:hint="eastAsia"/>
          <w:b/>
          <w:sz w:val="21"/>
          <w:szCs w:val="21"/>
          <w:lang w:val="en-US" w:eastAsia="zh-CN"/>
        </w:rPr>
        <w:t xml:space="preserve"> </w:t>
      </w:r>
      <w:r>
        <w:rPr>
          <w:b/>
          <w:sz w:val="21"/>
          <w:szCs w:val="21"/>
        </w:rPr>
        <w:t>服务价格</w:t>
      </w:r>
    </w:p>
    <w:p>
      <w:pPr>
        <w:pageBreakBefore w:val="0"/>
        <w:kinsoku/>
        <w:wordWrap/>
        <w:overflowPunct/>
        <w:topLinePunct w:val="0"/>
        <w:bidi w:val="0"/>
        <w:snapToGrid/>
        <w:spacing w:line="360" w:lineRule="exact"/>
        <w:ind w:firstLine="480"/>
        <w:jc w:val="left"/>
        <w:textAlignment w:val="auto"/>
        <w:rPr>
          <w:sz w:val="21"/>
          <w:szCs w:val="21"/>
        </w:rPr>
      </w:pPr>
      <w:r>
        <w:rPr>
          <w:sz w:val="21"/>
          <w:szCs w:val="21"/>
        </w:rPr>
        <w:t>甲方委托乙方</w:t>
      </w:r>
      <w:r>
        <w:rPr>
          <w:rFonts w:hint="eastAsia"/>
          <w:sz w:val="21"/>
          <w:szCs w:val="21"/>
        </w:rPr>
        <w:t>病理项目</w:t>
      </w:r>
      <w:r>
        <w:rPr>
          <w:sz w:val="21"/>
          <w:szCs w:val="21"/>
        </w:rPr>
        <w:t>外送检验的每个项目根据</w:t>
      </w:r>
      <w:r>
        <w:rPr>
          <w:rFonts w:hint="eastAsia"/>
          <w:sz w:val="21"/>
          <w:szCs w:val="21"/>
        </w:rPr>
        <w:t>按照《广州市公立医疗机构基本医疗服务价格》</w:t>
      </w:r>
      <w:r>
        <w:rPr>
          <w:sz w:val="21"/>
          <w:szCs w:val="21"/>
          <w:highlight w:val="none"/>
        </w:rPr>
        <w:t>（</w:t>
      </w:r>
      <w:r>
        <w:rPr>
          <w:rFonts w:hint="eastAsia" w:ascii="宋体" w:hAnsi="宋体" w:cs="宋体"/>
          <w:bCs/>
          <w:snapToGrid w:val="0"/>
          <w:color w:val="0D0D0D" w:themeColor="text1" w:themeTint="F2"/>
          <w:sz w:val="21"/>
          <w:szCs w:val="21"/>
          <w:highlight w:val="none"/>
          <w14:textFill>
            <w14:solidFill>
              <w14:schemeClr w14:val="tx1">
                <w14:lumMod w14:val="95000"/>
                <w14:lumOff w14:val="5000"/>
              </w14:schemeClr>
            </w14:solidFill>
          </w14:textFill>
        </w:rPr>
        <w:t>以最新版本为准</w:t>
      </w:r>
      <w:r>
        <w:rPr>
          <w:rFonts w:hint="eastAsia" w:ascii="宋体" w:hAnsi="宋体" w:cs="宋体"/>
          <w:bCs/>
          <w:snapToGrid w:val="0"/>
          <w:color w:val="0D0D0D" w:themeColor="text1" w:themeTint="F2"/>
          <w:sz w:val="21"/>
          <w:szCs w:val="21"/>
          <w:highlight w:val="none"/>
          <w:lang w:val="en-US" w:eastAsia="zh-CN"/>
          <w14:textFill>
            <w14:solidFill>
              <w14:schemeClr w14:val="tx1">
                <w14:lumMod w14:val="95000"/>
                <w14:lumOff w14:val="5000"/>
              </w14:schemeClr>
            </w14:solidFill>
          </w14:textFill>
        </w:rPr>
        <w:t>,</w:t>
      </w:r>
      <w:r>
        <w:rPr>
          <w:sz w:val="21"/>
          <w:szCs w:val="21"/>
          <w:highlight w:val="none"/>
        </w:rPr>
        <w:t>如遇国家调整，则以调整后价格为准）规定的价格</w:t>
      </w:r>
      <w:r>
        <w:rPr>
          <w:sz w:val="21"/>
          <w:szCs w:val="21"/>
        </w:rPr>
        <w:t>为基准，折扣*****%为结算单价,结算单价包含</w:t>
      </w:r>
      <w:r>
        <w:rPr>
          <w:rFonts w:hint="eastAsia"/>
          <w:sz w:val="21"/>
          <w:szCs w:val="21"/>
          <w:lang w:eastAsia="zh-CN"/>
        </w:rPr>
        <w:t>但不限于</w:t>
      </w:r>
      <w:r>
        <w:rPr>
          <w:rFonts w:hint="eastAsia"/>
          <w:sz w:val="21"/>
          <w:szCs w:val="21"/>
        </w:rPr>
        <w:t>各种人力成本、货物成本、资料费、服务费、税费、物流服务、标本采集试管、保存装置及合同实施过程中的所有费用</w:t>
      </w:r>
      <w:r>
        <w:rPr>
          <w:sz w:val="21"/>
          <w:szCs w:val="21"/>
        </w:rPr>
        <w:t>（以人民币为结算单位）</w:t>
      </w:r>
      <w:r>
        <w:rPr>
          <w:rFonts w:hint="eastAsia"/>
          <w:sz w:val="21"/>
          <w:szCs w:val="21"/>
          <w:lang w:eastAsia="zh-CN"/>
        </w:rPr>
        <w:t>，</w:t>
      </w:r>
      <w:r>
        <w:rPr>
          <w:sz w:val="21"/>
          <w:szCs w:val="21"/>
        </w:rPr>
        <w:t>合同期内结算总价不得超过*****万元。</w:t>
      </w:r>
    </w:p>
    <w:p>
      <w:pPr>
        <w:pageBreakBefore w:val="0"/>
        <w:numPr>
          <w:ilvl w:val="0"/>
          <w:numId w:val="5"/>
        </w:numPr>
        <w:kinsoku/>
        <w:wordWrap/>
        <w:overflowPunct/>
        <w:topLinePunct w:val="0"/>
        <w:bidi w:val="0"/>
        <w:snapToGrid/>
        <w:spacing w:line="360" w:lineRule="exact"/>
        <w:ind w:firstLine="482"/>
        <w:jc w:val="both"/>
        <w:textAlignment w:val="auto"/>
        <w:rPr>
          <w:b/>
          <w:sz w:val="21"/>
          <w:szCs w:val="21"/>
        </w:rPr>
      </w:pPr>
      <w:r>
        <w:rPr>
          <w:b/>
          <w:sz w:val="21"/>
          <w:szCs w:val="21"/>
        </w:rPr>
        <w:t>付款</w:t>
      </w:r>
      <w:r>
        <w:rPr>
          <w:rFonts w:hint="eastAsia"/>
          <w:b/>
          <w:sz w:val="21"/>
          <w:szCs w:val="21"/>
          <w:lang w:eastAsia="zh-CN"/>
        </w:rPr>
        <w:t>和结算</w:t>
      </w:r>
      <w:r>
        <w:rPr>
          <w:b/>
          <w:sz w:val="21"/>
          <w:szCs w:val="21"/>
        </w:rPr>
        <w:t>方式</w:t>
      </w:r>
    </w:p>
    <w:p>
      <w:pPr>
        <w:spacing w:line="400" w:lineRule="exact"/>
        <w:ind w:firstLine="420" w:firstLineChars="200"/>
        <w:rPr>
          <w:rFonts w:ascii="宋体" w:hAnsi="宋体" w:cs="宋体"/>
          <w:snapToGrid w:val="0"/>
          <w:color w:val="0D0D0D" w:themeColor="text1" w:themeTint="F2"/>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 w:val="21"/>
          <w:szCs w:val="21"/>
          <w:lang w:val="en-US" w:eastAsia="zh-CN"/>
          <w14:textFill>
            <w14:solidFill>
              <w14:schemeClr w14:val="tx1">
                <w14:lumMod w14:val="95000"/>
                <w14:lumOff w14:val="5000"/>
              </w14:schemeClr>
            </w14:solidFill>
          </w14:textFill>
        </w:rPr>
        <w:t>1.</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按季度结算，本季度结算上季度服务金额。</w:t>
      </w:r>
    </w:p>
    <w:p>
      <w:pPr>
        <w:spacing w:line="400" w:lineRule="exact"/>
        <w:ind w:firstLine="420" w:firstLineChars="200"/>
        <w:rPr>
          <w:rFonts w:hint="eastAsia"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lang w:val="en-US" w:eastAsia="zh-CN"/>
          <w14:textFill>
            <w14:solidFill>
              <w14:schemeClr w14:val="tx1">
                <w14:lumMod w14:val="95000"/>
                <w14:lumOff w14:val="5000"/>
              </w14:schemeClr>
            </w14:solidFill>
          </w14:textFill>
        </w:rPr>
        <w:t>2.</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实际检测项目结算单价=实际检测项目收费标准×报价折扣率。</w:t>
      </w:r>
    </w:p>
    <w:p>
      <w:pPr>
        <w:pStyle w:val="28"/>
        <w:spacing w:line="400" w:lineRule="exact"/>
        <w:rPr>
          <w:rFonts w:hint="eastAsia"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lang w:val="en-US" w:eastAsia="zh-CN"/>
          <w14:textFill>
            <w14:solidFill>
              <w14:schemeClr w14:val="tx1">
                <w14:lumMod w14:val="95000"/>
                <w14:lumOff w14:val="5000"/>
              </w14:schemeClr>
            </w14:solidFill>
          </w14:textFill>
        </w:rPr>
        <w:t>3.</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每季度结算金额=实际检测项目收费标准×报价折扣率×上季度实际检测数量。</w:t>
      </w:r>
      <w:r>
        <w:rPr>
          <w:rFonts w:hint="eastAsia" w:ascii="宋体" w:hAnsi="宋体" w:cs="宋体"/>
          <w:snapToGrid w:val="0"/>
          <w:color w:val="0D0D0D" w:themeColor="text1" w:themeTint="F2"/>
          <w:szCs w:val="21"/>
          <w:lang w:eastAsia="zh-CN"/>
          <w14:textFill>
            <w14:solidFill>
              <w14:schemeClr w14:val="tx1">
                <w14:lumMod w14:val="95000"/>
                <w14:lumOff w14:val="5000"/>
              </w14:schemeClr>
            </w14:solidFill>
          </w14:textFill>
        </w:rPr>
        <w:t>乙方</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于每季度首月5日前提供上一季度送检数量结算明细清单交到给</w:t>
      </w:r>
      <w:r>
        <w:rPr>
          <w:rFonts w:hint="eastAsia" w:ascii="宋体" w:hAnsi="宋体" w:cs="宋体"/>
          <w:snapToGrid w:val="0"/>
          <w:color w:val="0D0D0D" w:themeColor="text1" w:themeTint="F2"/>
          <w:szCs w:val="21"/>
          <w:lang w:eastAsia="zh-CN"/>
          <w14:textFill>
            <w14:solidFill>
              <w14:schemeClr w14:val="tx1">
                <w14:lumMod w14:val="95000"/>
                <w14:lumOff w14:val="5000"/>
              </w14:schemeClr>
            </w14:solidFill>
          </w14:textFill>
        </w:rPr>
        <w:t>甲方</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 xml:space="preserve">, </w:t>
      </w:r>
      <w:r>
        <w:rPr>
          <w:rFonts w:hint="eastAsia" w:ascii="宋体" w:hAnsi="宋体" w:cs="宋体"/>
          <w:snapToGrid w:val="0"/>
          <w:color w:val="0D0D0D" w:themeColor="text1" w:themeTint="F2"/>
          <w:szCs w:val="21"/>
          <w:lang w:eastAsia="zh-CN"/>
          <w14:textFill>
            <w14:solidFill>
              <w14:schemeClr w14:val="tx1">
                <w14:lumMod w14:val="95000"/>
                <w14:lumOff w14:val="5000"/>
              </w14:schemeClr>
            </w14:solidFill>
          </w14:textFill>
        </w:rPr>
        <w:t>甲方</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收到资料审核无误后</w:t>
      </w:r>
      <w:r>
        <w:rPr>
          <w:rFonts w:hint="eastAsia" w:ascii="宋体" w:hAnsi="宋体" w:cs="宋体"/>
          <w:snapToGrid w:val="0"/>
          <w:color w:val="0D0D0D" w:themeColor="text1" w:themeTint="F2"/>
          <w:szCs w:val="21"/>
          <w:lang w:eastAsia="zh-CN"/>
          <w14:textFill>
            <w14:solidFill>
              <w14:schemeClr w14:val="tx1">
                <w14:lumMod w14:val="95000"/>
                <w14:lumOff w14:val="5000"/>
              </w14:schemeClr>
            </w14:solidFill>
          </w14:textFill>
        </w:rPr>
        <w:t>，</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通知</w:t>
      </w:r>
      <w:r>
        <w:rPr>
          <w:rFonts w:hint="eastAsia" w:ascii="宋体" w:hAnsi="宋体" w:cs="宋体"/>
          <w:snapToGrid w:val="0"/>
          <w:color w:val="0D0D0D" w:themeColor="text1" w:themeTint="F2"/>
          <w:szCs w:val="21"/>
          <w:lang w:eastAsia="zh-CN"/>
          <w14:textFill>
            <w14:solidFill>
              <w14:schemeClr w14:val="tx1">
                <w14:lumMod w14:val="95000"/>
                <w14:lumOff w14:val="5000"/>
              </w14:schemeClr>
            </w14:solidFill>
          </w14:textFill>
        </w:rPr>
        <w:t>乙方</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开具发票，</w:t>
      </w:r>
      <w:r>
        <w:rPr>
          <w:rFonts w:hint="eastAsia" w:ascii="宋体" w:hAnsi="宋体" w:cs="宋体"/>
          <w:snapToGrid w:val="0"/>
          <w:color w:val="0D0D0D" w:themeColor="text1" w:themeTint="F2"/>
          <w:szCs w:val="21"/>
          <w:lang w:eastAsia="zh-CN"/>
          <w14:textFill>
            <w14:solidFill>
              <w14:schemeClr w14:val="tx1">
                <w14:lumMod w14:val="95000"/>
                <w14:lumOff w14:val="5000"/>
              </w14:schemeClr>
            </w14:solidFill>
          </w14:textFill>
        </w:rPr>
        <w:t>甲方</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收到发票后15个工作日内转账支付</w:t>
      </w:r>
      <w:r>
        <w:rPr>
          <w:rFonts w:hint="eastAsia" w:ascii="宋体" w:hAnsi="宋体" w:cs="宋体"/>
          <w:snapToGrid w:val="0"/>
          <w:color w:val="0D0D0D" w:themeColor="text1" w:themeTint="F2"/>
          <w:szCs w:val="21"/>
          <w:lang w:eastAsia="zh-CN"/>
          <w14:textFill>
            <w14:solidFill>
              <w14:schemeClr w14:val="tx1">
                <w14:lumMod w14:val="95000"/>
                <w14:lumOff w14:val="5000"/>
              </w14:schemeClr>
            </w14:solidFill>
          </w14:textFill>
        </w:rPr>
        <w:t>乙方等额</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服务费用。</w:t>
      </w:r>
    </w:p>
    <w:p>
      <w:pPr>
        <w:pageBreakBefore w:val="0"/>
        <w:kinsoku/>
        <w:wordWrap/>
        <w:overflowPunct/>
        <w:topLinePunct w:val="0"/>
        <w:bidi w:val="0"/>
        <w:snapToGrid/>
        <w:spacing w:line="360" w:lineRule="exact"/>
        <w:ind w:firstLine="482"/>
        <w:jc w:val="both"/>
        <w:textAlignment w:val="auto"/>
        <w:rPr>
          <w:b/>
          <w:sz w:val="21"/>
          <w:szCs w:val="21"/>
        </w:rPr>
      </w:pPr>
      <w:r>
        <w:rPr>
          <w:rFonts w:hint="eastAsia"/>
          <w:b/>
          <w:sz w:val="21"/>
          <w:szCs w:val="21"/>
        </w:rPr>
        <w:t>第</w:t>
      </w:r>
      <w:r>
        <w:rPr>
          <w:rFonts w:hint="eastAsia"/>
          <w:b/>
          <w:sz w:val="21"/>
          <w:szCs w:val="21"/>
          <w:lang w:eastAsia="zh-CN"/>
        </w:rPr>
        <w:t>四</w:t>
      </w:r>
      <w:r>
        <w:rPr>
          <w:rFonts w:hint="eastAsia"/>
          <w:b/>
          <w:sz w:val="21"/>
          <w:szCs w:val="21"/>
        </w:rPr>
        <w:t>条 合同组成</w:t>
      </w:r>
    </w:p>
    <w:p>
      <w:pPr>
        <w:pStyle w:val="2"/>
        <w:pageBreakBefore w:val="0"/>
        <w:kinsoku/>
        <w:wordWrap/>
        <w:overflowPunct/>
        <w:topLinePunct w:val="0"/>
        <w:bidi w:val="0"/>
        <w:snapToGrid/>
        <w:spacing w:line="360" w:lineRule="exact"/>
        <w:ind w:firstLine="420" w:firstLineChars="200"/>
        <w:textAlignment w:val="auto"/>
        <w:rPr>
          <w:rFonts w:ascii="宋体" w:hAnsi="宋体" w:cs="宋体"/>
          <w:sz w:val="21"/>
          <w:szCs w:val="21"/>
        </w:rPr>
      </w:pPr>
      <w:r>
        <w:rPr>
          <w:rFonts w:ascii="宋体" w:hAnsi="宋体" w:cs="宋体"/>
          <w:sz w:val="21"/>
          <w:szCs w:val="21"/>
        </w:rPr>
        <w:t xml:space="preserve">1.合同文件组成内容包括：本合同书 </w:t>
      </w:r>
      <w:r>
        <w:rPr>
          <w:rFonts w:hint="eastAsia" w:ascii="宋体" w:hAnsi="宋体" w:cs="宋体"/>
          <w:sz w:val="21"/>
          <w:szCs w:val="21"/>
        </w:rPr>
        <w:t>、采购文件、响应文件等均为合同的有效组成部分，并纳入本合同条款内容，与本合同具有同等法律效力。</w:t>
      </w:r>
    </w:p>
    <w:p>
      <w:pPr>
        <w:pStyle w:val="2"/>
        <w:pageBreakBefore w:val="0"/>
        <w:kinsoku/>
        <w:wordWrap/>
        <w:overflowPunct/>
        <w:topLinePunct w:val="0"/>
        <w:bidi w:val="0"/>
        <w:snapToGrid/>
        <w:spacing w:line="360" w:lineRule="exact"/>
        <w:ind w:firstLine="420" w:firstLineChars="200"/>
        <w:textAlignment w:val="auto"/>
        <w:rPr>
          <w:rFonts w:ascii="宋体" w:hAnsi="宋体" w:cs="宋体"/>
          <w:sz w:val="21"/>
          <w:szCs w:val="21"/>
        </w:rPr>
      </w:pPr>
      <w:r>
        <w:rPr>
          <w:rFonts w:ascii="宋体" w:hAnsi="宋体" w:cs="宋体"/>
          <w:sz w:val="21"/>
          <w:szCs w:val="21"/>
        </w:rPr>
        <w:t>2.在协商和执行本合同的过程中，所有经双方签署确认的文件（包括会议纪要、补充协议、往来信函）也可成为本合同的有效组成部分。</w:t>
      </w:r>
    </w:p>
    <w:p>
      <w:pPr>
        <w:pStyle w:val="2"/>
        <w:pageBreakBefore w:val="0"/>
        <w:kinsoku/>
        <w:wordWrap/>
        <w:overflowPunct/>
        <w:topLinePunct w:val="0"/>
        <w:bidi w:val="0"/>
        <w:snapToGrid/>
        <w:spacing w:line="360" w:lineRule="exact"/>
        <w:ind w:firstLine="420" w:firstLineChars="200"/>
        <w:textAlignment w:val="auto"/>
        <w:rPr>
          <w:rFonts w:ascii="宋体" w:hAnsi="宋体" w:cs="宋体"/>
          <w:sz w:val="21"/>
          <w:szCs w:val="21"/>
        </w:rPr>
      </w:pPr>
      <w:r>
        <w:rPr>
          <w:rFonts w:ascii="宋体" w:hAnsi="宋体" w:cs="宋体"/>
          <w:sz w:val="21"/>
          <w:szCs w:val="21"/>
        </w:rPr>
        <w:t>3.以上</w:t>
      </w:r>
      <w:r>
        <w:rPr>
          <w:rFonts w:hint="eastAsia" w:ascii="宋体" w:hAnsi="宋体" w:cs="宋体"/>
          <w:sz w:val="21"/>
          <w:szCs w:val="21"/>
        </w:rPr>
        <w:t>若不同文件之间有冲突的，适用有利于甲方的条款。</w:t>
      </w:r>
    </w:p>
    <w:p>
      <w:pPr>
        <w:pageBreakBefore w:val="0"/>
        <w:kinsoku/>
        <w:wordWrap/>
        <w:overflowPunct/>
        <w:topLinePunct w:val="0"/>
        <w:bidi w:val="0"/>
        <w:snapToGrid/>
        <w:spacing w:line="360" w:lineRule="exact"/>
        <w:ind w:firstLine="482"/>
        <w:jc w:val="both"/>
        <w:textAlignment w:val="auto"/>
        <w:rPr>
          <w:sz w:val="21"/>
          <w:szCs w:val="21"/>
        </w:rPr>
      </w:pPr>
      <w:r>
        <w:rPr>
          <w:rFonts w:hint="eastAsia"/>
          <w:b/>
          <w:sz w:val="21"/>
          <w:szCs w:val="21"/>
          <w:lang w:eastAsia="zh-CN"/>
        </w:rPr>
        <w:t>第五条</w:t>
      </w:r>
      <w:r>
        <w:rPr>
          <w:rFonts w:hint="eastAsia"/>
          <w:b/>
          <w:sz w:val="21"/>
          <w:szCs w:val="21"/>
          <w:lang w:val="en-US" w:eastAsia="zh-CN"/>
        </w:rPr>
        <w:t xml:space="preserve"> </w:t>
      </w:r>
      <w:r>
        <w:rPr>
          <w:b/>
          <w:sz w:val="21"/>
          <w:szCs w:val="21"/>
        </w:rPr>
        <w:t>服务期限</w:t>
      </w:r>
    </w:p>
    <w:p>
      <w:pPr>
        <w:pageBreakBefore w:val="0"/>
        <w:numPr>
          <w:ilvl w:val="0"/>
          <w:numId w:val="0"/>
        </w:numPr>
        <w:kinsoku/>
        <w:wordWrap/>
        <w:overflowPunct/>
        <w:topLinePunct w:val="0"/>
        <w:bidi w:val="0"/>
        <w:snapToGrid/>
        <w:spacing w:line="360" w:lineRule="exact"/>
        <w:ind w:leftChars="0" w:firstLine="420" w:firstLineChars="200"/>
        <w:textAlignment w:val="auto"/>
        <w:rPr>
          <w:sz w:val="21"/>
          <w:szCs w:val="21"/>
        </w:rPr>
      </w:pPr>
      <w:r>
        <w:rPr>
          <w:sz w:val="21"/>
          <w:szCs w:val="21"/>
        </w:rPr>
        <w:t>1.服务期限：自合同签订生效之日起3年。</w:t>
      </w:r>
      <w:r>
        <w:rPr>
          <w:rFonts w:hint="eastAsia"/>
          <w:sz w:val="21"/>
          <w:szCs w:val="21"/>
        </w:rPr>
        <w:t>每年合作期满对中标人进行年度考核，年度考核合格自动履行下一年合同。</w:t>
      </w:r>
    </w:p>
    <w:p>
      <w:pPr>
        <w:pageBreakBefore w:val="0"/>
        <w:kinsoku/>
        <w:wordWrap/>
        <w:overflowPunct/>
        <w:topLinePunct w:val="0"/>
        <w:bidi w:val="0"/>
        <w:snapToGrid/>
        <w:spacing w:line="360" w:lineRule="exact"/>
        <w:ind w:firstLine="420"/>
        <w:jc w:val="both"/>
        <w:textAlignment w:val="auto"/>
        <w:rPr>
          <w:sz w:val="21"/>
          <w:szCs w:val="21"/>
        </w:rPr>
      </w:pPr>
      <w:r>
        <w:rPr>
          <w:sz w:val="21"/>
          <w:szCs w:val="21"/>
        </w:rPr>
        <w:t>2.服务地点：南方医科大学第五附属医院。</w:t>
      </w:r>
    </w:p>
    <w:p>
      <w:pPr>
        <w:pageBreakBefore w:val="0"/>
        <w:kinsoku/>
        <w:wordWrap/>
        <w:overflowPunct/>
        <w:topLinePunct w:val="0"/>
        <w:bidi w:val="0"/>
        <w:snapToGrid/>
        <w:spacing w:line="360" w:lineRule="exact"/>
        <w:ind w:firstLine="420"/>
        <w:jc w:val="both"/>
        <w:textAlignment w:val="auto"/>
        <w:rPr>
          <w:sz w:val="21"/>
          <w:szCs w:val="21"/>
          <w:highlight w:val="yellow"/>
        </w:rPr>
      </w:pPr>
      <w:r>
        <w:rPr>
          <w:sz w:val="21"/>
          <w:szCs w:val="21"/>
        </w:rPr>
        <w:t>3.服务方式：</w:t>
      </w:r>
      <w:r>
        <w:rPr>
          <w:sz w:val="21"/>
          <w:szCs w:val="21"/>
          <w:highlight w:val="none"/>
        </w:rPr>
        <w:t>乙方根据甲方要求专人接收标本负责样本外送检验。</w:t>
      </w:r>
    </w:p>
    <w:p>
      <w:pPr>
        <w:pageBreakBefore w:val="0"/>
        <w:kinsoku/>
        <w:wordWrap/>
        <w:overflowPunct/>
        <w:topLinePunct w:val="0"/>
        <w:bidi w:val="0"/>
        <w:snapToGrid/>
        <w:spacing w:line="360" w:lineRule="exact"/>
        <w:ind w:firstLine="482"/>
        <w:jc w:val="both"/>
        <w:textAlignment w:val="auto"/>
        <w:rPr>
          <w:rFonts w:hint="eastAsia"/>
          <w:b/>
          <w:sz w:val="21"/>
          <w:szCs w:val="21"/>
          <w:highlight w:val="yellow"/>
          <w:lang w:val="en-US" w:eastAsia="zh-CN"/>
        </w:rPr>
      </w:pPr>
      <w:r>
        <w:rPr>
          <w:rFonts w:hint="eastAsia"/>
          <w:b/>
          <w:sz w:val="21"/>
          <w:szCs w:val="21"/>
          <w:highlight w:val="none"/>
          <w:lang w:eastAsia="zh-CN"/>
        </w:rPr>
        <w:t>第六条</w:t>
      </w:r>
      <w:r>
        <w:rPr>
          <w:rFonts w:hint="eastAsia"/>
          <w:b/>
          <w:sz w:val="21"/>
          <w:szCs w:val="21"/>
          <w:highlight w:val="none"/>
          <w:lang w:val="en-US" w:eastAsia="zh-CN"/>
        </w:rPr>
        <w:t xml:space="preserve">  检验要求</w:t>
      </w:r>
      <w:r>
        <w:rPr>
          <w:rFonts w:hint="eastAsia"/>
          <w:b/>
          <w:sz w:val="21"/>
          <w:szCs w:val="21"/>
          <w:highlight w:val="yellow"/>
          <w:lang w:val="en-US" w:eastAsia="zh-CN"/>
        </w:rPr>
        <w:t>（参照响应文件，根据甲方实际要求调整）</w:t>
      </w:r>
    </w:p>
    <w:p>
      <w:pPr>
        <w:pageBreakBefore w:val="0"/>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1.乙方实验室符合国家卫健委《医疗机构临床实验室管理办法》等法律法规要求。</w:t>
      </w:r>
    </w:p>
    <w:p>
      <w:pPr>
        <w:pageBreakBefore w:val="0"/>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2.乙方保证按国家检测规范进行操作，并对标本的检测报告承担相应的责任。</w:t>
      </w:r>
    </w:p>
    <w:p>
      <w:pPr>
        <w:pStyle w:val="45"/>
        <w:pageBreakBefore w:val="0"/>
        <w:widowControl/>
        <w:shd w:val="clear" w:color="auto" w:fill="FFFFFF"/>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3.乙方实验室通过临床检验中心组织的室间质评。</w:t>
      </w:r>
    </w:p>
    <w:p>
      <w:pPr>
        <w:pStyle w:val="45"/>
        <w:pageBreakBefore w:val="0"/>
        <w:widowControl/>
        <w:shd w:val="clear" w:color="auto" w:fill="FFFFFF"/>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4.乙方实验室须具有临床检验中心颁发临床基因扩增检验实验室技术审核验收合格证书。</w:t>
      </w:r>
    </w:p>
    <w:p>
      <w:pPr>
        <w:pStyle w:val="45"/>
        <w:pageBreakBefore w:val="0"/>
        <w:widowControl/>
        <w:shd w:val="clear" w:color="auto" w:fill="FFFFFF"/>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5.乙方实验室通过ISO15189《医学实验室-质量和能力的要求》认证、通过美国病理学家学会（CAP）认证。</w:t>
      </w:r>
    </w:p>
    <w:p>
      <w:pPr>
        <w:pStyle w:val="45"/>
        <w:pageBreakBefore w:val="0"/>
        <w:widowControl/>
        <w:shd w:val="clear" w:color="auto" w:fill="FFFFFF"/>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6.乙方实验室需拥有专业的技术人员，可提供专业的检测服务。</w:t>
      </w:r>
    </w:p>
    <w:p>
      <w:pPr>
        <w:pStyle w:val="45"/>
        <w:pageBreakBefore w:val="0"/>
        <w:widowControl/>
        <w:shd w:val="clear" w:color="auto" w:fill="FFFFFF"/>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乙方病理实验室拥有完善的病理技术平台，包括细胞病理、组织病理、分子病理、远程病理等；乙方拥有丰富远程病理诊断服务经验和良好运营能力；可提供良好的临床病理学术沟通平台，协助解决病理疑难病例。</w:t>
      </w:r>
    </w:p>
    <w:p>
      <w:pPr>
        <w:pStyle w:val="28"/>
        <w:pageBreakBefore w:val="0"/>
        <w:kinsoku/>
        <w:wordWrap/>
        <w:overflowPunct/>
        <w:topLinePunct w:val="0"/>
        <w:bidi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r>
        <w:rPr>
          <w:rFonts w:ascii="宋体" w:hAnsi="宋体" w:eastAsia="宋体" w:cs="宋体"/>
          <w:kern w:val="2"/>
          <w:sz w:val="21"/>
          <w:szCs w:val="21"/>
          <w:lang w:val="en-US" w:eastAsia="zh-CN" w:bidi="ar-SA"/>
        </w:rPr>
        <w:t>分子病理项目</w:t>
      </w:r>
      <w:r>
        <w:rPr>
          <w:rFonts w:hint="eastAsia" w:ascii="宋体" w:hAnsi="宋体" w:eastAsia="宋体" w:cs="宋体"/>
          <w:kern w:val="2"/>
          <w:sz w:val="21"/>
          <w:szCs w:val="21"/>
          <w:lang w:val="en-US" w:eastAsia="zh-CN" w:bidi="ar-SA"/>
        </w:rPr>
        <w:t>：甲方将根据情况提供石蜡切片进行外送，用于辅助分子检测，所有检测数据需完整准确回传至甲方病理科。</w:t>
      </w:r>
    </w:p>
    <w:p>
      <w:pPr>
        <w:pStyle w:val="45"/>
        <w:pageBreakBefore w:val="0"/>
        <w:widowControl/>
        <w:shd w:val="clear" w:color="auto" w:fill="FFFFFF"/>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9.乙方具有医学肾脏穿刺病理活检项目工作经验，提供医学肾脏穿刺病理活检标本采集、检测、报告应用的咨询、指导。</w:t>
      </w:r>
    </w:p>
    <w:p>
      <w:pPr>
        <w:pStyle w:val="28"/>
        <w:pageBreakBefore w:val="0"/>
        <w:kinsoku/>
        <w:wordWrap/>
        <w:overflowPunct/>
        <w:topLinePunct w:val="0"/>
        <w:bidi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10.肾脏组织免疫荧光、光镜检查病理诊断及电镜检查病理诊断项目报告需在标本到达乙方实验室后2天内出具；乙方对其出具的病理诊断报告结果负责并对其内容进行解释。</w:t>
      </w:r>
    </w:p>
    <w:p>
      <w:pPr>
        <w:pStyle w:val="28"/>
        <w:pageBreakBefore w:val="0"/>
        <w:kinsoku/>
        <w:wordWrap/>
        <w:overflowPunct/>
        <w:topLinePunct w:val="0"/>
        <w:bidi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11.肾穿技术层面要求：穿刺针在16号或以上的光镜标本，除常规连续切片外，能进行3层面连续切片，可最大限度观察到穿刺出来的每一个肾小球。</w:t>
      </w:r>
    </w:p>
    <w:p>
      <w:pPr>
        <w:pStyle w:val="45"/>
        <w:pageBreakBefore w:val="0"/>
        <w:widowControl/>
        <w:shd w:val="clear" w:color="auto" w:fill="FFFFFF"/>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乙方对所发放的医学肾脏穿刺病理活检报告负责。合作期间，因为乙方的医学肾脏穿刺病理活检报告质量问题发生医疗纠纷或医疗事故，甲方及时通知乙方，并按甲方的相关程序进行调解和处理，因乙方医学肾脏穿刺病理活检报告存在质量问题导致医疗纠纷或医疗事故而造成甲方经济损失由乙方承担相关责任。</w:t>
      </w:r>
    </w:p>
    <w:p>
      <w:pPr>
        <w:pStyle w:val="45"/>
        <w:pageBreakBefore w:val="0"/>
        <w:widowControl/>
        <w:shd w:val="clear" w:color="auto" w:fill="FFFFFF"/>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13.乙方拥有权威医学院校的技术支撑，协助甲方开展病理检查人员进修培训、协助甲方开展继续教育、专题讲座等学术交流活动。</w:t>
      </w:r>
    </w:p>
    <w:p>
      <w:pPr>
        <w:pStyle w:val="45"/>
        <w:pageBreakBefore w:val="0"/>
        <w:widowControl/>
        <w:shd w:val="clear" w:color="auto" w:fill="FFFFFF"/>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14.乙方LIS系统可与甲方的LIS对接，实现检验项目结果传输，方便检验项目的统一管理。 </w:t>
      </w:r>
    </w:p>
    <w:p>
      <w:pPr>
        <w:pageBreakBefore w:val="0"/>
        <w:kinsoku/>
        <w:wordWrap/>
        <w:overflowPunct/>
        <w:topLinePunct w:val="0"/>
        <w:autoSpaceDE w:val="0"/>
        <w:autoSpaceDN w:val="0"/>
        <w:bidi w:val="0"/>
        <w:adjustRightInd w:val="0"/>
        <w:snapToGrid/>
        <w:spacing w:line="360" w:lineRule="exact"/>
        <w:ind w:firstLine="422" w:firstLineChars="200"/>
        <w:jc w:val="left"/>
        <w:textAlignment w:val="auto"/>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其中，被委托实验室的质量要求包括：</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（1）质量要求</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①标本规范化固定率≥ 99% </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 HE 染色切片优良率≥ 99%</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③免疫组化切片优良率≥ 98%</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④术中快速冰冻病理诊断及时率≥99%</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⑤组织病理诊断及时率≥ 98% </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⑥细胞病理诊断及时率≥ 99%</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⑦免疫组化染色室间质评合格率≥ 99%</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⑧细胞病理诊断质控符合率≥98%</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⑨术中快速冰冻与石蜡诊断符合率≥ 95%</w:t>
      </w:r>
    </w:p>
    <w:p>
      <w:pPr>
        <w:pageBreakBefore w:val="0"/>
        <w:widowControl/>
        <w:kinsoku/>
        <w:wordWrap/>
        <w:overflowPunct/>
        <w:topLinePunct w:val="0"/>
        <w:bidi w:val="0"/>
        <w:snapToGrid/>
        <w:spacing w:line="360" w:lineRule="exact"/>
        <w:ind w:firstLine="420" w:firstLineChars="200"/>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（2）甲方每季度对乙方的服务质量进行季度考核并根据考核结果扣罚乙方的服务费，考核标准由甲方与乙方协商确定。</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（3）乙方对甲方送检的合格样本结果负责，对于按照乙方取材要求进行取材的合格样本，若因乙方原因导致检测结果存在质量问题，由乙方承担相关责任。</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（4）乙方均按日或检测批次对甲方委托项目进行室内质控，按季度提供室内质量控制报表，其内容包括质控检测数据、控制标准、质控分析、失控报告。</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（5）乙方参加临床病理质量控制中心室间质评，每半年提供委托项目的能力验证活动报告，没有能力验证的检查项目应提供与委托方认可的实验室结果一致性的证据。</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（6）按甲方要求，随时提供质量和技术资料，如更换试剂批号、仪器维修后、检验系统更换后的质控记录和性能验证报告。</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（7）乙方有专人负责招标人业务及质量、技术、培训等工作。</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（8）乙方随时接受并妥善安排甲方查阅项目检测、质量控制等情况。</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（9）对于样本周转时间（TAT）的要求：</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①有明确的样本送检和报告发布时间服务承诺。检测报告需按照乙方提供的《检测项目手册》规定的出报告时间出具。</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②样本周转时间起点为委托检测单位接收样本，终点为甲方病理科或临床科室收到检查报告。</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③报告延误率≤1/1000。</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④定期提供委托项目的样本周转时间（TAT）分析，对于甲方提出的要求及时反馈并更正。</w:t>
      </w:r>
    </w:p>
    <w:p>
      <w:pPr>
        <w:pageBreakBefore w:val="0"/>
        <w:kinsoku/>
        <w:wordWrap/>
        <w:overflowPunct/>
        <w:topLinePunct w:val="0"/>
        <w:autoSpaceDE w:val="0"/>
        <w:autoSpaceDN w:val="0"/>
        <w:bidi w:val="0"/>
        <w:adjustRightInd w:val="0"/>
        <w:snapToGrid/>
        <w:spacing w:line="36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⑤如乙方检测报告超出约定时间而又未书面通知甲方而造成恶劣影响的，包括造成医疗纠纷、群众投诉造成严重后果等情况，乙方应承担相应的经济和法律责任。</w:t>
      </w:r>
    </w:p>
    <w:p>
      <w:pPr>
        <w:pageBreakBefore w:val="0"/>
        <w:kinsoku/>
        <w:wordWrap/>
        <w:overflowPunct/>
        <w:topLinePunct w:val="0"/>
        <w:autoSpaceDE w:val="0"/>
        <w:autoSpaceDN w:val="0"/>
        <w:bidi w:val="0"/>
        <w:adjustRightInd w:val="0"/>
        <w:snapToGrid/>
        <w:spacing w:line="360" w:lineRule="exact"/>
        <w:ind w:firstLine="422" w:firstLineChars="200"/>
        <w:jc w:val="left"/>
        <w:textAlignment w:val="auto"/>
        <w:rPr>
          <w:rFonts w:hint="eastAsia"/>
          <w:b/>
          <w:sz w:val="21"/>
          <w:szCs w:val="21"/>
          <w:lang w:val="en-US" w:eastAsia="zh-CN"/>
        </w:rPr>
      </w:pPr>
      <w:r>
        <w:rPr>
          <w:rFonts w:hint="eastAsia"/>
          <w:b/>
          <w:sz w:val="21"/>
          <w:szCs w:val="21"/>
          <w:lang w:val="en-US" w:eastAsia="zh-CN"/>
        </w:rPr>
        <w:t>第七条 服务要求</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1.乙方需安排专人每周一至周六定时前往甲方收取标本的服务，时间为8:30-17:30。遇特殊标本可机动收取。</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2.免费提供特殊检查项目所需要的相关耗材、知情同意书、专用申请单等。</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乙方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4.乙方具备CNAS货物运输条件鉴定书（包括血液样品、病理组织玻片、蜡块等）。</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5.乙方需按照公开的诊断项目本的报告时间内为甲方出具检查报告。</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6.乙方配备完善的信息系统，与甲方医院LIS系统对接，使医务人员可以随时调阅，可实现检验项目的多终端查询，包括网页端、手机端等，对紧急报告可提供口头报告或邮件报告等形式。</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7.未经甲方同意，不得将甲方标本用于他用。</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8.有为用户保密的义务，未经同意不得向第三方泄露甲方委托检查项目、检查的内容、检查结果。</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9.检测样本、检测数据的所有权、使用权为患者及甲方病理科所有，未经许可不得挪作它用。须按照国家或甲方要求归还或妥善保存及销毁检测后样本。</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10.乙方必须保证检测结果的公正性，不受任何诱使或压力而对检查结果进行修正及更改。</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乙方须建立快速的客户服务反应机制，如有针对乙方或甲方与乙方双方的投诉或需处理的情况，乙方应派代表在半日内到达甲方及时沟通处理；若主要针对甲方的投诉或需处理的情况，乙方有义务协助甲方及时沟通处理。</w:t>
      </w:r>
    </w:p>
    <w:p>
      <w:pPr>
        <w:pStyle w:val="18"/>
        <w:pageBreakBefore w:val="0"/>
        <w:kinsoku/>
        <w:wordWrap/>
        <w:overflowPunct/>
        <w:topLinePunct w:val="0"/>
        <w:bidi w:val="0"/>
        <w:snapToGrid/>
        <w:spacing w:before="0" w:beforeAutospacing="0" w:after="0" w:afterAutospacing="0" w:line="360" w:lineRule="exact"/>
        <w:ind w:firstLine="420" w:firstLineChars="200"/>
        <w:jc w:val="both"/>
        <w:textAlignment w:val="auto"/>
        <w:rPr>
          <w:b/>
          <w:sz w:val="21"/>
          <w:szCs w:val="21"/>
        </w:rPr>
      </w:pPr>
      <w:r>
        <w:rPr>
          <w:rFonts w:hint="eastAsia" w:ascii="宋体" w:hAnsi="宋体" w:eastAsia="宋体" w:cs="宋体"/>
          <w:kern w:val="2"/>
          <w:sz w:val="21"/>
          <w:szCs w:val="21"/>
          <w:lang w:val="en-US" w:eastAsia="zh-CN" w:bidi="ar-SA"/>
        </w:rPr>
        <w:t>12.乙方专职病理医生具有病理专业高级职称，并有国内区域医学中心病理科工作经验，从事病理疑难病例诊断5年以上，并在国内病理行业有一定影响力，担任过省级以上医学会专业委员，或发表过相关有影响力论著，还应具有疑难病理诊断需要的辅助检查技术，包含但不限于丰富的免疫组化抗体及检测平台，分子检测（qPCR，NGS），及免疫荧光等，其分子检测结果由具备生物信息学背景的人员分析。</w:t>
      </w:r>
    </w:p>
    <w:p>
      <w:pPr>
        <w:pageBreakBefore w:val="0"/>
        <w:kinsoku/>
        <w:wordWrap/>
        <w:overflowPunct/>
        <w:topLinePunct w:val="0"/>
        <w:bidi w:val="0"/>
        <w:snapToGrid/>
        <w:spacing w:line="360" w:lineRule="exact"/>
        <w:ind w:firstLine="482"/>
        <w:jc w:val="both"/>
        <w:textAlignment w:val="auto"/>
        <w:rPr>
          <w:sz w:val="21"/>
          <w:szCs w:val="21"/>
        </w:rPr>
      </w:pPr>
      <w:r>
        <w:rPr>
          <w:rFonts w:hint="eastAsia"/>
          <w:b/>
          <w:sz w:val="21"/>
          <w:szCs w:val="21"/>
          <w:lang w:eastAsia="zh-CN"/>
        </w:rPr>
        <w:t>第八条</w:t>
      </w:r>
      <w:r>
        <w:rPr>
          <w:rFonts w:hint="eastAsia"/>
          <w:b/>
          <w:sz w:val="21"/>
          <w:szCs w:val="21"/>
          <w:lang w:val="en-US" w:eastAsia="zh-CN"/>
        </w:rPr>
        <w:t xml:space="preserve"> </w:t>
      </w:r>
      <w:r>
        <w:rPr>
          <w:b/>
          <w:sz w:val="21"/>
          <w:szCs w:val="21"/>
        </w:rPr>
        <w:t>双方的权利和义务</w:t>
      </w:r>
    </w:p>
    <w:p>
      <w:pPr>
        <w:pageBreakBefore w:val="0"/>
        <w:kinsoku/>
        <w:wordWrap/>
        <w:overflowPunct/>
        <w:topLinePunct w:val="0"/>
        <w:bidi w:val="0"/>
        <w:snapToGrid/>
        <w:spacing w:line="360" w:lineRule="exact"/>
        <w:ind w:firstLine="480"/>
        <w:textAlignment w:val="auto"/>
        <w:rPr>
          <w:sz w:val="21"/>
          <w:szCs w:val="21"/>
        </w:rPr>
      </w:pPr>
      <w:r>
        <w:rPr>
          <w:rFonts w:hint="eastAsia"/>
          <w:sz w:val="21"/>
          <w:szCs w:val="21"/>
          <w:lang w:val="en-US" w:eastAsia="zh-CN"/>
        </w:rPr>
        <w:t>1.</w:t>
      </w:r>
      <w:r>
        <w:rPr>
          <w:sz w:val="21"/>
          <w:szCs w:val="21"/>
        </w:rPr>
        <w:t>甲方的权利和义务</w:t>
      </w:r>
    </w:p>
    <w:p>
      <w:pPr>
        <w:pageBreakBefore w:val="0"/>
        <w:kinsoku/>
        <w:wordWrap/>
        <w:overflowPunct/>
        <w:topLinePunct w:val="0"/>
        <w:bidi w:val="0"/>
        <w:snapToGrid/>
        <w:spacing w:line="360" w:lineRule="exact"/>
        <w:ind w:firstLine="420" w:firstLineChars="200"/>
        <w:textAlignment w:val="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甲方负责组织人员进行，提供检查项目人员基本信息、以及检查项目内容。</w:t>
      </w:r>
    </w:p>
    <w:p>
      <w:pPr>
        <w:pageBreakBefore w:val="0"/>
        <w:kinsoku/>
        <w:wordWrap/>
        <w:overflowPunct/>
        <w:topLinePunct w:val="0"/>
        <w:bidi w:val="0"/>
        <w:snapToGrid/>
        <w:spacing w:line="360" w:lineRule="exact"/>
        <w:ind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甲方委托乙方进行检测的项目，前提是甲方须具有进行该项目检验的相关政策所要求的资质资格。</w:t>
      </w:r>
    </w:p>
    <w:p>
      <w:pPr>
        <w:pageBreakBefore w:val="0"/>
        <w:kinsoku/>
        <w:wordWrap/>
        <w:overflowPunct/>
        <w:topLinePunct w:val="0"/>
        <w:bidi w:val="0"/>
        <w:snapToGrid/>
        <w:spacing w:line="360" w:lineRule="exact"/>
        <w:ind w:firstLine="420" w:firstLineChars="200"/>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甲方需按合同约定的付款方式按时向乙方支付服务费用。</w:t>
      </w:r>
    </w:p>
    <w:p>
      <w:pPr>
        <w:pageBreakBefore w:val="0"/>
        <w:kinsoku/>
        <w:wordWrap/>
        <w:overflowPunct/>
        <w:topLinePunct w:val="0"/>
        <w:bidi w:val="0"/>
        <w:snapToGrid/>
        <w:spacing w:line="360" w:lineRule="exact"/>
        <w:ind w:firstLine="480"/>
        <w:textAlignment w:val="auto"/>
        <w:rPr>
          <w:sz w:val="21"/>
          <w:szCs w:val="21"/>
        </w:rPr>
      </w:pPr>
      <w:r>
        <w:rPr>
          <w:rFonts w:hint="eastAsia"/>
          <w:sz w:val="21"/>
          <w:szCs w:val="21"/>
          <w:lang w:val="en-US" w:eastAsia="zh-CN"/>
        </w:rPr>
        <w:t>2.</w:t>
      </w:r>
      <w:r>
        <w:rPr>
          <w:sz w:val="21"/>
          <w:szCs w:val="21"/>
        </w:rPr>
        <w:t>乙方的权利和义务</w:t>
      </w:r>
    </w:p>
    <w:p>
      <w:pPr>
        <w:pageBreakBefore w:val="0"/>
        <w:kinsoku/>
        <w:wordWrap/>
        <w:overflowPunct/>
        <w:topLinePunct w:val="0"/>
        <w:bidi w:val="0"/>
        <w:snapToGrid/>
        <w:spacing w:line="360" w:lineRule="exact"/>
        <w:ind w:firstLine="420" w:firstLineChars="200"/>
        <w:jc w:val="both"/>
        <w:textAlignment w:val="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乙方须具备向甲方提供基因检测的专业技术人员的能力，所提供的专业技术人员应满足甲方样本外送检验的要求。</w:t>
      </w:r>
    </w:p>
    <w:p>
      <w:pPr>
        <w:pageBreakBefore w:val="0"/>
        <w:kinsoku/>
        <w:wordWrap/>
        <w:overflowPunct/>
        <w:topLinePunct w:val="0"/>
        <w:bidi w:val="0"/>
        <w:snapToGrid/>
        <w:spacing w:line="360" w:lineRule="exact"/>
        <w:ind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如甲方或受检者对检测结果有疑问，乙方有义务做好配合解释工作。</w:t>
      </w:r>
    </w:p>
    <w:p>
      <w:pPr>
        <w:pageBreakBefore w:val="0"/>
        <w:kinsoku/>
        <w:wordWrap/>
        <w:overflowPunct/>
        <w:topLinePunct w:val="0"/>
        <w:bidi w:val="0"/>
        <w:snapToGrid/>
        <w:spacing w:line="360" w:lineRule="exact"/>
        <w:ind w:firstLine="420" w:firstLineChars="200"/>
        <w:jc w:val="both"/>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乙方所投入的专业技术人员必须与乙方存在稳定的劳动关系，签订书面劳动合同，乙方为其购买社会保险。</w:t>
      </w:r>
    </w:p>
    <w:p>
      <w:pPr>
        <w:pageBreakBefore w:val="0"/>
        <w:kinsoku/>
        <w:wordWrap/>
        <w:overflowPunct/>
        <w:topLinePunct w:val="0"/>
        <w:bidi w:val="0"/>
        <w:snapToGrid/>
        <w:spacing w:line="360" w:lineRule="exact"/>
        <w:ind w:firstLine="420" w:firstLineChars="200"/>
        <w:jc w:val="both"/>
        <w:textAlignment w:val="auto"/>
        <w:rPr>
          <w:sz w:val="21"/>
          <w:szCs w:val="21"/>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sz w:val="21"/>
          <w:szCs w:val="21"/>
        </w:rPr>
        <w:t>乙方技术人员在检测活动中因各种原因被客户投诉，甲方可协助处理，但不承担赔偿责任（包括名誉损害责任）；如乙方出现下列情形，造成的损失、费用和责任，由乙方承担全部责任，且甲方有权即时终止与乙方合作，乙方按违约条款对甲方进行赔偿。</w:t>
      </w:r>
    </w:p>
    <w:p>
      <w:pPr>
        <w:pageBreakBefore w:val="0"/>
        <w:kinsoku/>
        <w:wordWrap/>
        <w:overflowPunct/>
        <w:topLinePunct w:val="0"/>
        <w:bidi w:val="0"/>
        <w:snapToGrid/>
        <w:spacing w:line="360" w:lineRule="exact"/>
        <w:ind w:firstLine="480"/>
        <w:jc w:val="both"/>
        <w:textAlignment w:val="auto"/>
        <w:rPr>
          <w:sz w:val="21"/>
          <w:szCs w:val="21"/>
        </w:rPr>
      </w:pPr>
      <w:r>
        <w:rPr>
          <w:rFonts w:hint="eastAsia" w:ascii="宋体" w:hAnsi="宋体" w:eastAsia="宋体" w:cs="宋体"/>
          <w:kern w:val="2"/>
          <w:sz w:val="21"/>
          <w:szCs w:val="21"/>
          <w:lang w:val="en-US" w:eastAsia="zh-CN" w:bidi="ar-SA"/>
        </w:rPr>
        <w:t>①</w:t>
      </w:r>
      <w:r>
        <w:rPr>
          <w:sz w:val="21"/>
          <w:szCs w:val="21"/>
        </w:rPr>
        <w:t>乙方医务人员故意造假，出具虚假报告；</w:t>
      </w:r>
    </w:p>
    <w:p>
      <w:pPr>
        <w:pageBreakBefore w:val="0"/>
        <w:kinsoku/>
        <w:wordWrap/>
        <w:overflowPunct/>
        <w:topLinePunct w:val="0"/>
        <w:bidi w:val="0"/>
        <w:snapToGrid/>
        <w:spacing w:line="360" w:lineRule="exact"/>
        <w:ind w:firstLine="480"/>
        <w:jc w:val="both"/>
        <w:textAlignment w:val="auto"/>
        <w:rPr>
          <w:sz w:val="21"/>
          <w:szCs w:val="21"/>
        </w:rPr>
      </w:pPr>
      <w:r>
        <w:rPr>
          <w:rFonts w:hint="eastAsia" w:ascii="宋体" w:hAnsi="宋体" w:eastAsia="宋体" w:cs="宋体"/>
          <w:kern w:val="2"/>
          <w:sz w:val="21"/>
          <w:szCs w:val="21"/>
          <w:lang w:val="en-US" w:eastAsia="zh-CN" w:bidi="ar-SA"/>
        </w:rPr>
        <w:t>②</w:t>
      </w:r>
      <w:r>
        <w:rPr>
          <w:sz w:val="21"/>
          <w:szCs w:val="21"/>
        </w:rPr>
        <w:t>乙方医务人员在酒醉或药剂麻醉状态下进行检测活动；</w:t>
      </w:r>
    </w:p>
    <w:p>
      <w:pPr>
        <w:pageBreakBefore w:val="0"/>
        <w:kinsoku/>
        <w:wordWrap/>
        <w:overflowPunct/>
        <w:topLinePunct w:val="0"/>
        <w:bidi w:val="0"/>
        <w:snapToGrid/>
        <w:spacing w:line="360" w:lineRule="exact"/>
        <w:ind w:firstLine="480"/>
        <w:jc w:val="both"/>
        <w:textAlignment w:val="auto"/>
        <w:rPr>
          <w:sz w:val="21"/>
          <w:szCs w:val="21"/>
        </w:rPr>
      </w:pPr>
      <w:r>
        <w:rPr>
          <w:rFonts w:hint="eastAsia" w:ascii="宋体" w:hAnsi="宋体" w:eastAsia="宋体" w:cs="宋体"/>
          <w:kern w:val="2"/>
          <w:sz w:val="21"/>
          <w:szCs w:val="21"/>
          <w:lang w:val="en-US" w:eastAsia="zh-CN" w:bidi="ar-SA"/>
        </w:rPr>
        <w:t>③</w:t>
      </w:r>
      <w:r>
        <w:rPr>
          <w:sz w:val="21"/>
          <w:szCs w:val="21"/>
        </w:rPr>
        <w:t>乙方医务人员趁工作职能之便以其他方式侵害客户权益而被投诉，经调查属实；</w:t>
      </w:r>
    </w:p>
    <w:p>
      <w:pPr>
        <w:pageBreakBefore w:val="0"/>
        <w:kinsoku/>
        <w:wordWrap/>
        <w:overflowPunct/>
        <w:topLinePunct w:val="0"/>
        <w:bidi w:val="0"/>
        <w:snapToGrid/>
        <w:spacing w:line="360" w:lineRule="exact"/>
        <w:ind w:firstLine="480"/>
        <w:jc w:val="both"/>
        <w:textAlignment w:val="auto"/>
        <w:rPr>
          <w:sz w:val="21"/>
          <w:szCs w:val="21"/>
        </w:rPr>
      </w:pPr>
      <w:r>
        <w:rPr>
          <w:rFonts w:hint="eastAsia"/>
          <w:sz w:val="21"/>
          <w:szCs w:val="21"/>
          <w:lang w:val="en-US" w:eastAsia="zh-CN"/>
        </w:rPr>
        <w:t>3.</w:t>
      </w:r>
      <w:r>
        <w:rPr>
          <w:sz w:val="21"/>
          <w:szCs w:val="21"/>
        </w:rPr>
        <w:t>乙方如需召回检测结果的，可通过电话、邮寄、传真、电子邮件、当面告知等任一方式通知甲方召回检测结果，并通过上述形式提供新的检测结果，并告知受检者，否则应承担相应的责任。</w:t>
      </w:r>
    </w:p>
    <w:p>
      <w:pPr>
        <w:pStyle w:val="2"/>
        <w:pageBreakBefore w:val="0"/>
        <w:kinsoku/>
        <w:wordWrap/>
        <w:overflowPunct/>
        <w:topLinePunct w:val="0"/>
        <w:bidi w:val="0"/>
        <w:snapToGrid/>
        <w:spacing w:line="360" w:lineRule="exact"/>
        <w:ind w:firstLine="420" w:firstLineChars="200"/>
        <w:textAlignment w:val="auto"/>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乙方履行本合同的指定联系人及授权代表为【】，职务：【】；身份证件号码：【】联系电话</w:t>
      </w:r>
      <w:r>
        <w:rPr>
          <w:rFonts w:ascii="宋体" w:hAnsi="宋体" w:cs="宋体"/>
          <w:sz w:val="21"/>
          <w:szCs w:val="21"/>
        </w:rPr>
        <w:t xml:space="preserve"> </w:t>
      </w:r>
      <w:r>
        <w:rPr>
          <w:rFonts w:hint="eastAsia" w:ascii="宋体" w:hAnsi="宋体" w:cs="宋体"/>
          <w:sz w:val="21"/>
          <w:szCs w:val="21"/>
        </w:rPr>
        <w:t>【】。在履行合同过程中，该指定联系人及授权代表的行为、意思表示及对甲方所作的任何承诺、通知等，都对乙方直接具有约束力；甲方通知送达该联系人及授权代表时，即视为通知送达乙方。</w:t>
      </w:r>
    </w:p>
    <w:p>
      <w:pPr>
        <w:pStyle w:val="2"/>
        <w:pageBreakBefore w:val="0"/>
        <w:kinsoku/>
        <w:wordWrap/>
        <w:overflowPunct/>
        <w:topLinePunct w:val="0"/>
        <w:bidi w:val="0"/>
        <w:snapToGrid/>
        <w:spacing w:line="360" w:lineRule="exact"/>
        <w:ind w:firstLine="420" w:firstLineChars="200"/>
        <w:textAlignment w:val="auto"/>
        <w:rPr>
          <w:rFonts w:hint="default"/>
          <w:b/>
          <w:sz w:val="21"/>
          <w:szCs w:val="21"/>
          <w:lang w:val="en-US" w:eastAsia="zh-CN"/>
        </w:rPr>
      </w:pPr>
      <w:r>
        <w:rPr>
          <w:rFonts w:hint="eastAsia" w:ascii="宋体" w:hAnsi="宋体" w:cs="宋体"/>
          <w:sz w:val="21"/>
          <w:szCs w:val="21"/>
          <w:lang w:val="en-US" w:eastAsia="zh-CN"/>
        </w:rPr>
        <w:t>5.</w:t>
      </w:r>
      <w:r>
        <w:rPr>
          <w:rFonts w:hint="eastAsia" w:ascii="宋体" w:hAnsi="宋体" w:cs="宋体"/>
          <w:sz w:val="21"/>
          <w:szCs w:val="21"/>
        </w:rPr>
        <w:t>乙方须接受甲方履约诚信评价。</w:t>
      </w:r>
      <w:r>
        <w:rPr>
          <w:rFonts w:hint="eastAsia" w:ascii="宋体" w:hAnsi="宋体" w:cs="宋体"/>
          <w:b/>
          <w:bCs/>
          <w:sz w:val="21"/>
          <w:szCs w:val="21"/>
        </w:rPr>
        <w:t>（详见附件南方医科大学第五附属医院供应商履约诚信评价量表）</w:t>
      </w:r>
    </w:p>
    <w:p>
      <w:pPr>
        <w:pageBreakBefore w:val="0"/>
        <w:kinsoku/>
        <w:wordWrap/>
        <w:overflowPunct/>
        <w:topLinePunct w:val="0"/>
        <w:bidi w:val="0"/>
        <w:snapToGrid/>
        <w:spacing w:line="360" w:lineRule="exact"/>
        <w:ind w:firstLine="482"/>
        <w:jc w:val="both"/>
        <w:textAlignment w:val="auto"/>
        <w:rPr>
          <w:sz w:val="21"/>
          <w:szCs w:val="21"/>
        </w:rPr>
      </w:pPr>
      <w:r>
        <w:rPr>
          <w:rFonts w:hint="eastAsia"/>
          <w:b/>
          <w:sz w:val="21"/>
          <w:szCs w:val="21"/>
          <w:lang w:eastAsia="zh-CN"/>
        </w:rPr>
        <w:t>第九条</w:t>
      </w:r>
      <w:r>
        <w:rPr>
          <w:rFonts w:hint="eastAsia"/>
          <w:b/>
          <w:sz w:val="21"/>
          <w:szCs w:val="21"/>
          <w:lang w:val="en-US" w:eastAsia="zh-CN"/>
        </w:rPr>
        <w:t xml:space="preserve"> </w:t>
      </w:r>
      <w:r>
        <w:rPr>
          <w:b/>
          <w:sz w:val="21"/>
          <w:szCs w:val="21"/>
        </w:rPr>
        <w:t>违约责任</w:t>
      </w:r>
    </w:p>
    <w:p>
      <w:pPr>
        <w:pageBreakBefore w:val="0"/>
        <w:kinsoku/>
        <w:wordWrap/>
        <w:overflowPunct/>
        <w:topLinePunct w:val="0"/>
        <w:bidi w:val="0"/>
        <w:snapToGrid/>
        <w:spacing w:line="360" w:lineRule="exact"/>
        <w:ind w:firstLine="480"/>
        <w:jc w:val="both"/>
        <w:textAlignment w:val="auto"/>
        <w:rPr>
          <w:sz w:val="21"/>
          <w:szCs w:val="21"/>
        </w:rPr>
      </w:pPr>
      <w:r>
        <w:rPr>
          <w:sz w:val="21"/>
          <w:szCs w:val="21"/>
        </w:rPr>
        <w:t>1.乙方提供的检测项目未能满足甲方要求的，乙方须向甲方支付</w:t>
      </w:r>
      <w:r>
        <w:rPr>
          <w:sz w:val="21"/>
          <w:szCs w:val="21"/>
          <w:highlight w:val="none"/>
        </w:rPr>
        <w:t>当季度</w:t>
      </w:r>
      <w:r>
        <w:rPr>
          <w:sz w:val="21"/>
          <w:szCs w:val="21"/>
        </w:rPr>
        <w:t>结算总金额5%的违约金。</w:t>
      </w:r>
    </w:p>
    <w:p>
      <w:pPr>
        <w:pageBreakBefore w:val="0"/>
        <w:kinsoku/>
        <w:wordWrap/>
        <w:overflowPunct/>
        <w:topLinePunct w:val="0"/>
        <w:bidi w:val="0"/>
        <w:snapToGrid/>
        <w:spacing w:line="360" w:lineRule="exact"/>
        <w:ind w:firstLine="480"/>
        <w:jc w:val="both"/>
        <w:textAlignment w:val="auto"/>
        <w:rPr>
          <w:sz w:val="21"/>
          <w:szCs w:val="21"/>
        </w:rPr>
      </w:pPr>
      <w:r>
        <w:rPr>
          <w:sz w:val="21"/>
          <w:szCs w:val="21"/>
        </w:rPr>
        <w:t>2.乙方未能按甲方规定时间提供服务的，每次按当季度结算总金额1%的数额向甲方支付违约金；超过10次以上（含10次）的，甲方有权终止合同，要求乙方支付违约金，并且给甲方造成的经济损失由乙方承担赔偿责任。</w:t>
      </w:r>
    </w:p>
    <w:p>
      <w:pPr>
        <w:pageBreakBefore w:val="0"/>
        <w:kinsoku/>
        <w:wordWrap/>
        <w:overflowPunct/>
        <w:topLinePunct w:val="0"/>
        <w:bidi w:val="0"/>
        <w:snapToGrid/>
        <w:spacing w:line="360" w:lineRule="exact"/>
        <w:ind w:firstLine="480"/>
        <w:jc w:val="both"/>
        <w:textAlignment w:val="auto"/>
        <w:rPr>
          <w:sz w:val="21"/>
          <w:szCs w:val="21"/>
        </w:rPr>
      </w:pPr>
      <w:r>
        <w:rPr>
          <w:sz w:val="21"/>
          <w:szCs w:val="21"/>
        </w:rPr>
        <w:t>3.甲方无正当理由拒收接受服务，到期拒付服务款项的，甲方向乙方偿付当季度结算总金额5%的违约金。甲方逾期付款，则每日按本合同总价的3‰向乙方偿付违约金，违约金最高不超过逾期未付金额的5%。</w:t>
      </w:r>
    </w:p>
    <w:p>
      <w:pPr>
        <w:pageBreakBefore w:val="0"/>
        <w:kinsoku/>
        <w:wordWrap/>
        <w:overflowPunct/>
        <w:topLinePunct w:val="0"/>
        <w:bidi w:val="0"/>
        <w:snapToGrid/>
        <w:spacing w:line="360" w:lineRule="exact"/>
        <w:ind w:firstLine="480"/>
        <w:jc w:val="both"/>
        <w:textAlignment w:val="auto"/>
        <w:rPr>
          <w:sz w:val="21"/>
          <w:szCs w:val="21"/>
        </w:rPr>
      </w:pPr>
      <w:r>
        <w:rPr>
          <w:sz w:val="21"/>
          <w:szCs w:val="21"/>
        </w:rPr>
        <w:t>4.发生本合同第</w:t>
      </w:r>
      <w:r>
        <w:rPr>
          <w:rFonts w:hint="eastAsia"/>
          <w:sz w:val="21"/>
          <w:szCs w:val="21"/>
          <w:lang w:eastAsia="zh-CN"/>
        </w:rPr>
        <w:t>八</w:t>
      </w:r>
      <w:r>
        <w:rPr>
          <w:sz w:val="21"/>
          <w:szCs w:val="21"/>
        </w:rPr>
        <w:t>条第（二）款第</w:t>
      </w:r>
      <w:r>
        <w:rPr>
          <w:rFonts w:hint="eastAsia"/>
          <w:sz w:val="21"/>
          <w:szCs w:val="21"/>
          <w:lang w:val="en-US" w:eastAsia="zh-CN"/>
        </w:rPr>
        <w:t>4</w:t>
      </w:r>
      <w:r>
        <w:rPr>
          <w:sz w:val="21"/>
          <w:szCs w:val="21"/>
        </w:rPr>
        <w:t>项之</w:t>
      </w:r>
      <w:r>
        <w:rPr>
          <w:rFonts w:hint="eastAsia"/>
          <w:sz w:val="21"/>
          <w:szCs w:val="21"/>
          <w:lang w:eastAsia="zh-CN"/>
        </w:rPr>
        <w:t>一</w:t>
      </w:r>
      <w:r>
        <w:rPr>
          <w:sz w:val="21"/>
          <w:szCs w:val="21"/>
        </w:rPr>
        <w:t>情形的，甲方有权无责任解除本合同，要求乙方退还所有已支付款项并赔偿违约金1万元。</w:t>
      </w:r>
    </w:p>
    <w:p>
      <w:pPr>
        <w:pageBreakBefore w:val="0"/>
        <w:kinsoku/>
        <w:wordWrap/>
        <w:overflowPunct/>
        <w:topLinePunct w:val="0"/>
        <w:bidi w:val="0"/>
        <w:snapToGrid/>
        <w:spacing w:line="360" w:lineRule="exact"/>
        <w:ind w:firstLine="480"/>
        <w:jc w:val="both"/>
        <w:textAlignment w:val="auto"/>
        <w:rPr>
          <w:rFonts w:hint="eastAsia"/>
          <w:sz w:val="21"/>
          <w:szCs w:val="21"/>
        </w:rPr>
      </w:pPr>
      <w:r>
        <w:rPr>
          <w:rFonts w:hint="eastAsia"/>
          <w:sz w:val="21"/>
          <w:szCs w:val="21"/>
          <w:lang w:val="en-US" w:eastAsia="zh-CN"/>
        </w:rPr>
        <w:t xml:space="preserve">5. </w:t>
      </w:r>
      <w:r>
        <w:rPr>
          <w:rFonts w:hint="eastAsia"/>
          <w:sz w:val="21"/>
          <w:szCs w:val="21"/>
        </w:rPr>
        <w:t>乙方不得以任何方式将本项目转包、分包，否则甲方有权解除本合同，同时扣除乙方全额履约保证金，乙方还应赔偿甲方由此受到的一切损失。</w:t>
      </w:r>
    </w:p>
    <w:p>
      <w:pPr>
        <w:pageBreakBefore w:val="0"/>
        <w:kinsoku/>
        <w:wordWrap/>
        <w:overflowPunct/>
        <w:topLinePunct w:val="0"/>
        <w:bidi w:val="0"/>
        <w:snapToGrid/>
        <w:spacing w:line="360" w:lineRule="exact"/>
        <w:ind w:firstLine="480"/>
        <w:jc w:val="both"/>
        <w:textAlignment w:val="auto"/>
        <w:rPr>
          <w:rFonts w:hint="eastAsia"/>
          <w:sz w:val="21"/>
          <w:szCs w:val="21"/>
        </w:rPr>
      </w:pPr>
      <w:r>
        <w:rPr>
          <w:rFonts w:hint="eastAsia"/>
          <w:sz w:val="21"/>
          <w:szCs w:val="21"/>
          <w:lang w:val="en-US" w:eastAsia="zh-CN"/>
        </w:rPr>
        <w:t>6</w:t>
      </w:r>
      <w:r>
        <w:rPr>
          <w:rFonts w:hint="eastAsia"/>
          <w:sz w:val="21"/>
          <w:szCs w:val="21"/>
        </w:rPr>
        <w:t>.其它违约责任按《中华人民共和国民法典》中“关于合同”的部分处理。</w:t>
      </w:r>
    </w:p>
    <w:p>
      <w:pPr>
        <w:pageBreakBefore w:val="0"/>
        <w:kinsoku/>
        <w:wordWrap/>
        <w:overflowPunct/>
        <w:topLinePunct w:val="0"/>
        <w:bidi w:val="0"/>
        <w:snapToGrid/>
        <w:spacing w:line="360" w:lineRule="exact"/>
        <w:ind w:firstLine="480"/>
        <w:jc w:val="both"/>
        <w:textAlignment w:val="auto"/>
        <w:rPr>
          <w:sz w:val="21"/>
          <w:szCs w:val="21"/>
        </w:rPr>
      </w:pPr>
      <w:r>
        <w:rPr>
          <w:rFonts w:hint="eastAsia"/>
          <w:sz w:val="21"/>
          <w:szCs w:val="21"/>
          <w:lang w:val="en-US" w:eastAsia="zh-CN"/>
        </w:rPr>
        <w:t>7</w:t>
      </w:r>
      <w:r>
        <w:rPr>
          <w:rFonts w:hint="eastAsia"/>
          <w:sz w:val="21"/>
          <w:szCs w:val="21"/>
        </w:rPr>
        <w:t>.本合同生效后，如任何一方违约，守约方为维护权益，向违约方追偿的一切费用，包括但不限于律师费、诉讼费、保全费、鉴定费、差旅费等由违约方承担。由于乙方违约所产生的违约金或赔偿金，甲方有权在应付未付给乙方的合同款项中直接扣除，同时甲方有权根据本合同的相关约定向乙方提出不足部分的赔偿。</w:t>
      </w:r>
    </w:p>
    <w:p>
      <w:pPr>
        <w:pageBreakBefore w:val="0"/>
        <w:kinsoku/>
        <w:wordWrap/>
        <w:overflowPunct/>
        <w:topLinePunct w:val="0"/>
        <w:bidi w:val="0"/>
        <w:snapToGrid/>
        <w:spacing w:line="360" w:lineRule="exact"/>
        <w:ind w:firstLine="482"/>
        <w:jc w:val="both"/>
        <w:textAlignment w:val="auto"/>
        <w:rPr>
          <w:sz w:val="21"/>
          <w:szCs w:val="21"/>
        </w:rPr>
      </w:pPr>
      <w:r>
        <w:rPr>
          <w:rFonts w:hint="eastAsia"/>
          <w:b/>
          <w:sz w:val="21"/>
          <w:szCs w:val="21"/>
          <w:lang w:eastAsia="zh-CN"/>
        </w:rPr>
        <w:t>第十条</w:t>
      </w:r>
      <w:r>
        <w:rPr>
          <w:rFonts w:hint="eastAsia"/>
          <w:b/>
          <w:sz w:val="21"/>
          <w:szCs w:val="21"/>
          <w:lang w:val="en-US" w:eastAsia="zh-CN"/>
        </w:rPr>
        <w:t xml:space="preserve"> </w:t>
      </w:r>
      <w:r>
        <w:rPr>
          <w:b/>
          <w:sz w:val="21"/>
          <w:szCs w:val="21"/>
        </w:rPr>
        <w:t>不可抗力</w:t>
      </w:r>
    </w:p>
    <w:p>
      <w:pPr>
        <w:pageBreakBefore w:val="0"/>
        <w:kinsoku/>
        <w:wordWrap/>
        <w:overflowPunct/>
        <w:topLinePunct w:val="0"/>
        <w:bidi w:val="0"/>
        <w:snapToGrid/>
        <w:spacing w:line="360" w:lineRule="exact"/>
        <w:ind w:firstLine="480"/>
        <w:jc w:val="both"/>
        <w:textAlignment w:val="auto"/>
        <w:rPr>
          <w:sz w:val="21"/>
          <w:szCs w:val="21"/>
        </w:rPr>
      </w:pPr>
      <w:r>
        <w:rPr>
          <w:sz w:val="21"/>
          <w:szCs w:val="21"/>
        </w:rPr>
        <w:t>1.不可抗力指战争、严重火灾、洪水、台风、地震等或其它双方认定的不可抗力事件。</w:t>
      </w:r>
    </w:p>
    <w:p>
      <w:pPr>
        <w:pageBreakBefore w:val="0"/>
        <w:kinsoku/>
        <w:wordWrap/>
        <w:overflowPunct/>
        <w:topLinePunct w:val="0"/>
        <w:bidi w:val="0"/>
        <w:snapToGrid/>
        <w:spacing w:line="360" w:lineRule="exact"/>
        <w:ind w:firstLine="480"/>
        <w:jc w:val="both"/>
        <w:textAlignment w:val="auto"/>
        <w:rPr>
          <w:sz w:val="21"/>
          <w:szCs w:val="21"/>
        </w:rPr>
      </w:pPr>
      <w:r>
        <w:rPr>
          <w:sz w:val="21"/>
          <w:szCs w:val="21"/>
        </w:rPr>
        <w:t>2.签约双方中任何一方由于不可抗力影响合同履行时，发生不可抗力一方应尽快将事故通知另一方。在此情况下，乙方仍然有责任采取必要的措施提供服务，双方应通过友好协商尽快解决本合同的履行问题。</w:t>
      </w:r>
    </w:p>
    <w:p>
      <w:pPr>
        <w:pageBreakBefore w:val="0"/>
        <w:kinsoku/>
        <w:wordWrap/>
        <w:overflowPunct/>
        <w:topLinePunct w:val="0"/>
        <w:bidi w:val="0"/>
        <w:snapToGrid/>
        <w:spacing w:line="360" w:lineRule="exact"/>
        <w:ind w:firstLine="482"/>
        <w:jc w:val="both"/>
        <w:textAlignment w:val="auto"/>
        <w:rPr>
          <w:sz w:val="21"/>
          <w:szCs w:val="21"/>
        </w:rPr>
      </w:pPr>
      <w:r>
        <w:rPr>
          <w:rFonts w:hint="eastAsia"/>
          <w:b/>
          <w:sz w:val="21"/>
          <w:szCs w:val="21"/>
          <w:lang w:eastAsia="zh-CN"/>
        </w:rPr>
        <w:t>第十一条</w:t>
      </w:r>
      <w:r>
        <w:rPr>
          <w:rFonts w:hint="eastAsia"/>
          <w:b/>
          <w:sz w:val="21"/>
          <w:szCs w:val="21"/>
          <w:lang w:val="en-US" w:eastAsia="zh-CN"/>
        </w:rPr>
        <w:t xml:space="preserve"> </w:t>
      </w:r>
      <w:r>
        <w:rPr>
          <w:b/>
          <w:sz w:val="21"/>
          <w:szCs w:val="21"/>
        </w:rPr>
        <w:t>纠纷的解决方式</w:t>
      </w:r>
    </w:p>
    <w:p>
      <w:pPr>
        <w:pageBreakBefore w:val="0"/>
        <w:kinsoku/>
        <w:wordWrap/>
        <w:overflowPunct/>
        <w:topLinePunct w:val="0"/>
        <w:bidi w:val="0"/>
        <w:snapToGrid/>
        <w:spacing w:line="360" w:lineRule="exact"/>
        <w:ind w:firstLine="480"/>
        <w:jc w:val="both"/>
        <w:textAlignment w:val="auto"/>
        <w:rPr>
          <w:sz w:val="21"/>
          <w:szCs w:val="21"/>
        </w:rPr>
      </w:pPr>
      <w:r>
        <w:rPr>
          <w:rFonts w:hint="eastAsia"/>
          <w:sz w:val="21"/>
          <w:szCs w:val="21"/>
        </w:rPr>
        <w:t>签约双方在履约中发生争执和分歧，双方应通过友好协商解决;若经协商不能达成协议时，应向甲方所在地法院起诉。受理期间，双方应继续执行合同其余部分。</w:t>
      </w:r>
    </w:p>
    <w:p>
      <w:pPr>
        <w:pageBreakBefore w:val="0"/>
        <w:kinsoku/>
        <w:wordWrap/>
        <w:overflowPunct/>
        <w:topLinePunct w:val="0"/>
        <w:bidi w:val="0"/>
        <w:snapToGrid/>
        <w:spacing w:line="360" w:lineRule="exact"/>
        <w:ind w:firstLine="482"/>
        <w:jc w:val="both"/>
        <w:textAlignment w:val="auto"/>
        <w:rPr>
          <w:sz w:val="21"/>
          <w:szCs w:val="21"/>
        </w:rPr>
      </w:pPr>
      <w:r>
        <w:rPr>
          <w:rFonts w:hint="eastAsia"/>
          <w:b/>
          <w:sz w:val="21"/>
          <w:szCs w:val="21"/>
          <w:lang w:eastAsia="zh-CN"/>
        </w:rPr>
        <w:t>第十二条</w:t>
      </w:r>
      <w:r>
        <w:rPr>
          <w:rFonts w:hint="eastAsia"/>
          <w:b/>
          <w:sz w:val="21"/>
          <w:szCs w:val="21"/>
          <w:lang w:val="en-US" w:eastAsia="zh-CN"/>
        </w:rPr>
        <w:t xml:space="preserve"> </w:t>
      </w:r>
      <w:r>
        <w:rPr>
          <w:b/>
          <w:sz w:val="21"/>
          <w:szCs w:val="21"/>
        </w:rPr>
        <w:t>其他</w:t>
      </w:r>
    </w:p>
    <w:p>
      <w:pPr>
        <w:pageBreakBefore w:val="0"/>
        <w:kinsoku/>
        <w:wordWrap/>
        <w:overflowPunct/>
        <w:topLinePunct w:val="0"/>
        <w:bidi w:val="0"/>
        <w:snapToGrid/>
        <w:spacing w:line="360" w:lineRule="exact"/>
        <w:ind w:firstLine="480"/>
        <w:jc w:val="both"/>
        <w:textAlignment w:val="auto"/>
        <w:rPr>
          <w:rFonts w:hint="eastAsia"/>
          <w:sz w:val="21"/>
          <w:szCs w:val="21"/>
        </w:rPr>
      </w:pPr>
      <w:r>
        <w:rPr>
          <w:rFonts w:hint="eastAsia"/>
          <w:sz w:val="21"/>
          <w:szCs w:val="21"/>
        </w:rPr>
        <w:t>1.如一方地址、电话有变更，应在变更当日内书面通知对方，否则，应承担相应责任。</w:t>
      </w:r>
    </w:p>
    <w:p>
      <w:pPr>
        <w:pageBreakBefore w:val="0"/>
        <w:kinsoku/>
        <w:wordWrap/>
        <w:overflowPunct/>
        <w:topLinePunct w:val="0"/>
        <w:bidi w:val="0"/>
        <w:snapToGrid/>
        <w:spacing w:line="360" w:lineRule="exact"/>
        <w:ind w:firstLine="480"/>
        <w:jc w:val="both"/>
        <w:textAlignment w:val="auto"/>
        <w:rPr>
          <w:rFonts w:hint="eastAsia"/>
          <w:sz w:val="21"/>
          <w:szCs w:val="21"/>
        </w:rPr>
      </w:pPr>
      <w:r>
        <w:rPr>
          <w:rFonts w:hint="eastAsia"/>
          <w:sz w:val="21"/>
          <w:szCs w:val="21"/>
        </w:rPr>
        <w:t>2.本合同未尽事宜，由双方协商处理,另行签订《补充协议》。</w:t>
      </w:r>
    </w:p>
    <w:p>
      <w:pPr>
        <w:pageBreakBefore w:val="0"/>
        <w:kinsoku/>
        <w:wordWrap/>
        <w:overflowPunct/>
        <w:topLinePunct w:val="0"/>
        <w:bidi w:val="0"/>
        <w:snapToGrid/>
        <w:spacing w:line="360" w:lineRule="exact"/>
        <w:ind w:firstLine="480"/>
        <w:jc w:val="both"/>
        <w:textAlignment w:val="auto"/>
        <w:rPr>
          <w:rFonts w:hint="eastAsia"/>
          <w:sz w:val="21"/>
          <w:szCs w:val="21"/>
        </w:rPr>
      </w:pPr>
      <w:r>
        <w:rPr>
          <w:rFonts w:hint="eastAsia"/>
          <w:sz w:val="21"/>
          <w:szCs w:val="21"/>
          <w:lang w:val="en-US" w:eastAsia="zh-CN"/>
        </w:rPr>
        <w:t>3.</w:t>
      </w:r>
      <w:r>
        <w:rPr>
          <w:rFonts w:hint="eastAsia"/>
          <w:sz w:val="21"/>
          <w:szCs w:val="21"/>
        </w:rPr>
        <w:t>本合同在甲乙双方法定代表人或其授权代表签字并加盖公章后生效。</w:t>
      </w:r>
    </w:p>
    <w:p>
      <w:pPr>
        <w:pageBreakBefore w:val="0"/>
        <w:kinsoku/>
        <w:wordWrap/>
        <w:overflowPunct/>
        <w:topLinePunct w:val="0"/>
        <w:bidi w:val="0"/>
        <w:snapToGrid/>
        <w:spacing w:line="360" w:lineRule="exact"/>
        <w:ind w:firstLine="480"/>
        <w:jc w:val="both"/>
        <w:textAlignment w:val="auto"/>
        <w:rPr>
          <w:rFonts w:hint="eastAsia"/>
          <w:sz w:val="21"/>
          <w:szCs w:val="21"/>
        </w:rPr>
      </w:pPr>
      <w:r>
        <w:rPr>
          <w:rFonts w:hint="eastAsia"/>
          <w:sz w:val="21"/>
          <w:szCs w:val="21"/>
          <w:lang w:val="en-US" w:eastAsia="zh-CN"/>
        </w:rPr>
        <w:t>4.</w:t>
      </w:r>
      <w:r>
        <w:rPr>
          <w:rFonts w:hint="eastAsia"/>
          <w:sz w:val="21"/>
          <w:szCs w:val="21"/>
        </w:rPr>
        <w:t>本合同一式</w:t>
      </w:r>
      <w:r>
        <w:rPr>
          <w:rFonts w:hint="eastAsia"/>
          <w:sz w:val="21"/>
          <w:szCs w:val="21"/>
          <w:lang w:val="en-US" w:eastAsia="zh-CN"/>
        </w:rPr>
        <w:t xml:space="preserve">   </w:t>
      </w:r>
      <w:r>
        <w:rPr>
          <w:rFonts w:hint="eastAsia"/>
          <w:sz w:val="21"/>
          <w:szCs w:val="21"/>
        </w:rPr>
        <w:t>份，甲方执</w:t>
      </w:r>
      <w:r>
        <w:rPr>
          <w:rFonts w:hint="eastAsia"/>
          <w:sz w:val="21"/>
          <w:szCs w:val="21"/>
          <w:lang w:val="en-US" w:eastAsia="zh-CN"/>
        </w:rPr>
        <w:t xml:space="preserve">  </w:t>
      </w:r>
      <w:r>
        <w:rPr>
          <w:rFonts w:hint="eastAsia"/>
          <w:sz w:val="21"/>
          <w:szCs w:val="21"/>
        </w:rPr>
        <w:t>份，乙方执</w:t>
      </w:r>
      <w:r>
        <w:rPr>
          <w:rFonts w:hint="eastAsia"/>
          <w:sz w:val="21"/>
          <w:szCs w:val="21"/>
          <w:lang w:val="en-US" w:eastAsia="zh-CN"/>
        </w:rPr>
        <w:t xml:space="preserve">  </w:t>
      </w:r>
      <w:r>
        <w:rPr>
          <w:rFonts w:hint="eastAsia"/>
          <w:sz w:val="21"/>
          <w:szCs w:val="21"/>
        </w:rPr>
        <w:t>份。各份合同具有同等法律效力。</w:t>
      </w:r>
    </w:p>
    <w:p>
      <w:pPr>
        <w:pageBreakBefore w:val="0"/>
        <w:kinsoku/>
        <w:wordWrap/>
        <w:overflowPunct/>
        <w:topLinePunct w:val="0"/>
        <w:bidi w:val="0"/>
        <w:snapToGrid/>
        <w:spacing w:line="360" w:lineRule="exact"/>
        <w:jc w:val="center"/>
        <w:textAlignment w:val="auto"/>
        <w:rPr>
          <w:b/>
          <w:bCs/>
          <w:sz w:val="21"/>
          <w:szCs w:val="21"/>
        </w:rPr>
      </w:pPr>
      <w:r>
        <w:rPr>
          <w:b/>
          <w:bCs/>
          <w:sz w:val="21"/>
          <w:szCs w:val="21"/>
        </w:rPr>
        <w:t>(以下无正文)</w:t>
      </w:r>
    </w:p>
    <w:p>
      <w:pPr>
        <w:pageBreakBefore w:val="0"/>
        <w:kinsoku/>
        <w:wordWrap/>
        <w:overflowPunct/>
        <w:topLinePunct w:val="0"/>
        <w:bidi w:val="0"/>
        <w:snapToGrid/>
        <w:spacing w:line="360" w:lineRule="exact"/>
        <w:ind w:firstLine="632" w:firstLineChars="300"/>
        <w:jc w:val="both"/>
        <w:textAlignment w:val="auto"/>
        <w:rPr>
          <w:rFonts w:hint="eastAsia"/>
          <w:b/>
          <w:sz w:val="21"/>
          <w:szCs w:val="21"/>
          <w:lang w:eastAsia="zh-CN"/>
        </w:rPr>
      </w:pPr>
      <w:r>
        <w:rPr>
          <w:rFonts w:hint="eastAsia"/>
          <w:b/>
          <w:sz w:val="21"/>
          <w:szCs w:val="21"/>
          <w:lang w:eastAsia="zh-CN"/>
        </w:rPr>
        <w:t>附件：南方医科大学第五附属医院供应商履约诚信评价量表</w:t>
      </w:r>
    </w:p>
    <w:p>
      <w:pPr>
        <w:pageBreakBefore w:val="0"/>
        <w:kinsoku/>
        <w:wordWrap/>
        <w:overflowPunct/>
        <w:topLinePunct w:val="0"/>
        <w:bidi w:val="0"/>
        <w:snapToGrid/>
        <w:spacing w:line="360" w:lineRule="exact"/>
        <w:jc w:val="center"/>
        <w:textAlignment w:val="auto"/>
        <w:rPr>
          <w:sz w:val="21"/>
          <w:szCs w:val="21"/>
        </w:rPr>
      </w:pPr>
      <w:r>
        <w:rPr>
          <w:b/>
          <w:sz w:val="21"/>
          <w:szCs w:val="21"/>
        </w:rPr>
        <w:t>签署页</w:t>
      </w:r>
    </w:p>
    <w:p>
      <w:pPr>
        <w:pageBreakBefore w:val="0"/>
        <w:kinsoku/>
        <w:wordWrap/>
        <w:overflowPunct/>
        <w:topLinePunct w:val="0"/>
        <w:bidi w:val="0"/>
        <w:snapToGrid/>
        <w:spacing w:line="360" w:lineRule="exact"/>
        <w:jc w:val="left"/>
        <w:textAlignment w:val="auto"/>
        <w:rPr>
          <w:sz w:val="21"/>
          <w:szCs w:val="21"/>
        </w:rPr>
      </w:pPr>
      <w:r>
        <w:rPr>
          <w:sz w:val="21"/>
          <w:szCs w:val="21"/>
        </w:rPr>
        <w:t xml:space="preserve"> </w:t>
      </w:r>
    </w:p>
    <w:p>
      <w:pPr>
        <w:pageBreakBefore w:val="0"/>
        <w:kinsoku/>
        <w:wordWrap/>
        <w:overflowPunct/>
        <w:topLinePunct w:val="0"/>
        <w:bidi w:val="0"/>
        <w:snapToGrid/>
        <w:spacing w:line="360" w:lineRule="exact"/>
        <w:jc w:val="left"/>
        <w:textAlignment w:val="auto"/>
        <w:rPr>
          <w:sz w:val="21"/>
          <w:szCs w:val="21"/>
        </w:rPr>
      </w:pPr>
      <w:r>
        <w:rPr>
          <w:b/>
          <w:sz w:val="21"/>
          <w:szCs w:val="21"/>
        </w:rPr>
        <w:t xml:space="preserve">甲方：                                 </w:t>
      </w:r>
      <w:r>
        <w:rPr>
          <w:rFonts w:hint="eastAsia"/>
          <w:b/>
          <w:sz w:val="21"/>
          <w:szCs w:val="21"/>
          <w:lang w:val="en-US" w:eastAsia="zh-CN"/>
        </w:rPr>
        <w:t xml:space="preserve">       </w:t>
      </w:r>
      <w:r>
        <w:rPr>
          <w:b/>
          <w:sz w:val="21"/>
          <w:szCs w:val="21"/>
        </w:rPr>
        <w:t xml:space="preserve"> 乙方： </w:t>
      </w:r>
    </w:p>
    <w:p>
      <w:pPr>
        <w:pageBreakBefore w:val="0"/>
        <w:kinsoku/>
        <w:wordWrap/>
        <w:overflowPunct/>
        <w:topLinePunct w:val="0"/>
        <w:bidi w:val="0"/>
        <w:snapToGrid/>
        <w:spacing w:line="360" w:lineRule="exact"/>
        <w:jc w:val="left"/>
        <w:textAlignment w:val="auto"/>
        <w:rPr>
          <w:sz w:val="21"/>
          <w:szCs w:val="21"/>
        </w:rPr>
      </w:pPr>
      <w:r>
        <w:rPr>
          <w:b/>
          <w:sz w:val="21"/>
          <w:szCs w:val="21"/>
        </w:rPr>
        <w:t xml:space="preserve"> </w:t>
      </w:r>
    </w:p>
    <w:p>
      <w:pPr>
        <w:pageBreakBefore w:val="0"/>
        <w:kinsoku/>
        <w:wordWrap/>
        <w:overflowPunct/>
        <w:topLinePunct w:val="0"/>
        <w:bidi w:val="0"/>
        <w:snapToGrid/>
        <w:spacing w:line="360" w:lineRule="exact"/>
        <w:jc w:val="left"/>
        <w:textAlignment w:val="auto"/>
        <w:rPr>
          <w:sz w:val="21"/>
          <w:szCs w:val="21"/>
        </w:rPr>
      </w:pPr>
      <w:r>
        <w:rPr>
          <w:b/>
          <w:sz w:val="21"/>
          <w:szCs w:val="21"/>
        </w:rPr>
        <w:t xml:space="preserve"> </w:t>
      </w:r>
    </w:p>
    <w:p>
      <w:pPr>
        <w:pageBreakBefore w:val="0"/>
        <w:kinsoku/>
        <w:wordWrap/>
        <w:overflowPunct/>
        <w:topLinePunct w:val="0"/>
        <w:bidi w:val="0"/>
        <w:snapToGrid/>
        <w:spacing w:line="360" w:lineRule="exact"/>
        <w:jc w:val="left"/>
        <w:textAlignment w:val="auto"/>
        <w:rPr>
          <w:sz w:val="21"/>
          <w:szCs w:val="21"/>
        </w:rPr>
      </w:pPr>
      <w:r>
        <w:rPr>
          <w:b/>
          <w:sz w:val="21"/>
          <w:szCs w:val="21"/>
        </w:rPr>
        <w:t xml:space="preserve">法定代表人或授权代表：            </w:t>
      </w:r>
      <w:r>
        <w:rPr>
          <w:rFonts w:hint="eastAsia"/>
          <w:b/>
          <w:sz w:val="21"/>
          <w:szCs w:val="21"/>
          <w:lang w:val="en-US" w:eastAsia="zh-CN"/>
        </w:rPr>
        <w:t xml:space="preserve">      </w:t>
      </w:r>
      <w:r>
        <w:rPr>
          <w:b/>
          <w:sz w:val="21"/>
          <w:szCs w:val="21"/>
        </w:rPr>
        <w:t xml:space="preserve">  法定代表人或授权代表：</w:t>
      </w:r>
    </w:p>
    <w:p>
      <w:pPr>
        <w:pageBreakBefore w:val="0"/>
        <w:kinsoku/>
        <w:wordWrap/>
        <w:overflowPunct/>
        <w:topLinePunct w:val="0"/>
        <w:bidi w:val="0"/>
        <w:snapToGrid/>
        <w:spacing w:line="360" w:lineRule="exact"/>
        <w:jc w:val="left"/>
        <w:textAlignment w:val="auto"/>
        <w:rPr>
          <w:sz w:val="21"/>
          <w:szCs w:val="21"/>
        </w:rPr>
      </w:pPr>
      <w:r>
        <w:rPr>
          <w:b/>
          <w:sz w:val="21"/>
          <w:szCs w:val="21"/>
        </w:rPr>
        <w:t xml:space="preserve">                           </w:t>
      </w:r>
    </w:p>
    <w:p>
      <w:pPr>
        <w:pageBreakBefore w:val="0"/>
        <w:kinsoku/>
        <w:wordWrap/>
        <w:overflowPunct/>
        <w:topLinePunct w:val="0"/>
        <w:bidi w:val="0"/>
        <w:snapToGrid/>
        <w:spacing w:line="360" w:lineRule="exact"/>
        <w:jc w:val="left"/>
        <w:textAlignment w:val="auto"/>
        <w:rPr>
          <w:b/>
          <w:sz w:val="21"/>
          <w:szCs w:val="21"/>
        </w:rPr>
      </w:pPr>
    </w:p>
    <w:p>
      <w:pPr>
        <w:pageBreakBefore w:val="0"/>
        <w:kinsoku/>
        <w:wordWrap/>
        <w:overflowPunct/>
        <w:topLinePunct w:val="0"/>
        <w:bidi w:val="0"/>
        <w:snapToGrid/>
        <w:spacing w:line="360" w:lineRule="exact"/>
        <w:jc w:val="left"/>
        <w:textAlignment w:val="auto"/>
        <w:rPr>
          <w:b/>
          <w:sz w:val="21"/>
          <w:szCs w:val="21"/>
        </w:rPr>
      </w:pPr>
    </w:p>
    <w:p>
      <w:pPr>
        <w:pageBreakBefore w:val="0"/>
        <w:kinsoku/>
        <w:wordWrap/>
        <w:overflowPunct/>
        <w:topLinePunct w:val="0"/>
        <w:bidi w:val="0"/>
        <w:snapToGrid/>
        <w:spacing w:line="360" w:lineRule="exact"/>
        <w:jc w:val="left"/>
        <w:textAlignment w:val="auto"/>
        <w:rPr>
          <w:sz w:val="21"/>
          <w:szCs w:val="21"/>
        </w:rPr>
      </w:pPr>
      <w:r>
        <w:rPr>
          <w:b/>
          <w:sz w:val="21"/>
          <w:szCs w:val="21"/>
        </w:rPr>
        <w:t xml:space="preserve">日期：   年   月   日                 </w:t>
      </w:r>
      <w:r>
        <w:rPr>
          <w:rFonts w:hint="eastAsia"/>
          <w:b/>
          <w:sz w:val="21"/>
          <w:szCs w:val="21"/>
          <w:lang w:val="en-US" w:eastAsia="zh-CN"/>
        </w:rPr>
        <w:t xml:space="preserve">             </w:t>
      </w:r>
      <w:r>
        <w:rPr>
          <w:b/>
          <w:sz w:val="21"/>
          <w:szCs w:val="21"/>
        </w:rPr>
        <w:t xml:space="preserve">  日期：   年   月   日</w:t>
      </w:r>
    </w:p>
    <w:p>
      <w:pPr>
        <w:pageBreakBefore w:val="0"/>
        <w:kinsoku/>
        <w:wordWrap/>
        <w:overflowPunct/>
        <w:topLinePunct w:val="0"/>
        <w:bidi w:val="0"/>
        <w:snapToGrid/>
        <w:spacing w:line="360" w:lineRule="exact"/>
        <w:jc w:val="left"/>
        <w:textAlignment w:val="auto"/>
        <w:rPr>
          <w:sz w:val="21"/>
          <w:szCs w:val="21"/>
        </w:rPr>
      </w:pPr>
      <w:r>
        <w:rPr>
          <w:sz w:val="21"/>
          <w:szCs w:val="21"/>
        </w:rPr>
        <w:t xml:space="preserve"> </w:t>
      </w:r>
    </w:p>
    <w:p>
      <w:pPr>
        <w:spacing w:line="360" w:lineRule="auto"/>
        <w:jc w:val="left"/>
      </w:pPr>
      <w:r>
        <w:rPr>
          <w:sz w:val="21"/>
        </w:rPr>
        <w:t xml:space="preserve"> </w:t>
      </w:r>
    </w:p>
    <w:p>
      <w:pPr>
        <w:spacing w:line="360" w:lineRule="auto"/>
        <w:jc w:val="left"/>
      </w:pPr>
      <w:r>
        <w:rPr>
          <w:sz w:val="21"/>
        </w:rPr>
        <w:t xml:space="preserve"> </w:t>
      </w:r>
    </w:p>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int="eastAsia" w:hAnsi="宋体"/>
          <w:b/>
          <w:bCs/>
        </w:rPr>
      </w:pPr>
    </w:p>
    <w:p>
      <w:pPr>
        <w:rPr>
          <w:rFonts w:hAnsi="宋体"/>
          <w:b/>
        </w:rPr>
      </w:pPr>
      <w:r>
        <w:rPr>
          <w:rFonts w:hint="eastAsia" w:hAnsi="宋体"/>
          <w:b/>
          <w:bCs/>
        </w:rPr>
        <w:t>附件</w:t>
      </w:r>
    </w:p>
    <w:p>
      <w:pPr>
        <w:jc w:val="center"/>
        <w:rPr>
          <w:rFonts w:hAnsi="宋体"/>
          <w:b/>
          <w:sz w:val="30"/>
          <w:szCs w:val="30"/>
        </w:rPr>
      </w:pPr>
      <w:r>
        <w:rPr>
          <w:rFonts w:hint="eastAsia" w:hAnsi="宋体"/>
          <w:b/>
          <w:sz w:val="30"/>
          <w:szCs w:val="30"/>
        </w:rPr>
        <w:t>南方医科大学第五附属医院供应商履约诚信评价量表</w:t>
      </w:r>
    </w:p>
    <w:p>
      <w:pPr>
        <w:spacing w:line="360" w:lineRule="auto"/>
        <w:ind w:firstLine="422" w:firstLineChars="200"/>
        <w:rPr>
          <w:rFonts w:hAnsi="宋体" w:cs="宋体"/>
          <w:b/>
        </w:rPr>
      </w:pPr>
      <w:r>
        <w:rPr>
          <w:rFonts w:hint="eastAsia" w:hAnsi="宋体" w:cs="宋体"/>
          <w:b/>
        </w:rPr>
        <w:t>（1）</w:t>
      </w:r>
      <w:r>
        <w:rPr>
          <w:rFonts w:hint="eastAsia" w:hAnsi="宋体" w:cs="宋体"/>
          <w:b/>
          <w:lang w:eastAsia="zh-CN"/>
        </w:rPr>
        <w:t>医教</w:t>
      </w:r>
      <w:r>
        <w:rPr>
          <w:rFonts w:hint="eastAsia" w:hAnsi="宋体" w:cs="宋体"/>
          <w:b/>
        </w:rPr>
        <w:t>部评价（占70%）</w:t>
      </w:r>
    </w:p>
    <w:tbl>
      <w:tblPr>
        <w:tblStyle w:val="19"/>
        <w:tblW w:w="9475" w:type="dxa"/>
        <w:jc w:val="center"/>
        <w:tblLayout w:type="fixed"/>
        <w:tblCellMar>
          <w:top w:w="0" w:type="dxa"/>
          <w:left w:w="108" w:type="dxa"/>
          <w:bottom w:w="0" w:type="dxa"/>
          <w:right w:w="108" w:type="dxa"/>
        </w:tblCellMar>
      </w:tblPr>
      <w:tblGrid>
        <w:gridCol w:w="473"/>
        <w:gridCol w:w="838"/>
        <w:gridCol w:w="780"/>
        <w:gridCol w:w="450"/>
        <w:gridCol w:w="765"/>
        <w:gridCol w:w="660"/>
        <w:gridCol w:w="645"/>
        <w:gridCol w:w="645"/>
        <w:gridCol w:w="582"/>
        <w:gridCol w:w="633"/>
        <w:gridCol w:w="690"/>
        <w:gridCol w:w="525"/>
        <w:gridCol w:w="660"/>
        <w:gridCol w:w="540"/>
        <w:gridCol w:w="589"/>
      </w:tblGrid>
      <w:tr>
        <w:trPr>
          <w:trHeight w:val="436" w:hRule="atLeast"/>
          <w:jc w:val="center"/>
        </w:trPr>
        <w:tc>
          <w:tcPr>
            <w:tcW w:w="4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序号</w:t>
            </w:r>
          </w:p>
        </w:tc>
        <w:tc>
          <w:tcPr>
            <w:tcW w:w="83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hAnsi="宋体" w:cs="宋体"/>
                <w:sz w:val="18"/>
                <w:szCs w:val="18"/>
              </w:rPr>
            </w:pPr>
            <w:r>
              <w:rPr>
                <w:rFonts w:hint="eastAsia" w:hAnsi="宋体" w:cs="宋体"/>
                <w:sz w:val="18"/>
                <w:szCs w:val="18"/>
              </w:rPr>
              <w:t>供应商</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货物/服务/工程名称</w:t>
            </w:r>
          </w:p>
        </w:tc>
        <w:tc>
          <w:tcPr>
            <w:tcW w:w="4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开标时间</w:t>
            </w:r>
          </w:p>
        </w:tc>
        <w:tc>
          <w:tcPr>
            <w:tcW w:w="2070"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质量水平评价</w:t>
            </w:r>
          </w:p>
        </w:tc>
        <w:tc>
          <w:tcPr>
            <w:tcW w:w="1227"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响应能力评价</w:t>
            </w:r>
          </w:p>
        </w:tc>
        <w:tc>
          <w:tcPr>
            <w:tcW w:w="1848"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服务能力评价</w:t>
            </w:r>
          </w:p>
        </w:tc>
        <w:tc>
          <w:tcPr>
            <w:tcW w:w="1200"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履约合作评价</w:t>
            </w:r>
          </w:p>
        </w:tc>
        <w:tc>
          <w:tcPr>
            <w:tcW w:w="5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合</w:t>
            </w:r>
          </w:p>
          <w:p>
            <w:pPr>
              <w:widowControl/>
              <w:jc w:val="center"/>
              <w:rPr>
                <w:rFonts w:hAnsi="宋体" w:cs="宋体"/>
                <w:sz w:val="18"/>
                <w:szCs w:val="18"/>
              </w:rPr>
            </w:pPr>
            <w:r>
              <w:rPr>
                <w:rFonts w:hint="eastAsia" w:hAnsi="宋体" w:cs="宋体"/>
                <w:sz w:val="18"/>
                <w:szCs w:val="18"/>
              </w:rPr>
              <w:t>计</w:t>
            </w:r>
          </w:p>
        </w:tc>
      </w:tr>
      <w:tr>
        <w:tblPrEx>
          <w:tblCellMar>
            <w:top w:w="0" w:type="dxa"/>
            <w:left w:w="108" w:type="dxa"/>
            <w:bottom w:w="0" w:type="dxa"/>
            <w:right w:w="108" w:type="dxa"/>
          </w:tblCellMar>
        </w:tblPrEx>
        <w:trPr>
          <w:trHeight w:val="326"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2070"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rPr>
            </w:pPr>
            <w:r>
              <w:rPr>
                <w:rFonts w:hint="eastAsia" w:hAnsi="宋体" w:cs="宋体"/>
              </w:rPr>
              <w:t>（40分）</w:t>
            </w:r>
          </w:p>
        </w:tc>
        <w:tc>
          <w:tcPr>
            <w:tcW w:w="1227"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rPr>
            </w:pPr>
            <w:r>
              <w:rPr>
                <w:rFonts w:hint="eastAsia" w:hAnsi="宋体" w:cs="宋体"/>
              </w:rPr>
              <w:t>（20分）</w:t>
            </w:r>
          </w:p>
        </w:tc>
        <w:tc>
          <w:tcPr>
            <w:tcW w:w="1848"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rPr>
            </w:pPr>
            <w:r>
              <w:rPr>
                <w:rFonts w:hint="eastAsia" w:hAnsi="宋体" w:cs="宋体"/>
              </w:rPr>
              <w:t>（25分）</w:t>
            </w:r>
          </w:p>
        </w:tc>
        <w:tc>
          <w:tcPr>
            <w:tcW w:w="1200"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rPr>
            </w:pPr>
            <w:r>
              <w:rPr>
                <w:rFonts w:hint="eastAsia" w:hAnsi="宋体" w:cs="宋体"/>
              </w:rPr>
              <w:t>（15分）</w:t>
            </w: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3442"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6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与报价响应文件要求的一致性</w:t>
            </w:r>
          </w:p>
        </w:tc>
        <w:tc>
          <w:tcPr>
            <w:tcW w:w="660" w:type="dxa"/>
            <w:tcBorders>
              <w:top w:val="nil"/>
              <w:left w:val="nil"/>
              <w:bottom w:val="single" w:color="auto" w:sz="4" w:space="0"/>
              <w:right w:val="single" w:color="auto" w:sz="4" w:space="0"/>
            </w:tcBorders>
            <w:vAlign w:val="center"/>
          </w:tcPr>
          <w:p>
            <w:pPr>
              <w:spacing w:line="300" w:lineRule="exact"/>
              <w:jc w:val="both"/>
              <w:rPr>
                <w:rFonts w:hAnsi="宋体" w:cs="宋体"/>
                <w:sz w:val="18"/>
                <w:szCs w:val="18"/>
              </w:rPr>
            </w:pPr>
            <w:r>
              <w:rPr>
                <w:rFonts w:hint="eastAsia" w:hAnsi="宋体" w:cs="宋体"/>
                <w:sz w:val="18"/>
                <w:szCs w:val="18"/>
              </w:rPr>
              <w:t>服务/工程品质</w:t>
            </w:r>
          </w:p>
        </w:tc>
        <w:tc>
          <w:tcPr>
            <w:tcW w:w="645" w:type="dxa"/>
            <w:tcBorders>
              <w:top w:val="nil"/>
              <w:left w:val="nil"/>
              <w:bottom w:val="single" w:color="auto" w:sz="4" w:space="0"/>
              <w:right w:val="single" w:color="auto" w:sz="4" w:space="0"/>
            </w:tcBorders>
            <w:vAlign w:val="center"/>
          </w:tcPr>
          <w:p>
            <w:pPr>
              <w:spacing w:line="300" w:lineRule="exact"/>
              <w:jc w:val="both"/>
              <w:rPr>
                <w:rFonts w:hAnsi="宋体" w:cs="宋体"/>
                <w:sz w:val="18"/>
                <w:szCs w:val="18"/>
              </w:rPr>
            </w:pPr>
            <w:r>
              <w:rPr>
                <w:rFonts w:hint="eastAsia" w:hAnsi="宋体" w:cs="宋体"/>
                <w:sz w:val="18"/>
                <w:szCs w:val="18"/>
              </w:rPr>
              <w:t>质量管理措施</w:t>
            </w:r>
          </w:p>
          <w:p>
            <w:pPr>
              <w:spacing w:line="300" w:lineRule="exact"/>
              <w:rPr>
                <w:rFonts w:hAnsi="宋体" w:cs="宋体"/>
                <w:sz w:val="18"/>
                <w:szCs w:val="18"/>
              </w:rPr>
            </w:pPr>
          </w:p>
        </w:tc>
        <w:tc>
          <w:tcPr>
            <w:tcW w:w="645"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服务及时性/工 程进度把控能力</w:t>
            </w:r>
          </w:p>
        </w:tc>
        <w:tc>
          <w:tcPr>
            <w:tcW w:w="582" w:type="dxa"/>
            <w:tcBorders>
              <w:top w:val="nil"/>
              <w:left w:val="nil"/>
              <w:bottom w:val="single" w:color="auto" w:sz="4" w:space="0"/>
              <w:right w:val="single" w:color="auto" w:sz="4" w:space="0"/>
            </w:tcBorders>
            <w:vAlign w:val="center"/>
          </w:tcPr>
          <w:p>
            <w:pPr>
              <w:widowControl/>
              <w:spacing w:line="300" w:lineRule="exact"/>
              <w:jc w:val="center"/>
              <w:textAlignment w:val="center"/>
              <w:rPr>
                <w:rFonts w:hAnsi="宋体" w:cs="宋体"/>
                <w:sz w:val="18"/>
                <w:szCs w:val="18"/>
              </w:rPr>
            </w:pPr>
            <w:r>
              <w:rPr>
                <w:rFonts w:hint="eastAsia" w:hAnsi="宋体" w:cs="宋体"/>
                <w:sz w:val="18"/>
                <w:szCs w:val="18"/>
              </w:rPr>
              <w:t xml:space="preserve">沟通协 </w:t>
            </w:r>
          </w:p>
          <w:p>
            <w:pPr>
              <w:widowControl/>
              <w:spacing w:line="300" w:lineRule="exact"/>
              <w:jc w:val="center"/>
              <w:textAlignment w:val="center"/>
              <w:rPr>
                <w:rFonts w:hAnsi="宋体" w:cs="宋体"/>
                <w:sz w:val="18"/>
                <w:szCs w:val="18"/>
              </w:rPr>
            </w:pPr>
            <w:r>
              <w:rPr>
                <w:rFonts w:hint="eastAsia" w:hAnsi="宋体" w:cs="宋体"/>
                <w:sz w:val="18"/>
                <w:szCs w:val="18"/>
              </w:rPr>
              <w:t xml:space="preserve">调能力 </w:t>
            </w:r>
          </w:p>
        </w:tc>
        <w:tc>
          <w:tcPr>
            <w:tcW w:w="633"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配套售后服务质量</w:t>
            </w:r>
          </w:p>
          <w:p>
            <w:pPr>
              <w:spacing w:line="300" w:lineRule="exact"/>
              <w:jc w:val="center"/>
              <w:rPr>
                <w:rFonts w:hAnsi="宋体" w:cs="宋体"/>
                <w:sz w:val="18"/>
                <w:szCs w:val="18"/>
              </w:rPr>
            </w:pPr>
          </w:p>
        </w:tc>
        <w:tc>
          <w:tcPr>
            <w:tcW w:w="69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故障或应急到修的能力</w:t>
            </w:r>
          </w:p>
          <w:p>
            <w:pPr>
              <w:spacing w:line="300" w:lineRule="exact"/>
              <w:jc w:val="center"/>
              <w:rPr>
                <w:rFonts w:hAnsi="宋体" w:cs="宋体"/>
                <w:sz w:val="18"/>
                <w:szCs w:val="18"/>
              </w:rPr>
            </w:pPr>
          </w:p>
        </w:tc>
        <w:tc>
          <w:tcPr>
            <w:tcW w:w="52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服务态度</w:t>
            </w:r>
          </w:p>
          <w:p>
            <w:pPr>
              <w:spacing w:line="300" w:lineRule="exact"/>
              <w:rPr>
                <w:rFonts w:hAnsi="宋体" w:cs="宋体"/>
                <w:sz w:val="18"/>
                <w:szCs w:val="18"/>
              </w:rPr>
            </w:pPr>
          </w:p>
        </w:tc>
        <w:tc>
          <w:tcPr>
            <w:tcW w:w="66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合同完全履约情况</w:t>
            </w:r>
          </w:p>
          <w:p>
            <w:pPr>
              <w:spacing w:line="300" w:lineRule="exact"/>
              <w:jc w:val="center"/>
              <w:rPr>
                <w:rFonts w:hAnsi="宋体" w:cs="宋体"/>
                <w:sz w:val="18"/>
                <w:szCs w:val="18"/>
              </w:rPr>
            </w:pPr>
          </w:p>
        </w:tc>
        <w:tc>
          <w:tcPr>
            <w:tcW w:w="54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性价比情况</w:t>
            </w:r>
          </w:p>
          <w:p>
            <w:pPr>
              <w:spacing w:line="300" w:lineRule="exact"/>
              <w:jc w:val="center"/>
              <w:rPr>
                <w:rFonts w:hAnsi="宋体" w:cs="宋体"/>
                <w:sz w:val="18"/>
                <w:szCs w:val="18"/>
              </w:rPr>
            </w:pP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rPr>
          <w:trHeight w:val="646"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6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66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4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64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582"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633"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9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52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66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54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bl>
    <w:p>
      <w:pPr>
        <w:rPr>
          <w:rFonts w:hAnsi="宋体" w:cs="宋体"/>
          <w:sz w:val="21"/>
          <w:szCs w:val="21"/>
        </w:rPr>
      </w:pPr>
    </w:p>
    <w:p>
      <w:pPr>
        <w:spacing w:line="360" w:lineRule="auto"/>
        <w:ind w:firstLine="422" w:firstLineChars="200"/>
        <w:rPr>
          <w:rFonts w:hAnsi="宋体" w:cs="宋体"/>
          <w:b/>
        </w:rPr>
      </w:pPr>
      <w:r>
        <w:rPr>
          <w:rFonts w:hint="eastAsia" w:hAnsi="宋体" w:cs="宋体"/>
          <w:b/>
        </w:rPr>
        <w:t>（2）招标采购办公室评价（占30%）</w:t>
      </w:r>
    </w:p>
    <w:tbl>
      <w:tblPr>
        <w:tblStyle w:val="19"/>
        <w:tblW w:w="9816" w:type="dxa"/>
        <w:jc w:val="center"/>
        <w:tblLayout w:type="fixed"/>
        <w:tblCellMar>
          <w:top w:w="0" w:type="dxa"/>
          <w:left w:w="108" w:type="dxa"/>
          <w:bottom w:w="0" w:type="dxa"/>
          <w:right w:w="108" w:type="dxa"/>
        </w:tblCellMar>
      </w:tblPr>
      <w:tblGrid>
        <w:gridCol w:w="683"/>
        <w:gridCol w:w="928"/>
        <w:gridCol w:w="857"/>
        <w:gridCol w:w="746"/>
        <w:gridCol w:w="652"/>
        <w:gridCol w:w="630"/>
        <w:gridCol w:w="613"/>
        <w:gridCol w:w="632"/>
        <w:gridCol w:w="1356"/>
        <w:gridCol w:w="654"/>
        <w:gridCol w:w="570"/>
        <w:gridCol w:w="525"/>
        <w:gridCol w:w="615"/>
        <w:gridCol w:w="355"/>
      </w:tblGrid>
      <w:tr>
        <w:trPr>
          <w:trHeight w:val="467"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序号</w:t>
            </w:r>
          </w:p>
        </w:tc>
        <w:tc>
          <w:tcPr>
            <w:tcW w:w="92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hAnsi="宋体" w:cs="宋体"/>
                <w:sz w:val="18"/>
                <w:szCs w:val="18"/>
              </w:rPr>
            </w:pPr>
            <w:r>
              <w:rPr>
                <w:rFonts w:hint="eastAsia" w:hAnsi="宋体" w:cs="宋体"/>
                <w:sz w:val="18"/>
                <w:szCs w:val="18"/>
              </w:rPr>
              <w:t>供应商</w:t>
            </w:r>
          </w:p>
        </w:tc>
        <w:tc>
          <w:tcPr>
            <w:tcW w:w="8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货物/服务/工程名称</w:t>
            </w:r>
          </w:p>
        </w:tc>
        <w:tc>
          <w:tcPr>
            <w:tcW w:w="7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开标时间</w:t>
            </w:r>
          </w:p>
        </w:tc>
        <w:tc>
          <w:tcPr>
            <w:tcW w:w="2527"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及时性</w:t>
            </w:r>
          </w:p>
        </w:tc>
        <w:tc>
          <w:tcPr>
            <w:tcW w:w="1356" w:type="dxa"/>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投诉</w:t>
            </w:r>
          </w:p>
        </w:tc>
        <w:tc>
          <w:tcPr>
            <w:tcW w:w="2364"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履约合作评价</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合计</w:t>
            </w:r>
          </w:p>
        </w:tc>
      </w:tr>
      <w:tr>
        <w:tblPrEx>
          <w:tblCellMar>
            <w:top w:w="0" w:type="dxa"/>
            <w:left w:w="108" w:type="dxa"/>
            <w:bottom w:w="0" w:type="dxa"/>
            <w:right w:w="108" w:type="dxa"/>
          </w:tblCellMar>
        </w:tblPrEx>
        <w:trPr>
          <w:trHeight w:val="362"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2527"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（40分）</w:t>
            </w:r>
          </w:p>
        </w:tc>
        <w:tc>
          <w:tcPr>
            <w:tcW w:w="1356" w:type="dxa"/>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（30分）</w:t>
            </w:r>
          </w:p>
        </w:tc>
        <w:tc>
          <w:tcPr>
            <w:tcW w:w="2364"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（30分）</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2885"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652"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合同签订的及时性</w:t>
            </w:r>
          </w:p>
        </w:tc>
        <w:tc>
          <w:tcPr>
            <w:tcW w:w="630" w:type="dxa"/>
            <w:tcBorders>
              <w:top w:val="nil"/>
              <w:left w:val="nil"/>
              <w:bottom w:val="single" w:color="auto" w:sz="4" w:space="0"/>
              <w:right w:val="single" w:color="auto" w:sz="4" w:space="0"/>
            </w:tcBorders>
            <w:vAlign w:val="center"/>
          </w:tcPr>
          <w:p>
            <w:pPr>
              <w:spacing w:line="300" w:lineRule="exact"/>
              <w:jc w:val="both"/>
              <w:rPr>
                <w:rFonts w:hAnsi="宋体" w:cs="宋体"/>
                <w:sz w:val="18"/>
                <w:szCs w:val="18"/>
              </w:rPr>
            </w:pPr>
            <w:r>
              <w:rPr>
                <w:rFonts w:hint="eastAsia" w:hAnsi="宋体" w:cs="宋体"/>
                <w:sz w:val="18"/>
                <w:szCs w:val="18"/>
              </w:rPr>
              <w:t>安装/实施/到位的及时性</w:t>
            </w:r>
          </w:p>
        </w:tc>
        <w:tc>
          <w:tcPr>
            <w:tcW w:w="613"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培训的及时性与全面性</w:t>
            </w:r>
          </w:p>
          <w:p>
            <w:pPr>
              <w:spacing w:line="300" w:lineRule="exact"/>
              <w:rPr>
                <w:rFonts w:hAnsi="宋体" w:cs="宋体"/>
                <w:sz w:val="18"/>
                <w:szCs w:val="18"/>
              </w:rPr>
            </w:pPr>
          </w:p>
        </w:tc>
        <w:tc>
          <w:tcPr>
            <w:tcW w:w="632"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故障解决的及时性</w:t>
            </w:r>
          </w:p>
        </w:tc>
        <w:tc>
          <w:tcPr>
            <w:tcW w:w="1356" w:type="dxa"/>
            <w:tcBorders>
              <w:top w:val="nil"/>
              <w:left w:val="nil"/>
              <w:bottom w:val="single" w:color="auto" w:sz="4" w:space="0"/>
              <w:right w:val="single" w:color="auto" w:sz="4" w:space="0"/>
            </w:tcBorders>
            <w:vAlign w:val="center"/>
          </w:tcPr>
          <w:p>
            <w:pPr>
              <w:widowControl/>
              <w:spacing w:line="300" w:lineRule="exact"/>
              <w:jc w:val="both"/>
              <w:textAlignment w:val="center"/>
              <w:rPr>
                <w:rFonts w:hAnsi="宋体" w:cs="宋体"/>
                <w:sz w:val="18"/>
                <w:szCs w:val="18"/>
              </w:rPr>
            </w:pPr>
            <w:r>
              <w:rPr>
                <w:rFonts w:hint="eastAsia" w:hAnsi="宋体" w:cs="宋体"/>
                <w:sz w:val="18"/>
                <w:szCs w:val="18"/>
              </w:rPr>
              <w:t>收到科室的电话/书面投诉</w:t>
            </w:r>
          </w:p>
          <w:p>
            <w:pPr>
              <w:widowControl/>
              <w:spacing w:line="300" w:lineRule="exact"/>
              <w:jc w:val="both"/>
              <w:textAlignment w:val="center"/>
              <w:rPr>
                <w:rFonts w:hAnsi="宋体" w:cs="宋体"/>
                <w:sz w:val="18"/>
                <w:szCs w:val="18"/>
              </w:rPr>
            </w:pPr>
            <w:r>
              <w:rPr>
                <w:rFonts w:hint="eastAsia" w:hAnsi="宋体" w:cs="宋体"/>
                <w:sz w:val="18"/>
                <w:szCs w:val="18"/>
              </w:rPr>
              <w:t>（每收到一次投诉扣10分）</w:t>
            </w:r>
          </w:p>
        </w:tc>
        <w:tc>
          <w:tcPr>
            <w:tcW w:w="654"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非正当理由中止合同</w:t>
            </w:r>
          </w:p>
        </w:tc>
        <w:tc>
          <w:tcPr>
            <w:tcW w:w="57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服务态度</w:t>
            </w:r>
          </w:p>
        </w:tc>
        <w:tc>
          <w:tcPr>
            <w:tcW w:w="52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性价比情况</w:t>
            </w:r>
          </w:p>
        </w:tc>
        <w:tc>
          <w:tcPr>
            <w:tcW w:w="61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消化涨价的能力</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rPr>
          <w:trHeight w:val="51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652"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3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13"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32"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1356"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30分</w:t>
            </w:r>
          </w:p>
        </w:tc>
        <w:tc>
          <w:tcPr>
            <w:tcW w:w="654"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57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52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61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bl>
    <w:p>
      <w:pPr>
        <w:ind w:firstLine="420" w:firstLineChars="200"/>
        <w:rPr>
          <w:rFonts w:hint="eastAsia" w:hAnsi="宋体" w:cs="宋体"/>
          <w:lang w:val="zh-CN"/>
        </w:rPr>
      </w:pPr>
    </w:p>
    <w:p>
      <w:pPr>
        <w:ind w:firstLine="420" w:firstLineChars="200"/>
        <w:rPr>
          <w:rFonts w:hint="eastAsia" w:hAnsi="宋体"/>
          <w:b/>
          <w:sz w:val="32"/>
          <w:szCs w:val="32"/>
        </w:rPr>
        <w:sectPr>
          <w:footerReference r:id="rId13" w:type="default"/>
          <w:pgSz w:w="11906" w:h="16838"/>
          <w:pgMar w:top="1134" w:right="567" w:bottom="850" w:left="567" w:header="851" w:footer="992" w:gutter="0"/>
          <w:pgNumType w:fmt="decimal"/>
          <w:cols w:space="425" w:num="1"/>
          <w:docGrid w:type="lines" w:linePitch="312" w:charSpace="0"/>
        </w:sectPr>
      </w:pPr>
      <w:r>
        <w:rPr>
          <w:rFonts w:hint="eastAsia" w:hAnsi="宋体" w:cs="宋体"/>
          <w:lang w:val="zh-CN"/>
        </w:rPr>
        <w:t>注：履约期间每半年将按《南方医科大学第五附属医院供应商履约诚信评价量化表》对供应商履约行为进行考评一次，壹年累计考核两次不合格者将进行淘汰，纳入黑名单管</w:t>
      </w:r>
      <w:bookmarkStart w:id="277" w:name="_GoBack"/>
      <w:bookmarkEnd w:id="277"/>
      <w:r>
        <w:rPr>
          <w:rFonts w:hint="eastAsia" w:hAnsi="宋体" w:cs="宋体"/>
          <w:lang w:val="zh-CN"/>
        </w:rPr>
        <w:t>理。</w:t>
      </w:r>
    </w:p>
    <w:p>
      <w:pPr>
        <w:pStyle w:val="2"/>
        <w:rPr>
          <w:rFonts w:ascii="黑体" w:hAnsi="黑体" w:eastAsia="黑体" w:cs="黑体"/>
          <w:b/>
          <w:bCs/>
          <w:sz w:val="28"/>
          <w:szCs w:val="28"/>
        </w:rPr>
      </w:pPr>
    </w:p>
    <w:sectPr>
      <w:headerReference r:id="rId14" w:type="default"/>
      <w:footerReference r:id="rId15"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B99EB1-7E2E-4166-8FD8-41AF039315F4}"/>
  </w:font>
  <w:font w:name="Courier New">
    <w:panose1 w:val="02070309020205020404"/>
    <w:charset w:val="01"/>
    <w:family w:val="modern"/>
    <w:pitch w:val="default"/>
    <w:sig w:usb0="E0002AFF" w:usb1="C0007843" w:usb2="00000009" w:usb3="00000000" w:csb0="400001FF" w:csb1="FFFF0000"/>
    <w:embedRegular r:id="rId2" w:fontKey="{58EFCEF4-89D5-4B0F-8A45-FC280D9DA6B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3F820D0A-8B14-46AB-9FCA-DBE61BF0D741}"/>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54457C06-D553-434D-8D47-2A2351C146F6}"/>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embedRegular r:id="rId5" w:fontKey="{6862C71E-9B62-48F7-A6F2-5D0C630A73D7}"/>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embedRegular r:id="rId6" w:fontKey="{A5AEBDEC-126F-486D-8E72-112AC52C11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30</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lang w:val="en-US" w:eastAsia="zh-CN"/>
                      </w:rPr>
                      <w:t>30</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31</w:t>
                          </w:r>
                          <w:r>
                            <w:fldChar w:fldCharType="end"/>
                          </w:r>
                          <w:r>
                            <w:t xml:space="preserve"> 页 共</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31</w:t>
                    </w:r>
                    <w:r>
                      <w:fldChar w:fldCharType="end"/>
                    </w:r>
                    <w:r>
                      <w:t xml:space="preserve"> 页 共</w:t>
                    </w:r>
                    <w:r>
                      <w:rPr>
                        <w:rFonts w:hint="eastAsia"/>
                        <w:lang w:val="en-US" w:eastAsia="zh-CN"/>
                      </w:rPr>
                      <w:t>30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ind w:firstLine="180" w:firstLineChars="100"/>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AB2A6"/>
    <w:multiLevelType w:val="singleLevel"/>
    <w:tmpl w:val="9A8AB2A6"/>
    <w:lvl w:ilvl="0" w:tentative="0">
      <w:start w:val="3"/>
      <w:numFmt w:val="chineseCounting"/>
      <w:suff w:val="space"/>
      <w:lvlText w:val="第%1条"/>
      <w:lvlJc w:val="left"/>
      <w:rPr>
        <w:rFonts w:hint="eastAsia"/>
      </w:rPr>
    </w:lvl>
  </w:abstractNum>
  <w:abstractNum w:abstractNumId="1">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5CAE089B"/>
    <w:multiLevelType w:val="singleLevel"/>
    <w:tmpl w:val="5CAE089B"/>
    <w:lvl w:ilvl="0" w:tentative="0">
      <w:start w:val="2"/>
      <w:numFmt w:val="chineseCounting"/>
      <w:suff w:val="space"/>
      <w:lvlText w:val="第%1部分"/>
      <w:lvlJc w:val="left"/>
      <w:rPr>
        <w:rFonts w:hint="eastAsia"/>
      </w:rPr>
    </w:lvl>
  </w:abstractNum>
  <w:abstractNum w:abstractNumId="4">
    <w:nsid w:val="6B018060"/>
    <w:multiLevelType w:val="singleLevel"/>
    <w:tmpl w:val="6B018060"/>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01514"/>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5B1F"/>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81F9A"/>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06AC"/>
    <w:rsid w:val="008F2853"/>
    <w:rsid w:val="0090067A"/>
    <w:rsid w:val="009069D3"/>
    <w:rsid w:val="00906BCB"/>
    <w:rsid w:val="00906FB9"/>
    <w:rsid w:val="009162AB"/>
    <w:rsid w:val="009235D2"/>
    <w:rsid w:val="00934814"/>
    <w:rsid w:val="009360DE"/>
    <w:rsid w:val="00947FA4"/>
    <w:rsid w:val="00950FB8"/>
    <w:rsid w:val="00963D43"/>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47830"/>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80F47"/>
    <w:rsid w:val="00B93EB4"/>
    <w:rsid w:val="00BA06CE"/>
    <w:rsid w:val="00BA631D"/>
    <w:rsid w:val="00BB32FC"/>
    <w:rsid w:val="00BB4CC5"/>
    <w:rsid w:val="00BC107C"/>
    <w:rsid w:val="00BC46B3"/>
    <w:rsid w:val="00BE3B71"/>
    <w:rsid w:val="00BF4947"/>
    <w:rsid w:val="00C01163"/>
    <w:rsid w:val="00C0441A"/>
    <w:rsid w:val="00C32498"/>
    <w:rsid w:val="00C33302"/>
    <w:rsid w:val="00C44318"/>
    <w:rsid w:val="00C52E26"/>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2AB7"/>
    <w:rsid w:val="00E2604C"/>
    <w:rsid w:val="00E426B7"/>
    <w:rsid w:val="00E535C8"/>
    <w:rsid w:val="00E601B2"/>
    <w:rsid w:val="00E80372"/>
    <w:rsid w:val="00E81A6E"/>
    <w:rsid w:val="00EB731A"/>
    <w:rsid w:val="00EC444E"/>
    <w:rsid w:val="00EC774C"/>
    <w:rsid w:val="00ED63A0"/>
    <w:rsid w:val="00EE1612"/>
    <w:rsid w:val="00EE4E5B"/>
    <w:rsid w:val="00EF50DB"/>
    <w:rsid w:val="00F146CF"/>
    <w:rsid w:val="00F14E2C"/>
    <w:rsid w:val="00F21ECB"/>
    <w:rsid w:val="00F229BC"/>
    <w:rsid w:val="00F26779"/>
    <w:rsid w:val="00F33A31"/>
    <w:rsid w:val="00F33EEF"/>
    <w:rsid w:val="00F35E93"/>
    <w:rsid w:val="00F375C0"/>
    <w:rsid w:val="00F44EEF"/>
    <w:rsid w:val="00F53078"/>
    <w:rsid w:val="00F54A78"/>
    <w:rsid w:val="00F60284"/>
    <w:rsid w:val="00F63149"/>
    <w:rsid w:val="00F7528E"/>
    <w:rsid w:val="00F86E2B"/>
    <w:rsid w:val="00F870B6"/>
    <w:rsid w:val="00FA3158"/>
    <w:rsid w:val="00FB37B4"/>
    <w:rsid w:val="00FB4E2C"/>
    <w:rsid w:val="00FC406A"/>
    <w:rsid w:val="00FD0E67"/>
    <w:rsid w:val="00FD1381"/>
    <w:rsid w:val="0141572E"/>
    <w:rsid w:val="01AE423C"/>
    <w:rsid w:val="02BE3A7E"/>
    <w:rsid w:val="031C04E2"/>
    <w:rsid w:val="034404CF"/>
    <w:rsid w:val="035A45AA"/>
    <w:rsid w:val="039B179B"/>
    <w:rsid w:val="03FE5F42"/>
    <w:rsid w:val="04151569"/>
    <w:rsid w:val="048E4CB4"/>
    <w:rsid w:val="04E57AC0"/>
    <w:rsid w:val="04EE7118"/>
    <w:rsid w:val="0543317C"/>
    <w:rsid w:val="054E169D"/>
    <w:rsid w:val="05907E7A"/>
    <w:rsid w:val="066F5ED2"/>
    <w:rsid w:val="06A01BDE"/>
    <w:rsid w:val="070261C2"/>
    <w:rsid w:val="074C23F8"/>
    <w:rsid w:val="07862043"/>
    <w:rsid w:val="079C2FAC"/>
    <w:rsid w:val="07ED2710"/>
    <w:rsid w:val="07ED5D2D"/>
    <w:rsid w:val="08A76D63"/>
    <w:rsid w:val="0A9C5E28"/>
    <w:rsid w:val="0AA45825"/>
    <w:rsid w:val="0B07259F"/>
    <w:rsid w:val="0B27461F"/>
    <w:rsid w:val="0BCD2048"/>
    <w:rsid w:val="0C1C35A2"/>
    <w:rsid w:val="0C490708"/>
    <w:rsid w:val="0C705246"/>
    <w:rsid w:val="0CAD27D4"/>
    <w:rsid w:val="0D1F6A7A"/>
    <w:rsid w:val="0E237B27"/>
    <w:rsid w:val="0E970697"/>
    <w:rsid w:val="0ED05230"/>
    <w:rsid w:val="0EE9378D"/>
    <w:rsid w:val="0F2B5904"/>
    <w:rsid w:val="10284A96"/>
    <w:rsid w:val="10402DD2"/>
    <w:rsid w:val="11B73ED3"/>
    <w:rsid w:val="12795449"/>
    <w:rsid w:val="12C312C4"/>
    <w:rsid w:val="12EB2AD0"/>
    <w:rsid w:val="136354E7"/>
    <w:rsid w:val="13AB25E3"/>
    <w:rsid w:val="142E0F15"/>
    <w:rsid w:val="14331D3D"/>
    <w:rsid w:val="14907BE5"/>
    <w:rsid w:val="14DF7EC1"/>
    <w:rsid w:val="152C7B6C"/>
    <w:rsid w:val="15325191"/>
    <w:rsid w:val="158C2B6D"/>
    <w:rsid w:val="15A9050B"/>
    <w:rsid w:val="15D22F3B"/>
    <w:rsid w:val="16133E5E"/>
    <w:rsid w:val="164C7363"/>
    <w:rsid w:val="17087F4C"/>
    <w:rsid w:val="17562ADF"/>
    <w:rsid w:val="17687698"/>
    <w:rsid w:val="18714DB4"/>
    <w:rsid w:val="18DE6649"/>
    <w:rsid w:val="18DF1F77"/>
    <w:rsid w:val="19A1106F"/>
    <w:rsid w:val="1A812401"/>
    <w:rsid w:val="1AC74E69"/>
    <w:rsid w:val="1AF93CE3"/>
    <w:rsid w:val="1B90034D"/>
    <w:rsid w:val="1B977D90"/>
    <w:rsid w:val="1C517C05"/>
    <w:rsid w:val="1CAC7FE6"/>
    <w:rsid w:val="1D1E2032"/>
    <w:rsid w:val="1DE30DB3"/>
    <w:rsid w:val="1E34368D"/>
    <w:rsid w:val="1E4F22B0"/>
    <w:rsid w:val="1F187406"/>
    <w:rsid w:val="20995391"/>
    <w:rsid w:val="20B81B4B"/>
    <w:rsid w:val="21282075"/>
    <w:rsid w:val="21AD42B4"/>
    <w:rsid w:val="21BA464B"/>
    <w:rsid w:val="21CF3215"/>
    <w:rsid w:val="21D627A8"/>
    <w:rsid w:val="22A53EBB"/>
    <w:rsid w:val="22F85FBE"/>
    <w:rsid w:val="22FB2B87"/>
    <w:rsid w:val="23410884"/>
    <w:rsid w:val="23FE269A"/>
    <w:rsid w:val="25066E01"/>
    <w:rsid w:val="25394189"/>
    <w:rsid w:val="254863CC"/>
    <w:rsid w:val="255D353C"/>
    <w:rsid w:val="25673FA5"/>
    <w:rsid w:val="262F2952"/>
    <w:rsid w:val="26712973"/>
    <w:rsid w:val="26C20E41"/>
    <w:rsid w:val="26F058DC"/>
    <w:rsid w:val="272975C1"/>
    <w:rsid w:val="274618E3"/>
    <w:rsid w:val="27715F5E"/>
    <w:rsid w:val="27D538F3"/>
    <w:rsid w:val="27E21FC8"/>
    <w:rsid w:val="28084236"/>
    <w:rsid w:val="282633A8"/>
    <w:rsid w:val="28716EFA"/>
    <w:rsid w:val="2886681A"/>
    <w:rsid w:val="28EF5E90"/>
    <w:rsid w:val="297A2811"/>
    <w:rsid w:val="298D7034"/>
    <w:rsid w:val="2A241B69"/>
    <w:rsid w:val="2A8A0209"/>
    <w:rsid w:val="2AA74AF5"/>
    <w:rsid w:val="2B062BB7"/>
    <w:rsid w:val="2B694EC9"/>
    <w:rsid w:val="2BD8709E"/>
    <w:rsid w:val="2BE11C14"/>
    <w:rsid w:val="2C1134D3"/>
    <w:rsid w:val="2C35024D"/>
    <w:rsid w:val="2C695F59"/>
    <w:rsid w:val="2D07550B"/>
    <w:rsid w:val="2D957D5C"/>
    <w:rsid w:val="2DA7679B"/>
    <w:rsid w:val="2F6B2487"/>
    <w:rsid w:val="2FB56247"/>
    <w:rsid w:val="2FD823C2"/>
    <w:rsid w:val="2FD82C2E"/>
    <w:rsid w:val="2FE14059"/>
    <w:rsid w:val="300F2D70"/>
    <w:rsid w:val="30120A8D"/>
    <w:rsid w:val="311010E0"/>
    <w:rsid w:val="31120C66"/>
    <w:rsid w:val="31EA386E"/>
    <w:rsid w:val="32C24615"/>
    <w:rsid w:val="336B3CCC"/>
    <w:rsid w:val="355732FA"/>
    <w:rsid w:val="36917A9F"/>
    <w:rsid w:val="370B587C"/>
    <w:rsid w:val="377A2F71"/>
    <w:rsid w:val="380B2F5F"/>
    <w:rsid w:val="384F4A95"/>
    <w:rsid w:val="38622708"/>
    <w:rsid w:val="38E823FB"/>
    <w:rsid w:val="390B75A6"/>
    <w:rsid w:val="39395860"/>
    <w:rsid w:val="39D13924"/>
    <w:rsid w:val="39F00790"/>
    <w:rsid w:val="3A534537"/>
    <w:rsid w:val="3B195509"/>
    <w:rsid w:val="3BA11444"/>
    <w:rsid w:val="3C683C2C"/>
    <w:rsid w:val="3C943841"/>
    <w:rsid w:val="3CF94A44"/>
    <w:rsid w:val="3D361B6B"/>
    <w:rsid w:val="3D6A0B18"/>
    <w:rsid w:val="3DBE51F4"/>
    <w:rsid w:val="3E5D51F2"/>
    <w:rsid w:val="3EA57EE8"/>
    <w:rsid w:val="3EBA1C45"/>
    <w:rsid w:val="3F1A6226"/>
    <w:rsid w:val="3F794EB1"/>
    <w:rsid w:val="3F8955E2"/>
    <w:rsid w:val="3FF52FF7"/>
    <w:rsid w:val="40065B1F"/>
    <w:rsid w:val="407B764C"/>
    <w:rsid w:val="416135FA"/>
    <w:rsid w:val="41B60C35"/>
    <w:rsid w:val="41CD076A"/>
    <w:rsid w:val="42A321BA"/>
    <w:rsid w:val="42AF6223"/>
    <w:rsid w:val="435B5C8B"/>
    <w:rsid w:val="44062D00"/>
    <w:rsid w:val="443A04B0"/>
    <w:rsid w:val="44546201"/>
    <w:rsid w:val="44581F51"/>
    <w:rsid w:val="449832F3"/>
    <w:rsid w:val="451E6F60"/>
    <w:rsid w:val="45244DEA"/>
    <w:rsid w:val="45617CBE"/>
    <w:rsid w:val="46D069DB"/>
    <w:rsid w:val="485129D4"/>
    <w:rsid w:val="48F44CB0"/>
    <w:rsid w:val="49040430"/>
    <w:rsid w:val="49054F84"/>
    <w:rsid w:val="492F3D3A"/>
    <w:rsid w:val="49386EF2"/>
    <w:rsid w:val="499A10DB"/>
    <w:rsid w:val="4A3B6FBA"/>
    <w:rsid w:val="4A8A2EEF"/>
    <w:rsid w:val="4A950DCF"/>
    <w:rsid w:val="4B09713B"/>
    <w:rsid w:val="4B0C61BF"/>
    <w:rsid w:val="4C603C95"/>
    <w:rsid w:val="4C981BA5"/>
    <w:rsid w:val="4CAF6F6C"/>
    <w:rsid w:val="4CED0E45"/>
    <w:rsid w:val="4D72553A"/>
    <w:rsid w:val="4DAC34B5"/>
    <w:rsid w:val="4DDF729F"/>
    <w:rsid w:val="4E011820"/>
    <w:rsid w:val="4E2D698F"/>
    <w:rsid w:val="4E4C452A"/>
    <w:rsid w:val="4E5E5E11"/>
    <w:rsid w:val="4E98699E"/>
    <w:rsid w:val="4ECF4067"/>
    <w:rsid w:val="4ED23FAB"/>
    <w:rsid w:val="508A3B18"/>
    <w:rsid w:val="50C82D96"/>
    <w:rsid w:val="50FC2A30"/>
    <w:rsid w:val="51403B6E"/>
    <w:rsid w:val="514C42EA"/>
    <w:rsid w:val="51A73BDA"/>
    <w:rsid w:val="51AF3A51"/>
    <w:rsid w:val="51C413B8"/>
    <w:rsid w:val="52726854"/>
    <w:rsid w:val="53725443"/>
    <w:rsid w:val="538E410D"/>
    <w:rsid w:val="53A776AF"/>
    <w:rsid w:val="53F868F1"/>
    <w:rsid w:val="54634D71"/>
    <w:rsid w:val="55BF6A67"/>
    <w:rsid w:val="55D55D03"/>
    <w:rsid w:val="56187F25"/>
    <w:rsid w:val="5623033B"/>
    <w:rsid w:val="56553C8D"/>
    <w:rsid w:val="5658445F"/>
    <w:rsid w:val="568F6108"/>
    <w:rsid w:val="579161E1"/>
    <w:rsid w:val="584A1AA0"/>
    <w:rsid w:val="5851284C"/>
    <w:rsid w:val="58D76A1B"/>
    <w:rsid w:val="59287F31"/>
    <w:rsid w:val="59FE640F"/>
    <w:rsid w:val="5A3A4D0D"/>
    <w:rsid w:val="5A4B59E1"/>
    <w:rsid w:val="5A6E3589"/>
    <w:rsid w:val="5A9814EF"/>
    <w:rsid w:val="5B245060"/>
    <w:rsid w:val="5B6836FC"/>
    <w:rsid w:val="5C8E6CC1"/>
    <w:rsid w:val="5CD4150B"/>
    <w:rsid w:val="5CFC008B"/>
    <w:rsid w:val="5D284FF2"/>
    <w:rsid w:val="5D453D32"/>
    <w:rsid w:val="5D6F1865"/>
    <w:rsid w:val="5D8E3A90"/>
    <w:rsid w:val="5DC65AD7"/>
    <w:rsid w:val="5DDA4E1C"/>
    <w:rsid w:val="5E927E82"/>
    <w:rsid w:val="5ED21E8E"/>
    <w:rsid w:val="5ED7519A"/>
    <w:rsid w:val="5EEE5C79"/>
    <w:rsid w:val="5F0B7BE8"/>
    <w:rsid w:val="5F6869EF"/>
    <w:rsid w:val="5F7243E2"/>
    <w:rsid w:val="601D78EB"/>
    <w:rsid w:val="60423FDD"/>
    <w:rsid w:val="60636240"/>
    <w:rsid w:val="61306A6A"/>
    <w:rsid w:val="614B10EF"/>
    <w:rsid w:val="62FC7815"/>
    <w:rsid w:val="63360D84"/>
    <w:rsid w:val="635941B3"/>
    <w:rsid w:val="63D27641"/>
    <w:rsid w:val="641E2A62"/>
    <w:rsid w:val="64C02086"/>
    <w:rsid w:val="65877B96"/>
    <w:rsid w:val="658925AF"/>
    <w:rsid w:val="66845C96"/>
    <w:rsid w:val="66C26AA6"/>
    <w:rsid w:val="673451CA"/>
    <w:rsid w:val="6772399F"/>
    <w:rsid w:val="6780006F"/>
    <w:rsid w:val="684D2239"/>
    <w:rsid w:val="689C77C3"/>
    <w:rsid w:val="68B72DD1"/>
    <w:rsid w:val="69C82BBA"/>
    <w:rsid w:val="6A274C05"/>
    <w:rsid w:val="6B1B462D"/>
    <w:rsid w:val="6D6F26C8"/>
    <w:rsid w:val="6D971A88"/>
    <w:rsid w:val="6DA25BA6"/>
    <w:rsid w:val="6DF7372A"/>
    <w:rsid w:val="6E562EDE"/>
    <w:rsid w:val="6EB74476"/>
    <w:rsid w:val="6F32730A"/>
    <w:rsid w:val="705C256B"/>
    <w:rsid w:val="7139323E"/>
    <w:rsid w:val="71D35F01"/>
    <w:rsid w:val="71F6334C"/>
    <w:rsid w:val="72705D84"/>
    <w:rsid w:val="73093017"/>
    <w:rsid w:val="743D52CE"/>
    <w:rsid w:val="751F6B51"/>
    <w:rsid w:val="752A0A70"/>
    <w:rsid w:val="752E6281"/>
    <w:rsid w:val="754135B9"/>
    <w:rsid w:val="75524DAA"/>
    <w:rsid w:val="75656114"/>
    <w:rsid w:val="757F6892"/>
    <w:rsid w:val="75D4789D"/>
    <w:rsid w:val="76727098"/>
    <w:rsid w:val="776963DA"/>
    <w:rsid w:val="77A7135E"/>
    <w:rsid w:val="77BD5C4C"/>
    <w:rsid w:val="783919C4"/>
    <w:rsid w:val="787E7D96"/>
    <w:rsid w:val="78AE7030"/>
    <w:rsid w:val="78D00495"/>
    <w:rsid w:val="78FA1F51"/>
    <w:rsid w:val="795067BF"/>
    <w:rsid w:val="79CB3169"/>
    <w:rsid w:val="79FA6E97"/>
    <w:rsid w:val="7A597865"/>
    <w:rsid w:val="7A6F193F"/>
    <w:rsid w:val="7B1665E7"/>
    <w:rsid w:val="7BB0043A"/>
    <w:rsid w:val="7BC55433"/>
    <w:rsid w:val="7C4A0BE1"/>
    <w:rsid w:val="7C66738C"/>
    <w:rsid w:val="7C6737CC"/>
    <w:rsid w:val="7CC01DE0"/>
    <w:rsid w:val="7D876186"/>
    <w:rsid w:val="7E7B76A5"/>
    <w:rsid w:val="7EB4618D"/>
    <w:rsid w:val="7EE929F5"/>
    <w:rsid w:val="7F4D74FA"/>
    <w:rsid w:val="7F525868"/>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unhideWhenUsed/>
    <w:qFormat/>
    <w:uiPriority w:val="0"/>
    <w:pPr>
      <w:jc w:val="left"/>
    </w:pPr>
  </w:style>
  <w:style w:type="paragraph" w:styleId="8">
    <w:name w:val="Body Text"/>
    <w:basedOn w:val="1"/>
    <w:link w:val="41"/>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index 4"/>
    <w:basedOn w:val="1"/>
    <w:next w:val="1"/>
    <w:unhideWhenUsed/>
    <w:qFormat/>
    <w:uiPriority w:val="99"/>
    <w:pPr>
      <w:ind w:left="600" w:leftChars="600"/>
    </w:pPr>
  </w:style>
  <w:style w:type="paragraph" w:styleId="13">
    <w:name w:val="Plain Text"/>
    <w:basedOn w:val="1"/>
    <w:qFormat/>
    <w:uiPriority w:val="0"/>
    <w:rPr>
      <w:rFonts w:ascii="宋体" w:hAnsi="Courier New" w:cs="Courier New"/>
      <w:szCs w:val="21"/>
    </w:rPr>
  </w:style>
  <w:style w:type="paragraph" w:styleId="14">
    <w:name w:val="Balloon Text"/>
    <w:basedOn w:val="1"/>
    <w:link w:val="33"/>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character" w:styleId="25">
    <w:name w:val="annotation reference"/>
    <w:basedOn w:val="21"/>
    <w:unhideWhenUsed/>
    <w:qFormat/>
    <w:uiPriority w:val="0"/>
    <w:rPr>
      <w:sz w:val="21"/>
      <w:szCs w:val="21"/>
    </w:rPr>
  </w:style>
  <w:style w:type="paragraph" w:customStyle="1" w:styleId="26">
    <w:name w:val="_Style 3"/>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qFormat/>
    <w:uiPriority w:val="0"/>
  </w:style>
  <w:style w:type="character" w:customStyle="1" w:styleId="33">
    <w:name w:val="批注框文本 Char"/>
    <w:basedOn w:val="21"/>
    <w:link w:val="14"/>
    <w:qFormat/>
    <w:uiPriority w:val="0"/>
    <w:rPr>
      <w:rFonts w:ascii="Times New Roman" w:hAnsi="Times New Roman" w:eastAsia="宋体" w:cs="Times New Roman"/>
      <w:kern w:val="2"/>
      <w:sz w:val="18"/>
      <w:szCs w:val="18"/>
    </w:rPr>
  </w:style>
  <w:style w:type="character" w:customStyle="1" w:styleId="34">
    <w:name w:val="标题 3 Char"/>
    <w:basedOn w:val="21"/>
    <w:link w:val="5"/>
    <w:semiHidden/>
    <w:qFormat/>
    <w:uiPriority w:val="0"/>
    <w:rPr>
      <w:rFonts w:ascii="Times New Roman" w:hAnsi="Times New Roman" w:eastAsia="宋体" w:cs="Times New Roman"/>
      <w:b/>
      <w:bCs/>
      <w:kern w:val="2"/>
      <w:sz w:val="32"/>
      <w:szCs w:val="32"/>
    </w:rPr>
  </w:style>
  <w:style w:type="paragraph" w:customStyle="1" w:styleId="35">
    <w:name w:val="--规划正文"/>
    <w:basedOn w:val="1"/>
    <w:qFormat/>
    <w:uiPriority w:val="0"/>
    <w:pPr>
      <w:spacing w:line="360" w:lineRule="auto"/>
      <w:ind w:firstLine="200" w:firstLineChars="200"/>
    </w:pPr>
    <w:rPr>
      <w:rFonts w:ascii="宋体"/>
      <w:kern w:val="0"/>
      <w:sz w:val="24"/>
      <w:szCs w:val="20"/>
    </w:rPr>
  </w:style>
  <w:style w:type="paragraph" w:customStyle="1" w:styleId="3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5"/>
    <w:qFormat/>
    <w:uiPriority w:val="99"/>
    <w:rPr>
      <w:rFonts w:ascii="Times New Roman" w:hAnsi="Times New Roman" w:eastAsia="宋体" w:cs="Times New Roman"/>
      <w:kern w:val="2"/>
      <w:sz w:val="18"/>
      <w:szCs w:val="18"/>
    </w:rPr>
  </w:style>
  <w:style w:type="paragraph" w:customStyle="1" w:styleId="40">
    <w:name w:val="Table Paragraph"/>
    <w:basedOn w:val="1"/>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8"/>
    <w:qFormat/>
    <w:uiPriority w:val="0"/>
    <w:rPr>
      <w:rFonts w:ascii="Times New Roman" w:hAnsi="Times New Roman" w:eastAsia="宋体" w:cs="Times New Roman"/>
      <w:kern w:val="2"/>
      <w:sz w:val="21"/>
      <w:szCs w:val="24"/>
    </w:rPr>
  </w:style>
  <w:style w:type="paragraph" w:customStyle="1" w:styleId="42">
    <w:name w:val="正文文本_0"/>
    <w:basedOn w:val="1"/>
    <w:qFormat/>
    <w:uiPriority w:val="0"/>
    <w:pPr>
      <w:spacing w:after="120" w:line="276" w:lineRule="auto"/>
    </w:pPr>
    <w:rPr>
      <w:rFonts w:ascii="Tahoma" w:hAnsi="Tahoma"/>
      <w:kern w:val="0"/>
      <w:sz w:val="20"/>
      <w:szCs w:val="20"/>
    </w:rPr>
  </w:style>
  <w:style w:type="paragraph" w:customStyle="1" w:styleId="43">
    <w:name w:val="普通(网站)1"/>
    <w:basedOn w:val="1"/>
    <w:qFormat/>
    <w:uiPriority w:val="0"/>
    <w:pPr>
      <w:widowControl/>
    </w:pPr>
    <w:rPr>
      <w:rFonts w:hAnsi="宋体"/>
      <w:sz w:val="15"/>
      <w:szCs w:val="15"/>
    </w:rPr>
  </w:style>
  <w:style w:type="paragraph" w:customStyle="1" w:styleId="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32</Pages>
  <Words>17148</Words>
  <Characters>17843</Characters>
  <Lines>97</Lines>
  <Paragraphs>27</Paragraphs>
  <TotalTime>1</TotalTime>
  <ScaleCrop>false</ScaleCrop>
  <LinksUpToDate>false</LinksUpToDate>
  <CharactersWithSpaces>19172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2022-09-15T10:45:00Z</cp:lastPrinted>
  <dcterms:modified xsi:type="dcterms:W3CDTF">2022-09-23T01:22:45Z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47429C040DC449BB8D491E4A4BA5268A</vt:lpwstr>
  </property>
</Properties>
</file>