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5553"/>
      <w:bookmarkStart w:id="2" w:name="_Toc15189"/>
      <w:bookmarkStart w:id="3" w:name="_Toc16091"/>
      <w:bookmarkStart w:id="4" w:name="_Toc14315"/>
      <w:bookmarkStart w:id="5" w:name="_Toc3493"/>
      <w:bookmarkStart w:id="6" w:name="_Toc15365"/>
      <w:bookmarkStart w:id="7" w:name="_Toc17040"/>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洁净恒温恒湿系统项目</w:t>
      </w:r>
    </w:p>
    <w:p>
      <w:pPr>
        <w:jc w:val="center"/>
        <w:rPr>
          <w:rFonts w:ascii="宋体" w:hAnsi="宋体"/>
          <w:b/>
          <w:kern w:val="0"/>
          <w:sz w:val="44"/>
          <w:szCs w:val="44"/>
        </w:rPr>
      </w:pPr>
    </w:p>
    <w:p>
      <w:pPr>
        <w:jc w:val="center"/>
        <w:rPr>
          <w:rFonts w:ascii="宋体" w:hAnsi="宋体"/>
          <w:b/>
          <w:kern w:val="0"/>
          <w:sz w:val="44"/>
          <w:szCs w:val="44"/>
        </w:rPr>
      </w:pPr>
    </w:p>
    <w:p>
      <w:pPr>
        <w:pStyle w:val="2"/>
        <w:rPr>
          <w:rFonts w:ascii="宋体" w:hAnsi="宋体"/>
          <w:b/>
          <w:kern w:val="0"/>
          <w:sz w:val="44"/>
          <w:szCs w:val="44"/>
        </w:rPr>
      </w:pPr>
    </w:p>
    <w:p>
      <w:pPr>
        <w:pStyle w:val="2"/>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eastAsia" w:ascii="宋体" w:hAnsi="宋体" w:eastAsia="宋体"/>
          <w:b/>
          <w:bCs/>
          <w:sz w:val="36"/>
          <w:szCs w:val="36"/>
          <w:lang w:val="en-US" w:eastAsia="zh-CN"/>
        </w:rPr>
      </w:pPr>
      <w:r>
        <w:rPr>
          <w:rFonts w:hint="eastAsia" w:ascii="宋体" w:hAnsi="宋体"/>
          <w:b/>
          <w:bCs/>
          <w:sz w:val="36"/>
          <w:szCs w:val="36"/>
        </w:rPr>
        <w:t>项目编号：NYWYH2022003</w:t>
      </w:r>
      <w:r>
        <w:rPr>
          <w:rFonts w:hint="eastAsia" w:ascii="宋体" w:hAnsi="宋体"/>
          <w:b/>
          <w:bCs/>
          <w:sz w:val="36"/>
          <w:szCs w:val="36"/>
          <w:lang w:val="en-US" w:eastAsia="zh-CN"/>
        </w:rPr>
        <w:t>8</w:t>
      </w:r>
    </w:p>
    <w:p>
      <w:pPr>
        <w:adjustRightInd w:val="0"/>
        <w:snapToGrid w:val="0"/>
        <w:spacing w:line="360" w:lineRule="auto"/>
        <w:jc w:val="center"/>
        <w:rPr>
          <w:rFonts w:ascii="宋体" w:hAnsi="宋体"/>
          <w:b/>
          <w:bCs/>
          <w:sz w:val="36"/>
          <w:szCs w:val="36"/>
        </w:rPr>
      </w:pPr>
    </w:p>
    <w:p>
      <w:pPr>
        <w:pStyle w:val="2"/>
        <w:rPr>
          <w:rFonts w:ascii="宋体" w:hAnsi="宋体"/>
          <w:b/>
          <w:bCs/>
          <w:sz w:val="36"/>
          <w:szCs w:val="36"/>
        </w:rPr>
      </w:pPr>
    </w:p>
    <w:p>
      <w:pPr>
        <w:pStyle w:val="2"/>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期：2022年8月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ascii="宋体" w:hAnsi="宋体" w:eastAsia="宋体" w:cs="宋体"/>
          <w:kern w:val="0"/>
          <w:sz w:val="24"/>
          <w:szCs w:val="24"/>
          <w:lang w:val="en-US" w:eastAsia="zh-CN" w:bidi="ar-SA"/>
        </w:rPr>
      </w:pPr>
      <w:r>
        <w:rPr>
          <w:rFonts w:hint="eastAsia" w:ascii="宋体" w:hAnsi="宋体" w:cs="宋体"/>
          <w:b/>
          <w:bCs/>
          <w:kern w:val="0"/>
          <w:sz w:val="24"/>
        </w:rPr>
        <w:t>3.报名资料按相关格式要求整理后打印成纸质版，加盖公章后扫描成PDF版。</w:t>
      </w:r>
    </w:p>
    <w:p>
      <w:pPr>
        <w:spacing w:line="360" w:lineRule="auto"/>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cs="宋体"/>
          <w:kern w:val="0"/>
          <w:sz w:val="24"/>
          <w:szCs w:val="24"/>
          <w:lang w:val="en-US" w:eastAsia="zh-CN" w:bidi="ar-SA"/>
        </w:rPr>
        <w:t xml:space="preserve"> </w:t>
      </w:r>
      <w:r>
        <w:rPr>
          <w:rFonts w:hint="eastAsia" w:ascii="宋体" w:hAnsi="宋体" w:eastAsia="宋体" w:cs="宋体"/>
          <w:kern w:val="0"/>
          <w:sz w:val="24"/>
          <w:szCs w:val="24"/>
          <w:lang w:val="en-US" w:eastAsia="zh-CN" w:bidi="ar-SA"/>
        </w:rPr>
        <w:t xml:space="preserve"> 4.报名邮箱地址：</w:t>
      </w:r>
      <w:r>
        <w:rPr>
          <w:rFonts w:ascii="宋体" w:hAnsi="宋体" w:eastAsia="宋体" w:cs="宋体"/>
          <w:kern w:val="0"/>
          <w:sz w:val="24"/>
          <w:szCs w:val="24"/>
          <w:lang w:val="en-US" w:eastAsia="zh-CN" w:bidi="ar-SA"/>
        </w:rPr>
        <w:fldChar w:fldCharType="begin"/>
      </w:r>
      <w:r>
        <w:rPr>
          <w:rFonts w:ascii="宋体" w:hAnsi="宋体" w:eastAsia="宋体" w:cs="宋体"/>
          <w:kern w:val="0"/>
          <w:sz w:val="24"/>
          <w:szCs w:val="24"/>
          <w:lang w:val="en-US" w:eastAsia="zh-CN" w:bidi="ar-SA"/>
        </w:rPr>
        <w:instrText xml:space="preserve"> HYPERLINK "mailto:nywycgb@126.com" </w:instrText>
      </w:r>
      <w:r>
        <w:rPr>
          <w:rFonts w:ascii="宋体" w:hAnsi="宋体" w:eastAsia="宋体" w:cs="宋体"/>
          <w:kern w:val="0"/>
          <w:sz w:val="24"/>
          <w:szCs w:val="24"/>
          <w:lang w:val="en-US" w:eastAsia="zh-CN" w:bidi="ar-SA"/>
        </w:rPr>
        <w:fldChar w:fldCharType="separate"/>
      </w:r>
      <w:r>
        <w:rPr>
          <w:rFonts w:hint="eastAsia" w:ascii="宋体" w:hAnsi="宋体" w:eastAsia="宋体" w:cs="宋体"/>
          <w:kern w:val="0"/>
          <w:sz w:val="24"/>
          <w:szCs w:val="24"/>
          <w:lang w:val="en-US" w:eastAsia="zh-CN" w:bidi="ar-SA"/>
        </w:rPr>
        <w:t>nywycgb@126.com</w:t>
      </w:r>
      <w:r>
        <w:rPr>
          <w:rFonts w:hint="eastAsia"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，邮件名、文件名格式：项目名称+项目编号+公司名全称。（如：南方医科大学第五附属医院洁净恒温恒湿系统项目+NYWYH20220038</w:t>
      </w:r>
      <w:r>
        <w:rPr>
          <w:rFonts w:hint="eastAsia" w:ascii="宋体" w:hAnsi="宋体" w:eastAsia="宋体" w:cs="宋体"/>
          <w:kern w:val="0"/>
          <w:sz w:val="24"/>
          <w:szCs w:val="24"/>
          <w:lang w:val="en-US" w:eastAsia="zh-CN" w:bidi="ar-SA"/>
        </w:rPr>
        <w:fldChar w:fldCharType="begin"/>
      </w:r>
      <w:r>
        <w:rPr>
          <w:rFonts w:hint="eastAsia" w:ascii="宋体" w:hAnsi="宋体" w:eastAsia="宋体" w:cs="宋体"/>
          <w:kern w:val="0"/>
          <w:sz w:val="24"/>
          <w:szCs w:val="24"/>
          <w:lang w:val="en-US" w:eastAsia="zh-CN" w:bidi="ar-SA"/>
        </w:rPr>
        <w:instrText xml:space="preserve"> DOCVARIABLE  项目名称  \* MERGEFORMAT </w:instrText>
      </w:r>
      <w:r>
        <w:rPr>
          <w:rFonts w:hint="eastAsia" w:ascii="宋体" w:hAnsi="宋体" w:eastAsia="宋体" w:cs="宋体"/>
          <w:kern w:val="0"/>
          <w:sz w:val="24"/>
          <w:szCs w:val="24"/>
          <w:lang w:val="en-US" w:eastAsia="zh-CN" w:bidi="ar-SA"/>
        </w:rPr>
        <w:fldChar w:fldCharType="end"/>
      </w:r>
      <w:r>
        <w:rPr>
          <w:rFonts w:hint="eastAsia" w:ascii="宋体" w:hAnsi="宋体" w:eastAsia="宋体" w:cs="宋体"/>
          <w:kern w:val="0"/>
          <w:sz w:val="24"/>
          <w:szCs w:val="24"/>
          <w:lang w:val="en-US" w:eastAsia="zh-CN" w:bidi="ar-SA"/>
        </w:rPr>
        <w:t>+公司名称）</w:t>
      </w:r>
    </w:p>
    <w:p>
      <w:pPr>
        <w:pStyle w:val="2"/>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6"/>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2"/>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2"/>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.具有独立承担民事责任的能力（提供承诺函，承诺函必须包含相关文字内容，格式自拟）；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.具有履行合同所必需的设备和专业技术能力(填报设备及专业技术能力情况或者提供承诺函，承诺函必须包含相关文字内容，格式自拟)；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.具有依法缴纳税收和社会保障资金的良好记录（提供承诺函，承诺函必须包含相关文字内容，格式自拟）；</w:t>
      </w:r>
    </w:p>
    <w:p>
      <w:pPr>
        <w:widowControl/>
        <w:spacing w:line="360" w:lineRule="auto"/>
        <w:ind w:firstLine="42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参加本次采购活动前三年内，未被列入“信用中国”网站</w:t>
      </w:r>
      <w:bookmarkStart w:id="145" w:name="_GoBack"/>
      <w:bookmarkEnd w:id="145"/>
      <w:r>
        <w:rPr>
          <w:rFonts w:hint="eastAsia" w:ascii="宋体" w:hAnsi="宋体" w:eastAsia="宋体" w:cs="宋体"/>
          <w:sz w:val="24"/>
          <w:szCs w:val="24"/>
          <w:highlight w:val="none"/>
        </w:rPr>
        <w:t>(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autoSpaceDE w:val="0"/>
        <w:autoSpaceDN w:val="0"/>
        <w:spacing w:line="360" w:lineRule="auto"/>
        <w:ind w:firstLine="480" w:firstLineChars="200"/>
        <w:rPr>
          <w:rFonts w:hint="eastAsia" w:ascii="宋体" w:hAnsi="宋体" w:eastAsia="宋体" w:cs="Times New Roman"/>
          <w:color w:val="000000"/>
          <w:sz w:val="24"/>
          <w:highlight w:val="yellow"/>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供应商应</w:t>
      </w:r>
      <w:r>
        <w:rPr>
          <w:rFonts w:hint="eastAsia" w:ascii="宋体" w:hAnsi="宋体"/>
          <w:color w:val="000000" w:themeColor="text1"/>
          <w:sz w:val="24"/>
          <w:highlight w:val="none"/>
          <w14:textFill>
            <w14:solidFill>
              <w14:schemeClr w14:val="tx1"/>
            </w14:solidFill>
          </w14:textFill>
        </w:rPr>
        <w:t>具备相关主管部门颁发的建筑机电安装工程专业承包三级及以上资质、电子与智能化工程专业承包二级及以上资质并持有有效的安全生产许可证。</w:t>
      </w:r>
      <w:r>
        <w:rPr>
          <w:rFonts w:hint="eastAsia" w:ascii="宋体" w:hAnsi="宋体" w:eastAsia="宋体" w:cs="Times New Roman"/>
          <w:color w:val="000000"/>
          <w:sz w:val="24"/>
          <w:highlight w:val="none"/>
          <w:lang w:eastAsia="zh-CN"/>
        </w:rPr>
        <w:t>（提供相关证件复印件，并加盖公章）</w:t>
      </w:r>
      <w:r>
        <w:rPr>
          <w:rFonts w:hint="eastAsia"/>
        </w:rPr>
        <w:t xml:space="preserve"> </w:t>
      </w:r>
    </w:p>
    <w:p>
      <w:pPr>
        <w:widowControl/>
        <w:spacing w:line="360" w:lineRule="auto"/>
        <w:ind w:firstLine="42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10</w:t>
      </w: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.法定代表人或单位负责人为同一人或者存在直接控股、管理关系的不同响应单位，不得参加同一合同项下的政府采购活动（提供承诺函，承诺函必须包含相关文字内容，格式自拟）</w:t>
      </w:r>
    </w:p>
    <w:p>
      <w:pPr>
        <w:widowControl/>
        <w:spacing w:line="360" w:lineRule="auto"/>
        <w:ind w:firstLine="420"/>
        <w:jc w:val="left"/>
        <w:rPr>
          <w:rFonts w:hint="eastAsia" w:ascii="宋体" w:hAnsi="宋体" w:eastAsia="宋体" w:cs="Times New Roman"/>
          <w:color w:val="000000"/>
          <w:sz w:val="24"/>
        </w:rPr>
      </w:pPr>
      <w:r>
        <w:rPr>
          <w:rFonts w:hint="eastAsia" w:ascii="宋体" w:hAnsi="宋体" w:cs="Times New Roman"/>
          <w:color w:val="000000"/>
          <w:sz w:val="24"/>
          <w:lang w:val="en-US" w:eastAsia="zh-CN"/>
        </w:rPr>
        <w:t>11</w:t>
      </w:r>
      <w:r>
        <w:rPr>
          <w:rFonts w:hint="eastAsia" w:ascii="宋体" w:hAnsi="宋体" w:eastAsia="宋体" w:cs="Times New Roman"/>
          <w:color w:val="000000"/>
          <w:sz w:val="24"/>
        </w:rPr>
        <w:t>.本项目不接受联合体。（提供声明函，承诺函必须包含相关文字内容，格式自拟）。</w:t>
      </w:r>
    </w:p>
    <w:p>
      <w:pPr>
        <w:pStyle w:val="22"/>
        <w:spacing w:line="360" w:lineRule="auto"/>
        <w:ind w:firstLine="0" w:firstLineChars="0"/>
        <w:rPr>
          <w:rFonts w:ascii="宋体" w:hAnsi="宋体"/>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center"/>
      </w:pPr>
      <w:r>
        <w:rPr>
          <w:rFonts w:hint="eastAsia"/>
        </w:rPr>
        <w:t>第三部分 相关格式文件模板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ascii="宋体" w:hAnsi="宋体" w:cs="宋体"/>
          <w:b/>
          <w:kern w:val="0"/>
          <w:sz w:val="40"/>
          <w:szCs w:val="27"/>
        </w:rPr>
      </w:pPr>
      <w:bookmarkStart w:id="12" w:name="_Toc31053"/>
      <w:bookmarkStart w:id="13" w:name="_Toc6151"/>
      <w:bookmarkStart w:id="14" w:name="_Toc31740"/>
      <w:bookmarkStart w:id="15" w:name="_Toc25869"/>
      <w:bookmarkStart w:id="16" w:name="_Toc14488"/>
      <w:bookmarkStart w:id="17" w:name="_Toc6408"/>
      <w:bookmarkStart w:id="18" w:name="_Toc24"/>
      <w:bookmarkStart w:id="19" w:name="_Toc28528"/>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5870"/>
      <w:bookmarkStart w:id="22" w:name="_Toc12520"/>
      <w:bookmarkStart w:id="23" w:name="_Toc26267"/>
      <w:bookmarkStart w:id="24" w:name="_Toc28703"/>
      <w:bookmarkStart w:id="25" w:name="_Toc6547"/>
      <w:bookmarkStart w:id="26" w:name="_Toc40346216"/>
      <w:bookmarkStart w:id="27" w:name="_Toc11075"/>
      <w:bookmarkStart w:id="28" w:name="_Toc11305"/>
      <w:bookmarkStart w:id="29" w:name="_Toc8364"/>
      <w:bookmarkStart w:id="30" w:name="_Toc29113"/>
      <w:bookmarkStart w:id="31" w:name="_Toc435"/>
      <w:bookmarkStart w:id="32" w:name="_Toc40776111"/>
      <w:bookmarkStart w:id="33" w:name="_Toc21249"/>
      <w:bookmarkStart w:id="34" w:name="_Toc3471"/>
      <w:bookmarkStart w:id="35" w:name="_Toc7291"/>
      <w:bookmarkStart w:id="36" w:name="_Toc40346375"/>
      <w:bookmarkStart w:id="37" w:name="_Toc1994"/>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916"/>
      <w:bookmarkStart w:id="40" w:name="_Toc40776112"/>
      <w:bookmarkStart w:id="41" w:name="_Toc20884"/>
      <w:bookmarkStart w:id="42" w:name="_Toc40346217"/>
      <w:bookmarkStart w:id="43" w:name="_Toc40346376"/>
      <w:bookmarkStart w:id="44" w:name="_Toc27997"/>
      <w:bookmarkStart w:id="45" w:name="_Toc1743"/>
    </w:p>
    <w:p>
      <w:pPr>
        <w:widowControl/>
        <w:spacing w:line="360" w:lineRule="auto"/>
        <w:ind w:firstLine="600"/>
        <w:outlineLvl w:val="0"/>
        <w:rPr>
          <w:rFonts w:cs="宋体"/>
          <w:kern w:val="0"/>
          <w:sz w:val="30"/>
          <w:szCs w:val="30"/>
        </w:rPr>
      </w:pPr>
      <w:bookmarkStart w:id="46" w:name="_Toc2012"/>
      <w:bookmarkStart w:id="47" w:name="_Toc29102"/>
      <w:bookmarkStart w:id="48" w:name="_Toc5238"/>
      <w:bookmarkStart w:id="49" w:name="_Toc31538"/>
      <w:bookmarkStart w:id="50" w:name="_Toc23097"/>
      <w:bookmarkStart w:id="51" w:name="_Toc19699"/>
      <w:bookmarkStart w:id="52" w:name="_Toc11485"/>
      <w:bookmarkStart w:id="53" w:name="_Toc30979"/>
      <w:bookmarkStart w:id="54" w:name="_Toc202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27867"/>
      <w:bookmarkStart w:id="57" w:name="_Toc7052"/>
      <w:bookmarkStart w:id="58" w:name="_Toc11141"/>
      <w:bookmarkStart w:id="59" w:name="_Toc16794"/>
      <w:bookmarkStart w:id="60" w:name="_Toc14824"/>
      <w:bookmarkStart w:id="61" w:name="_Toc17930"/>
      <w:bookmarkStart w:id="62" w:name="_Toc29767"/>
      <w:bookmarkStart w:id="63" w:name="_Toc40346377"/>
      <w:bookmarkStart w:id="64" w:name="_Toc40776113"/>
      <w:bookmarkStart w:id="65" w:name="_Toc28064"/>
      <w:bookmarkStart w:id="66" w:name="_Toc4013"/>
      <w:bookmarkStart w:id="67" w:name="_Toc40346218"/>
      <w:bookmarkStart w:id="68" w:name="_Toc31993"/>
      <w:bookmarkStart w:id="69" w:name="_Toc12645"/>
      <w:bookmarkStart w:id="70" w:name="_Toc24763"/>
      <w:bookmarkStart w:id="71" w:name="_Toc11558"/>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4287"/>
      <w:bookmarkStart w:id="73" w:name="_Toc9883"/>
      <w:bookmarkStart w:id="74" w:name="_Toc31197"/>
      <w:bookmarkStart w:id="75" w:name="_Toc40346378"/>
      <w:bookmarkStart w:id="76" w:name="_Toc40346219"/>
      <w:bookmarkStart w:id="77" w:name="_Toc32709"/>
      <w:bookmarkStart w:id="78" w:name="_Toc1324"/>
      <w:bookmarkStart w:id="79" w:name="_Toc24651"/>
      <w:bookmarkStart w:id="80" w:name="_Toc11334"/>
      <w:bookmarkStart w:id="81" w:name="_Toc17537"/>
      <w:bookmarkStart w:id="82" w:name="_Toc27771"/>
      <w:bookmarkStart w:id="83" w:name="_Toc26029"/>
      <w:bookmarkStart w:id="84" w:name="_Toc4563"/>
      <w:bookmarkStart w:id="85" w:name="_Toc19831"/>
      <w:bookmarkStart w:id="86" w:name="_Toc6438"/>
      <w:bookmarkStart w:id="87" w:name="_Toc40776114"/>
      <w:bookmarkStart w:id="88" w:name="_Toc1681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18353"/>
      <w:bookmarkStart w:id="90" w:name="_Toc14586"/>
      <w:bookmarkStart w:id="91" w:name="_Toc17483"/>
      <w:bookmarkStart w:id="92" w:name="_Toc3895"/>
      <w:bookmarkStart w:id="93" w:name="_Toc40346220"/>
      <w:bookmarkStart w:id="94" w:name="_Toc21940"/>
      <w:bookmarkStart w:id="95" w:name="_Toc27206"/>
      <w:bookmarkStart w:id="96" w:name="_Toc30336"/>
      <w:bookmarkStart w:id="97" w:name="_Toc5189"/>
      <w:bookmarkStart w:id="98" w:name="_Toc27868"/>
      <w:bookmarkStart w:id="99" w:name="_Toc40346379"/>
      <w:bookmarkStart w:id="100" w:name="_Toc21686"/>
      <w:bookmarkStart w:id="101" w:name="_Toc13222"/>
      <w:bookmarkStart w:id="102" w:name="_Toc40776115"/>
      <w:bookmarkStart w:id="103" w:name="_Toc20994"/>
      <w:bookmarkStart w:id="104" w:name="_Toc5634"/>
      <w:bookmarkStart w:id="105" w:name="_Toc12650"/>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8526"/>
      <w:bookmarkStart w:id="107" w:name="_Toc21449"/>
      <w:bookmarkStart w:id="108" w:name="_Toc30856"/>
      <w:bookmarkStart w:id="109" w:name="_Toc11547"/>
      <w:bookmarkStart w:id="110" w:name="_Toc9282"/>
      <w:bookmarkStart w:id="111" w:name="_Toc40776116"/>
      <w:bookmarkStart w:id="112" w:name="_Toc10454"/>
      <w:bookmarkStart w:id="113" w:name="_Toc32371"/>
      <w:bookmarkStart w:id="114" w:name="_Toc5220"/>
      <w:bookmarkStart w:id="115" w:name="_Toc40346380"/>
      <w:bookmarkStart w:id="116" w:name="_Toc3498"/>
      <w:bookmarkStart w:id="117" w:name="_Toc30904"/>
      <w:bookmarkStart w:id="118" w:name="_Toc40346221"/>
      <w:bookmarkStart w:id="119" w:name="_Toc12127"/>
      <w:bookmarkStart w:id="120" w:name="_Toc27009"/>
      <w:bookmarkStart w:id="121" w:name="_Toc27646"/>
      <w:bookmarkStart w:id="122" w:name="_Toc1446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ascii="宋体" w:hAnsi="宋体"/>
          <w:bCs/>
          <w:color w:val="FF0000"/>
          <w:sz w:val="24"/>
          <w:szCs w:val="24"/>
        </w:rPr>
      </w:pPr>
      <w:bookmarkStart w:id="123" w:name="_Toc6691"/>
      <w:bookmarkStart w:id="124" w:name="_Toc9697"/>
      <w:bookmarkStart w:id="125" w:name="_Toc21213"/>
      <w:bookmarkStart w:id="126" w:name="_Toc10399"/>
      <w:bookmarkStart w:id="127" w:name="_Toc16728"/>
      <w:bookmarkStart w:id="128" w:name="_Toc28747"/>
      <w:bookmarkStart w:id="129" w:name="_Toc15539"/>
      <w:bookmarkStart w:id="130" w:name="_Toc31077"/>
      <w:bookmarkStart w:id="131" w:name="_Toc13184"/>
      <w:bookmarkStart w:id="132" w:name="_Toc16608"/>
      <w:bookmarkStart w:id="133" w:name="_Toc8637"/>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hint="eastAsia" w:ascii="宋体" w:hAnsi="宋体"/>
          <w:bCs/>
          <w:sz w:val="24"/>
          <w:szCs w:val="24"/>
        </w:rPr>
      </w:pPr>
    </w:p>
    <w:p>
      <w:pPr>
        <w:pStyle w:val="22"/>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020"/>
      <w:bookmarkStart w:id="137" w:name="_Toc14853"/>
      <w:bookmarkStart w:id="138" w:name="_Toc3241"/>
      <w:bookmarkStart w:id="139" w:name="_Toc18443"/>
      <w:bookmarkStart w:id="140" w:name="_Toc15934"/>
      <w:bookmarkStart w:id="141" w:name="_Toc3758"/>
      <w:bookmarkStart w:id="142" w:name="_Toc15050"/>
      <w:bookmarkStart w:id="143" w:name="_Toc20854"/>
      <w:bookmarkStart w:id="144" w:name="_Toc7276"/>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spacing w:line="360" w:lineRule="auto"/>
        <w:ind w:firstLine="0" w:firstLineChars="0"/>
        <w:rPr>
          <w:rFonts w:ascii="宋体" w:hAnsi="宋体"/>
          <w:sz w:val="24"/>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具有独立承担民事责任的能力</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具有履行合同所必需的设备和专业技术能力</w:t>
      </w:r>
      <w:r>
        <w:rPr>
          <w:rFonts w:hint="eastAsia" w:ascii="宋体" w:hAnsi="宋体" w:eastAsia="宋体" w:cs="宋体"/>
          <w:color w:val="0000FF"/>
          <w:sz w:val="24"/>
          <w:szCs w:val="24"/>
          <w:highlight w:val="none"/>
        </w:rPr>
        <w:t>(填报设备及专业技术能力情况或者提供承诺函，承诺函必须包含相关文字内容，格式自拟)</w:t>
      </w:r>
    </w:p>
    <w:p>
      <w:pPr>
        <w:widowControl/>
        <w:spacing w:line="360" w:lineRule="auto"/>
        <w:jc w:val="left"/>
        <w:rPr>
          <w:rFonts w:hint="eastAsia" w:ascii="宋体" w:hAnsi="宋体" w:eastAsia="宋体" w:cs="宋体"/>
          <w:sz w:val="24"/>
          <w:szCs w:val="24"/>
          <w:highlight w:val="none"/>
        </w:rPr>
      </w:pPr>
    </w:p>
    <w:p>
      <w:pPr>
        <w:widowControl/>
        <w:spacing w:line="360" w:lineRule="auto"/>
        <w:jc w:val="left"/>
        <w:rPr>
          <w:rFonts w:hint="eastAsia" w:ascii="宋体" w:hAnsi="宋体" w:eastAsia="宋体" w:cs="宋体"/>
          <w:color w:val="0000FF"/>
          <w:sz w:val="24"/>
          <w:szCs w:val="24"/>
          <w:highlight w:val="none"/>
        </w:rPr>
      </w:pPr>
      <w:r>
        <w:rPr>
          <w:rFonts w:hint="eastAsia" w:ascii="宋体" w:hAnsi="宋体" w:eastAsia="宋体" w:cs="宋体"/>
          <w:sz w:val="24"/>
          <w:szCs w:val="24"/>
          <w:highlight w:val="none"/>
        </w:rPr>
        <w:t>具有依法缴纳税收和社会保障资金的良好记录</w:t>
      </w:r>
      <w:r>
        <w:rPr>
          <w:rFonts w:hint="eastAsia" w:ascii="宋体" w:hAnsi="宋体" w:eastAsia="宋体" w:cs="宋体"/>
          <w:color w:val="0000FF"/>
          <w:sz w:val="24"/>
          <w:szCs w:val="24"/>
          <w:highlight w:val="none"/>
        </w:rPr>
        <w:t>（提供承诺函，承诺函必须包含相关文字内容，格式自拟）；</w:t>
      </w:r>
    </w:p>
    <w:p>
      <w:pPr>
        <w:widowControl/>
        <w:spacing w:line="360" w:lineRule="auto"/>
        <w:ind w:firstLine="420"/>
        <w:jc w:val="left"/>
        <w:rPr>
          <w:rFonts w:hint="eastAsia" w:ascii="宋体" w:hAnsi="宋体" w:cs="宋体"/>
          <w:color w:val="0000FF"/>
          <w:kern w:val="0"/>
          <w:sz w:val="24"/>
          <w:szCs w:val="24"/>
          <w:lang w:val="en-US" w:eastAsia="zh-CN"/>
        </w:rPr>
      </w:pPr>
    </w:p>
    <w:p>
      <w:pPr>
        <w:widowControl/>
        <w:spacing w:line="360" w:lineRule="auto"/>
        <w:jc w:val="left"/>
        <w:rPr>
          <w:rFonts w:ascii="宋体" w:hAnsi="宋体" w:cs="宋体"/>
          <w:color w:val="0000FF"/>
          <w:kern w:val="0"/>
          <w:sz w:val="24"/>
          <w:szCs w:val="24"/>
          <w:highlight w:val="none"/>
        </w:rPr>
      </w:pPr>
      <w:r>
        <w:rPr>
          <w:rFonts w:hint="eastAsia" w:ascii="宋体" w:hAnsi="宋体"/>
          <w:color w:val="000000" w:themeColor="text1"/>
          <w:sz w:val="24"/>
          <w:highlight w:val="none"/>
          <w14:textFill>
            <w14:solidFill>
              <w14:schemeClr w14:val="tx1"/>
            </w14:solidFill>
          </w14:textFill>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w:t>
      </w:r>
      <w:r>
        <w:rPr>
          <w:rFonts w:hint="eastAsia" w:ascii="宋体" w:hAnsi="宋体" w:cs="宋体"/>
          <w:color w:val="0000FF"/>
          <w:kern w:val="0"/>
          <w:sz w:val="24"/>
          <w:szCs w:val="27"/>
          <w:highlight w:val="none"/>
        </w:rPr>
        <w:t>（提供“信用中国”网站或全国法院被执行人信息查询的网页截图）</w:t>
      </w:r>
      <w:r>
        <w:rPr>
          <w:rFonts w:hint="eastAsia" w:ascii="宋体" w:hAnsi="宋体" w:cs="宋体"/>
          <w:color w:val="0000FF"/>
          <w:kern w:val="0"/>
          <w:sz w:val="24"/>
          <w:szCs w:val="24"/>
          <w:highlight w:val="none"/>
        </w:rPr>
        <w:t>；</w:t>
      </w:r>
    </w:p>
    <w:p>
      <w:pPr>
        <w:widowControl/>
        <w:spacing w:line="360" w:lineRule="auto"/>
        <w:jc w:val="left"/>
        <w:rPr>
          <w:rFonts w:hint="eastAsia" w:ascii="宋体" w:hAnsi="宋体"/>
          <w:color w:val="000000"/>
          <w:sz w:val="24"/>
          <w:highlight w:val="yellow"/>
        </w:rPr>
      </w:pPr>
    </w:p>
    <w:p>
      <w:pPr>
        <w:autoSpaceDE w:val="0"/>
        <w:autoSpaceDN w:val="0"/>
        <w:spacing w:line="360" w:lineRule="auto"/>
        <w:ind w:firstLine="480" w:firstLineChars="200"/>
        <w:rPr>
          <w:rFonts w:hint="eastAsia" w:ascii="宋体" w:hAnsi="宋体" w:eastAsia="宋体" w:cs="Times New Roman"/>
          <w:color w:val="0000FF"/>
          <w:sz w:val="24"/>
          <w:highlight w:val="yellow"/>
          <w:lang w:val="en-US" w:eastAsia="zh-CN"/>
        </w:rPr>
      </w:pPr>
      <w:r>
        <w:rPr>
          <w:rFonts w:hint="eastAsia" w:ascii="宋体" w:hAnsi="宋体"/>
          <w:color w:val="000000" w:themeColor="text1"/>
          <w:sz w:val="24"/>
          <w:highlight w:val="none"/>
          <w14:textFill>
            <w14:solidFill>
              <w14:schemeClr w14:val="tx1"/>
            </w14:solidFill>
          </w14:textFill>
        </w:rPr>
        <w:t>供应商应具备相关主管部门颁发的建筑机电安装工程专业承包三级及以上资质、电子与智能化工程专业承包二级及以上资质并持有有效的安全生产许可证。</w:t>
      </w:r>
      <w:r>
        <w:rPr>
          <w:rFonts w:hint="eastAsia" w:ascii="宋体" w:hAnsi="宋体" w:eastAsia="宋体" w:cs="Times New Roman"/>
          <w:color w:val="0000FF"/>
          <w:sz w:val="24"/>
          <w:highlight w:val="none"/>
          <w:lang w:eastAsia="zh-CN"/>
        </w:rPr>
        <w:t>（提供相关证件复印件，并加盖公章）</w:t>
      </w:r>
      <w:r>
        <w:rPr>
          <w:rFonts w:hint="eastAsia"/>
          <w:color w:val="0000FF"/>
        </w:rPr>
        <w:t xml:space="preserve"> </w:t>
      </w:r>
    </w:p>
    <w:p>
      <w:pPr>
        <w:widowControl/>
        <w:spacing w:line="360" w:lineRule="auto"/>
        <w:jc w:val="left"/>
        <w:rPr>
          <w:rFonts w:hint="eastAsia" w:ascii="宋体" w:hAnsi="宋体" w:eastAsia="宋体" w:cs="Times New Roman"/>
          <w:color w:val="000000"/>
          <w:sz w:val="24"/>
        </w:rPr>
      </w:pPr>
    </w:p>
    <w:p>
      <w:pPr>
        <w:widowControl/>
        <w:spacing w:line="360" w:lineRule="auto"/>
        <w:jc w:val="left"/>
        <w:rPr>
          <w:rFonts w:hint="eastAsia" w:ascii="宋体" w:hAnsi="宋体" w:eastAsia="宋体" w:cs="Times New Roman"/>
          <w:color w:val="0000FF"/>
          <w:sz w:val="24"/>
        </w:rPr>
      </w:pPr>
      <w:r>
        <w:rPr>
          <w:rFonts w:hint="eastAsia" w:ascii="宋体" w:hAnsi="宋体" w:eastAsia="宋体" w:cs="Times New Roman"/>
          <w:color w:val="000000"/>
          <w:sz w:val="24"/>
        </w:rPr>
        <w:t>法定代表人或单位负责人为同一人或者存在直接控股、管理关系的不同响应单位，不得参加同一合同项下的政府采购活动</w:t>
      </w:r>
      <w:r>
        <w:rPr>
          <w:rFonts w:hint="eastAsia" w:ascii="宋体" w:hAnsi="宋体" w:eastAsia="宋体" w:cs="Times New Roman"/>
          <w:color w:val="0000FF"/>
          <w:sz w:val="24"/>
        </w:rPr>
        <w:t>（提供承诺函，承诺函必须包含相关文字内容，格式自拟）</w:t>
      </w:r>
    </w:p>
    <w:p>
      <w:pPr>
        <w:widowControl/>
        <w:spacing w:line="360" w:lineRule="auto"/>
        <w:jc w:val="left"/>
        <w:rPr>
          <w:rFonts w:hint="eastAsia" w:ascii="宋体" w:hAnsi="宋体" w:eastAsia="宋体" w:cs="Times New Roman"/>
          <w:color w:val="000000"/>
          <w:sz w:val="24"/>
        </w:rPr>
      </w:pPr>
    </w:p>
    <w:p>
      <w:pPr>
        <w:widowControl/>
        <w:spacing w:line="360" w:lineRule="auto"/>
        <w:jc w:val="left"/>
        <w:rPr>
          <w:rFonts w:hint="eastAsia" w:ascii="宋体" w:hAnsi="宋体" w:eastAsia="宋体" w:cs="Times New Roman"/>
          <w:color w:val="0000FF"/>
          <w:sz w:val="24"/>
        </w:rPr>
      </w:pPr>
      <w:r>
        <w:rPr>
          <w:rFonts w:hint="eastAsia" w:ascii="宋体" w:hAnsi="宋体" w:eastAsia="宋体" w:cs="Times New Roman"/>
          <w:color w:val="000000"/>
          <w:sz w:val="24"/>
        </w:rPr>
        <w:t>本项目不接受联合体。</w:t>
      </w:r>
      <w:r>
        <w:rPr>
          <w:rFonts w:hint="eastAsia" w:ascii="宋体" w:hAnsi="宋体" w:eastAsia="宋体" w:cs="Times New Roman"/>
          <w:color w:val="0000FF"/>
          <w:sz w:val="24"/>
        </w:rPr>
        <w:t>（提供声明函，承诺函必须包含相关文字内容，格式自拟）</w:t>
      </w:r>
    </w:p>
    <w:p>
      <w:pPr>
        <w:widowControl/>
        <w:spacing w:line="320" w:lineRule="exact"/>
        <w:ind w:firstLine="480" w:firstLineChars="200"/>
        <w:jc w:val="left"/>
        <w:rPr>
          <w:rFonts w:ascii="宋体" w:hAnsi="宋体" w:cs="宋体"/>
          <w:color w:val="0000FF"/>
          <w:sz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4C35BD0"/>
    <w:rsid w:val="14EF6DCA"/>
    <w:rsid w:val="17150B6B"/>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FC06B3E"/>
    <w:rsid w:val="638E7E05"/>
    <w:rsid w:val="639C77AA"/>
    <w:rsid w:val="64DB34C0"/>
    <w:rsid w:val="65F91CA0"/>
    <w:rsid w:val="66C035C3"/>
    <w:rsid w:val="69E20917"/>
    <w:rsid w:val="6AC77EEC"/>
    <w:rsid w:val="6DF1127F"/>
    <w:rsid w:val="6F2A1050"/>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2105</Words>
  <Characters>2269</Characters>
  <Lines>16</Lines>
  <Paragraphs>4</Paragraphs>
  <TotalTime>1</TotalTime>
  <ScaleCrop>false</ScaleCrop>
  <LinksUpToDate>false</LinksUpToDate>
  <CharactersWithSpaces>2718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2022-08-23T03:15:07Z</cp:lastPrinted>
  <dcterms:modified xsi:type="dcterms:W3CDTF">2022-08-23T03:15:13Z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79B1AD99027B41F7AFCA91B4BFC34ED2</vt:lpwstr>
  </property>
</Properties>
</file>