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5365"/>
      <w:bookmarkStart w:id="3" w:name="_Toc3493"/>
      <w:bookmarkStart w:id="4" w:name="_Toc17040"/>
      <w:bookmarkStart w:id="5" w:name="_Toc16091"/>
      <w:bookmarkStart w:id="6" w:name="_Toc14315"/>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eastAsia="宋体" w:cs="Times New Roman"/>
          <w:b/>
          <w:kern w:val="0"/>
          <w:sz w:val="44"/>
          <w:szCs w:val="44"/>
          <w:lang w:val="en-US" w:eastAsia="zh-CN"/>
        </w:rPr>
        <w:t>手腕带</w:t>
      </w:r>
      <w:r>
        <w:rPr>
          <w:rFonts w:hint="eastAsia" w:ascii="宋体" w:hAnsi="宋体" w:eastAsia="宋体" w:cs="Times New Roman"/>
          <w:b/>
          <w:kern w:val="0"/>
          <w:sz w:val="44"/>
          <w:szCs w:val="44"/>
        </w:rPr>
        <w:t>采购项</w:t>
      </w:r>
      <w:r>
        <w:rPr>
          <w:rFonts w:hint="eastAsia" w:ascii="宋体" w:hAnsi="宋体"/>
          <w:b/>
          <w:kern w:val="0"/>
          <w:sz w:val="44"/>
          <w:szCs w:val="44"/>
        </w:rPr>
        <w:t>目</w:t>
      </w:r>
    </w:p>
    <w:p>
      <w:pPr>
        <w:jc w:val="center"/>
        <w:rPr>
          <w:rFonts w:ascii="宋体" w:hAnsi="宋体"/>
          <w:b/>
          <w:kern w:val="0"/>
          <w:sz w:val="44"/>
          <w:szCs w:val="44"/>
        </w:rPr>
      </w:pPr>
    </w:p>
    <w:p>
      <w:pPr>
        <w:spacing w:line="800" w:lineRule="exact"/>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eastAsia="宋体"/>
          <w:b/>
          <w:bCs/>
          <w:sz w:val="36"/>
          <w:szCs w:val="36"/>
          <w:lang w:val="en-US" w:eastAsia="zh-CN"/>
        </w:rPr>
      </w:pPr>
      <w:r>
        <w:rPr>
          <w:rFonts w:hint="eastAsia" w:ascii="宋体" w:hAnsi="宋体"/>
          <w:b/>
          <w:bCs/>
          <w:sz w:val="36"/>
          <w:szCs w:val="36"/>
        </w:rPr>
        <w:t>项目编号：NYWYH2022003</w:t>
      </w:r>
      <w:r>
        <w:rPr>
          <w:rFonts w:hint="eastAsia" w:ascii="宋体" w:hAnsi="宋体"/>
          <w:b/>
          <w:bCs/>
          <w:sz w:val="36"/>
          <w:szCs w:val="36"/>
          <w:lang w:val="en-US" w:eastAsia="zh-CN"/>
        </w:rPr>
        <w:t>6</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期：2022年8月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spacing w:line="360" w:lineRule="auto"/>
        <w:ind w:firstLine="42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rPr>
        <w:t>南方医科大学第五附属医</w:t>
      </w:r>
      <w:r>
        <w:rPr>
          <w:rFonts w:hint="eastAsia" w:ascii="宋体" w:hAnsi="宋体" w:eastAsia="宋体" w:cs="宋体"/>
          <w:color w:val="0000FF"/>
          <w:sz w:val="24"/>
        </w:rPr>
        <w:t>院</w:t>
      </w:r>
      <w:r>
        <w:rPr>
          <w:rFonts w:hint="eastAsia" w:ascii="宋体" w:hAnsi="宋体" w:eastAsia="宋体" w:cs="宋体"/>
          <w:color w:val="0000FF"/>
          <w:sz w:val="24"/>
          <w:lang w:val="en-US" w:eastAsia="zh-CN"/>
        </w:rPr>
        <w:t>手腕带</w:t>
      </w:r>
      <w:r>
        <w:rPr>
          <w:rFonts w:hint="eastAsia" w:ascii="宋体" w:hAnsi="宋体" w:eastAsia="宋体" w:cs="宋体"/>
          <w:color w:val="0000FF"/>
          <w:sz w:val="24"/>
        </w:rPr>
        <w:t>采购项目</w:t>
      </w:r>
      <w:r>
        <w:rPr>
          <w:rFonts w:hint="eastAsia" w:ascii="宋体" w:hAnsi="宋体" w:cs="宋体"/>
          <w:color w:val="0000FF"/>
          <w:kern w:val="0"/>
          <w:sz w:val="24"/>
        </w:rPr>
        <w:t>+NYWYH2022003</w:t>
      </w:r>
      <w:r>
        <w:rPr>
          <w:rFonts w:hint="eastAsia" w:ascii="宋体" w:hAnsi="宋体" w:cs="宋体"/>
          <w:color w:val="0000FF"/>
          <w:kern w:val="0"/>
          <w:sz w:val="24"/>
          <w:lang w:val="en-US" w:eastAsia="zh-CN"/>
        </w:rPr>
        <w:t>6</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bookmarkStart w:id="145" w:name="_GoBack"/>
      <w:bookmarkEnd w:id="145"/>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cs="宋体"/>
          <w:kern w:val="0"/>
          <w:sz w:val="24"/>
          <w:szCs w:val="24"/>
        </w:rPr>
        <w:t>不接受联合体，不允许分包、转包</w:t>
      </w:r>
      <w:r>
        <w:rPr>
          <w:rFonts w:hint="eastAsia" w:ascii="宋体" w:hAnsi="宋体" w:cs="宋体"/>
          <w:color w:val="0000FF"/>
          <w:kern w:val="0"/>
          <w:sz w:val="24"/>
        </w:rPr>
        <w:t>（提供承诺函，</w:t>
      </w:r>
      <w:r>
        <w:rPr>
          <w:rFonts w:hint="eastAsia" w:ascii="宋体" w:hAnsi="宋体" w:cs="宋体"/>
          <w:color w:val="0000FF"/>
          <w:kern w:val="0"/>
          <w:sz w:val="24"/>
          <w:highlight w:val="yellow"/>
          <w:lang w:eastAsia="zh-CN"/>
        </w:rPr>
        <w:t>承诺函必须包含相关文字内容，</w:t>
      </w:r>
      <w:r>
        <w:rPr>
          <w:rFonts w:hint="eastAsia" w:ascii="宋体" w:hAnsi="宋体" w:cs="宋体"/>
          <w:color w:val="0000FF"/>
          <w:kern w:val="0"/>
          <w:sz w:val="24"/>
        </w:rPr>
        <w:t>并加盖供应商公司公章）</w:t>
      </w:r>
    </w:p>
    <w:p>
      <w:pPr>
        <w:widowControl/>
        <w:spacing w:line="320" w:lineRule="exact"/>
        <w:ind w:firstLine="480" w:firstLineChars="200"/>
        <w:jc w:val="left"/>
        <w:rPr>
          <w:rFonts w:ascii="宋体" w:hAnsi="宋体" w:cs="宋体"/>
          <w:sz w:val="24"/>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pPr>
    </w:p>
    <w:p>
      <w:pPr>
        <w:pStyle w:val="4"/>
        <w:jc w:val="center"/>
      </w:pPr>
    </w:p>
    <w:p>
      <w:pPr>
        <w:pStyle w:val="4"/>
        <w:jc w:val="center"/>
      </w:pPr>
    </w:p>
    <w:p>
      <w:pPr>
        <w:pStyle w:val="4"/>
        <w:jc w:val="center"/>
      </w:pPr>
    </w:p>
    <w:p>
      <w:pPr>
        <w:pStyle w:val="4"/>
        <w:jc w:val="cente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17375"/>
      <w:bookmarkStart w:id="13" w:name="_Toc28528"/>
      <w:bookmarkStart w:id="14" w:name="_Toc24"/>
      <w:bookmarkStart w:id="15" w:name="_Toc31053"/>
      <w:bookmarkStart w:id="16" w:name="_Toc6151"/>
      <w:bookmarkStart w:id="17" w:name="_Toc31740"/>
      <w:bookmarkStart w:id="18" w:name="_Toc25869"/>
      <w:bookmarkStart w:id="19" w:name="_Toc14488"/>
      <w:bookmarkStart w:id="20" w:name="_Toc640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075"/>
      <w:bookmarkStart w:id="22" w:name="_Toc7291"/>
      <w:bookmarkStart w:id="23" w:name="_Toc11305"/>
      <w:bookmarkStart w:id="24" w:name="_Toc3471"/>
      <w:bookmarkStart w:id="25" w:name="_Toc8364"/>
      <w:bookmarkStart w:id="26" w:name="_Toc40346375"/>
      <w:bookmarkStart w:id="27" w:name="_Toc435"/>
      <w:bookmarkStart w:id="28" w:name="_Toc1994"/>
      <w:bookmarkStart w:id="29" w:name="_Toc40776111"/>
      <w:bookmarkStart w:id="30" w:name="_Toc21249"/>
      <w:bookmarkStart w:id="31" w:name="_Toc29113"/>
      <w:bookmarkStart w:id="32" w:name="_Toc40346216"/>
      <w:bookmarkStart w:id="33" w:name="_Toc26267"/>
      <w:bookmarkStart w:id="34" w:name="_Toc6547"/>
      <w:bookmarkStart w:id="35" w:name="_Toc12520"/>
      <w:bookmarkStart w:id="36" w:name="_Toc28703"/>
      <w:bookmarkStart w:id="37" w:name="_Toc15870"/>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346217"/>
      <w:bookmarkStart w:id="40" w:name="_Toc27997"/>
      <w:bookmarkStart w:id="41" w:name="_Toc20884"/>
      <w:bookmarkStart w:id="42" w:name="_Toc40346376"/>
      <w:bookmarkStart w:id="43" w:name="_Toc40776112"/>
      <w:bookmarkStart w:id="44" w:name="_Toc2916"/>
      <w:bookmarkStart w:id="45" w:name="_Toc17709"/>
    </w:p>
    <w:p>
      <w:pPr>
        <w:widowControl/>
        <w:spacing w:line="360" w:lineRule="auto"/>
        <w:ind w:firstLine="600"/>
        <w:outlineLvl w:val="0"/>
        <w:rPr>
          <w:rFonts w:cs="宋体"/>
          <w:kern w:val="0"/>
          <w:sz w:val="30"/>
          <w:szCs w:val="30"/>
        </w:rPr>
      </w:pPr>
      <w:bookmarkStart w:id="46" w:name="_Toc30979"/>
      <w:bookmarkStart w:id="47" w:name="_Toc2029"/>
      <w:bookmarkStart w:id="48" w:name="_Toc11485"/>
      <w:bookmarkStart w:id="49" w:name="_Toc19699"/>
      <w:bookmarkStart w:id="50" w:name="_Toc2012"/>
      <w:bookmarkStart w:id="51" w:name="_Toc23097"/>
      <w:bookmarkStart w:id="52" w:name="_Toc5238"/>
      <w:bookmarkStart w:id="53" w:name="_Toc315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2645"/>
      <w:bookmarkStart w:id="56" w:name="_Toc24763"/>
      <w:bookmarkStart w:id="57" w:name="_Toc31993"/>
      <w:bookmarkStart w:id="58" w:name="_Toc40346218"/>
      <w:bookmarkStart w:id="59" w:name="_Toc11558"/>
      <w:bookmarkStart w:id="60" w:name="_Toc21483"/>
      <w:bookmarkStart w:id="61" w:name="_Toc7052"/>
      <w:bookmarkStart w:id="62" w:name="_Toc27867"/>
      <w:bookmarkStart w:id="63" w:name="_Toc14824"/>
      <w:bookmarkStart w:id="64" w:name="_Toc17930"/>
      <w:bookmarkStart w:id="65" w:name="_Toc4013"/>
      <w:bookmarkStart w:id="66" w:name="_Toc29767"/>
      <w:bookmarkStart w:id="67" w:name="_Toc40346377"/>
      <w:bookmarkStart w:id="68" w:name="_Toc11141"/>
      <w:bookmarkStart w:id="69" w:name="_Toc16794"/>
      <w:bookmarkStart w:id="70" w:name="_Toc40776113"/>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1197"/>
      <w:bookmarkStart w:id="73" w:name="_Toc9883"/>
      <w:bookmarkStart w:id="74" w:name="_Toc14287"/>
      <w:bookmarkStart w:id="75" w:name="_Toc6438"/>
      <w:bookmarkStart w:id="76" w:name="_Toc19831"/>
      <w:bookmarkStart w:id="77" w:name="_Toc4563"/>
      <w:bookmarkStart w:id="78" w:name="_Toc26029"/>
      <w:bookmarkStart w:id="79" w:name="_Toc27771"/>
      <w:bookmarkStart w:id="80" w:name="_Toc17537"/>
      <w:bookmarkStart w:id="81" w:name="_Toc11334"/>
      <w:bookmarkStart w:id="82" w:name="_Toc24651"/>
      <w:bookmarkStart w:id="83" w:name="_Toc1324"/>
      <w:bookmarkStart w:id="84" w:name="_Toc32709"/>
      <w:bookmarkStart w:id="85" w:name="_Toc16813"/>
      <w:bookmarkStart w:id="86" w:name="_Toc40776114"/>
      <w:bookmarkStart w:id="87" w:name="_Toc40346219"/>
      <w:bookmarkStart w:id="88" w:name="_Toc4034637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27868"/>
      <w:bookmarkStart w:id="94" w:name="_Toc5189"/>
      <w:bookmarkStart w:id="95" w:name="_Toc30336"/>
      <w:bookmarkStart w:id="96" w:name="_Toc12650"/>
      <w:bookmarkStart w:id="97" w:name="_Toc5634"/>
      <w:bookmarkStart w:id="98" w:name="_Toc27206"/>
      <w:bookmarkStart w:id="99" w:name="_Toc21940"/>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12127"/>
      <w:bookmarkStart w:id="110" w:name="_Toc40346221"/>
      <w:bookmarkStart w:id="111" w:name="_Toc30904"/>
      <w:bookmarkStart w:id="112" w:name="_Toc3498"/>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31077"/>
      <w:bookmarkStart w:id="124" w:name="_Toc15539"/>
      <w:bookmarkStart w:id="125" w:name="_Toc28747"/>
      <w:bookmarkStart w:id="126" w:name="_Toc16728"/>
      <w:bookmarkStart w:id="127" w:name="_Toc10399"/>
      <w:bookmarkStart w:id="128" w:name="_Toc13184"/>
      <w:bookmarkStart w:id="129" w:name="_Toc21213"/>
      <w:bookmarkStart w:id="130" w:name="_Toc9697"/>
      <w:bookmarkStart w:id="131" w:name="_Toc6691"/>
      <w:bookmarkStart w:id="132" w:name="_Toc8637"/>
      <w:bookmarkStart w:id="133" w:name="_Toc16608"/>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15934"/>
      <w:bookmarkStart w:id="138" w:name="_Toc14020"/>
      <w:bookmarkStart w:id="139" w:name="_Toc15050"/>
      <w:bookmarkStart w:id="140" w:name="_Toc3758"/>
      <w:bookmarkStart w:id="141" w:name="_Toc18443"/>
      <w:bookmarkStart w:id="142" w:name="_Toc3241"/>
      <w:bookmarkStart w:id="143" w:name="_Toc14853"/>
      <w:bookmarkStart w:id="144" w:name="_Toc7276"/>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pStyle w:val="22"/>
        <w:spacing w:line="360" w:lineRule="auto"/>
        <w:ind w:firstLine="0" w:firstLineChars="0"/>
        <w:rPr>
          <w:rFonts w:ascii="宋体" w:hAnsi="宋体"/>
          <w:color w:val="0000FF"/>
          <w:sz w:val="24"/>
        </w:rPr>
      </w:pPr>
      <w:r>
        <w:rPr>
          <w:rFonts w:hint="eastAsia" w:ascii="宋体" w:hAnsi="宋体" w:cs="宋体"/>
          <w:kern w:val="0"/>
          <w:sz w:val="24"/>
          <w:szCs w:val="24"/>
        </w:rPr>
        <w:t>不接受联合体，不允许分包、转包</w:t>
      </w:r>
      <w:r>
        <w:rPr>
          <w:rFonts w:hint="eastAsia" w:ascii="宋体" w:hAnsi="宋体" w:cs="宋体"/>
          <w:color w:val="0000FF"/>
          <w:kern w:val="0"/>
          <w:sz w:val="24"/>
        </w:rPr>
        <w:t>（提供承诺函，</w:t>
      </w:r>
      <w:r>
        <w:rPr>
          <w:rFonts w:hint="eastAsia" w:ascii="宋体" w:hAnsi="宋体" w:cs="宋体"/>
          <w:color w:val="0000FF"/>
          <w:kern w:val="0"/>
          <w:sz w:val="24"/>
          <w:highlight w:val="yellow"/>
          <w:lang w:eastAsia="zh-CN"/>
        </w:rPr>
        <w:t>承诺函必须包含相关文字内容，</w:t>
      </w:r>
      <w:r>
        <w:rPr>
          <w:rFonts w:hint="eastAsia" w:ascii="宋体" w:hAnsi="宋体" w:cs="宋体"/>
          <w:color w:val="0000FF"/>
          <w:kern w:val="0"/>
          <w:sz w:val="24"/>
        </w:rPr>
        <w:t>并加盖供应商公司公章）</w:t>
      </w:r>
    </w:p>
    <w:p>
      <w:pPr>
        <w:widowControl/>
        <w:spacing w:line="320" w:lineRule="exact"/>
        <w:ind w:firstLine="480" w:firstLineChars="200"/>
        <w:jc w:val="left"/>
        <w:rPr>
          <w:rFonts w:ascii="宋体" w:hAnsi="宋体" w:cs="宋体"/>
          <w:color w:val="0000FF"/>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1240</Words>
  <Characters>1317</Characters>
  <Lines>16</Lines>
  <Paragraphs>4</Paragraphs>
  <TotalTime>1</TotalTime>
  <ScaleCrop>false</ScaleCrop>
  <LinksUpToDate>false</LinksUpToDate>
  <CharactersWithSpaces>1761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2022-08-17T11:05:53Z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79B1AD99027B41F7AFCA91B4BFC34ED2</vt:lpwstr>
  </property>
</Properties>
</file>