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手腕带采购项目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项目编号：NYWYH2022003</w:t>
      </w:r>
      <w:r>
        <w:rPr>
          <w:rFonts w:hint="eastAsia" w:ascii="宋体" w:hAnsi="宋体" w:cs="Times New Roman"/>
          <w:b/>
          <w:bCs/>
          <w:color w:val="auto"/>
          <w:kern w:val="2"/>
          <w:sz w:val="36"/>
          <w:szCs w:val="36"/>
          <w:highlight w:val="none"/>
          <w:lang w:val="en-US" w:eastAsia="zh-CN" w:bidi="ar-SA"/>
        </w:rPr>
        <w:t>6</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8</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2</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5</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18</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仿宋" w:hAnsi="仿宋" w:eastAsia="仿宋" w:cs="Helvetica"/>
          <w:color w:val="auto"/>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根据我院业务发展需要，近期拟对手腕带进行采购，现根据相关规定特此公告，欢迎符合条件的供应商参加。</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color w:val="auto"/>
          <w:sz w:val="24"/>
          <w:szCs w:val="24"/>
          <w:highlight w:val="none"/>
          <w:lang w:eastAsia="zh-CN"/>
        </w:rPr>
        <w:t>NYWYH202200</w:t>
      </w:r>
      <w:r>
        <w:rPr>
          <w:rFonts w:hint="eastAsia" w:ascii="宋体" w:hAnsi="宋体" w:eastAsia="宋体" w:cs="宋体"/>
          <w:color w:val="auto"/>
          <w:sz w:val="24"/>
          <w:szCs w:val="24"/>
          <w:highlight w:val="none"/>
          <w:lang w:val="en-US" w:eastAsia="zh-CN"/>
        </w:rPr>
        <w:t>36</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2.项目名称：</w:t>
      </w:r>
      <w:r>
        <w:rPr>
          <w:rFonts w:hint="eastAsia" w:ascii="宋体" w:hAnsi="宋体" w:eastAsia="宋体" w:cs="宋体"/>
          <w:color w:val="auto"/>
          <w:kern w:val="2"/>
          <w:sz w:val="24"/>
          <w:szCs w:val="24"/>
          <w:highlight w:val="none"/>
          <w:lang w:val="en-US" w:eastAsia="zh-CN" w:bidi="ar-SA"/>
        </w:rPr>
        <w:t>南方医科大学第五附属医院手腕带</w:t>
      </w:r>
      <w:r>
        <w:rPr>
          <w:rFonts w:hint="default" w:ascii="宋体" w:hAnsi="宋体" w:eastAsia="宋体" w:cs="宋体"/>
          <w:color w:val="auto"/>
          <w:kern w:val="2"/>
          <w:sz w:val="24"/>
          <w:szCs w:val="24"/>
          <w:highlight w:val="none"/>
          <w:lang w:val="en-US" w:eastAsia="zh-CN" w:bidi="ar-SA"/>
        </w:rPr>
        <w:t>采购项目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b/>
          <w:sz w:val="24"/>
          <w:szCs w:val="24"/>
        </w:rPr>
      </w:pPr>
      <w:r>
        <w:rPr>
          <w:rFonts w:hint="eastAsia" w:ascii="宋体" w:hAnsi="宋体" w:eastAsia="宋体" w:cs="宋体"/>
          <w:b/>
          <w:bCs/>
          <w:color w:val="auto"/>
          <w:sz w:val="24"/>
          <w:szCs w:val="24"/>
          <w:highlight w:val="none"/>
          <w:lang w:val="en-US" w:eastAsia="zh-CN"/>
        </w:rPr>
        <w:t>3.数量：</w:t>
      </w:r>
      <w:r>
        <w:rPr>
          <w:rFonts w:hint="default"/>
          <w:b w:val="0"/>
          <w:bCs w:val="0"/>
          <w:sz w:val="24"/>
          <w:szCs w:val="24"/>
          <w:lang w:val="en-US" w:eastAsia="zh-CN"/>
        </w:rPr>
        <w:t>以院方</w:t>
      </w:r>
      <w:r>
        <w:rPr>
          <w:rFonts w:hint="eastAsia"/>
          <w:b w:val="0"/>
          <w:bCs w:val="0"/>
          <w:sz w:val="24"/>
          <w:szCs w:val="24"/>
          <w:lang w:val="en-US" w:eastAsia="zh-CN"/>
        </w:rPr>
        <w:t>实际使用数量</w:t>
      </w:r>
      <w:r>
        <w:rPr>
          <w:rFonts w:hint="default"/>
          <w:b w:val="0"/>
          <w:bCs w:val="0"/>
          <w:sz w:val="24"/>
          <w:szCs w:val="24"/>
          <w:lang w:val="en-US" w:eastAsia="zh-CN"/>
        </w:rPr>
        <w:t>为准</w:t>
      </w:r>
      <w:r>
        <w:rPr>
          <w:rFonts w:hint="eastAsia"/>
          <w:b w:val="0"/>
          <w:bCs w:val="0"/>
          <w:sz w:val="24"/>
          <w:szCs w:val="24"/>
          <w:lang w:val="en-US" w:eastAsia="zh-CN"/>
        </w:rPr>
        <w:t>，</w:t>
      </w:r>
      <w:r>
        <w:rPr>
          <w:rFonts w:hint="default"/>
          <w:b w:val="0"/>
          <w:bCs w:val="0"/>
          <w:sz w:val="24"/>
          <w:szCs w:val="24"/>
          <w:lang w:val="en-US" w:eastAsia="zh-CN"/>
        </w:rPr>
        <w:t>按实结算。</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val="0"/>
          <w:bCs w:val="0"/>
          <w:color w:val="0000FF"/>
          <w:sz w:val="24"/>
          <w:szCs w:val="24"/>
          <w:lang w:val="en-US" w:eastAsia="zh-CN"/>
        </w:rPr>
      </w:pPr>
      <w:r>
        <w:rPr>
          <w:rFonts w:hint="eastAsia" w:ascii="宋体" w:hAnsi="宋体" w:cs="宋体"/>
          <w:b/>
          <w:bCs/>
          <w:sz w:val="24"/>
          <w:szCs w:val="24"/>
          <w:lang w:val="en-US" w:eastAsia="zh-CN"/>
        </w:rPr>
        <w:t>4.</w:t>
      </w:r>
      <w:r>
        <w:rPr>
          <w:rFonts w:hint="eastAsia" w:ascii="宋体" w:hAnsi="宋体" w:cs="宋体"/>
          <w:b/>
          <w:bCs/>
          <w:sz w:val="24"/>
          <w:szCs w:val="24"/>
          <w:lang w:eastAsia="zh-CN"/>
        </w:rPr>
        <w:t>项目限价</w:t>
      </w:r>
      <w:r>
        <w:rPr>
          <w:rFonts w:hint="eastAsia" w:ascii="宋体" w:hAnsi="宋体" w:cs="宋体"/>
          <w:b/>
          <w:bCs/>
          <w:sz w:val="24"/>
          <w:szCs w:val="24"/>
        </w:rPr>
        <w:t>：</w:t>
      </w:r>
      <w:r>
        <w:rPr>
          <w:rFonts w:hint="eastAsia"/>
          <w:b w:val="0"/>
          <w:bCs w:val="0"/>
          <w:sz w:val="24"/>
          <w:szCs w:val="24"/>
          <w:lang w:val="en-US" w:eastAsia="zh-CN"/>
        </w:rPr>
        <w:t>0.38元/条，6.84</w:t>
      </w:r>
      <w:r>
        <w:rPr>
          <w:rFonts w:hint="default"/>
          <w:b w:val="0"/>
          <w:bCs w:val="0"/>
          <w:sz w:val="24"/>
          <w:szCs w:val="24"/>
          <w:lang w:val="en-US" w:eastAsia="zh-CN"/>
        </w:rPr>
        <w:t>万</w:t>
      </w:r>
      <w:r>
        <w:rPr>
          <w:rFonts w:hint="eastAsia"/>
          <w:b w:val="0"/>
          <w:bCs w:val="0"/>
          <w:sz w:val="24"/>
          <w:szCs w:val="24"/>
          <w:lang w:val="en-US" w:eastAsia="zh-CN"/>
        </w:rPr>
        <w:t>元</w:t>
      </w:r>
      <w:r>
        <w:rPr>
          <w:rFonts w:hint="default"/>
          <w:b w:val="0"/>
          <w:bCs w:val="0"/>
          <w:sz w:val="24"/>
          <w:szCs w:val="24"/>
          <w:lang w:val="en-US" w:eastAsia="zh-CN"/>
        </w:rPr>
        <w:t>/年，</w:t>
      </w:r>
      <w:r>
        <w:rPr>
          <w:rFonts w:hint="eastAsia"/>
          <w:b w:val="0"/>
          <w:bCs w:val="0"/>
          <w:sz w:val="24"/>
          <w:szCs w:val="24"/>
          <w:lang w:val="en-US" w:eastAsia="zh-CN"/>
        </w:rPr>
        <w:t>20.52</w:t>
      </w:r>
      <w:r>
        <w:rPr>
          <w:rFonts w:hint="default"/>
          <w:b w:val="0"/>
          <w:bCs w:val="0"/>
          <w:sz w:val="24"/>
          <w:szCs w:val="24"/>
          <w:lang w:val="en-US" w:eastAsia="zh-CN"/>
        </w:rPr>
        <w:t>万</w:t>
      </w:r>
      <w:r>
        <w:rPr>
          <w:rFonts w:hint="eastAsia"/>
          <w:b w:val="0"/>
          <w:bCs w:val="0"/>
          <w:sz w:val="24"/>
          <w:szCs w:val="24"/>
          <w:lang w:val="en-US" w:eastAsia="zh-CN"/>
        </w:rPr>
        <w:t>元</w:t>
      </w:r>
      <w:r>
        <w:rPr>
          <w:rFonts w:hint="default"/>
          <w:b w:val="0"/>
          <w:bCs w:val="0"/>
          <w:sz w:val="24"/>
          <w:szCs w:val="24"/>
          <w:lang w:val="en-US" w:eastAsia="zh-CN"/>
        </w:rPr>
        <w:t>/</w:t>
      </w:r>
      <w:r>
        <w:rPr>
          <w:rFonts w:hint="eastAsia"/>
          <w:b w:val="0"/>
          <w:bCs w:val="0"/>
          <w:sz w:val="24"/>
          <w:szCs w:val="24"/>
          <w:lang w:val="en-US" w:eastAsia="zh-CN"/>
        </w:rPr>
        <w:t>三</w:t>
      </w:r>
      <w:r>
        <w:rPr>
          <w:rFonts w:hint="default"/>
          <w:b w:val="0"/>
          <w:bCs w:val="0"/>
          <w:sz w:val="24"/>
          <w:szCs w:val="24"/>
          <w:lang w:val="en-US" w:eastAsia="zh-CN"/>
        </w:rPr>
        <w:t>年。</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采购内容及要求：</w:t>
      </w:r>
      <w:r>
        <w:rPr>
          <w:rFonts w:hint="eastAsia" w:ascii="宋体" w:hAnsi="宋体" w:eastAsia="宋体" w:cs="宋体"/>
          <w:sz w:val="24"/>
          <w:szCs w:val="24"/>
        </w:rPr>
        <w:t>详见第二部分用户需求书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二、提供资料相关事项</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1.报名截止时间：</w:t>
      </w:r>
      <w:r>
        <w:rPr>
          <w:rFonts w:hint="eastAsia" w:ascii="宋体" w:hAnsi="宋体" w:eastAsia="宋体" w:cs="宋体"/>
          <w:color w:val="auto"/>
          <w:sz w:val="24"/>
          <w:szCs w:val="24"/>
          <w:highlight w:val="none"/>
          <w:lang w:val="en-US" w:eastAsia="zh-CN"/>
        </w:rPr>
        <w:t>2022年8月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日下午17点30分，</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2.报名方式：</w:t>
      </w:r>
      <w:r>
        <w:rPr>
          <w:rFonts w:hint="eastAsia" w:ascii="宋体" w:hAnsi="宋体" w:eastAsia="宋体" w:cs="宋体"/>
          <w:color w:val="auto"/>
          <w:sz w:val="24"/>
          <w:szCs w:val="24"/>
          <w:highlight w:val="none"/>
          <w:lang w:val="en-US" w:eastAsia="zh-CN"/>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FF0000"/>
          <w:sz w:val="24"/>
          <w:szCs w:val="24"/>
          <w:highlight w:val="none"/>
          <w:lang w:val="en-US" w:eastAsia="zh-CN"/>
        </w:rPr>
        <w:t>3.报名所需提供资料及要求详见</w:t>
      </w:r>
      <w:r>
        <w:rPr>
          <w:rFonts w:hint="eastAsia" w:ascii="宋体" w:hAnsi="宋体" w:cs="宋体"/>
          <w:b w:val="0"/>
          <w:bCs w:val="0"/>
          <w:color w:val="FF0000"/>
          <w:sz w:val="24"/>
          <w:szCs w:val="24"/>
          <w:highlight w:val="none"/>
          <w:lang w:val="en-US" w:eastAsia="zh-CN"/>
        </w:rPr>
        <w:t>公告内容</w:t>
      </w:r>
      <w:r>
        <w:rPr>
          <w:rFonts w:hint="eastAsia" w:ascii="宋体" w:hAnsi="宋体" w:eastAsia="宋体" w:cs="宋体"/>
          <w:b w:val="0"/>
          <w:bCs w:val="0"/>
          <w:color w:val="FF0000"/>
          <w:sz w:val="24"/>
          <w:szCs w:val="24"/>
          <w:highlight w:val="none"/>
          <w:lang w:val="en-US" w:eastAsia="zh-CN"/>
        </w:rPr>
        <w:t>附件3报名资料。</w:t>
      </w:r>
    </w:p>
    <w:p>
      <w:pPr>
        <w:spacing w:line="400" w:lineRule="exact"/>
        <w:ind w:firstLine="420" w:firstLineChars="200"/>
        <w:contextualSpacing/>
        <w:rPr>
          <w:rFonts w:hint="default" w:ascii="宋体" w:hAnsi="宋体" w:eastAsia="宋体" w:cs="宋体"/>
          <w:b w:val="0"/>
          <w:bCs w:val="0"/>
          <w:color w:val="FF0000"/>
          <w:sz w:val="24"/>
          <w:szCs w:val="24"/>
          <w:highlight w:val="none"/>
          <w:lang w:val="en-US" w:eastAsia="zh-CN"/>
        </w:rPr>
      </w:pPr>
      <w:r>
        <w:rPr>
          <w:rFonts w:hint="eastAsia"/>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.评审时间及地点：</w:t>
      </w:r>
      <w:r>
        <w:rPr>
          <w:rFonts w:hint="eastAsia" w:ascii="宋体" w:hAnsi="宋体" w:eastAsia="宋体" w:cs="宋体"/>
          <w:color w:val="auto"/>
          <w:sz w:val="24"/>
          <w:szCs w:val="24"/>
          <w:highlight w:val="none"/>
          <w:lang w:val="en-US" w:eastAsia="zh-CN"/>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default" w:eastAsia="宋体"/>
          <w:lang w:val="en-US" w:eastAsia="zh-CN"/>
        </w:rPr>
      </w:pPr>
      <w:r>
        <w:rPr>
          <w:rFonts w:hint="eastAsia" w:ascii="宋体" w:hAnsi="宋体" w:cs="宋体"/>
          <w:b/>
          <w:bCs/>
          <w:color w:val="FF0000"/>
          <w:sz w:val="24"/>
          <w:szCs w:val="24"/>
          <w:lang w:val="en-US" w:eastAsia="zh-CN"/>
        </w:rPr>
        <w:t>5.</w:t>
      </w:r>
      <w:r>
        <w:rPr>
          <w:rFonts w:hint="eastAsia" w:ascii="宋体" w:hAnsi="宋体" w:cs="宋体"/>
          <w:b/>
          <w:bCs/>
          <w:color w:val="FF0000"/>
          <w:sz w:val="24"/>
          <w:szCs w:val="24"/>
        </w:rPr>
        <w:t>疫情</w:t>
      </w:r>
      <w:r>
        <w:rPr>
          <w:rStyle w:val="19"/>
          <w:rFonts w:hint="eastAsia" w:ascii="宋体" w:hAnsi="宋体" w:eastAsia="宋体" w:cs="宋体"/>
          <w:b/>
          <w:bCs/>
          <w:i w:val="0"/>
          <w:iCs w:val="0"/>
          <w:caps w:val="0"/>
          <w:color w:val="FF0000"/>
          <w:spacing w:val="0"/>
          <w:sz w:val="24"/>
          <w:szCs w:val="24"/>
          <w:highlight w:val="none"/>
          <w:shd w:val="clear" w:color="auto" w:fill="FFFFFF"/>
          <w:vertAlign w:val="baseline"/>
        </w:rPr>
        <w:t>防控要求：</w:t>
      </w:r>
      <w:r>
        <w:rPr>
          <w:rFonts w:hint="eastAsia" w:ascii="宋体" w:hAnsi="宋体" w:eastAsia="宋体" w:cs="宋体"/>
          <w:b/>
          <w:bCs/>
          <w:i w:val="0"/>
          <w:iCs w:val="0"/>
          <w:caps w:val="0"/>
          <w:color w:val="FF0000"/>
          <w:spacing w:val="0"/>
          <w:sz w:val="24"/>
          <w:szCs w:val="24"/>
          <w:highlight w:val="none"/>
          <w:shd w:val="clear" w:color="auto" w:fill="FFFFFF"/>
          <w:vertAlign w:val="baseline"/>
        </w:rPr>
        <w:t>参加评审会议供应商必须无流行病学史，需提供健康码绿码、行程码绿码、72小时核酸检测结果阴性。(如有最新防疫政策要求，按最新的政策要求执行）</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三、资质要求</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1.必须是具有独立承担民事责任能力的在中华人民共和国境内注册的法人或其他组织，需提交有效的企业法人营业执照（或事业法人登记证等）副本复印件,并加盖公司公章；</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本项目不接受联合体投标、不允许分包、转包。</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四、联系方式</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冯老师：020-61780580（采购业务咨询）  邮箱：nywycgb@126.com</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徐老师：020-61780303（项目需求咨询）</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刘老师：020-61780096（投诉举报电话）</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联系时间（工作日）：上午 8:30-12:00，下午14:30-17:30</w:t>
      </w: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南方医科大学第五附属医院</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年</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月</w:t>
      </w:r>
      <w:r>
        <w:rPr>
          <w:rFonts w:hint="eastAsia" w:ascii="宋体" w:hAnsi="宋体" w:cs="宋体"/>
          <w:b w:val="0"/>
          <w:bCs w:val="0"/>
          <w:color w:val="auto"/>
          <w:sz w:val="24"/>
          <w:szCs w:val="24"/>
          <w:highlight w:val="none"/>
          <w:lang w:val="en-US" w:eastAsia="zh-CN"/>
        </w:rPr>
        <w:t>26</w:t>
      </w:r>
      <w:bookmarkStart w:id="275" w:name="_GoBack"/>
      <w:bookmarkEnd w:id="275"/>
      <w:r>
        <w:rPr>
          <w:rFonts w:hint="eastAsia" w:ascii="宋体" w:hAnsi="宋体" w:eastAsia="宋体" w:cs="宋体"/>
          <w:b w:val="0"/>
          <w:bCs w:val="0"/>
          <w:color w:val="auto"/>
          <w:sz w:val="24"/>
          <w:szCs w:val="24"/>
          <w:highlight w:val="none"/>
          <w:lang w:val="zh-CN" w:eastAsia="zh-CN"/>
        </w:rPr>
        <w:t>日</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p>
    <w:p>
      <w:pPr>
        <w:numPr>
          <w:ilvl w:val="0"/>
          <w:numId w:val="3"/>
        </w:numPr>
        <w:spacing w:line="360" w:lineRule="auto"/>
        <w:jc w:val="center"/>
        <w:outlineLvl w:val="0"/>
        <w:rPr>
          <w:rFonts w:hint="eastAsia" w:ascii="宋体" w:hAnsi="宋体"/>
          <w:b/>
          <w:bCs/>
          <w:color w:val="auto"/>
          <w:sz w:val="30"/>
          <w:szCs w:val="30"/>
        </w:rPr>
      </w:pPr>
      <w:bookmarkStart w:id="2" w:name="_Toc25861"/>
      <w:bookmarkStart w:id="3" w:name="_Toc1526"/>
      <w:bookmarkStart w:id="4" w:name="_Toc27350"/>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highlight w:val="none"/>
          <w:lang w:val="en-US" w:eastAsia="zh-CN"/>
        </w:rPr>
      </w:pPr>
      <w:r>
        <w:rPr>
          <w:rFonts w:hint="default"/>
          <w:b/>
          <w:bCs/>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1.项目名称：南方医科大学第五附属医院</w:t>
      </w:r>
      <w:r>
        <w:rPr>
          <w:rFonts w:hint="eastAsia"/>
          <w:b w:val="0"/>
          <w:bCs w:val="0"/>
          <w:sz w:val="24"/>
          <w:szCs w:val="24"/>
          <w:highlight w:val="none"/>
          <w:lang w:val="en-US" w:eastAsia="zh-CN"/>
        </w:rPr>
        <w:t>手腕带</w:t>
      </w:r>
      <w:r>
        <w:rPr>
          <w:rFonts w:hint="default"/>
          <w:b w:val="0"/>
          <w:bCs w:val="0"/>
          <w:sz w:val="24"/>
          <w:szCs w:val="24"/>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2.项目类别：货物类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3.数量：以院方</w:t>
      </w:r>
      <w:r>
        <w:rPr>
          <w:rFonts w:hint="eastAsia"/>
          <w:b w:val="0"/>
          <w:bCs w:val="0"/>
          <w:sz w:val="24"/>
          <w:szCs w:val="24"/>
          <w:highlight w:val="none"/>
          <w:lang w:val="en-US" w:eastAsia="zh-CN"/>
        </w:rPr>
        <w:t>实际使用数量</w:t>
      </w:r>
      <w:r>
        <w:rPr>
          <w:rFonts w:hint="default"/>
          <w:b w:val="0"/>
          <w:bCs w:val="0"/>
          <w:sz w:val="24"/>
          <w:szCs w:val="24"/>
          <w:highlight w:val="none"/>
          <w:lang w:val="en-US" w:eastAsia="zh-CN"/>
        </w:rPr>
        <w:t>为准</w:t>
      </w:r>
      <w:r>
        <w:rPr>
          <w:rFonts w:hint="eastAsia"/>
          <w:b w:val="0"/>
          <w:bCs w:val="0"/>
          <w:sz w:val="24"/>
          <w:szCs w:val="24"/>
          <w:highlight w:val="none"/>
          <w:lang w:val="en-US" w:eastAsia="zh-CN"/>
        </w:rPr>
        <w:t>，</w:t>
      </w:r>
      <w:r>
        <w:rPr>
          <w:rFonts w:hint="default"/>
          <w:b w:val="0"/>
          <w:bCs w:val="0"/>
          <w:sz w:val="24"/>
          <w:szCs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4.采购内容及用途：确定1家成交供应商为南方医科大学第五附属医院提供</w:t>
      </w:r>
      <w:r>
        <w:rPr>
          <w:rFonts w:hint="eastAsia"/>
          <w:b w:val="0"/>
          <w:bCs w:val="0"/>
          <w:sz w:val="24"/>
          <w:szCs w:val="24"/>
          <w:highlight w:val="none"/>
          <w:lang w:val="en-US" w:eastAsia="zh-CN"/>
        </w:rPr>
        <w:t>手腕带</w:t>
      </w:r>
      <w:r>
        <w:rPr>
          <w:rFonts w:hint="default"/>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5.交货地点：</w:t>
      </w:r>
      <w:r>
        <w:rPr>
          <w:rFonts w:hint="default"/>
          <w:b w:val="0"/>
          <w:bCs w:val="0"/>
          <w:sz w:val="24"/>
          <w:szCs w:val="24"/>
          <w:highlight w:val="none"/>
          <w:lang w:val="en-US" w:eastAsia="zh-CN"/>
        </w:rPr>
        <w:t>南方医科大学第五附属医院</w:t>
      </w:r>
      <w:r>
        <w:rPr>
          <w:rFonts w:hint="eastAsia"/>
          <w:b w:val="0"/>
          <w:bCs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二、</w:t>
      </w:r>
      <w:r>
        <w:rPr>
          <w:rFonts w:hint="default"/>
          <w:b/>
          <w:bCs/>
          <w:sz w:val="24"/>
          <w:szCs w:val="24"/>
          <w:highlight w:val="none"/>
          <w:lang w:val="en-US" w:eastAsia="zh-CN"/>
        </w:rPr>
        <w:t>服务期限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color w:val="auto"/>
          <w:sz w:val="24"/>
          <w:szCs w:val="24"/>
          <w:highlight w:val="none"/>
          <w:lang w:val="en-US" w:eastAsia="zh-CN"/>
        </w:rPr>
      </w:pPr>
      <w:r>
        <w:rPr>
          <w:rFonts w:hint="eastAsia"/>
          <w:b w:val="0"/>
          <w:bCs w:val="0"/>
          <w:sz w:val="24"/>
          <w:szCs w:val="24"/>
          <w:highlight w:val="none"/>
          <w:lang w:val="en-US" w:eastAsia="zh-CN"/>
        </w:rPr>
        <w:t>自合同签订之日起3</w:t>
      </w:r>
      <w:r>
        <w:rPr>
          <w:rFonts w:hint="default"/>
          <w:b w:val="0"/>
          <w:bCs w:val="0"/>
          <w:color w:val="auto"/>
          <w:sz w:val="24"/>
          <w:szCs w:val="24"/>
          <w:highlight w:val="none"/>
          <w:lang w:val="en-US" w:eastAsia="zh-CN"/>
        </w:rPr>
        <w:t>年。</w:t>
      </w:r>
      <w:r>
        <w:rPr>
          <w:rFonts w:hint="eastAsia"/>
          <w:b w:val="0"/>
          <w:bCs w:val="0"/>
          <w:color w:val="auto"/>
          <w:sz w:val="24"/>
          <w:szCs w:val="24"/>
          <w:highlight w:val="none"/>
          <w:lang w:val="en-US" w:eastAsia="zh-CN"/>
        </w:rPr>
        <w:t>若采购人推行人脸识别系统，双方无偿提前终止合同。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b w:val="0"/>
          <w:bCs w:val="0"/>
          <w:color w:val="auto"/>
          <w:sz w:val="24"/>
          <w:szCs w:val="24"/>
          <w:highlight w:val="none"/>
          <w:lang w:val="en-US" w:eastAsia="zh-CN"/>
        </w:rPr>
      </w:pPr>
      <w:r>
        <w:rPr>
          <w:rFonts w:hint="eastAsia"/>
          <w:b/>
          <w:bCs/>
          <w:color w:val="auto"/>
          <w:highlight w:val="none"/>
          <w:lang w:val="en-US" w:eastAsia="zh-CN"/>
        </w:rPr>
        <w:t xml:space="preserve"> </w:t>
      </w:r>
      <w:r>
        <w:rPr>
          <w:rFonts w:hint="eastAsia" w:ascii="Times New Roman" w:hAnsi="Times New Roman" w:eastAsia="宋体" w:cs="Times New Roman"/>
          <w:b/>
          <w:bCs/>
          <w:color w:val="auto"/>
          <w:kern w:val="2"/>
          <w:sz w:val="24"/>
          <w:szCs w:val="24"/>
          <w:highlight w:val="none"/>
          <w:lang w:val="en-US" w:eastAsia="zh-CN" w:bidi="ar-SA"/>
        </w:rPr>
        <w:t xml:space="preserve">三、 </w:t>
      </w:r>
      <w:r>
        <w:rPr>
          <w:rFonts w:hint="default"/>
          <w:b/>
          <w:bCs/>
          <w:color w:val="auto"/>
          <w:sz w:val="24"/>
          <w:szCs w:val="24"/>
          <w:highlight w:val="none"/>
          <w:lang w:val="en-US" w:eastAsia="zh-CN"/>
        </w:rPr>
        <w:t>项目预算</w:t>
      </w:r>
      <w:r>
        <w:rPr>
          <w:rFonts w:hint="eastAsia"/>
          <w:b/>
          <w:bCs/>
          <w:color w:val="auto"/>
          <w:sz w:val="24"/>
          <w:szCs w:val="24"/>
          <w:highlight w:val="none"/>
          <w:lang w:val="en-US" w:eastAsia="zh-CN"/>
        </w:rPr>
        <w:t>及限价：</w:t>
      </w:r>
      <w:r>
        <w:rPr>
          <w:rFonts w:hint="eastAsia"/>
          <w:b w:val="0"/>
          <w:bCs w:val="0"/>
          <w:color w:val="auto"/>
          <w:sz w:val="24"/>
          <w:szCs w:val="24"/>
          <w:highlight w:val="none"/>
          <w:lang w:val="en-US" w:eastAsia="zh-CN"/>
        </w:rPr>
        <w:t>0.38元/条，6.84</w:t>
      </w:r>
      <w:r>
        <w:rPr>
          <w:rFonts w:hint="default"/>
          <w:b w:val="0"/>
          <w:bCs w:val="0"/>
          <w:color w:val="auto"/>
          <w:sz w:val="24"/>
          <w:szCs w:val="24"/>
          <w:highlight w:val="none"/>
          <w:lang w:val="en-US" w:eastAsia="zh-CN"/>
        </w:rPr>
        <w:t>万</w:t>
      </w:r>
      <w:r>
        <w:rPr>
          <w:rFonts w:hint="eastAsia"/>
          <w:b w:val="0"/>
          <w:bCs w:val="0"/>
          <w:color w:val="auto"/>
          <w:sz w:val="24"/>
          <w:szCs w:val="24"/>
          <w:highlight w:val="none"/>
          <w:lang w:val="en-US" w:eastAsia="zh-CN"/>
        </w:rPr>
        <w:t>元</w:t>
      </w:r>
      <w:r>
        <w:rPr>
          <w:rFonts w:hint="default"/>
          <w:b w:val="0"/>
          <w:bCs w:val="0"/>
          <w:color w:val="auto"/>
          <w:sz w:val="24"/>
          <w:szCs w:val="24"/>
          <w:highlight w:val="none"/>
          <w:lang w:val="en-US" w:eastAsia="zh-CN"/>
        </w:rPr>
        <w:t>/年，</w:t>
      </w:r>
      <w:r>
        <w:rPr>
          <w:rFonts w:hint="eastAsia"/>
          <w:b w:val="0"/>
          <w:bCs w:val="0"/>
          <w:color w:val="auto"/>
          <w:sz w:val="24"/>
          <w:szCs w:val="24"/>
          <w:highlight w:val="none"/>
          <w:lang w:val="en-US" w:eastAsia="zh-CN"/>
        </w:rPr>
        <w:t>20.52</w:t>
      </w:r>
      <w:r>
        <w:rPr>
          <w:rFonts w:hint="default"/>
          <w:b w:val="0"/>
          <w:bCs w:val="0"/>
          <w:color w:val="auto"/>
          <w:sz w:val="24"/>
          <w:szCs w:val="24"/>
          <w:highlight w:val="none"/>
          <w:lang w:val="en-US" w:eastAsia="zh-CN"/>
        </w:rPr>
        <w:t>万</w:t>
      </w:r>
      <w:r>
        <w:rPr>
          <w:rFonts w:hint="eastAsia"/>
          <w:b w:val="0"/>
          <w:bCs w:val="0"/>
          <w:color w:val="auto"/>
          <w:sz w:val="24"/>
          <w:szCs w:val="24"/>
          <w:highlight w:val="none"/>
          <w:lang w:val="en-US" w:eastAsia="zh-CN"/>
        </w:rPr>
        <w:t>元</w:t>
      </w:r>
      <w:r>
        <w:rPr>
          <w:rFonts w:hint="default"/>
          <w:b w:val="0"/>
          <w:bCs w:val="0"/>
          <w:color w:val="auto"/>
          <w:sz w:val="24"/>
          <w:szCs w:val="24"/>
          <w:highlight w:val="none"/>
          <w:lang w:val="en-US" w:eastAsia="zh-CN"/>
        </w:rPr>
        <w:t>/</w:t>
      </w:r>
      <w:r>
        <w:rPr>
          <w:rFonts w:hint="eastAsia"/>
          <w:b w:val="0"/>
          <w:bCs w:val="0"/>
          <w:color w:val="auto"/>
          <w:sz w:val="24"/>
          <w:szCs w:val="24"/>
          <w:highlight w:val="none"/>
          <w:lang w:val="en-US" w:eastAsia="zh-CN"/>
        </w:rPr>
        <w:t>三</w:t>
      </w:r>
      <w:r>
        <w:rPr>
          <w:rFonts w:hint="default"/>
          <w:b w:val="0"/>
          <w:bCs w:val="0"/>
          <w:color w:val="auto"/>
          <w:sz w:val="24"/>
          <w:szCs w:val="24"/>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四、项目内容</w:t>
      </w:r>
    </w:p>
    <w:tbl>
      <w:tblPr>
        <w:tblStyle w:val="16"/>
        <w:tblpPr w:leftFromText="180" w:rightFromText="180" w:vertAnchor="text" w:horzAnchor="page" w:tblpX="892" w:tblpY="104"/>
        <w:tblOverlap w:val="never"/>
        <w:tblW w:w="10622" w:type="dxa"/>
        <w:tblInd w:w="0" w:type="dxa"/>
        <w:tblLayout w:type="fixed"/>
        <w:tblCellMar>
          <w:top w:w="0" w:type="dxa"/>
          <w:left w:w="30" w:type="dxa"/>
          <w:bottom w:w="0" w:type="dxa"/>
          <w:right w:w="30" w:type="dxa"/>
        </w:tblCellMar>
      </w:tblPr>
      <w:tblGrid>
        <w:gridCol w:w="657"/>
        <w:gridCol w:w="2335"/>
        <w:gridCol w:w="607"/>
        <w:gridCol w:w="607"/>
        <w:gridCol w:w="1773"/>
        <w:gridCol w:w="1241"/>
        <w:gridCol w:w="1370"/>
        <w:gridCol w:w="2032"/>
      </w:tblGrid>
      <w:tr>
        <w:tblPrEx>
          <w:tblCellMar>
            <w:top w:w="0" w:type="dxa"/>
            <w:left w:w="30" w:type="dxa"/>
            <w:bottom w:w="0" w:type="dxa"/>
            <w:right w:w="30" w:type="dxa"/>
          </w:tblCellMar>
        </w:tblPrEx>
        <w:trPr>
          <w:trHeight w:val="333"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品名</w:t>
            </w: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材质</w:t>
            </w: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参考规格（撕下后）</w:t>
            </w: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三年预计</w:t>
            </w:r>
          </w:p>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采购量</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单价限价</w:t>
            </w:r>
          </w:p>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元/条</w:t>
            </w:r>
            <w:r>
              <w:rPr>
                <w:rFonts w:hint="eastAsia" w:ascii="宋体" w:hAnsi="宋体" w:eastAsia="宋体" w:cs="宋体"/>
                <w:b/>
                <w:bCs/>
                <w:color w:val="auto"/>
                <w:sz w:val="21"/>
                <w:szCs w:val="21"/>
                <w:highlight w:val="none"/>
                <w:lang w:val="en-US" w:eastAsia="zh-CN"/>
              </w:rPr>
              <w:t>）</w:t>
            </w:r>
          </w:p>
        </w:tc>
        <w:tc>
          <w:tcPr>
            <w:tcW w:w="20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r>
              <w:rPr>
                <w:rFonts w:hint="eastAsia" w:ascii="宋体" w:hAnsi="宋体" w:cs="宋体"/>
                <w:b/>
                <w:bCs/>
                <w:color w:val="auto"/>
                <w:sz w:val="21"/>
                <w:szCs w:val="21"/>
                <w:highlight w:val="none"/>
                <w:lang w:val="en-US" w:eastAsia="zh-CN"/>
              </w:rPr>
              <w:t>限价（元）</w:t>
            </w:r>
          </w:p>
        </w:tc>
      </w:tr>
      <w:tr>
        <w:tblPrEx>
          <w:tblCellMar>
            <w:top w:w="0" w:type="dxa"/>
            <w:left w:w="30" w:type="dxa"/>
            <w:bottom w:w="0" w:type="dxa"/>
            <w:right w:w="30" w:type="dxa"/>
          </w:tblCellMar>
        </w:tblPrEx>
        <w:trPr>
          <w:trHeight w:val="333"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成人打印</w:t>
            </w:r>
            <w:r>
              <w:rPr>
                <w:rFonts w:hint="eastAsia" w:ascii="宋体" w:hAnsi="宋体" w:eastAsia="宋体" w:cs="宋体"/>
                <w:color w:val="auto"/>
                <w:sz w:val="21"/>
                <w:szCs w:val="21"/>
                <w:highlight w:val="none"/>
                <w:lang w:eastAsia="zh-CN"/>
              </w:rPr>
              <w:t>手</w:t>
            </w:r>
            <w:r>
              <w:rPr>
                <w:rFonts w:hint="eastAsia" w:ascii="宋体" w:hAnsi="宋体" w:eastAsia="宋体" w:cs="宋体"/>
                <w:color w:val="auto"/>
                <w:sz w:val="21"/>
                <w:szCs w:val="21"/>
                <w:highlight w:val="none"/>
              </w:rPr>
              <w:t>腕带</w:t>
            </w:r>
          </w:p>
        </w:tc>
        <w:tc>
          <w:tcPr>
            <w:tcW w:w="607" w:type="dxa"/>
            <w:vMerge w:val="restart"/>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纳米硅胶材料</w:t>
            </w: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条</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260mm*25mm</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300000</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0.38</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114000</w:t>
            </w:r>
          </w:p>
        </w:tc>
      </w:tr>
      <w:tr>
        <w:tblPrEx>
          <w:tblCellMar>
            <w:top w:w="0" w:type="dxa"/>
            <w:left w:w="30" w:type="dxa"/>
            <w:bottom w:w="0" w:type="dxa"/>
            <w:right w:w="30" w:type="dxa"/>
          </w:tblCellMar>
        </w:tblPrEx>
        <w:trPr>
          <w:trHeight w:val="333"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儿童</w:t>
            </w:r>
            <w:r>
              <w:rPr>
                <w:rFonts w:hint="eastAsia" w:ascii="宋体" w:hAnsi="宋体" w:cs="宋体"/>
                <w:color w:val="auto"/>
                <w:sz w:val="21"/>
                <w:szCs w:val="21"/>
                <w:highlight w:val="none"/>
                <w:lang w:val="en-US" w:eastAsia="zh-CN"/>
              </w:rPr>
              <w:t>/婴儿</w:t>
            </w:r>
            <w:r>
              <w:rPr>
                <w:rFonts w:hint="eastAsia" w:ascii="宋体" w:hAnsi="宋体" w:eastAsia="宋体" w:cs="宋体"/>
                <w:color w:val="auto"/>
                <w:sz w:val="21"/>
                <w:szCs w:val="21"/>
                <w:highlight w:val="none"/>
              </w:rPr>
              <w:t>打印</w:t>
            </w:r>
            <w:r>
              <w:rPr>
                <w:rFonts w:hint="eastAsia" w:ascii="宋体" w:hAnsi="宋体" w:eastAsia="宋体" w:cs="宋体"/>
                <w:color w:val="auto"/>
                <w:sz w:val="21"/>
                <w:szCs w:val="21"/>
                <w:highlight w:val="none"/>
                <w:lang w:eastAsia="zh-CN"/>
              </w:rPr>
              <w:t>手</w:t>
            </w:r>
            <w:r>
              <w:rPr>
                <w:rFonts w:hint="eastAsia" w:ascii="宋体" w:hAnsi="宋体" w:eastAsia="宋体" w:cs="宋体"/>
                <w:color w:val="auto"/>
                <w:sz w:val="21"/>
                <w:szCs w:val="21"/>
                <w:highlight w:val="none"/>
              </w:rPr>
              <w:t>腕带</w:t>
            </w:r>
          </w:p>
        </w:tc>
        <w:tc>
          <w:tcPr>
            <w:tcW w:w="607" w:type="dxa"/>
            <w:vMerge w:val="continue"/>
            <w:tcBorders>
              <w:left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条</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222mm*19mm</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180000</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0.38</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68400</w:t>
            </w:r>
          </w:p>
        </w:tc>
      </w:tr>
      <w:tr>
        <w:tblPrEx>
          <w:tblCellMar>
            <w:top w:w="0" w:type="dxa"/>
            <w:left w:w="30" w:type="dxa"/>
            <w:bottom w:w="0" w:type="dxa"/>
            <w:right w:w="30" w:type="dxa"/>
          </w:tblCellMar>
        </w:tblPrEx>
        <w:trPr>
          <w:trHeight w:val="334"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陪护人员打印手腕带</w:t>
            </w:r>
          </w:p>
        </w:tc>
        <w:tc>
          <w:tcPr>
            <w:tcW w:w="607" w:type="dxa"/>
            <w:vMerge w:val="continue"/>
            <w:tcBorders>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Cs/>
                <w:color w:val="auto"/>
                <w:sz w:val="21"/>
                <w:szCs w:val="21"/>
                <w:highlight w:val="none"/>
                <w:lang w:eastAsia="zh-CN"/>
              </w:rPr>
            </w:pP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条</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260mm*25mm</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60000</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0.38</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22800</w:t>
            </w:r>
          </w:p>
        </w:tc>
      </w:tr>
      <w:tr>
        <w:tblPrEx>
          <w:tblCellMar>
            <w:top w:w="0" w:type="dxa"/>
            <w:left w:w="30" w:type="dxa"/>
            <w:bottom w:w="0" w:type="dxa"/>
            <w:right w:w="30" w:type="dxa"/>
          </w:tblCellMar>
        </w:tblPrEx>
        <w:trPr>
          <w:trHeight w:val="334" w:hRule="atLeast"/>
        </w:trPr>
        <w:tc>
          <w:tcPr>
            <w:tcW w:w="859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合计含税金额（元）</w:t>
            </w:r>
          </w:p>
        </w:tc>
        <w:tc>
          <w:tcPr>
            <w:tcW w:w="20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205200</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1.以上各项项目名称的单价限价（人民币 元/条）均包含但不限于产品价款、包装、运输、装卸、送货、人工、保险、税费、提供打印机、打印色带耗材、售后服务等及在合同实施过程中不可预见与本项目相关的一切费用，采购人不再另行支付任何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highlight w:val="none"/>
          <w:lang w:val="en-US" w:eastAsia="zh-CN"/>
        </w:rPr>
      </w:pPr>
      <w:r>
        <w:rPr>
          <w:rFonts w:hint="eastAsia"/>
          <w:highlight w:val="none"/>
          <w:lang w:val="en-US" w:eastAsia="zh-CN"/>
        </w:rPr>
        <w:t xml:space="preserve"> </w:t>
      </w:r>
      <w:r>
        <w:rPr>
          <w:rFonts w:hint="eastAsia"/>
          <w:b w:val="0"/>
          <w:bCs w:val="0"/>
          <w:color w:val="auto"/>
          <w:sz w:val="24"/>
          <w:szCs w:val="24"/>
          <w:highlight w:val="none"/>
          <w:lang w:val="en-US" w:eastAsia="zh-CN"/>
        </w:rPr>
        <w:t>2.公司报价不得高于限价，否则做无效报价处理。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b/>
          <w:bCs/>
          <w:sz w:val="24"/>
          <w:szCs w:val="24"/>
          <w:highlight w:val="none"/>
          <w:lang w:val="en-US" w:eastAsia="zh-CN"/>
        </w:rPr>
        <w:t>五、产品要求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腕带颜色：多种，至少有蓝色、粉色、</w:t>
      </w:r>
      <w:r>
        <w:rPr>
          <w:rFonts w:hint="eastAsia" w:ascii="宋体" w:hAnsi="宋体" w:cs="宋体"/>
          <w:color w:val="auto"/>
          <w:sz w:val="24"/>
          <w:szCs w:val="24"/>
          <w:highlight w:val="none"/>
          <w:lang w:eastAsia="zh-CN"/>
        </w:rPr>
        <w:t>紫色</w:t>
      </w:r>
      <w:r>
        <w:rPr>
          <w:rFonts w:hint="eastAsia" w:ascii="宋体" w:hAnsi="宋体" w:eastAsia="宋体" w:cs="宋体"/>
          <w:color w:val="auto"/>
          <w:sz w:val="24"/>
          <w:szCs w:val="24"/>
          <w:highlight w:val="none"/>
        </w:rPr>
        <w:t>三种</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打印方式：热转印打印</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outlineLvl w:val="9"/>
        <w:rPr>
          <w:rFonts w:hint="eastAsia" w:ascii="宋体" w:hAnsi="宋体" w:eastAsia="宋体" w:cs="宋体"/>
          <w:color w:val="auto"/>
          <w:sz w:val="24"/>
          <w:szCs w:val="24"/>
          <w:highlight w:val="none"/>
        </w:rPr>
      </w:pPr>
      <w:r>
        <w:rPr>
          <w:rFonts w:hint="eastAsia"/>
          <w:color w:val="auto"/>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打印</w:t>
      </w:r>
      <w:r>
        <w:rPr>
          <w:rFonts w:hint="eastAsia" w:ascii="宋体" w:hAnsi="宋体" w:cs="宋体"/>
          <w:color w:val="auto"/>
          <w:sz w:val="24"/>
          <w:szCs w:val="24"/>
          <w:highlight w:val="none"/>
          <w:lang w:eastAsia="zh-CN"/>
        </w:rPr>
        <w:t>功能及要求</w:t>
      </w:r>
      <w:r>
        <w:rPr>
          <w:rFonts w:hint="eastAsia" w:ascii="宋体" w:hAnsi="宋体" w:eastAsia="宋体" w:cs="宋体"/>
          <w:color w:val="auto"/>
          <w:sz w:val="24"/>
          <w:szCs w:val="24"/>
          <w:highlight w:val="none"/>
        </w:rPr>
        <w:t>：文字、条码、二维码、图片、图形、可与医院HIS系统无缝衔接。</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4.手腕带打印后字体清晰，显示期限</w:t>
      </w:r>
      <w:r>
        <w:rPr>
          <w:rFonts w:hint="eastAsia" w:ascii="宋体" w:hAnsi="宋体" w:eastAsia="宋体" w:cs="宋体"/>
          <w:color w:val="auto"/>
          <w:sz w:val="24"/>
          <w:szCs w:val="24"/>
          <w:highlight w:val="none"/>
        </w:rPr>
        <w:t>：大于或等于60天</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b/>
          <w:bCs/>
          <w:sz w:val="24"/>
          <w:szCs w:val="24"/>
          <w:highlight w:val="none"/>
          <w:lang w:val="en-US" w:eastAsia="zh-CN"/>
        </w:rPr>
        <w:t>六、打印机配备要求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根据采购人要求配备打印机设备及提供打印色带耗材，打印机台数约50台（含2台备用机），如有增加，供应商应无偿增加打印机和色带并安装。</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highlight w:val="none"/>
          <w:lang w:val="en-US" w:eastAsia="zh-CN"/>
        </w:rPr>
      </w:pPr>
      <w:r>
        <w:rPr>
          <w:rFonts w:hint="eastAsia"/>
          <w:b/>
          <w:bCs/>
          <w:sz w:val="24"/>
          <w:szCs w:val="24"/>
          <w:highlight w:val="none"/>
          <w:lang w:val="en-US" w:eastAsia="zh-CN"/>
        </w:rPr>
        <w:t xml:space="preserve">    七、服务要求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质量要求：</w:t>
      </w:r>
      <w:r>
        <w:rPr>
          <w:rFonts w:hint="eastAsia" w:ascii="宋体" w:hAnsi="宋体" w:cs="宋体"/>
          <w:color w:val="auto"/>
          <w:sz w:val="24"/>
          <w:szCs w:val="24"/>
          <w:highlight w:val="none"/>
          <w:lang w:val="en-US" w:eastAsia="zh-CN"/>
        </w:rPr>
        <w:t>高级别防水、防酒精、防转移、抗菌防过敏、腕带透气柔软、佩戴舒适、条码易扫描，所有腕带适用于市面通用的腕带打印机进行打印。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交货时间：</w:t>
      </w:r>
      <w:r>
        <w:rPr>
          <w:rFonts w:hint="default"/>
          <w:b w:val="0"/>
          <w:bCs w:val="0"/>
          <w:sz w:val="24"/>
          <w:szCs w:val="24"/>
          <w:highlight w:val="none"/>
          <w:lang w:val="en-US" w:eastAsia="zh-CN"/>
        </w:rPr>
        <w:t>采用协议供货，每次接到</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下单通知后，在</w:t>
      </w:r>
      <w:r>
        <w:rPr>
          <w:rFonts w:hint="eastAsia"/>
          <w:b w:val="0"/>
          <w:bCs w:val="0"/>
          <w:sz w:val="24"/>
          <w:szCs w:val="24"/>
          <w:highlight w:val="none"/>
          <w:lang w:val="en-US" w:eastAsia="zh-CN"/>
        </w:rPr>
        <w:t>3个自然日</w:t>
      </w:r>
      <w:r>
        <w:rPr>
          <w:rFonts w:hint="default"/>
          <w:b w:val="0"/>
          <w:bCs w:val="0"/>
          <w:sz w:val="24"/>
          <w:szCs w:val="24"/>
          <w:highlight w:val="none"/>
          <w:lang w:val="en-US" w:eastAsia="zh-CN"/>
        </w:rPr>
        <w:t>内完成送货。若不能及时配送，</w:t>
      </w:r>
      <w:r>
        <w:rPr>
          <w:rFonts w:hint="eastAsia"/>
          <w:b w:val="0"/>
          <w:bCs w:val="0"/>
          <w:sz w:val="24"/>
          <w:szCs w:val="24"/>
          <w:highlight w:val="none"/>
          <w:lang w:val="en-US" w:eastAsia="zh-CN"/>
        </w:rPr>
        <w:t>供应商</w:t>
      </w:r>
      <w:r>
        <w:rPr>
          <w:rFonts w:hint="default"/>
          <w:b w:val="0"/>
          <w:bCs w:val="0"/>
          <w:sz w:val="24"/>
          <w:szCs w:val="24"/>
          <w:highlight w:val="none"/>
          <w:lang w:val="en-US" w:eastAsia="zh-CN"/>
        </w:rPr>
        <w:t>须书面告知</w:t>
      </w:r>
      <w:r>
        <w:rPr>
          <w:rFonts w:hint="eastAsia" w:ascii="宋体" w:hAnsi="宋体" w:cs="宋体"/>
          <w:color w:val="auto"/>
          <w:sz w:val="24"/>
          <w:szCs w:val="24"/>
          <w:highlight w:val="none"/>
          <w:lang w:val="en-US" w:eastAsia="zh-CN"/>
        </w:rPr>
        <w:t>采购人，且必须在24小时内采取其他配送方案，满足采购人手腕带采购需求。</w:t>
      </w:r>
      <w:r>
        <w:rPr>
          <w:rFonts w:hint="default" w:ascii="宋体" w:hAnsi="宋体" w:cs="宋体"/>
          <w:color w:val="auto"/>
          <w:sz w:val="24"/>
          <w:szCs w:val="24"/>
          <w:highlight w:val="none"/>
          <w:lang w:val="en-US" w:eastAsia="zh-CN"/>
        </w:rPr>
        <w:t>年度连续3次以上未按要求完成配送，</w:t>
      </w:r>
      <w:r>
        <w:rPr>
          <w:rFonts w:hint="default"/>
          <w:b w:val="0"/>
          <w:bCs w:val="0"/>
          <w:sz w:val="24"/>
          <w:szCs w:val="24"/>
          <w:highlight w:val="none"/>
          <w:lang w:val="en-US" w:eastAsia="zh-CN"/>
        </w:rPr>
        <w:t>院方有权终止合同并要求赔偿造成的损失。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应急响应送货时间：供应商在接到</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应急配送通知后</w:t>
      </w:r>
      <w:r>
        <w:rPr>
          <w:rFonts w:hint="eastAsia" w:ascii="宋体" w:hAnsi="宋体" w:cs="宋体"/>
          <w:color w:val="auto"/>
          <w:sz w:val="24"/>
          <w:szCs w:val="24"/>
          <w:highlight w:val="none"/>
          <w:lang w:val="en-US" w:eastAsia="zh-CN"/>
        </w:rPr>
        <w:t>，24</w:t>
      </w:r>
      <w:r>
        <w:rPr>
          <w:rFonts w:hint="default" w:ascii="宋体" w:hAnsi="宋体" w:cs="宋体"/>
          <w:color w:val="auto"/>
          <w:sz w:val="24"/>
          <w:szCs w:val="24"/>
          <w:highlight w:val="none"/>
          <w:lang w:val="en-US" w:eastAsia="zh-CN"/>
        </w:rPr>
        <w:t>小时内完成配送工作</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应派专业人员到采购人指定地点安装好所有打印机，确保打印机和色带能完全匹配采购人His系统，能准确无误打印出采购人所需的内容。签订合同后供应商应在接到采购人通知后3个自然日内完成采购人院内所有打印机的安装与调试，确保各科室能正常开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应商应在采购人各服务科室，留下打印机维护联系人和联系方式（统一贴在手腕带打印机上面），如打印机出现故障，供应商应在2小时内响应，24小时内完成维修，确保科室正常工作。合同期间，一切与打印机设备相关维护、维修等费用由供应商承担，不得向采购人收取任何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八、</w:t>
      </w:r>
      <w:r>
        <w:rPr>
          <w:rFonts w:hint="default"/>
          <w:b/>
          <w:bCs/>
          <w:sz w:val="24"/>
          <w:szCs w:val="24"/>
          <w:highlight w:val="none"/>
          <w:lang w:val="en-US" w:eastAsia="zh-CN"/>
        </w:rPr>
        <w:t>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 xml:space="preserve"> 货到现场后开始验收，所供应的全部货物应符合</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的验收标准</w:t>
      </w:r>
      <w:r>
        <w:rPr>
          <w:rFonts w:hint="eastAsia"/>
          <w:b w:val="0"/>
          <w:bCs w:val="0"/>
          <w:sz w:val="24"/>
          <w:szCs w:val="24"/>
          <w:highlight w:val="none"/>
          <w:lang w:val="en-US" w:eastAsia="zh-CN"/>
        </w:rPr>
        <w:t>，即</w:t>
      </w:r>
      <w:r>
        <w:rPr>
          <w:rFonts w:hint="default"/>
          <w:b w:val="0"/>
          <w:bCs w:val="0"/>
          <w:sz w:val="24"/>
          <w:szCs w:val="24"/>
          <w:highlight w:val="none"/>
          <w:lang w:val="en-US" w:eastAsia="zh-CN"/>
        </w:rPr>
        <w:t>要求外包装完好无损，无使用痕迹，无破损、无褪色等，货物名称、品牌、规格、颜色、码数、材质、数量符合甲方要求</w:t>
      </w:r>
      <w:r>
        <w:rPr>
          <w:rFonts w:hint="eastAsia"/>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九、</w:t>
      </w:r>
      <w:r>
        <w:rPr>
          <w:rFonts w:hint="default"/>
          <w:b/>
          <w:bCs/>
          <w:sz w:val="24"/>
          <w:szCs w:val="24"/>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供应商每月凭当月汇总的供货清单与</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对账，双方确认无误后供应商将当月供货的电子版送货单据、正式发票及销</w:t>
      </w:r>
      <w:r>
        <w:rPr>
          <w:rFonts w:hint="eastAsia"/>
          <w:b w:val="0"/>
          <w:bCs w:val="0"/>
          <w:sz w:val="24"/>
          <w:szCs w:val="24"/>
          <w:highlight w:val="none"/>
          <w:lang w:val="en-US" w:eastAsia="zh-CN"/>
        </w:rPr>
        <w:t>售货</w:t>
      </w:r>
      <w:r>
        <w:rPr>
          <w:rFonts w:hint="default"/>
          <w:b w:val="0"/>
          <w:bCs w:val="0"/>
          <w:sz w:val="24"/>
          <w:szCs w:val="24"/>
          <w:highlight w:val="none"/>
          <w:lang w:val="en-US" w:eastAsia="zh-CN"/>
        </w:rPr>
        <w:t>物清单交给</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核实</w:t>
      </w:r>
      <w:r>
        <w:rPr>
          <w:rFonts w:hint="eastAsia"/>
          <w:b w:val="0"/>
          <w:bCs w:val="0"/>
          <w:sz w:val="24"/>
          <w:szCs w:val="24"/>
          <w:highlight w:val="none"/>
          <w:lang w:val="en-US" w:eastAsia="zh-CN"/>
        </w:rPr>
        <w:t>无误</w:t>
      </w:r>
      <w:r>
        <w:rPr>
          <w:rFonts w:hint="default"/>
          <w:b w:val="0"/>
          <w:bCs w:val="0"/>
          <w:sz w:val="24"/>
          <w:szCs w:val="24"/>
          <w:highlight w:val="none"/>
          <w:lang w:val="en-US" w:eastAsia="zh-CN"/>
        </w:rPr>
        <w:t>后</w:t>
      </w:r>
      <w:r>
        <w:rPr>
          <w:rFonts w:hint="eastAsia"/>
          <w:b w:val="0"/>
          <w:bCs w:val="0"/>
          <w:sz w:val="24"/>
          <w:szCs w:val="24"/>
          <w:highlight w:val="none"/>
          <w:lang w:val="en-US" w:eastAsia="zh-CN"/>
        </w:rPr>
        <w:t>，</w:t>
      </w:r>
      <w:r>
        <w:rPr>
          <w:rFonts w:hint="default"/>
          <w:b w:val="0"/>
          <w:bCs w:val="0"/>
          <w:sz w:val="24"/>
          <w:szCs w:val="24"/>
          <w:highlight w:val="none"/>
          <w:lang w:val="en-US" w:eastAsia="zh-CN"/>
        </w:rPr>
        <w:t>以银行转账形式在3个月内将货款支付给</w:t>
      </w:r>
      <w:r>
        <w:rPr>
          <w:rFonts w:hint="eastAsia"/>
          <w:b w:val="0"/>
          <w:bCs w:val="0"/>
          <w:sz w:val="24"/>
          <w:szCs w:val="24"/>
          <w:highlight w:val="none"/>
          <w:lang w:val="en-US" w:eastAsia="zh-CN"/>
        </w:rPr>
        <w:t>供应商</w:t>
      </w:r>
      <w:r>
        <w:rPr>
          <w:rFonts w:hint="default"/>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十、</w:t>
      </w:r>
      <w:r>
        <w:rPr>
          <w:rFonts w:hint="default"/>
          <w:b/>
          <w:bCs/>
          <w:sz w:val="24"/>
          <w:szCs w:val="24"/>
          <w:highlight w:val="none"/>
          <w:lang w:val="en-US" w:eastAsia="zh-CN"/>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供应商在签订合同前需向</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缴纳履约保证金</w:t>
      </w:r>
      <w:r>
        <w:rPr>
          <w:rFonts w:hint="eastAsia"/>
          <w:b w:val="0"/>
          <w:bCs w:val="0"/>
          <w:sz w:val="24"/>
          <w:szCs w:val="24"/>
          <w:highlight w:val="none"/>
          <w:lang w:val="en-US" w:eastAsia="zh-CN"/>
        </w:rPr>
        <w:t>伍仟</w:t>
      </w:r>
      <w:r>
        <w:rPr>
          <w:rFonts w:hint="default"/>
          <w:b w:val="0"/>
          <w:bCs w:val="0"/>
          <w:sz w:val="24"/>
          <w:szCs w:val="24"/>
          <w:highlight w:val="none"/>
          <w:lang w:val="en-US" w:eastAsia="zh-CN"/>
        </w:rPr>
        <w:t>元</w:t>
      </w:r>
      <w:r>
        <w:rPr>
          <w:rFonts w:hint="eastAsia"/>
          <w:b w:val="0"/>
          <w:bCs w:val="0"/>
          <w:sz w:val="24"/>
          <w:szCs w:val="24"/>
          <w:highlight w:val="none"/>
          <w:lang w:val="en-US" w:eastAsia="zh-CN"/>
        </w:rPr>
        <w:t>整</w:t>
      </w:r>
      <w:r>
        <w:rPr>
          <w:rFonts w:hint="default"/>
          <w:b w:val="0"/>
          <w:bCs w:val="0"/>
          <w:sz w:val="24"/>
          <w:szCs w:val="24"/>
          <w:highlight w:val="none"/>
          <w:lang w:val="en-US" w:eastAsia="zh-CN"/>
        </w:rPr>
        <w:t>，合同到期，</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确认供应商全部义务履行完毕且无违约责任后30日内，无息返还。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r>
        <w:rPr>
          <w:rFonts w:hint="eastAsia"/>
          <w:b/>
          <w:bCs/>
          <w:sz w:val="24"/>
          <w:szCs w:val="24"/>
          <w:lang w:val="en-US" w:eastAsia="zh-CN"/>
        </w:rPr>
        <w:t>十一、供应商</w:t>
      </w:r>
      <w:r>
        <w:rPr>
          <w:rFonts w:hint="default"/>
          <w:b/>
          <w:bCs/>
          <w:sz w:val="24"/>
          <w:szCs w:val="24"/>
          <w:lang w:val="en-US" w:eastAsia="zh-CN"/>
        </w:rPr>
        <w:t>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1.必须是具有独立承担民事责任能力的在中华人民共和国境内注册的法人或其他组织，需提交有效的企业法人营业执照副本复印件，并加盖公司公章；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2. 本项目不接受联合体投标、不允许分包、转包。</w:t>
      </w:r>
    </w:p>
    <w:p>
      <w:pPr>
        <w:pStyle w:val="2"/>
        <w:rPr>
          <w:rFonts w:hint="eastAsia"/>
          <w:b/>
          <w:bCs/>
          <w:sz w:val="24"/>
          <w:szCs w:val="24"/>
          <w:lang w:val="en-US" w:eastAsia="zh-CN"/>
        </w:rPr>
      </w:pPr>
      <w:r>
        <w:rPr>
          <w:rFonts w:hint="eastAsia"/>
          <w:b w:val="0"/>
          <w:bCs w:val="0"/>
          <w:sz w:val="24"/>
          <w:szCs w:val="24"/>
          <w:lang w:val="en-US" w:eastAsia="zh-CN"/>
        </w:rPr>
        <w:t xml:space="preserve">   </w:t>
      </w:r>
      <w:r>
        <w:rPr>
          <w:rFonts w:hint="eastAsia"/>
          <w:color w:val="auto"/>
        </w:rPr>
        <w:t>▲</w:t>
      </w:r>
      <w:r>
        <w:rPr>
          <w:rFonts w:hint="eastAsia"/>
          <w:b w:val="0"/>
          <w:bCs w:val="0"/>
          <w:sz w:val="24"/>
          <w:szCs w:val="24"/>
          <w:lang w:val="en-US" w:eastAsia="zh-CN"/>
        </w:rPr>
        <w:t xml:space="preserve"> </w:t>
      </w:r>
      <w:r>
        <w:rPr>
          <w:rFonts w:hint="eastAsia"/>
          <w:b/>
          <w:bCs/>
          <w:sz w:val="24"/>
          <w:szCs w:val="24"/>
          <w:lang w:val="en-US" w:eastAsia="zh-CN"/>
        </w:rPr>
        <w:t>十二、样品要求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1.供应商提供的样品作为评分的重要依据。如未按要求或没有提供样品，其样品不得分。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2.样品的提交：在会议签到的同时，提供以下实物样品供评审小组评审，样品必须密封。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r>
        <w:rPr>
          <w:rFonts w:hint="eastAsia"/>
          <w:b/>
          <w:bCs/>
          <w:sz w:val="24"/>
          <w:szCs w:val="24"/>
          <w:lang w:val="en-US" w:eastAsia="zh-CN"/>
        </w:rPr>
        <w:t>评审会议现场需提供的样品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6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01" w:type="dxa"/>
            <w:noWrap w:val="0"/>
            <w:vAlign w:val="center"/>
          </w:tcPr>
          <w:p>
            <w:pPr>
              <w:tabs>
                <w:tab w:val="left" w:pos="720"/>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466" w:type="dxa"/>
            <w:noWrap w:val="0"/>
            <w:vAlign w:val="center"/>
          </w:tcPr>
          <w:p>
            <w:pPr>
              <w:tabs>
                <w:tab w:val="left" w:pos="720"/>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实物样品名称</w:t>
            </w:r>
          </w:p>
        </w:tc>
        <w:tc>
          <w:tcPr>
            <w:tcW w:w="2146" w:type="dxa"/>
            <w:noWrap w:val="0"/>
            <w:vAlign w:val="center"/>
          </w:tcPr>
          <w:p>
            <w:pPr>
              <w:tabs>
                <w:tab w:val="left" w:pos="720"/>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466" w:type="dxa"/>
            <w:noWrap w:val="0"/>
            <w:vAlign w:val="center"/>
          </w:tcPr>
          <w:p>
            <w:pPr>
              <w:tabs>
                <w:tab w:val="left" w:pos="720"/>
              </w:tabs>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sz w:val="24"/>
                <w:szCs w:val="24"/>
              </w:rPr>
              <w:t>成人打印腕带</w:t>
            </w:r>
          </w:p>
        </w:tc>
        <w:tc>
          <w:tcPr>
            <w:tcW w:w="2146" w:type="dxa"/>
            <w:noWrap w:val="0"/>
            <w:vAlign w:val="center"/>
          </w:tcPr>
          <w:p>
            <w:pPr>
              <w:tabs>
                <w:tab w:val="left" w:pos="720"/>
              </w:tabs>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6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儿童</w:t>
            </w:r>
            <w:r>
              <w:rPr>
                <w:rFonts w:hint="eastAsia" w:ascii="宋体" w:hAnsi="宋体" w:eastAsia="宋体" w:cs="宋体"/>
                <w:color w:val="000000"/>
                <w:sz w:val="24"/>
                <w:szCs w:val="24"/>
                <w:lang w:val="en-US" w:eastAsia="zh-CN"/>
              </w:rPr>
              <w:t>/婴儿</w:t>
            </w:r>
            <w:r>
              <w:rPr>
                <w:rFonts w:hint="eastAsia" w:ascii="宋体" w:hAnsi="宋体" w:eastAsia="宋体" w:cs="宋体"/>
                <w:color w:val="000000"/>
                <w:sz w:val="24"/>
                <w:szCs w:val="24"/>
              </w:rPr>
              <w:t>打印腕带</w:t>
            </w:r>
          </w:p>
        </w:tc>
        <w:tc>
          <w:tcPr>
            <w:tcW w:w="214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46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eastAsia="zh-CN"/>
              </w:rPr>
              <w:t>陪护人员打印手腕带</w:t>
            </w:r>
          </w:p>
        </w:tc>
        <w:tc>
          <w:tcPr>
            <w:tcW w:w="214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466" w:type="dxa"/>
            <w:noWrap w:val="0"/>
            <w:vAlign w:val="center"/>
          </w:tcPr>
          <w:p>
            <w:pPr>
              <w:tabs>
                <w:tab w:val="left" w:pos="720"/>
              </w:tabs>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打印机（</w:t>
            </w:r>
            <w:r>
              <w:rPr>
                <w:rFonts w:hint="eastAsia" w:ascii="宋体" w:hAnsi="宋体" w:eastAsia="宋体" w:cs="宋体"/>
                <w:color w:val="000000"/>
                <w:sz w:val="24"/>
                <w:szCs w:val="24"/>
                <w:lang w:val="en-US" w:eastAsia="zh-CN"/>
              </w:rPr>
              <w:t>含耗材</w:t>
            </w:r>
            <w:r>
              <w:rPr>
                <w:rFonts w:hint="eastAsia" w:ascii="宋体" w:hAnsi="宋体" w:eastAsia="宋体" w:cs="宋体"/>
                <w:color w:val="000000"/>
                <w:sz w:val="24"/>
                <w:szCs w:val="24"/>
                <w:lang w:eastAsia="zh-CN"/>
              </w:rPr>
              <w:t>）</w:t>
            </w:r>
          </w:p>
        </w:tc>
        <w:tc>
          <w:tcPr>
            <w:tcW w:w="2146" w:type="dxa"/>
            <w:noWrap w:val="0"/>
            <w:vAlign w:val="center"/>
          </w:tcPr>
          <w:p>
            <w:pPr>
              <w:tabs>
                <w:tab w:val="left" w:pos="72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bl>
    <w:p>
      <w:pPr>
        <w:pStyle w:val="2"/>
        <w:spacing w:line="360" w:lineRule="auto"/>
        <w:ind w:firstLine="482" w:firstLineChars="200"/>
        <w:rPr>
          <w:rFonts w:hint="eastAsia" w:ascii="宋体"/>
          <w:b/>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highlight w:val="none"/>
          <w:lang w:eastAsia="zh-CN"/>
        </w:rPr>
      </w:pPr>
      <w:r>
        <w:rPr>
          <w:rFonts w:hint="eastAsia" w:ascii="宋体" w:hAnsi="宋体"/>
          <w:b/>
          <w:color w:val="auto"/>
          <w:sz w:val="24"/>
          <w:highlight w:val="none"/>
          <w:lang w:eastAsia="zh-CN"/>
        </w:rPr>
        <w:t>十三、</w:t>
      </w:r>
      <w:bookmarkStart w:id="5" w:name="_Toc6416"/>
      <w:bookmarkStart w:id="6" w:name="_Toc28850"/>
      <w:bookmarkStart w:id="7" w:name="_Toc27614"/>
      <w:bookmarkStart w:id="8" w:name="_Toc8122"/>
      <w:bookmarkStart w:id="9" w:name="_Toc20606"/>
      <w:bookmarkStart w:id="10" w:name="_Toc26796"/>
      <w:bookmarkStart w:id="11" w:name="_Toc20762"/>
      <w:r>
        <w:rPr>
          <w:rFonts w:hint="eastAsia" w:ascii="宋体" w:hAnsi="宋体"/>
          <w:b/>
          <w:color w:val="auto"/>
          <w:sz w:val="24"/>
          <w:highlight w:val="none"/>
          <w:lang w:eastAsia="zh-CN"/>
        </w:rPr>
        <w:t>其他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highlight w:val="none"/>
          <w:lang w:eastAsia="zh-CN"/>
        </w:rPr>
      </w:pP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Style w:val="19"/>
          <w:rFonts w:hint="eastAsia" w:ascii="宋体" w:hAnsi="宋体" w:eastAsia="宋体" w:cs="宋体"/>
          <w:b w:val="0"/>
          <w:bCs w:val="0"/>
          <w:i w:val="0"/>
          <w:iCs w:val="0"/>
          <w:caps w:val="0"/>
          <w:color w:val="auto"/>
          <w:spacing w:val="0"/>
          <w:sz w:val="24"/>
          <w:szCs w:val="24"/>
          <w:shd w:val="clear" w:fill="FFFFFF"/>
          <w:vertAlign w:val="baseline"/>
        </w:rPr>
      </w:pPr>
      <w:r>
        <w:rPr>
          <w:rStyle w:val="19"/>
          <w:rFonts w:hint="eastAsia" w:ascii="宋体" w:hAnsi="宋体" w:eastAsia="宋体" w:cs="宋体"/>
          <w:b w:val="0"/>
          <w:bCs w:val="0"/>
          <w:i w:val="0"/>
          <w:iCs w:val="0"/>
          <w:caps w:val="0"/>
          <w:color w:val="auto"/>
          <w:spacing w:val="0"/>
          <w:sz w:val="24"/>
          <w:szCs w:val="24"/>
          <w:shd w:val="clear" w:fill="FFFFFF"/>
          <w:vertAlign w:val="baseline"/>
        </w:rPr>
        <w:t>参加评审会议供应商必须无流行病学史，需提供健康码绿码、行程码绿码、72小时核酸检测结果阴性。(如有最新防疫政策要求，按最新的政策要求执行）</w:t>
      </w:r>
    </w:p>
    <w:p>
      <w:pPr>
        <w:pStyle w:val="2"/>
        <w:rPr>
          <w:rFonts w:hint="eastAsia" w:ascii="宋体"/>
          <w:b/>
          <w:bCs/>
          <w:color w:val="auto"/>
          <w:kern w:val="0"/>
          <w:sz w:val="24"/>
          <w:szCs w:val="24"/>
          <w:lang w:val="en-US" w:eastAsia="zh-CN"/>
        </w:rPr>
      </w:pPr>
      <w:r>
        <w:rPr>
          <w:rStyle w:val="19"/>
          <w:rFonts w:hint="eastAsia" w:ascii="宋体" w:hAnsi="宋体" w:cs="宋体"/>
          <w:b w:val="0"/>
          <w:bCs w:val="0"/>
          <w:i w:val="0"/>
          <w:iCs w:val="0"/>
          <w:caps w:val="0"/>
          <w:color w:val="auto"/>
          <w:spacing w:val="0"/>
          <w:sz w:val="24"/>
          <w:szCs w:val="24"/>
          <w:shd w:val="clear" w:fill="FFFFFF"/>
          <w:vertAlign w:val="baseline"/>
          <w:lang w:val="en-US"/>
        </w:rPr>
        <w:t xml:space="preserve">    2.</w:t>
      </w:r>
      <w:r>
        <w:rPr>
          <w:rFonts w:hint="eastAsia" w:ascii="宋体"/>
          <w:b/>
          <w:bCs/>
          <w:color w:val="auto"/>
          <w:kern w:val="0"/>
          <w:sz w:val="24"/>
          <w:szCs w:val="24"/>
          <w:lang w:val="en-US" w:eastAsia="zh-CN"/>
        </w:rPr>
        <w:t>注意事项</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Style w:val="19"/>
          <w:rFonts w:hint="eastAsia" w:ascii="宋体" w:hAnsi="宋体" w:eastAsia="宋体" w:cs="宋体"/>
          <w:b w:val="0"/>
          <w:bCs w:val="0"/>
          <w:i w:val="0"/>
          <w:iCs w:val="0"/>
          <w:caps w:val="0"/>
          <w:color w:val="auto"/>
          <w:spacing w:val="0"/>
          <w:sz w:val="24"/>
          <w:szCs w:val="24"/>
          <w:shd w:val="clear" w:fill="FFFFFF"/>
          <w:vertAlign w:val="baseline"/>
        </w:rPr>
      </w:pPr>
      <w:r>
        <w:rPr>
          <w:rStyle w:val="19"/>
          <w:rFonts w:hint="eastAsia" w:ascii="宋体" w:hAnsi="宋体" w:eastAsia="宋体" w:cs="宋体"/>
          <w:b w:val="0"/>
          <w:bCs w:val="0"/>
          <w:i w:val="0"/>
          <w:iCs w:val="0"/>
          <w:caps w:val="0"/>
          <w:color w:val="auto"/>
          <w:spacing w:val="0"/>
          <w:sz w:val="24"/>
          <w:szCs w:val="24"/>
          <w:shd w:val="clear" w:fill="FFFFFF"/>
          <w:vertAlign w:val="baseline"/>
          <w:lang w:val="en-US" w:eastAsia="zh-CN"/>
        </w:rPr>
        <w:t xml:space="preserve">各规格、颜色手腕带数量仅供参考，院方供货前提出规格及颜色要求，按实际交货量结算。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11917"/>
      <w:bookmarkStart w:id="13" w:name="_Toc4075"/>
      <w:bookmarkStart w:id="14" w:name="_Toc3222"/>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b w:val="0"/>
          <w:bCs w:val="0"/>
          <w:strike w:val="0"/>
          <w:dstrike w:val="0"/>
          <w:color w:val="auto"/>
          <w:kern w:val="2"/>
          <w:sz w:val="24"/>
          <w:szCs w:val="24"/>
          <w:highlight w:val="none"/>
          <w:lang w:val="en-US" w:eastAsia="zh-CN" w:bidi="ar-SA"/>
        </w:rPr>
        <w:t>3.</w:t>
      </w:r>
      <w:r>
        <w:rPr>
          <w:rFonts w:hint="eastAsia" w:ascii="宋体" w:hAnsi="宋体" w:eastAsia="宋体" w:cs="宋体"/>
          <w:color w:val="auto"/>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9"/>
        <w:rPr>
          <w:rFonts w:hint="eastAsia"/>
          <w:b/>
          <w:bCs/>
          <w:kern w:val="0"/>
          <w:sz w:val="32"/>
          <w:szCs w:val="36"/>
        </w:rPr>
      </w:pPr>
    </w:p>
    <w:p>
      <w:pPr>
        <w:pStyle w:val="6"/>
        <w:spacing w:line="380" w:lineRule="exact"/>
        <w:rPr>
          <w:rFonts w:hint="eastAsia" w:ascii="宋体" w:hAnsi="宋体" w:eastAsia="宋体" w:cs="宋体"/>
          <w:color w:val="auto"/>
          <w:sz w:val="24"/>
        </w:rPr>
      </w:pPr>
    </w:p>
    <w:p>
      <w:pPr>
        <w:jc w:val="center"/>
        <w:outlineLvl w:val="0"/>
        <w:rPr>
          <w:rFonts w:hint="eastAsia"/>
          <w:b/>
          <w:bCs/>
          <w:color w:val="auto"/>
          <w:kern w:val="0"/>
          <w:sz w:val="32"/>
          <w:szCs w:val="36"/>
        </w:rPr>
      </w:pPr>
      <w:bookmarkStart w:id="15" w:name="_Toc2432"/>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6" w:name="_Toc270"/>
      <w:r>
        <w:rPr>
          <w:rFonts w:hint="eastAsia"/>
          <w:b/>
          <w:bCs/>
          <w:color w:val="auto"/>
          <w:kern w:val="0"/>
          <w:sz w:val="32"/>
          <w:szCs w:val="36"/>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7" w:name="_Toc7581"/>
      <w:bookmarkStart w:id="18" w:name="_Toc13814"/>
      <w:bookmarkStart w:id="19" w:name="_Toc19354"/>
      <w:bookmarkStart w:id="20" w:name="_Toc2647"/>
      <w:bookmarkStart w:id="21" w:name="_Toc40346213"/>
      <w:bookmarkStart w:id="22" w:name="_Toc9461"/>
      <w:bookmarkStart w:id="23" w:name="_Toc5829"/>
      <w:bookmarkStart w:id="24" w:name="_Toc30326"/>
      <w:bookmarkStart w:id="25" w:name="_Toc32164"/>
      <w:bookmarkStart w:id="26" w:name="_Toc2347"/>
      <w:bookmarkStart w:id="27" w:name="_Toc30230"/>
      <w:bookmarkStart w:id="28" w:name="_Toc32228"/>
      <w:bookmarkStart w:id="29" w:name="_Toc40776108"/>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0"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40346214"/>
      <w:bookmarkStart w:id="32" w:name="_Toc11236"/>
      <w:bookmarkStart w:id="33" w:name="_Toc40776109"/>
      <w:bookmarkStart w:id="34" w:name="_Toc30201"/>
      <w:bookmarkStart w:id="35" w:name="_Toc26336"/>
      <w:bookmarkStart w:id="36" w:name="_Toc10842"/>
      <w:bookmarkStart w:id="37" w:name="_Toc17987"/>
      <w:bookmarkStart w:id="38" w:name="_Toc40346373"/>
      <w:bookmarkStart w:id="39" w:name="_Toc10941"/>
      <w:bookmarkStart w:id="40" w:name="_Toc13972"/>
      <w:bookmarkStart w:id="41" w:name="_Toc23126"/>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13293"/>
      <w:bookmarkStart w:id="43" w:name="_Toc12695"/>
      <w:bookmarkStart w:id="44" w:name="_Toc3033"/>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3784"/>
      <w:bookmarkStart w:id="47" w:name="_Toc22864"/>
      <w:bookmarkStart w:id="48" w:name="_Toc10213"/>
      <w:bookmarkStart w:id="49" w:name="_Toc28217"/>
      <w:bookmarkStart w:id="50" w:name="_Toc12431"/>
      <w:bookmarkStart w:id="51" w:name="_Toc40776117"/>
      <w:bookmarkStart w:id="52" w:name="_Toc40346222"/>
      <w:bookmarkStart w:id="53" w:name="_Toc9134"/>
      <w:bookmarkStart w:id="54" w:name="_Toc23156"/>
      <w:bookmarkStart w:id="55" w:name="_Toc18837"/>
      <w:bookmarkStart w:id="56" w:name="_Toc40346381"/>
      <w:bookmarkStart w:id="57" w:name="_Toc22145"/>
      <w:bookmarkStart w:id="58" w:name="_Toc25470"/>
      <w:bookmarkStart w:id="59" w:name="_Toc440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3471"/>
      <w:bookmarkStart w:id="61" w:name="_Toc8364"/>
      <w:bookmarkStart w:id="62" w:name="_Toc11075"/>
      <w:bookmarkStart w:id="63" w:name="_Toc26267"/>
      <w:bookmarkStart w:id="64" w:name="_Toc28703"/>
      <w:bookmarkStart w:id="65" w:name="_Toc40346375"/>
      <w:bookmarkStart w:id="66" w:name="_Toc6547"/>
      <w:bookmarkStart w:id="67" w:name="_Toc40776111"/>
      <w:bookmarkStart w:id="68" w:name="_Toc7291"/>
      <w:bookmarkStart w:id="69" w:name="_Toc435"/>
      <w:bookmarkStart w:id="70" w:name="_Toc21249"/>
      <w:bookmarkStart w:id="71" w:name="_Toc1994"/>
      <w:bookmarkStart w:id="72" w:name="_Toc40346216"/>
      <w:bookmarkStart w:id="73" w:name="_Toc15870"/>
      <w:bookmarkStart w:id="74" w:name="_Toc12520"/>
      <w:bookmarkStart w:id="75" w:name="_Toc11305"/>
      <w:bookmarkStart w:id="76" w:name="_Toc29113"/>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40776112"/>
      <w:bookmarkStart w:id="79" w:name="_Toc40346217"/>
      <w:bookmarkStart w:id="80" w:name="_Toc40346376"/>
      <w:bookmarkStart w:id="81" w:name="_Toc1743"/>
      <w:bookmarkStart w:id="82" w:name="_Toc2916"/>
      <w:bookmarkStart w:id="83" w:name="_Toc20884"/>
      <w:bookmarkStart w:id="84" w:name="_Toc17709"/>
      <w:bookmarkStart w:id="85" w:name="_Toc27997"/>
    </w:p>
    <w:p>
      <w:pPr>
        <w:widowControl/>
        <w:spacing w:line="360" w:lineRule="auto"/>
        <w:ind w:firstLine="600"/>
        <w:outlineLvl w:val="0"/>
        <w:rPr>
          <w:rFonts w:cs="宋体"/>
          <w:kern w:val="0"/>
          <w:sz w:val="30"/>
          <w:szCs w:val="30"/>
        </w:rPr>
      </w:pPr>
      <w:bookmarkStart w:id="86" w:name="_Toc31538"/>
      <w:bookmarkStart w:id="87" w:name="_Toc2029"/>
      <w:bookmarkStart w:id="88" w:name="_Toc2012"/>
      <w:bookmarkStart w:id="89" w:name="_Toc29102"/>
      <w:bookmarkStart w:id="90" w:name="_Toc5238"/>
      <w:bookmarkStart w:id="91" w:name="_Toc19699"/>
      <w:bookmarkStart w:id="92" w:name="_Toc23992"/>
      <w:bookmarkStart w:id="93" w:name="_Toc30979"/>
      <w:bookmarkStart w:id="94" w:name="_Toc11485"/>
      <w:bookmarkStart w:id="95" w:name="_Toc23097"/>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4824"/>
      <w:bookmarkStart w:id="97" w:name="_Toc17930"/>
      <w:bookmarkStart w:id="98" w:name="_Toc12113"/>
      <w:bookmarkStart w:id="99" w:name="_Toc7052"/>
      <w:bookmarkStart w:id="100" w:name="_Toc40346218"/>
      <w:bookmarkStart w:id="101" w:name="_Toc40776113"/>
      <w:bookmarkStart w:id="102" w:name="_Toc29767"/>
      <w:bookmarkStart w:id="103" w:name="_Toc11141"/>
      <w:bookmarkStart w:id="104" w:name="_Toc40346377"/>
      <w:bookmarkStart w:id="105" w:name="_Toc11558"/>
      <w:bookmarkStart w:id="106" w:name="_Toc12645"/>
      <w:bookmarkStart w:id="107" w:name="_Toc31993"/>
      <w:bookmarkStart w:id="108" w:name="_Toc4013"/>
      <w:bookmarkStart w:id="109" w:name="_Toc21483"/>
      <w:bookmarkStart w:id="110" w:name="_Toc28064"/>
      <w:bookmarkStart w:id="111" w:name="_Toc27867"/>
      <w:bookmarkStart w:id="112" w:name="_Toc16794"/>
      <w:bookmarkStart w:id="113" w:name="_Toc2476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6438"/>
      <w:bookmarkStart w:id="115" w:name="_Toc26029"/>
      <w:bookmarkStart w:id="116" w:name="_Toc4563"/>
      <w:bookmarkStart w:id="117" w:name="_Toc16813"/>
      <w:bookmarkStart w:id="118" w:name="_Toc31197"/>
      <w:bookmarkStart w:id="119" w:name="_Toc40346219"/>
      <w:bookmarkStart w:id="120" w:name="_Toc27771"/>
      <w:bookmarkStart w:id="121" w:name="_Toc1324"/>
      <w:bookmarkStart w:id="122" w:name="_Toc9883"/>
      <w:bookmarkStart w:id="123" w:name="_Toc24651"/>
      <w:bookmarkStart w:id="124" w:name="_Toc14287"/>
      <w:bookmarkStart w:id="125" w:name="_Toc32709"/>
      <w:bookmarkStart w:id="126" w:name="_Toc40776114"/>
      <w:bookmarkStart w:id="127" w:name="_Toc11334"/>
      <w:bookmarkStart w:id="128" w:name="_Toc25370"/>
      <w:bookmarkStart w:id="129" w:name="_Toc19831"/>
      <w:bookmarkStart w:id="130" w:name="_Toc17537"/>
      <w:bookmarkStart w:id="131" w:name="_Toc40346378"/>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19057"/>
      <w:bookmarkStart w:id="133" w:name="_Toc21940"/>
      <w:bookmarkStart w:id="134" w:name="_Toc40776115"/>
      <w:bookmarkStart w:id="135" w:name="_Toc20994"/>
      <w:bookmarkStart w:id="136" w:name="_Toc17483"/>
      <w:bookmarkStart w:id="137" w:name="_Toc21686"/>
      <w:bookmarkStart w:id="138" w:name="_Toc30336"/>
      <w:bookmarkStart w:id="139" w:name="_Toc18353"/>
      <w:bookmarkStart w:id="140" w:name="_Toc27868"/>
      <w:bookmarkStart w:id="141" w:name="_Toc27206"/>
      <w:bookmarkStart w:id="142" w:name="_Toc40346379"/>
      <w:bookmarkStart w:id="143" w:name="_Toc13222"/>
      <w:bookmarkStart w:id="144" w:name="_Toc12650"/>
      <w:bookmarkStart w:id="145" w:name="_Toc5189"/>
      <w:bookmarkStart w:id="146" w:name="_Toc5634"/>
      <w:bookmarkStart w:id="147" w:name="_Toc40346220"/>
      <w:bookmarkStart w:id="148" w:name="_Toc14586"/>
      <w:bookmarkStart w:id="149" w:name="_Toc389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1547"/>
      <w:bookmarkStart w:id="151" w:name="_Toc9282"/>
      <w:bookmarkStart w:id="152" w:name="_Toc30904"/>
      <w:bookmarkStart w:id="153" w:name="_Toc27009"/>
      <w:bookmarkStart w:id="154" w:name="_Toc40346221"/>
      <w:bookmarkStart w:id="155" w:name="_Toc10454"/>
      <w:bookmarkStart w:id="156" w:name="_Toc27646"/>
      <w:bookmarkStart w:id="157" w:name="_Toc40776116"/>
      <w:bookmarkStart w:id="158" w:name="_Toc12127"/>
      <w:bookmarkStart w:id="159" w:name="_Toc3498"/>
      <w:bookmarkStart w:id="160" w:name="_Toc22276"/>
      <w:bookmarkStart w:id="161" w:name="_Toc8526"/>
      <w:bookmarkStart w:id="162" w:name="_Toc32371"/>
      <w:bookmarkStart w:id="163" w:name="_Toc40346380"/>
      <w:bookmarkStart w:id="164" w:name="_Toc14462"/>
      <w:bookmarkStart w:id="165" w:name="_Toc30856"/>
      <w:bookmarkStart w:id="166" w:name="_Toc21449"/>
      <w:bookmarkStart w:id="167" w:name="_Toc5220"/>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31006"/>
      <w:bookmarkStart w:id="170" w:name="_Toc6985"/>
      <w:bookmarkStart w:id="171" w:name="_Toc24584"/>
      <w:bookmarkStart w:id="172" w:name="_Toc27920"/>
      <w:r>
        <w:rPr>
          <w:rFonts w:hint="eastAsia"/>
          <w:b/>
          <w:bCs/>
          <w:color w:val="auto"/>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报名成功后获得</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本项目不接受联合体报名，不允许分包、转包。（需提供承诺函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公司简介及产品介绍</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w:t>
            </w:r>
            <w:r>
              <w:rPr>
                <w:rFonts w:hint="eastAsia" w:ascii="宋体" w:hAnsi="宋体" w:cs="Times New Roman"/>
                <w:color w:val="auto"/>
                <w:sz w:val="24"/>
                <w:lang w:val="en-US" w:eastAsia="zh-CN"/>
              </w:rPr>
              <w:t>及配送</w:t>
            </w:r>
            <w:r>
              <w:rPr>
                <w:rFonts w:hint="eastAsia" w:ascii="宋体" w:hAnsi="宋体" w:eastAsia="宋体" w:cs="Times New Roman"/>
                <w:color w:val="auto"/>
                <w:sz w:val="24"/>
                <w:lang w:val="en-US" w:eastAsia="zh-CN"/>
              </w:rPr>
              <w:t>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现场需提供样品</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eastAsia="zh-CN"/>
              </w:rPr>
            </w:pPr>
            <w:r>
              <w:rPr>
                <w:rFonts w:hint="eastAsia" w:ascii="宋体" w:hAnsi="宋体"/>
                <w:bCs/>
                <w:sz w:val="24"/>
                <w:szCs w:val="24"/>
                <w:lang w:val="en-US" w:eastAsia="zh-CN"/>
              </w:rPr>
              <w:t>/</w:t>
            </w:r>
          </w:p>
        </w:tc>
      </w:tr>
    </w:tbl>
    <w:p>
      <w:pPr>
        <w:widowControl/>
        <w:spacing w:line="360" w:lineRule="auto"/>
        <w:jc w:val="left"/>
        <w:outlineLvl w:val="9"/>
        <w:rPr>
          <w:rFonts w:hint="eastAsia" w:ascii="仿宋" w:hAnsi="仿宋" w:eastAsia="仿宋" w:cs="宋体"/>
          <w:b/>
          <w:kern w:val="0"/>
          <w:sz w:val="24"/>
          <w:szCs w:val="32"/>
        </w:rPr>
      </w:pPr>
      <w:bookmarkStart w:id="173" w:name="_Toc562"/>
      <w:bookmarkStart w:id="174" w:name="_Toc21936"/>
      <w:bookmarkStart w:id="175" w:name="_Toc11232"/>
      <w:bookmarkStart w:id="176" w:name="_Toc24508"/>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10605"/>
      <w:bookmarkStart w:id="179" w:name="_Toc20065"/>
      <w:bookmarkStart w:id="180" w:name="_Toc31025"/>
      <w:bookmarkStart w:id="181" w:name="_Toc29101"/>
      <w:bookmarkStart w:id="182" w:name="_Toc26391"/>
      <w:bookmarkStart w:id="183" w:name="_Toc24565"/>
      <w:bookmarkStart w:id="184" w:name="_Toc25102"/>
      <w:bookmarkStart w:id="185" w:name="_Toc28877"/>
      <w:bookmarkStart w:id="186" w:name="_Toc11212"/>
      <w:bookmarkStart w:id="187" w:name="_Toc20169"/>
      <w:bookmarkStart w:id="188" w:name="_Toc9683"/>
      <w:bookmarkStart w:id="189" w:name="_Toc10771"/>
      <w:bookmarkStart w:id="190" w:name="_Toc8481"/>
      <w:bookmarkStart w:id="191" w:name="_Toc31804"/>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10398"/>
      <w:bookmarkStart w:id="194" w:name="_Toc24550"/>
      <w:bookmarkStart w:id="195" w:name="_Toc7019"/>
      <w:bookmarkStart w:id="196" w:name="_Toc24286"/>
      <w:bookmarkStart w:id="197" w:name="_Toc32295"/>
      <w:bookmarkStart w:id="198" w:name="_Toc15079"/>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199" w:name="_Toc13551"/>
      <w:bookmarkStart w:id="200" w:name="_Toc21905"/>
      <w:bookmarkStart w:id="201" w:name="_Toc17416"/>
      <w:bookmarkStart w:id="202" w:name="_Toc31638"/>
      <w:bookmarkStart w:id="203" w:name="_Toc1548"/>
      <w:bookmarkStart w:id="204" w:name="_Toc14009"/>
      <w:r>
        <w:rPr>
          <w:rFonts w:hint="eastAsia" w:cs="Times New Roman" w:asciiTheme="majorEastAsia" w:hAnsiTheme="majorEastAsia" w:eastAsiaTheme="majorEastAsia"/>
          <w:b/>
          <w:kern w:val="2"/>
          <w:sz w:val="22"/>
          <w:szCs w:val="24"/>
          <w:lang w:val="en-US" w:eastAsia="zh-CN" w:bidi="ar-SA"/>
        </w:rPr>
        <w:t>一、</w:t>
      </w:r>
      <w:bookmarkEnd w:id="199"/>
      <w:bookmarkEnd w:id="200"/>
      <w:bookmarkEnd w:id="201"/>
      <w:bookmarkEnd w:id="202"/>
      <w:bookmarkEnd w:id="203"/>
      <w:bookmarkEnd w:id="204"/>
      <w:r>
        <w:rPr>
          <w:rFonts w:hint="eastAsia" w:cs="Times New Roman" w:asciiTheme="majorEastAsia" w:hAnsiTheme="majorEastAsia" w:eastAsiaTheme="majorEastAsia"/>
          <w:b/>
          <w:kern w:val="2"/>
          <w:sz w:val="22"/>
          <w:szCs w:val="24"/>
          <w:lang w:val="en-US" w:eastAsia="zh-CN" w:bidi="ar-SA"/>
        </w:rPr>
        <w:t>“▲”号条款</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bookmarkStart w:id="205" w:name="_Toc16131"/>
      <w:bookmarkStart w:id="206" w:name="_Toc14718"/>
      <w:bookmarkStart w:id="207" w:name="_Toc26114"/>
      <w:bookmarkStart w:id="208" w:name="_Toc31897"/>
      <w:bookmarkStart w:id="209" w:name="_Toc15903"/>
      <w:bookmarkStart w:id="210" w:name="_Toc19330"/>
      <w:bookmarkStart w:id="211" w:name="_Toc28342"/>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default" w:cs="Times New Roman" w:asciiTheme="majorEastAsia" w:hAnsiTheme="majorEastAsia" w:eastAsiaTheme="majorEastAsia"/>
          <w:b/>
          <w:kern w:val="2"/>
          <w:sz w:val="22"/>
          <w:szCs w:val="24"/>
          <w:lang w:val="en-US" w:eastAsia="zh-CN" w:bidi="ar-SA"/>
        </w:rPr>
        <w:t>服务期限</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三、项目内容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
        <w:rPr>
          <w:rFonts w:hint="eastAsia" w:ascii="宋体" w:hAnsi="宋体"/>
          <w:b/>
          <w:bCs/>
          <w:szCs w:val="21"/>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四、产品要求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hint="eastAsia" w:ascii="宋体" w:hAnsi="宋体"/>
          <w:b/>
          <w:bCs/>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 xml:space="preserve"> 五、打印机配置要求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rPr>
          <w:rFonts w:hint="eastAsia" w:ascii="宋体" w:hAnsi="宋体"/>
          <w:b/>
          <w:bCs/>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六、服务要求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七、验收要求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widowControl w:val="0"/>
        <w:numPr>
          <w:ilvl w:val="0"/>
          <w:numId w:val="0"/>
        </w:numPr>
        <w:jc w:val="both"/>
        <w:rPr>
          <w:rFonts w:hint="eastAsia"/>
          <w:lang w:val="en-US" w:eastAsia="zh-CN"/>
        </w:rPr>
      </w:pPr>
    </w:p>
    <w:p>
      <w:pPr>
        <w:spacing w:line="300" w:lineRule="auto"/>
        <w:ind w:firstLine="663" w:firstLineChars="300"/>
        <w:outlineLvl w:val="1"/>
        <w:rPr>
          <w:rFonts w:hint="eastAsia" w:asciiTheme="majorEastAsia" w:hAnsiTheme="majorEastAsia" w:eastAsiaTheme="majorEastAsia"/>
          <w:b/>
          <w:sz w:val="22"/>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九、其他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
        <w:jc w:val="center"/>
        <w:rPr>
          <w:rFonts w:hint="eastAsia" w:eastAsia="宋体"/>
          <w:b/>
          <w:bCs/>
          <w:sz w:val="30"/>
          <w:szCs w:val="30"/>
          <w:lang w:val="en-US" w:eastAsia="zh-CN"/>
        </w:rPr>
      </w:pPr>
      <w:bookmarkStart w:id="212" w:name="_Toc21213"/>
      <w:bookmarkStart w:id="213" w:name="_Toc31077"/>
      <w:bookmarkStart w:id="214" w:name="_Toc6214"/>
      <w:bookmarkStart w:id="215" w:name="_Toc28851"/>
      <w:bookmarkStart w:id="216" w:name="_Toc21561"/>
      <w:bookmarkStart w:id="217" w:name="_Toc31674"/>
      <w:r>
        <w:rPr>
          <w:rFonts w:hint="default"/>
          <w:b/>
          <w:bCs/>
          <w:sz w:val="30"/>
          <w:szCs w:val="30"/>
          <w:lang w:val="en-US" w:eastAsia="zh-CN"/>
        </w:rPr>
        <w:t>南方医科大学第五附属医院</w:t>
      </w:r>
      <w:r>
        <w:rPr>
          <w:rFonts w:hint="eastAsia"/>
          <w:b/>
          <w:bCs/>
          <w:sz w:val="30"/>
          <w:szCs w:val="30"/>
          <w:lang w:val="en-US" w:eastAsia="zh-CN"/>
        </w:rPr>
        <w:t>手腕带</w:t>
      </w:r>
      <w:r>
        <w:rPr>
          <w:rFonts w:hint="default"/>
          <w:b/>
          <w:bCs/>
          <w:sz w:val="30"/>
          <w:szCs w:val="30"/>
          <w:lang w:val="en-US" w:eastAsia="zh-CN"/>
        </w:rPr>
        <w:t>采购项目</w:t>
      </w:r>
      <w:r>
        <w:rPr>
          <w:rFonts w:hint="eastAsia"/>
          <w:b/>
          <w:bCs/>
          <w:sz w:val="30"/>
          <w:szCs w:val="30"/>
          <w:lang w:val="en-US" w:eastAsia="zh-CN"/>
        </w:rPr>
        <w:t>初始报价表</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6"/>
        <w:tblpPr w:leftFromText="180" w:rightFromText="180" w:vertAnchor="text" w:horzAnchor="page" w:tblpXSpec="center" w:tblpY="104"/>
        <w:tblOverlap w:val="never"/>
        <w:tblW w:w="10053" w:type="dxa"/>
        <w:jc w:val="center"/>
        <w:tblLayout w:type="fixed"/>
        <w:tblCellMar>
          <w:top w:w="0" w:type="dxa"/>
          <w:left w:w="30" w:type="dxa"/>
          <w:bottom w:w="0" w:type="dxa"/>
          <w:right w:w="30" w:type="dxa"/>
        </w:tblCellMar>
      </w:tblPr>
      <w:tblGrid>
        <w:gridCol w:w="657"/>
        <w:gridCol w:w="2041"/>
        <w:gridCol w:w="941"/>
        <w:gridCol w:w="1009"/>
        <w:gridCol w:w="892"/>
        <w:gridCol w:w="1065"/>
        <w:gridCol w:w="1724"/>
        <w:gridCol w:w="1724"/>
      </w:tblGrid>
      <w:tr>
        <w:tblPrEx>
          <w:tblCellMar>
            <w:top w:w="0" w:type="dxa"/>
            <w:left w:w="30" w:type="dxa"/>
            <w:bottom w:w="0" w:type="dxa"/>
            <w:right w:w="30" w:type="dxa"/>
          </w:tblCellMar>
        </w:tblPrEx>
        <w:trPr>
          <w:trHeight w:val="333" w:hRule="atLeast"/>
          <w:jc w:val="center"/>
        </w:trPr>
        <w:tc>
          <w:tcPr>
            <w:tcW w:w="657"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41"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品名</w:t>
            </w:r>
          </w:p>
        </w:tc>
        <w:tc>
          <w:tcPr>
            <w:tcW w:w="941"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材质</w:t>
            </w:r>
          </w:p>
        </w:tc>
        <w:tc>
          <w:tcPr>
            <w:tcW w:w="1009"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规格</w:t>
            </w:r>
          </w:p>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（撕下后）</w:t>
            </w:r>
          </w:p>
        </w:tc>
        <w:tc>
          <w:tcPr>
            <w:tcW w:w="892"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单位</w:t>
            </w:r>
          </w:p>
        </w:tc>
        <w:tc>
          <w:tcPr>
            <w:tcW w:w="1065"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三年</w:t>
            </w:r>
            <w:r>
              <w:rPr>
                <w:rFonts w:hint="eastAsia" w:ascii="宋体" w:hAnsi="宋体" w:eastAsia="宋体" w:cs="宋体"/>
                <w:b/>
                <w:bCs/>
                <w:color w:val="auto"/>
                <w:sz w:val="21"/>
                <w:szCs w:val="21"/>
                <w:lang w:val="en-US" w:eastAsia="zh-CN"/>
              </w:rPr>
              <w:t>预计</w:t>
            </w:r>
          </w:p>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采购量</w:t>
            </w:r>
          </w:p>
        </w:tc>
        <w:tc>
          <w:tcPr>
            <w:tcW w:w="34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公司报价</w:t>
            </w:r>
          </w:p>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元/条</w:t>
            </w:r>
            <w:r>
              <w:rPr>
                <w:rFonts w:hint="eastAsia" w:ascii="宋体" w:hAnsi="宋体" w:eastAsia="宋体" w:cs="宋体"/>
                <w:b/>
                <w:bCs/>
                <w:color w:val="auto"/>
                <w:sz w:val="21"/>
                <w:szCs w:val="21"/>
                <w:lang w:val="en-US" w:eastAsia="zh-CN"/>
              </w:rPr>
              <w:t>）</w:t>
            </w:r>
          </w:p>
        </w:tc>
      </w:tr>
      <w:tr>
        <w:tblPrEx>
          <w:tblCellMar>
            <w:top w:w="0" w:type="dxa"/>
            <w:left w:w="30" w:type="dxa"/>
            <w:bottom w:w="0" w:type="dxa"/>
            <w:right w:w="30" w:type="dxa"/>
          </w:tblCellMar>
        </w:tblPrEx>
        <w:trPr>
          <w:trHeight w:val="333" w:hRule="atLeast"/>
          <w:jc w:val="center"/>
        </w:trPr>
        <w:tc>
          <w:tcPr>
            <w:tcW w:w="657"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p>
        </w:tc>
        <w:tc>
          <w:tcPr>
            <w:tcW w:w="2041"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p>
        </w:tc>
        <w:tc>
          <w:tcPr>
            <w:tcW w:w="941"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p>
        </w:tc>
        <w:tc>
          <w:tcPr>
            <w:tcW w:w="1009"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p>
        </w:tc>
        <w:tc>
          <w:tcPr>
            <w:tcW w:w="892"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p>
        </w:tc>
        <w:tc>
          <w:tcPr>
            <w:tcW w:w="1065"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单价（</w:t>
            </w:r>
            <w:r>
              <w:rPr>
                <w:rFonts w:hint="eastAsia" w:ascii="宋体" w:hAnsi="宋体" w:cs="宋体"/>
                <w:b/>
                <w:bCs/>
                <w:color w:val="auto"/>
                <w:sz w:val="21"/>
                <w:szCs w:val="21"/>
                <w:lang w:val="en-US" w:eastAsia="zh-CN"/>
              </w:rPr>
              <w:t>元/条</w:t>
            </w:r>
            <w:r>
              <w:rPr>
                <w:rFonts w:hint="eastAsia" w:ascii="宋体" w:hAnsi="宋体" w:eastAsia="宋体" w:cs="宋体"/>
                <w:b/>
                <w:bCs/>
                <w:color w:val="auto"/>
                <w:sz w:val="21"/>
                <w:szCs w:val="21"/>
                <w:lang w:val="en-US" w:eastAsia="zh-CN"/>
              </w:rPr>
              <w:t>）</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分项合计</w:t>
            </w:r>
          </w:p>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金额（元）</w:t>
            </w:r>
          </w:p>
        </w:tc>
      </w:tr>
      <w:tr>
        <w:tblPrEx>
          <w:tblCellMar>
            <w:top w:w="0" w:type="dxa"/>
            <w:left w:w="30" w:type="dxa"/>
            <w:bottom w:w="0" w:type="dxa"/>
            <w:right w:w="30" w:type="dxa"/>
          </w:tblCellMar>
        </w:tblPrEx>
        <w:trPr>
          <w:trHeight w:val="607"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成人打印腕带</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300000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left"/>
              <w:rPr>
                <w:rFonts w:hint="eastAsia"/>
                <w:b w:val="0"/>
                <w:bCs w:val="0"/>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left"/>
              <w:rPr>
                <w:rFonts w:hint="eastAsia"/>
                <w:b w:val="0"/>
                <w:bCs w:val="0"/>
                <w:sz w:val="21"/>
                <w:szCs w:val="21"/>
                <w:lang w:val="en-US" w:eastAsia="zh-CN"/>
              </w:rPr>
            </w:pPr>
          </w:p>
        </w:tc>
      </w:tr>
      <w:tr>
        <w:tblPrEx>
          <w:tblCellMar>
            <w:top w:w="0" w:type="dxa"/>
            <w:left w:w="30" w:type="dxa"/>
            <w:bottom w:w="0" w:type="dxa"/>
            <w:right w:w="30" w:type="dxa"/>
          </w:tblCellMar>
        </w:tblPrEx>
        <w:trPr>
          <w:trHeight w:val="776"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儿童</w:t>
            </w:r>
            <w:r>
              <w:rPr>
                <w:rFonts w:hint="eastAsia" w:ascii="宋体" w:hAnsi="宋体" w:cs="宋体"/>
                <w:color w:val="auto"/>
                <w:sz w:val="21"/>
                <w:szCs w:val="21"/>
                <w:lang w:val="en-US" w:eastAsia="zh-CN"/>
              </w:rPr>
              <w:t>/婴儿</w:t>
            </w:r>
            <w:r>
              <w:rPr>
                <w:rFonts w:hint="eastAsia" w:ascii="宋体" w:hAnsi="宋体" w:eastAsia="宋体" w:cs="宋体"/>
                <w:color w:val="auto"/>
                <w:sz w:val="21"/>
                <w:szCs w:val="21"/>
              </w:rPr>
              <w:t>打印腕带</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180000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r>
      <w:tr>
        <w:tblPrEx>
          <w:tblCellMar>
            <w:top w:w="0" w:type="dxa"/>
            <w:left w:w="30" w:type="dxa"/>
            <w:bottom w:w="0" w:type="dxa"/>
            <w:right w:w="30" w:type="dxa"/>
          </w:tblCellMar>
        </w:tblPrEx>
        <w:trPr>
          <w:trHeight w:val="677"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陪护人员打印手腕带</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color w:val="auto"/>
                <w:sz w:val="21"/>
                <w:szCs w:val="21"/>
                <w:lang w:eastAsia="zh-CN"/>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color w:val="auto"/>
                <w:sz w:val="21"/>
                <w:szCs w:val="21"/>
                <w:lang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60000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r>
      <w:tr>
        <w:tblPrEx>
          <w:tblCellMar>
            <w:top w:w="0" w:type="dxa"/>
            <w:left w:w="30" w:type="dxa"/>
            <w:bottom w:w="0" w:type="dxa"/>
            <w:right w:w="30" w:type="dxa"/>
          </w:tblCellMar>
        </w:tblPrEx>
        <w:trPr>
          <w:trHeight w:val="677" w:hRule="atLeast"/>
          <w:jc w:val="center"/>
        </w:trPr>
        <w:tc>
          <w:tcPr>
            <w:tcW w:w="10053" w:type="dxa"/>
            <w:gridSpan w:val="8"/>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bCs/>
                <w:color w:val="auto"/>
                <w:sz w:val="21"/>
                <w:szCs w:val="21"/>
                <w:lang w:val="en-US" w:eastAsia="zh-CN"/>
              </w:rPr>
            </w:pPr>
            <w:r>
              <w:rPr>
                <w:rFonts w:hint="eastAsia" w:ascii="宋体" w:hAnsi="宋体" w:cs="宋体"/>
                <w:b/>
                <w:bCs w:val="0"/>
                <w:color w:val="auto"/>
                <w:sz w:val="21"/>
                <w:szCs w:val="21"/>
                <w:lang w:val="en-US" w:eastAsia="zh-CN"/>
              </w:rPr>
              <w:t>合计总金额</w:t>
            </w:r>
            <w:r>
              <w:rPr>
                <w:rFonts w:hint="eastAsia" w:ascii="宋体" w:hAnsi="宋体" w:cs="宋体"/>
                <w:b/>
                <w:bCs w:val="0"/>
                <w:color w:val="auto"/>
                <w:sz w:val="21"/>
                <w:szCs w:val="21"/>
                <w:lang w:eastAsia="zh-CN"/>
              </w:rPr>
              <w:t>大写：</w:t>
            </w:r>
            <w:r>
              <w:rPr>
                <w:rFonts w:hint="eastAsia" w:ascii="宋体" w:hAnsi="宋体" w:cs="宋体"/>
                <w:b/>
                <w:bCs w:val="0"/>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val="en-US" w:eastAsia="zh-CN"/>
              </w:rPr>
              <w:t xml:space="preserve">   </w:t>
            </w:r>
          </w:p>
        </w:tc>
      </w:tr>
    </w:tbl>
    <w:p>
      <w:pPr>
        <w:pStyle w:val="2"/>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备注：</w:t>
      </w:r>
    </w:p>
    <w:p>
      <w:pPr>
        <w:pStyle w:val="2"/>
        <w:spacing w:line="360" w:lineRule="auto"/>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rPr>
        <w:t>壹、贰、叁、肆、伍、陆、柒、捌、玖、拾 、佰、仟、万</w:t>
      </w:r>
    </w:p>
    <w:p>
      <w:pPr>
        <w:widowControl/>
        <w:spacing w:line="360" w:lineRule="auto"/>
        <w:jc w:val="left"/>
        <w:rPr>
          <w:rFonts w:hint="eastAsia" w:ascii="宋体" w:hAnsi="宋体"/>
          <w:b/>
          <w:bCs/>
          <w:sz w:val="24"/>
        </w:rPr>
      </w:pPr>
      <w:r>
        <w:rPr>
          <w:rFonts w:hint="eastAsia" w:ascii="宋体" w:hAnsi="宋体"/>
          <w:b/>
          <w:bCs/>
          <w:sz w:val="24"/>
          <w:lang w:val="en-US" w:eastAsia="zh-CN"/>
        </w:rPr>
        <w:t>2.</w:t>
      </w:r>
      <w:r>
        <w:rPr>
          <w:rFonts w:hint="eastAsia" w:ascii="宋体" w:hAnsi="宋体"/>
          <w:b/>
          <w:bCs/>
          <w:sz w:val="24"/>
        </w:rPr>
        <w:t>附加说明：</w:t>
      </w:r>
    </w:p>
    <w:p>
      <w:pPr>
        <w:widowControl/>
        <w:spacing w:line="360" w:lineRule="auto"/>
        <w:jc w:val="left"/>
        <w:rPr>
          <w:rFonts w:hint="eastAsia" w:ascii="宋体" w:hAnsi="宋体" w:cs="宋体"/>
          <w:color w:val="auto"/>
          <w:sz w:val="24"/>
          <w:szCs w:val="24"/>
          <w:lang w:val="en-US" w:eastAsia="zh-CN"/>
        </w:rPr>
      </w:pPr>
      <w:r>
        <w:rPr>
          <w:rFonts w:hint="eastAsia"/>
          <w:b w:val="0"/>
          <w:bCs w:val="0"/>
          <w:color w:val="auto"/>
          <w:sz w:val="24"/>
          <w:szCs w:val="24"/>
          <w:lang w:val="en-US" w:eastAsia="zh-CN"/>
        </w:rPr>
        <w:t>2.1打印机故障维修响应时间：接院方通知</w:t>
      </w:r>
      <w:r>
        <w:rPr>
          <w:rFonts w:hint="eastAsia"/>
          <w:b w:val="0"/>
          <w:bCs w:val="0"/>
          <w:color w:val="auto"/>
          <w:sz w:val="24"/>
          <w:szCs w:val="24"/>
          <w:u w:val="single"/>
          <w:lang w:val="en-US" w:eastAsia="zh-CN"/>
        </w:rPr>
        <w:t>　　　　</w:t>
      </w:r>
      <w:r>
        <w:rPr>
          <w:rFonts w:hint="eastAsia" w:ascii="宋体" w:hAnsi="宋体" w:cs="宋体"/>
          <w:color w:val="auto"/>
          <w:sz w:val="24"/>
          <w:szCs w:val="24"/>
          <w:lang w:val="en-US" w:eastAsia="zh-CN"/>
        </w:rPr>
        <w:t>小时内响应，</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小时内维修完成，如不能修复，卖方保证提供(□同型号□同类型)备用机于买方故障报告小时内交付买方免费使用。</w:t>
      </w:r>
    </w:p>
    <w:p>
      <w:pPr>
        <w:widowControl/>
        <w:spacing w:line="360" w:lineRule="auto"/>
        <w:jc w:val="left"/>
        <w:rPr>
          <w:rFonts w:hint="default" w:ascii="宋体" w:hAnsi="宋体"/>
          <w:sz w:val="24"/>
          <w:lang w:val="en-US" w:eastAsia="zh-CN"/>
        </w:rPr>
      </w:pPr>
      <w:r>
        <w:rPr>
          <w:rFonts w:hint="eastAsia" w:ascii="宋体" w:hAnsi="宋体"/>
          <w:sz w:val="24"/>
          <w:lang w:val="en-US" w:eastAsia="zh-CN"/>
        </w:rPr>
        <w:t>2.2其他承诺：</w:t>
      </w: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25"/>
        <w:tabs>
          <w:tab w:val="left" w:pos="1050"/>
          <w:tab w:val="center" w:pos="4535"/>
        </w:tabs>
        <w:spacing w:line="360" w:lineRule="auto"/>
        <w:jc w:val="center"/>
        <w:outlineLvl w:val="0"/>
        <w:rPr>
          <w:b/>
          <w:bCs/>
          <w:color w:val="auto"/>
          <w:sz w:val="32"/>
          <w:szCs w:val="32"/>
        </w:rPr>
      </w:pPr>
      <w:bookmarkStart w:id="218" w:name="_Toc11748"/>
      <w:r>
        <w:rPr>
          <w:rFonts w:hint="eastAsia"/>
          <w:b/>
          <w:bCs/>
          <w:color w:val="auto"/>
          <w:sz w:val="32"/>
          <w:szCs w:val="32"/>
        </w:rPr>
        <w:t>法定代表人资格证明书</w:t>
      </w:r>
      <w:bookmarkEnd w:id="212"/>
      <w:bookmarkEnd w:id="213"/>
      <w:bookmarkEnd w:id="214"/>
      <w:bookmarkEnd w:id="215"/>
      <w:bookmarkEnd w:id="218"/>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b/>
          <w:bCs/>
          <w:color w:val="auto"/>
          <w:sz w:val="32"/>
          <w:szCs w:val="32"/>
        </w:rPr>
      </w:pPr>
      <w:bookmarkStart w:id="219" w:name="_Toc23685"/>
      <w:bookmarkStart w:id="220" w:name="_Toc11289"/>
      <w:bookmarkStart w:id="221" w:name="_Toc14591"/>
      <w:bookmarkStart w:id="222" w:name="_Toc14020"/>
      <w:bookmarkStart w:id="223" w:name="_Toc22175"/>
      <w:bookmarkStart w:id="224" w:name="_Toc18443"/>
      <w:bookmarkStart w:id="225" w:name="_Toc14853"/>
      <w:bookmarkStart w:id="226" w:name="_Toc3758"/>
      <w:bookmarkStart w:id="227" w:name="_Toc28957"/>
      <w:bookmarkStart w:id="228" w:name="_Toc7276"/>
      <w:bookmarkStart w:id="229" w:name="_Toc15050"/>
      <w:bookmarkStart w:id="230" w:name="_Toc3241"/>
      <w:r>
        <w:rPr>
          <w:rFonts w:hint="eastAsia"/>
          <w:b/>
          <w:bCs/>
          <w:color w:val="auto"/>
          <w:sz w:val="32"/>
          <w:szCs w:val="32"/>
        </w:rPr>
        <w:t>法定代表人授权委托书</w:t>
      </w:r>
      <w:bookmarkEnd w:id="219"/>
      <w:bookmarkEnd w:id="220"/>
      <w:bookmarkEnd w:id="221"/>
      <w:bookmarkEnd w:id="222"/>
      <w:bookmarkEnd w:id="223"/>
      <w:bookmarkEnd w:id="224"/>
      <w:bookmarkEnd w:id="225"/>
      <w:bookmarkEnd w:id="226"/>
      <w:bookmarkEnd w:id="227"/>
      <w:bookmarkEnd w:id="228"/>
      <w:bookmarkEnd w:id="229"/>
      <w:bookmarkEnd w:id="230"/>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5"/>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1" w:name="_Toc31757"/>
      <w:bookmarkStart w:id="232" w:name="_Toc32281"/>
      <w:bookmarkStart w:id="233" w:name="_Toc10212"/>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6"/>
      <w:bookmarkEnd w:id="217"/>
      <w:bookmarkEnd w:id="231"/>
      <w:bookmarkEnd w:id="232"/>
      <w:bookmarkEnd w:id="233"/>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34" w:name="_Toc3109"/>
      <w:bookmarkStart w:id="235" w:name="_Toc6536"/>
      <w:bookmarkStart w:id="236" w:name="_Toc16613"/>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34"/>
      <w:bookmarkEnd w:id="235"/>
      <w:bookmarkEnd w:id="236"/>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7" w:name="_Toc24877"/>
      <w:bookmarkStart w:id="238" w:name="_Toc21435"/>
      <w:bookmarkStart w:id="239" w:name="_Toc16505"/>
      <w:bookmarkStart w:id="240" w:name="_Toc27180"/>
      <w:bookmarkStart w:id="241" w:name="_Toc23732"/>
      <w:bookmarkStart w:id="242" w:name="_Toc40346226"/>
      <w:bookmarkStart w:id="243" w:name="_Toc40776119"/>
      <w:bookmarkStart w:id="244" w:name="_Toc9749"/>
      <w:bookmarkStart w:id="245" w:name="_Toc20164"/>
      <w:bookmarkStart w:id="246" w:name="_Toc17929"/>
      <w:bookmarkStart w:id="247" w:name="_Toc30558"/>
      <w:bookmarkStart w:id="248" w:name="_Toc40346385"/>
    </w:p>
    <w:bookmarkEnd w:id="237"/>
    <w:bookmarkEnd w:id="238"/>
    <w:bookmarkEnd w:id="239"/>
    <w:bookmarkEnd w:id="240"/>
    <w:bookmarkEnd w:id="241"/>
    <w:bookmarkEnd w:id="242"/>
    <w:bookmarkEnd w:id="243"/>
    <w:bookmarkEnd w:id="244"/>
    <w:bookmarkEnd w:id="245"/>
    <w:bookmarkEnd w:id="246"/>
    <w:bookmarkEnd w:id="247"/>
    <w:bookmarkEnd w:id="248"/>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9" w:name="_Toc16816"/>
      <w:bookmarkStart w:id="250" w:name="_Toc25012"/>
      <w:bookmarkStart w:id="251" w:name="_Toc14093"/>
      <w:bookmarkStart w:id="252" w:name="_Toc24705"/>
      <w:bookmarkStart w:id="253" w:name="_Toc2196"/>
      <w:bookmarkStart w:id="254" w:name="_Toc19803"/>
      <w:bookmarkStart w:id="255" w:name="_Toc17932"/>
      <w:bookmarkStart w:id="256" w:name="_Toc5396"/>
      <w:bookmarkStart w:id="257" w:name="_Toc14321"/>
      <w:bookmarkStart w:id="258" w:name="_Toc31988"/>
      <w:bookmarkStart w:id="259" w:name="_Toc1521"/>
      <w:bookmarkStart w:id="260" w:name="_Toc27834"/>
      <w:r>
        <w:rPr>
          <w:rFonts w:hint="eastAsia"/>
          <w:b/>
          <w:bCs/>
          <w:color w:val="auto"/>
          <w:sz w:val="32"/>
          <w:szCs w:val="32"/>
        </w:rPr>
        <w:t>公平竞争承诺书</w:t>
      </w:r>
      <w:bookmarkEnd w:id="249"/>
      <w:bookmarkEnd w:id="250"/>
      <w:bookmarkEnd w:id="251"/>
      <w:bookmarkEnd w:id="252"/>
      <w:bookmarkEnd w:id="253"/>
      <w:bookmarkEnd w:id="254"/>
      <w:bookmarkEnd w:id="255"/>
      <w:bookmarkEnd w:id="256"/>
      <w:bookmarkEnd w:id="257"/>
      <w:bookmarkEnd w:id="258"/>
      <w:bookmarkEnd w:id="259"/>
      <w:bookmarkEnd w:id="260"/>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1" w:name="_Toc9813"/>
      <w:bookmarkStart w:id="262" w:name="_Toc4538"/>
      <w:bookmarkStart w:id="263" w:name="_Toc5237"/>
      <w:bookmarkStart w:id="264" w:name="_Toc9085"/>
      <w:bookmarkStart w:id="265" w:name="_Toc12567"/>
      <w:bookmarkStart w:id="266" w:name="_Toc9308"/>
      <w:bookmarkStart w:id="267" w:name="_Toc22349"/>
      <w:bookmarkStart w:id="268" w:name="_Toc6773"/>
      <w:bookmarkStart w:id="269" w:name="_Toc29986"/>
      <w:bookmarkStart w:id="270" w:name="_Toc12986"/>
      <w:bookmarkStart w:id="271" w:name="_Toc20949"/>
      <w:bookmarkStart w:id="272" w:name="_Toc9333"/>
      <w:r>
        <w:rPr>
          <w:rFonts w:hint="eastAsia"/>
          <w:b/>
          <w:bCs/>
          <w:color w:val="auto"/>
          <w:sz w:val="32"/>
          <w:szCs w:val="32"/>
        </w:rPr>
        <w:t>关于资格和响应文件的声明函</w:t>
      </w:r>
      <w:bookmarkEnd w:id="261"/>
      <w:bookmarkEnd w:id="262"/>
      <w:bookmarkEnd w:id="263"/>
      <w:bookmarkEnd w:id="264"/>
      <w:bookmarkEnd w:id="265"/>
      <w:bookmarkEnd w:id="266"/>
      <w:bookmarkEnd w:id="267"/>
      <w:bookmarkEnd w:id="268"/>
      <w:bookmarkEnd w:id="269"/>
      <w:bookmarkEnd w:id="270"/>
      <w:bookmarkEnd w:id="271"/>
      <w:bookmarkEnd w:id="272"/>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根据评分标准提供</w:t>
      </w:r>
      <w:r>
        <w:rPr>
          <w:rFonts w:hint="eastAsia" w:ascii="宋体" w:hAnsi="宋体" w:cs="宋体"/>
          <w:b/>
          <w:bCs/>
          <w:color w:val="auto"/>
          <w:sz w:val="24"/>
          <w:szCs w:val="24"/>
          <w:highlight w:val="none"/>
          <w:lang w:eastAsia="zh-CN"/>
        </w:rPr>
        <w:t>对应</w:t>
      </w:r>
      <w:r>
        <w:rPr>
          <w:rFonts w:hint="eastAsia" w:ascii="宋体" w:hAnsi="宋体" w:eastAsia="宋体" w:cs="宋体"/>
          <w:b/>
          <w:bCs/>
          <w:color w:val="auto"/>
          <w:sz w:val="24"/>
          <w:szCs w:val="24"/>
          <w:highlight w:val="none"/>
          <w:lang w:eastAsia="zh-CN"/>
        </w:rPr>
        <w:t>佐证材料</w:t>
      </w:r>
    </w:p>
    <w:p>
      <w:pPr>
        <w:pStyle w:val="2"/>
        <w:rPr>
          <w:rFonts w:hint="eastAsia" w:ascii="宋体" w:hAnsi="宋体" w:eastAsia="宋体" w:cs="宋体"/>
          <w:color w:val="auto"/>
          <w:sz w:val="24"/>
          <w:szCs w:val="24"/>
          <w:highlight w:val="yellow"/>
          <w:lang w:eastAsia="zh-CN"/>
        </w:rPr>
      </w:pPr>
    </w:p>
    <w:p>
      <w:pPr>
        <w:pStyle w:val="2"/>
        <w:spacing w:line="360" w:lineRule="auto"/>
        <w:rPr>
          <w:rFonts w:hint="eastAsia" w:ascii="宋体" w:hAnsi="宋体"/>
          <w:color w:val="auto"/>
          <w:sz w:val="24"/>
          <w:highlight w:val="yellow"/>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3"/>
        <w:jc w:val="center"/>
        <w:outlineLvl w:val="9"/>
        <w:rPr>
          <w:color w:val="auto"/>
        </w:rPr>
      </w:pPr>
    </w:p>
    <w:p>
      <w:pPr>
        <w:rPr>
          <w:color w:val="auto"/>
        </w:rPr>
      </w:pPr>
    </w:p>
    <w:p>
      <w:pPr>
        <w:pStyle w:val="3"/>
        <w:outlineLvl w:val="9"/>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3" w:name="_Toc17933"/>
      <w:bookmarkStart w:id="274" w:name="_Toc26773"/>
      <w:r>
        <w:rPr>
          <w:rFonts w:hint="eastAsia" w:ascii="宋体" w:hAnsi="宋体" w:eastAsia="宋体"/>
          <w:color w:val="auto"/>
          <w:sz w:val="40"/>
          <w:lang w:eastAsia="zh-CN"/>
        </w:rPr>
        <w:t>合同模板</w:t>
      </w:r>
      <w:bookmarkEnd w:id="273"/>
      <w:r>
        <w:rPr>
          <w:rFonts w:hint="eastAsia" w:ascii="宋体" w:hAnsi="宋体" w:eastAsia="宋体"/>
          <w:color w:val="auto"/>
          <w:sz w:val="40"/>
          <w:lang w:eastAsia="zh-CN"/>
        </w:rPr>
        <w:t>（报名成功后获得）</w:t>
      </w:r>
      <w:bookmarkEnd w:id="274"/>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2"/>
        <w:spacing w:line="288" w:lineRule="auto"/>
        <w:rPr>
          <w:rFonts w:ascii="宋体" w:hAnsi="宋体" w:cs="宋体"/>
          <w:color w:val="auto"/>
          <w:szCs w:val="21"/>
        </w:rPr>
      </w:pPr>
    </w:p>
    <w:p>
      <w:pPr>
        <w:rPr>
          <w:rFonts w:hAnsi="宋体" w:cs="宋体"/>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E04B5"/>
    <w:multiLevelType w:val="singleLevel"/>
    <w:tmpl w:val="A8EE04B5"/>
    <w:lvl w:ilvl="0" w:tentative="0">
      <w:start w:val="8"/>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5CAE089B"/>
    <w:multiLevelType w:val="singleLevel"/>
    <w:tmpl w:val="5CAE089B"/>
    <w:lvl w:ilvl="0" w:tentative="0">
      <w:start w:val="2"/>
      <w:numFmt w:val="chineseCounting"/>
      <w:suff w:val="space"/>
      <w:lvlText w:val="第%1部分"/>
      <w:lvlJc w:val="left"/>
      <w:rPr>
        <w:rFonts w:hint="eastAsia"/>
      </w:r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AE423C"/>
    <w:rsid w:val="02BE3A7E"/>
    <w:rsid w:val="031C04E2"/>
    <w:rsid w:val="034404CF"/>
    <w:rsid w:val="035A45AA"/>
    <w:rsid w:val="039B179B"/>
    <w:rsid w:val="04151569"/>
    <w:rsid w:val="048E4CB4"/>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C35A2"/>
    <w:rsid w:val="0C705246"/>
    <w:rsid w:val="0CAD27D4"/>
    <w:rsid w:val="0D1F6A7A"/>
    <w:rsid w:val="0E237B27"/>
    <w:rsid w:val="0E970697"/>
    <w:rsid w:val="0ED05230"/>
    <w:rsid w:val="0EE9378D"/>
    <w:rsid w:val="0F2B5904"/>
    <w:rsid w:val="10284A96"/>
    <w:rsid w:val="11B73ED3"/>
    <w:rsid w:val="12024958"/>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C74E69"/>
    <w:rsid w:val="1AF93CE3"/>
    <w:rsid w:val="1B977D90"/>
    <w:rsid w:val="1CAC7FE6"/>
    <w:rsid w:val="1D1E2032"/>
    <w:rsid w:val="1DE30DB3"/>
    <w:rsid w:val="1E4F22B0"/>
    <w:rsid w:val="1F187406"/>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715F5E"/>
    <w:rsid w:val="27D538F3"/>
    <w:rsid w:val="27E21FC8"/>
    <w:rsid w:val="28084236"/>
    <w:rsid w:val="282633A8"/>
    <w:rsid w:val="28716EFA"/>
    <w:rsid w:val="2886681A"/>
    <w:rsid w:val="28EF5E90"/>
    <w:rsid w:val="298D7034"/>
    <w:rsid w:val="2A241B69"/>
    <w:rsid w:val="2A8A0209"/>
    <w:rsid w:val="2B694EC9"/>
    <w:rsid w:val="2BD8709E"/>
    <w:rsid w:val="2BE11C14"/>
    <w:rsid w:val="2C1134D3"/>
    <w:rsid w:val="2C695F59"/>
    <w:rsid w:val="2D07550B"/>
    <w:rsid w:val="2DA7679B"/>
    <w:rsid w:val="2FB56247"/>
    <w:rsid w:val="2FD823C2"/>
    <w:rsid w:val="2FD82C2E"/>
    <w:rsid w:val="2FE14059"/>
    <w:rsid w:val="300F2D70"/>
    <w:rsid w:val="30120A8D"/>
    <w:rsid w:val="311010E0"/>
    <w:rsid w:val="31120C66"/>
    <w:rsid w:val="31EA386E"/>
    <w:rsid w:val="32C24615"/>
    <w:rsid w:val="336B3CCC"/>
    <w:rsid w:val="36917A9F"/>
    <w:rsid w:val="370B587C"/>
    <w:rsid w:val="377A2F71"/>
    <w:rsid w:val="380B2F5F"/>
    <w:rsid w:val="38622708"/>
    <w:rsid w:val="38E823FB"/>
    <w:rsid w:val="39395860"/>
    <w:rsid w:val="39D13924"/>
    <w:rsid w:val="39F00790"/>
    <w:rsid w:val="3C683C2C"/>
    <w:rsid w:val="3C943841"/>
    <w:rsid w:val="3CF94A44"/>
    <w:rsid w:val="3D6A0B18"/>
    <w:rsid w:val="3DBE51F4"/>
    <w:rsid w:val="3E5D51F2"/>
    <w:rsid w:val="3EBA1C45"/>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6D069DB"/>
    <w:rsid w:val="485129D4"/>
    <w:rsid w:val="48F44CB0"/>
    <w:rsid w:val="49040430"/>
    <w:rsid w:val="49054F84"/>
    <w:rsid w:val="49386EF2"/>
    <w:rsid w:val="4A3B6FBA"/>
    <w:rsid w:val="4A950DCF"/>
    <w:rsid w:val="4C603C95"/>
    <w:rsid w:val="4C981BA5"/>
    <w:rsid w:val="4CAF6F6C"/>
    <w:rsid w:val="4CED0E45"/>
    <w:rsid w:val="4D72553A"/>
    <w:rsid w:val="4DAC34B5"/>
    <w:rsid w:val="4DDF729F"/>
    <w:rsid w:val="4E011820"/>
    <w:rsid w:val="4E2D698F"/>
    <w:rsid w:val="4E4C452A"/>
    <w:rsid w:val="4E5E5E11"/>
    <w:rsid w:val="4E98699E"/>
    <w:rsid w:val="4ED23FAB"/>
    <w:rsid w:val="50C82D96"/>
    <w:rsid w:val="50FC2A30"/>
    <w:rsid w:val="51403B6E"/>
    <w:rsid w:val="514C42EA"/>
    <w:rsid w:val="51A73BDA"/>
    <w:rsid w:val="51C413B8"/>
    <w:rsid w:val="52726854"/>
    <w:rsid w:val="538E410D"/>
    <w:rsid w:val="53A776AF"/>
    <w:rsid w:val="55BF6A67"/>
    <w:rsid w:val="55D55D03"/>
    <w:rsid w:val="56187F25"/>
    <w:rsid w:val="5623033B"/>
    <w:rsid w:val="56553C8D"/>
    <w:rsid w:val="5658445F"/>
    <w:rsid w:val="568F6108"/>
    <w:rsid w:val="579161E1"/>
    <w:rsid w:val="584A1AA0"/>
    <w:rsid w:val="5851284C"/>
    <w:rsid w:val="58D76A1B"/>
    <w:rsid w:val="59287F31"/>
    <w:rsid w:val="5A3A4D0D"/>
    <w:rsid w:val="5A4B59E1"/>
    <w:rsid w:val="5A6E3589"/>
    <w:rsid w:val="5A9814EF"/>
    <w:rsid w:val="5B245060"/>
    <w:rsid w:val="5B6836FC"/>
    <w:rsid w:val="5C8E6CC1"/>
    <w:rsid w:val="5CD4150B"/>
    <w:rsid w:val="5CFC008B"/>
    <w:rsid w:val="5D453D32"/>
    <w:rsid w:val="5D6F1865"/>
    <w:rsid w:val="5D8E3A90"/>
    <w:rsid w:val="5DC65AD7"/>
    <w:rsid w:val="5DDA4E1C"/>
    <w:rsid w:val="5ED21E8E"/>
    <w:rsid w:val="5ED7519A"/>
    <w:rsid w:val="5EEE5C79"/>
    <w:rsid w:val="5F0B7BE8"/>
    <w:rsid w:val="5F7243E2"/>
    <w:rsid w:val="60423FDD"/>
    <w:rsid w:val="60636240"/>
    <w:rsid w:val="61306A6A"/>
    <w:rsid w:val="614B10EF"/>
    <w:rsid w:val="62FC7815"/>
    <w:rsid w:val="635941B3"/>
    <w:rsid w:val="63D27641"/>
    <w:rsid w:val="641E2A62"/>
    <w:rsid w:val="64C02086"/>
    <w:rsid w:val="65877B96"/>
    <w:rsid w:val="658925AF"/>
    <w:rsid w:val="66845C96"/>
    <w:rsid w:val="673451CA"/>
    <w:rsid w:val="6772399F"/>
    <w:rsid w:val="6780006F"/>
    <w:rsid w:val="684D2239"/>
    <w:rsid w:val="689C77C3"/>
    <w:rsid w:val="68B72DD1"/>
    <w:rsid w:val="6A274C05"/>
    <w:rsid w:val="6B1B462D"/>
    <w:rsid w:val="6D971A88"/>
    <w:rsid w:val="6DA25BA6"/>
    <w:rsid w:val="6E562EDE"/>
    <w:rsid w:val="6EB74476"/>
    <w:rsid w:val="6F32730A"/>
    <w:rsid w:val="705C256B"/>
    <w:rsid w:val="7139323E"/>
    <w:rsid w:val="71F6334C"/>
    <w:rsid w:val="72705D84"/>
    <w:rsid w:val="73093017"/>
    <w:rsid w:val="743D52CE"/>
    <w:rsid w:val="751F6B51"/>
    <w:rsid w:val="752A0A70"/>
    <w:rsid w:val="752E6281"/>
    <w:rsid w:val="754135B9"/>
    <w:rsid w:val="75524DAA"/>
    <w:rsid w:val="75656114"/>
    <w:rsid w:val="776963DA"/>
    <w:rsid w:val="783919C4"/>
    <w:rsid w:val="78D00495"/>
    <w:rsid w:val="78FA1F51"/>
    <w:rsid w:val="795067BF"/>
    <w:rsid w:val="79CB3169"/>
    <w:rsid w:val="79FA6E97"/>
    <w:rsid w:val="7A597865"/>
    <w:rsid w:val="7A6F193F"/>
    <w:rsid w:val="7B1665E7"/>
    <w:rsid w:val="7BB0043A"/>
    <w:rsid w:val="7C4A0BE1"/>
    <w:rsid w:val="7C66738C"/>
    <w:rsid w:val="7C6737CC"/>
    <w:rsid w:val="7CC01DE0"/>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21</Pages>
  <Words>5686</Words>
  <Characters>5992</Characters>
  <Lines>93</Lines>
  <Paragraphs>26</Paragraphs>
  <TotalTime>2</TotalTime>
  <ScaleCrop>false</ScaleCrop>
  <LinksUpToDate>false</LinksUpToDate>
  <CharactersWithSpaces>7074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2022-08-18T10:50:00Z</cp:lastPrinted>
  <dcterms:modified xsi:type="dcterms:W3CDTF">2022-08-25T07:40:21Z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47429C040DC449BB8D491E4A4BA5268A</vt:lpwstr>
  </property>
</Properties>
</file>