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2022年中秋节慰问品采购项目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项目编号：NYWYH20220035</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8</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2</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5</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18</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仿宋" w:hAnsi="仿宋" w:eastAsia="仿宋" w:cs="Helvetica"/>
          <w:color w:val="auto"/>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医院近期拟对2022年中秋节慰问品进行采购，现根据相关规定特此公告，欢迎符合条件的供应商参加。</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采购需求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color w:val="auto"/>
          <w:sz w:val="24"/>
          <w:szCs w:val="24"/>
          <w:highlight w:val="none"/>
          <w:lang w:eastAsia="zh-CN"/>
        </w:rPr>
        <w:t>NYWYH202200</w:t>
      </w:r>
      <w:r>
        <w:rPr>
          <w:rFonts w:hint="eastAsia" w:ascii="宋体" w:hAnsi="宋体" w:eastAsia="宋体" w:cs="宋体"/>
          <w:color w:val="auto"/>
          <w:sz w:val="24"/>
          <w:szCs w:val="24"/>
          <w:highlight w:val="none"/>
          <w:lang w:val="en-US" w:eastAsia="zh-CN"/>
        </w:rPr>
        <w:t>35</w:t>
      </w:r>
    </w:p>
    <w:p>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2.项目名称：</w:t>
      </w:r>
      <w:r>
        <w:rPr>
          <w:rFonts w:hint="eastAsia" w:ascii="宋体" w:hAnsi="宋体" w:eastAsia="宋体" w:cs="宋体"/>
          <w:color w:val="auto"/>
          <w:kern w:val="2"/>
          <w:sz w:val="24"/>
          <w:szCs w:val="24"/>
          <w:highlight w:val="none"/>
          <w:lang w:val="en-US" w:eastAsia="zh-CN" w:bidi="ar-SA"/>
        </w:rPr>
        <w:t>南方医科大学第五附属医院2022年中秋节慰问品采购项目</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szCs w:val="24"/>
        </w:rPr>
      </w:pPr>
      <w:r>
        <w:rPr>
          <w:rFonts w:hint="eastAsia" w:ascii="宋体" w:hAnsi="宋体" w:eastAsia="宋体" w:cs="宋体"/>
          <w:b/>
          <w:bCs/>
          <w:color w:val="auto"/>
          <w:sz w:val="24"/>
          <w:szCs w:val="24"/>
          <w:highlight w:val="none"/>
          <w:lang w:val="en-US" w:eastAsia="zh-CN"/>
        </w:rPr>
        <w:t>3.数量：</w:t>
      </w:r>
      <w:r>
        <w:rPr>
          <w:rFonts w:hint="eastAsia" w:ascii="宋体" w:hAnsi="宋体" w:cs="宋体"/>
          <w:sz w:val="24"/>
          <w:szCs w:val="24"/>
        </w:rPr>
        <w:t>约</w:t>
      </w:r>
      <w:r>
        <w:rPr>
          <w:rFonts w:hint="eastAsia" w:ascii="宋体" w:hAnsi="宋体" w:cs="宋体"/>
          <w:sz w:val="24"/>
          <w:szCs w:val="24"/>
          <w:lang w:val="en-US" w:eastAsia="zh-CN"/>
        </w:rPr>
        <w:t>1900</w:t>
      </w:r>
      <w:r>
        <w:rPr>
          <w:rFonts w:hint="eastAsia" w:ascii="宋体" w:hAnsi="宋体" w:cs="宋体"/>
          <w:sz w:val="24"/>
          <w:szCs w:val="24"/>
        </w:rPr>
        <w:t>份。</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szCs w:val="24"/>
        </w:rPr>
      </w:pPr>
      <w:r>
        <w:rPr>
          <w:rFonts w:hint="eastAsia" w:ascii="宋体" w:hAnsi="宋体" w:cs="宋体"/>
          <w:b/>
          <w:bCs/>
          <w:sz w:val="24"/>
          <w:szCs w:val="24"/>
          <w:lang w:val="en-US" w:eastAsia="zh-CN"/>
        </w:rPr>
        <w:t>4.</w:t>
      </w:r>
      <w:r>
        <w:rPr>
          <w:rFonts w:hint="eastAsia" w:ascii="宋体" w:hAnsi="宋体" w:cs="宋体"/>
          <w:b/>
          <w:bCs/>
          <w:sz w:val="24"/>
          <w:szCs w:val="24"/>
          <w:lang w:eastAsia="zh-CN"/>
        </w:rPr>
        <w:t>项目限价</w:t>
      </w:r>
      <w:r>
        <w:rPr>
          <w:rFonts w:hint="eastAsia" w:ascii="宋体" w:hAnsi="宋体" w:cs="宋体"/>
          <w:b/>
          <w:bCs/>
          <w:sz w:val="24"/>
          <w:szCs w:val="24"/>
        </w:rPr>
        <w:t>：</w:t>
      </w:r>
      <w:r>
        <w:rPr>
          <w:rFonts w:hint="eastAsia" w:ascii="宋体" w:hAnsi="宋体" w:cs="宋体"/>
          <w:sz w:val="24"/>
          <w:szCs w:val="24"/>
        </w:rPr>
        <w:t>每份采购</w:t>
      </w:r>
      <w:r>
        <w:rPr>
          <w:rFonts w:hint="eastAsia" w:ascii="宋体" w:hAnsi="宋体" w:cs="宋体"/>
          <w:sz w:val="24"/>
          <w:szCs w:val="24"/>
          <w:lang w:eastAsia="zh-CN"/>
        </w:rPr>
        <w:t>限价</w:t>
      </w:r>
      <w:r>
        <w:rPr>
          <w:rFonts w:hint="eastAsia" w:ascii="宋体" w:hAnsi="宋体" w:cs="宋体"/>
          <w:sz w:val="24"/>
          <w:szCs w:val="24"/>
        </w:rPr>
        <w:t>不超过200元，总预算不超过</w:t>
      </w:r>
      <w:r>
        <w:rPr>
          <w:rFonts w:hint="eastAsia" w:ascii="宋体" w:hAnsi="宋体" w:cs="宋体"/>
          <w:sz w:val="24"/>
          <w:szCs w:val="24"/>
          <w:lang w:val="en-US" w:eastAsia="zh-CN"/>
        </w:rPr>
        <w:t>380000</w:t>
      </w:r>
      <w:r>
        <w:rPr>
          <w:rFonts w:hint="eastAsia" w:ascii="宋体" w:hAnsi="宋体" w:cs="宋体"/>
          <w:sz w:val="24"/>
          <w:szCs w:val="24"/>
        </w:rPr>
        <w:t>元，资金为工会专项经费，</w:t>
      </w:r>
      <w:r>
        <w:rPr>
          <w:rFonts w:hint="eastAsia" w:ascii="宋体" w:hAnsi="宋体" w:cs="宋体"/>
          <w:sz w:val="24"/>
        </w:rPr>
        <w:t>以实</w:t>
      </w:r>
      <w:r>
        <w:rPr>
          <w:rFonts w:hint="eastAsia" w:ascii="宋体" w:hAnsi="宋体" w:cs="宋体"/>
          <w:sz w:val="24"/>
          <w:szCs w:val="24"/>
        </w:rPr>
        <w:t>际采购数量结算为准</w:t>
      </w:r>
      <w:r>
        <w:rPr>
          <w:rFonts w:hint="eastAsia" w:ascii="宋体" w:hAnsi="宋体" w:cs="宋体"/>
          <w:sz w:val="24"/>
          <w:lang w:eastAsia="zh-CN"/>
        </w:rPr>
        <w:t>。</w:t>
      </w:r>
    </w:p>
    <w:p>
      <w:pPr>
        <w:spacing w:line="400" w:lineRule="exact"/>
        <w:ind w:firstLine="482" w:firstLineChars="200"/>
        <w:contextualSpacing/>
        <w:rPr>
          <w:rFonts w:hint="eastAsia" w:eastAsia="宋体"/>
          <w:lang w:val="en-US"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采购</w:t>
      </w:r>
      <w:r>
        <w:rPr>
          <w:rFonts w:hint="eastAsia" w:ascii="宋体" w:hAnsi="宋体" w:cs="宋体"/>
          <w:b/>
          <w:color w:val="auto"/>
          <w:sz w:val="24"/>
          <w:szCs w:val="24"/>
          <w:lang w:eastAsia="zh-CN"/>
        </w:rPr>
        <w:t>内容：</w:t>
      </w:r>
      <w:r>
        <w:rPr>
          <w:rFonts w:ascii="宋体" w:hAnsi="宋体" w:cs="宋体"/>
          <w:sz w:val="24"/>
        </w:rPr>
        <w:t>中秋月饼</w:t>
      </w:r>
      <w:r>
        <w:rPr>
          <w:rFonts w:hint="eastAsia" w:ascii="宋体" w:hAnsi="宋体" w:cs="宋体"/>
          <w:sz w:val="24"/>
          <w:lang w:eastAsia="zh-CN"/>
        </w:rPr>
        <w:t>，具体内容</w:t>
      </w:r>
      <w:r>
        <w:rPr>
          <w:rFonts w:hint="eastAsia" w:ascii="宋体" w:hAnsi="宋体" w:cs="宋体"/>
          <w:b w:val="0"/>
          <w:bCs w:val="0"/>
          <w:color w:val="auto"/>
          <w:sz w:val="24"/>
          <w:szCs w:val="24"/>
        </w:rPr>
        <w:t>详见第二部分用户需求书</w:t>
      </w:r>
      <w:r>
        <w:rPr>
          <w:rFonts w:hint="eastAsia" w:ascii="宋体" w:hAnsi="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二、提供资料相关事项</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1.报名截止时间：</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月**日下午17点30分</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2.报名方式：</w:t>
      </w:r>
      <w:r>
        <w:rPr>
          <w:rFonts w:hint="eastAsia" w:ascii="宋体" w:hAnsi="宋体" w:eastAsia="宋体" w:cs="宋体"/>
          <w:color w:val="auto"/>
          <w:sz w:val="24"/>
          <w:szCs w:val="24"/>
          <w:highlight w:val="none"/>
          <w:lang w:val="en-US" w:eastAsia="zh-CN"/>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3.评审时间及地点：</w:t>
      </w:r>
      <w:r>
        <w:rPr>
          <w:rFonts w:hint="eastAsia" w:ascii="宋体" w:hAnsi="宋体" w:eastAsia="宋体" w:cs="宋体"/>
          <w:color w:val="auto"/>
          <w:sz w:val="24"/>
          <w:szCs w:val="24"/>
          <w:highlight w:val="none"/>
          <w:lang w:val="en-US" w:eastAsia="zh-CN"/>
        </w:rPr>
        <w:t>待定（根据医院工作安排通知符合要求报名</w:t>
      </w:r>
      <w:r>
        <w:rPr>
          <w:rFonts w:hint="eastAsia" w:ascii="宋体" w:hAnsi="宋体" w:cs="宋体"/>
          <w:color w:val="auto"/>
          <w:sz w:val="24"/>
          <w:szCs w:val="24"/>
          <w:highlight w:val="none"/>
          <w:lang w:val="en-US" w:eastAsia="zh-CN"/>
        </w:rPr>
        <w:t>公司</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i w:val="0"/>
          <w:iCs w:val="0"/>
          <w:caps w:val="0"/>
          <w:color w:val="FF0000"/>
          <w:spacing w:val="0"/>
          <w:sz w:val="24"/>
          <w:szCs w:val="24"/>
          <w:highlight w:val="none"/>
          <w:shd w:val="clear" w:color="auto" w:fill="FFFFFF"/>
          <w:vertAlign w:val="baseline"/>
        </w:rPr>
      </w:pPr>
      <w:r>
        <w:rPr>
          <w:rFonts w:hint="eastAsia" w:ascii="宋体" w:hAnsi="宋体" w:eastAsia="宋体" w:cs="宋体"/>
          <w:b/>
          <w:bCs/>
          <w:color w:val="auto"/>
          <w:sz w:val="24"/>
          <w:szCs w:val="24"/>
          <w:highlight w:val="none"/>
          <w:lang w:val="en-US" w:eastAsia="zh-CN"/>
        </w:rPr>
        <w:t>4.</w:t>
      </w:r>
      <w:r>
        <w:rPr>
          <w:rStyle w:val="19"/>
          <w:rFonts w:hint="eastAsia" w:ascii="宋体" w:hAnsi="宋体" w:eastAsia="宋体" w:cs="宋体"/>
          <w:b/>
          <w:bCs/>
          <w:i w:val="0"/>
          <w:iCs w:val="0"/>
          <w:caps w:val="0"/>
          <w:color w:val="FF0000"/>
          <w:spacing w:val="0"/>
          <w:sz w:val="24"/>
          <w:szCs w:val="24"/>
          <w:highlight w:val="none"/>
          <w:shd w:val="clear" w:color="auto" w:fill="FFFFFF"/>
          <w:vertAlign w:val="baseline"/>
        </w:rPr>
        <w:t>疫情防控要求：</w:t>
      </w:r>
      <w:r>
        <w:rPr>
          <w:rFonts w:hint="eastAsia" w:ascii="宋体" w:hAnsi="宋体" w:eastAsia="宋体" w:cs="宋体"/>
          <w:b/>
          <w:bCs/>
          <w:i w:val="0"/>
          <w:iCs w:val="0"/>
          <w:caps w:val="0"/>
          <w:color w:val="FF0000"/>
          <w:spacing w:val="0"/>
          <w:sz w:val="24"/>
          <w:szCs w:val="24"/>
          <w:highlight w:val="none"/>
          <w:shd w:val="clear" w:color="auto" w:fill="FFFFFF"/>
          <w:vertAlign w:val="baseline"/>
        </w:rPr>
        <w:t>参加评审会议供应商必须无流行病学史，需提供健康码绿码、行程码绿码、72小时核酸检测结果阴性。(如有最新防疫政策要求，按最新的政策要求执行）</w:t>
      </w: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5.温馨告知：</w:t>
      </w:r>
      <w:r>
        <w:rPr>
          <w:rFonts w:hint="eastAsia" w:ascii="宋体" w:hAnsi="宋体" w:eastAsia="宋体" w:cs="宋体"/>
          <w:b w:val="0"/>
          <w:bCs w:val="0"/>
          <w:color w:val="auto"/>
          <w:sz w:val="24"/>
          <w:szCs w:val="24"/>
          <w:highlight w:val="none"/>
          <w:lang w:val="en-US" w:eastAsia="zh-CN"/>
        </w:rPr>
        <w:t>报名资料除封面外，</w:t>
      </w:r>
      <w:r>
        <w:rPr>
          <w:rFonts w:hint="eastAsia" w:ascii="宋体" w:hAnsi="宋体"/>
          <w:b w:val="0"/>
          <w:bCs w:val="0"/>
          <w:sz w:val="24"/>
          <w:highlight w:val="none"/>
        </w:rPr>
        <w:t>其他材料须双面打印，打印出来的资料盖章后</w:t>
      </w:r>
      <w:r>
        <w:rPr>
          <w:rFonts w:hint="eastAsia" w:ascii="宋体" w:hAnsi="宋体"/>
          <w:b w:val="0"/>
          <w:bCs w:val="0"/>
          <w:sz w:val="24"/>
          <w:highlight w:val="none"/>
          <w:lang w:eastAsia="zh-CN"/>
        </w:rPr>
        <w:t>，</w:t>
      </w:r>
      <w:r>
        <w:rPr>
          <w:rFonts w:hint="eastAsia" w:ascii="宋体" w:hAnsi="宋体"/>
          <w:b w:val="0"/>
          <w:bCs w:val="0"/>
          <w:sz w:val="24"/>
          <w:highlight w:val="none"/>
        </w:rPr>
        <w:t>扫描成PDF版，各报名供应商应确保所提供报名资料一定要</w:t>
      </w:r>
      <w:r>
        <w:rPr>
          <w:rFonts w:hint="eastAsia" w:ascii="宋体" w:hAnsi="宋体"/>
          <w:b w:val="0"/>
          <w:bCs w:val="0"/>
          <w:color w:val="FF0000"/>
          <w:sz w:val="24"/>
          <w:highlight w:val="none"/>
        </w:rPr>
        <w:t>真实、</w:t>
      </w:r>
      <w:r>
        <w:rPr>
          <w:rFonts w:hint="eastAsia" w:ascii="宋体" w:hAnsi="宋体"/>
          <w:b w:val="0"/>
          <w:bCs w:val="0"/>
          <w:color w:val="FF0000"/>
          <w:sz w:val="24"/>
          <w:highlight w:val="none"/>
          <w:lang w:eastAsia="zh-CN"/>
        </w:rPr>
        <w:t>完整、</w:t>
      </w:r>
      <w:r>
        <w:rPr>
          <w:rFonts w:hint="eastAsia" w:ascii="宋体" w:hAnsi="宋体"/>
          <w:b w:val="0"/>
          <w:bCs w:val="0"/>
          <w:color w:val="FF0000"/>
          <w:sz w:val="24"/>
          <w:highlight w:val="none"/>
        </w:rPr>
        <w:t>清晰可辨</w:t>
      </w:r>
      <w:r>
        <w:rPr>
          <w:rFonts w:hint="eastAsia" w:ascii="宋体" w:hAnsi="宋体"/>
          <w:b w:val="0"/>
          <w:bCs w:val="0"/>
          <w:sz w:val="24"/>
          <w:highlight w:val="none"/>
        </w:rPr>
        <w:t>，报名资料模糊不清、难以</w:t>
      </w:r>
      <w:r>
        <w:rPr>
          <w:rFonts w:hint="eastAsia" w:ascii="宋体" w:hAnsi="宋体"/>
          <w:b w:val="0"/>
          <w:bCs w:val="0"/>
          <w:color w:val="FF0000"/>
          <w:sz w:val="24"/>
          <w:highlight w:val="none"/>
        </w:rPr>
        <w:t>辨认，</w:t>
      </w:r>
      <w:r>
        <w:rPr>
          <w:rFonts w:hint="eastAsia" w:ascii="宋体" w:hAnsi="宋体"/>
          <w:b w:val="0"/>
          <w:bCs w:val="0"/>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三、资质要求</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szCs w:val="24"/>
        </w:rPr>
      </w:pPr>
      <w:r>
        <w:rPr>
          <w:rFonts w:hint="eastAsia" w:ascii="宋体" w:hAnsi="宋体" w:cs="宋体"/>
          <w:sz w:val="24"/>
          <w:szCs w:val="24"/>
        </w:rPr>
        <w:t>1.必须是中华人民共和国境内注册的独立法人，持有有效的企业法人营业执照；</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szCs w:val="24"/>
          <w:lang w:eastAsia="zh-CN"/>
        </w:rPr>
      </w:pPr>
      <w:r>
        <w:rPr>
          <w:rFonts w:hint="eastAsia" w:ascii="宋体" w:hAnsi="宋体" w:cs="宋体"/>
          <w:sz w:val="24"/>
          <w:szCs w:val="24"/>
        </w:rPr>
        <w:t>2.供应商须具有有效期内的食品经营许可证</w:t>
      </w:r>
      <w:r>
        <w:rPr>
          <w:rFonts w:hint="eastAsia" w:ascii="宋体" w:hAnsi="宋体" w:cs="宋体"/>
          <w:sz w:val="24"/>
          <w:szCs w:val="24"/>
          <w:lang w:eastAsia="zh-CN"/>
        </w:rPr>
        <w:t>明材料；</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eastAsia="宋体"/>
          <w:color w:val="auto"/>
          <w:sz w:val="24"/>
          <w:szCs w:val="24"/>
          <w:lang w:val="en-US" w:eastAsia="zh-CN"/>
        </w:rPr>
      </w:pPr>
      <w:r>
        <w:rPr>
          <w:rFonts w:hint="eastAsia" w:ascii="宋体" w:hAnsi="宋体" w:eastAsia="宋体" w:cs="宋体"/>
          <w:b w:val="0"/>
          <w:bCs w:val="0"/>
          <w:color w:val="auto"/>
          <w:sz w:val="24"/>
          <w:szCs w:val="24"/>
          <w:highlight w:val="none"/>
          <w:lang w:val="zh-CN" w:eastAsia="zh-CN"/>
        </w:rPr>
        <w:t>3.在近三年的商业活动中无违法、违规、违纪、违约行为</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b w:val="0"/>
          <w:bCs w:val="0"/>
          <w:color w:val="auto"/>
          <w:sz w:val="24"/>
          <w:szCs w:val="24"/>
          <w:highlight w:val="yellow"/>
          <w:lang w:val="zh-CN" w:eastAsia="zh-CN"/>
        </w:rPr>
      </w:pPr>
      <w:r>
        <w:rPr>
          <w:rFonts w:hint="eastAsia" w:ascii="宋体" w:hAnsi="宋体" w:cs="宋体"/>
          <w:sz w:val="24"/>
          <w:szCs w:val="24"/>
        </w:rPr>
        <w:t>4.本项目不接受联合体报名，不允许分包、转包。</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四、联系方式</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1.联系人：</w:t>
      </w:r>
      <w:r>
        <w:rPr>
          <w:rFonts w:hint="eastAsia" w:ascii="宋体" w:hAnsi="宋体" w:eastAsia="宋体" w:cs="宋体"/>
          <w:b w:val="0"/>
          <w:bCs w:val="0"/>
          <w:color w:val="auto"/>
          <w:sz w:val="24"/>
          <w:szCs w:val="24"/>
          <w:highlight w:val="none"/>
          <w:lang w:val="zh-CN" w:eastAsia="zh-CN"/>
        </w:rPr>
        <w:t>冯老师</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2.联系电话：</w:t>
      </w:r>
      <w:r>
        <w:rPr>
          <w:rFonts w:hint="eastAsia" w:ascii="宋体" w:hAnsi="宋体" w:eastAsia="宋体" w:cs="宋体"/>
          <w:b w:val="0"/>
          <w:bCs w:val="0"/>
          <w:color w:val="auto"/>
          <w:sz w:val="24"/>
          <w:szCs w:val="24"/>
          <w:highlight w:val="none"/>
          <w:lang w:val="zh-CN" w:eastAsia="zh-CN"/>
        </w:rPr>
        <w:t>020-61780580  </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3.邮箱：</w:t>
      </w:r>
      <w:r>
        <w:rPr>
          <w:rFonts w:hint="eastAsia" w:ascii="宋体" w:hAnsi="宋体" w:eastAsia="宋体" w:cs="宋体"/>
          <w:b w:val="0"/>
          <w:bCs w:val="0"/>
          <w:color w:val="auto"/>
          <w:sz w:val="24"/>
          <w:szCs w:val="24"/>
          <w:highlight w:val="none"/>
          <w:lang w:val="zh-CN" w:eastAsia="zh-CN"/>
        </w:rPr>
        <w:t>nywycgb@126.com</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南方医科大学第五附属医院</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zh-CN" w:eastAsia="zh-CN"/>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年</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月</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日</w:t>
      </w:r>
    </w:p>
    <w:p>
      <w:pPr>
        <w:keepNext w:val="0"/>
        <w:keepLines w:val="0"/>
        <w:pageBreakBefore w:val="0"/>
        <w:kinsoku/>
        <w:overflowPunct/>
        <w:topLinePunct w:val="0"/>
        <w:bidi w:val="0"/>
        <w:adjustRightInd/>
        <w:snapToGrid/>
        <w:spacing w:line="380" w:lineRule="exact"/>
        <w:rPr>
          <w:rFonts w:ascii="Calibri" w:hAnsi="Calibri" w:eastAsia="宋体" w:cs="Times New Roman"/>
          <w:kern w:val="2"/>
          <w:sz w:val="21"/>
          <w:szCs w:val="22"/>
          <w:lang w:val="en-US" w:eastAsia="zh-CN" w:bidi="ar-SA"/>
        </w:rPr>
      </w:pPr>
    </w:p>
    <w:p>
      <w:pPr>
        <w:numPr>
          <w:ilvl w:val="0"/>
          <w:numId w:val="3"/>
        </w:numPr>
        <w:spacing w:line="360" w:lineRule="auto"/>
        <w:jc w:val="center"/>
        <w:outlineLvl w:val="0"/>
        <w:rPr>
          <w:rFonts w:hint="eastAsia" w:ascii="宋体" w:hAnsi="宋体"/>
          <w:b/>
          <w:bCs/>
          <w:color w:val="auto"/>
          <w:sz w:val="30"/>
          <w:szCs w:val="30"/>
        </w:rPr>
      </w:pPr>
      <w:bookmarkStart w:id="2" w:name="_Toc25861"/>
      <w:bookmarkStart w:id="3" w:name="_Toc27350"/>
      <w:bookmarkStart w:id="4" w:name="_Toc1526"/>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spacing w:line="360" w:lineRule="exact"/>
        <w:ind w:firstLine="482" w:firstLineChars="200"/>
        <w:contextualSpacing/>
        <w:rPr>
          <w:rFonts w:hint="eastAsia" w:ascii="宋体" w:hAnsi="宋体" w:cs="宋体"/>
          <w:b/>
          <w:sz w:val="24"/>
        </w:rPr>
      </w:pPr>
      <w:r>
        <w:rPr>
          <w:rFonts w:hint="eastAsia" w:ascii="宋体" w:hAnsi="宋体" w:cs="宋体"/>
          <w:b/>
          <w:sz w:val="24"/>
        </w:rPr>
        <w:t>一、项目内容</w:t>
      </w:r>
    </w:p>
    <w:p>
      <w:pPr>
        <w:spacing w:line="360" w:lineRule="exact"/>
        <w:ind w:firstLine="480" w:firstLineChars="200"/>
        <w:contextualSpacing/>
        <w:rPr>
          <w:rFonts w:hint="eastAsia" w:ascii="宋体" w:hAnsi="宋体" w:cs="宋体"/>
          <w:b/>
          <w:sz w:val="24"/>
        </w:rPr>
      </w:pPr>
      <w:r>
        <w:rPr>
          <w:rFonts w:hint="eastAsia" w:ascii="宋体" w:hAnsi="宋体" w:cs="宋体"/>
          <w:bCs/>
          <w:sz w:val="24"/>
        </w:rPr>
        <w:t>（一）采购内容：</w:t>
      </w:r>
      <w:r>
        <w:rPr>
          <w:rFonts w:hint="eastAsia" w:ascii="宋体" w:hAnsi="宋体" w:eastAsia="宋体" w:cs="宋体"/>
          <w:color w:val="auto"/>
          <w:kern w:val="2"/>
          <w:sz w:val="24"/>
          <w:szCs w:val="24"/>
          <w:highlight w:val="none"/>
          <w:lang w:val="en-US" w:eastAsia="zh-CN" w:bidi="ar-SA"/>
        </w:rPr>
        <w:t>南方医科大学第五附属医院</w:t>
      </w:r>
      <w:r>
        <w:rPr>
          <w:rFonts w:hint="eastAsia" w:ascii="宋体" w:hAnsi="宋体" w:cs="宋体"/>
          <w:bCs/>
          <w:sz w:val="24"/>
        </w:rPr>
        <w:t>2022年中秋节慰问品采购项目。</w:t>
      </w:r>
    </w:p>
    <w:p>
      <w:pPr>
        <w:spacing w:line="360" w:lineRule="exact"/>
        <w:ind w:firstLine="480" w:firstLineChars="200"/>
        <w:contextualSpacing/>
        <w:rPr>
          <w:rFonts w:hint="eastAsia" w:ascii="宋体" w:hAnsi="宋体" w:cs="宋体"/>
          <w:b/>
          <w:sz w:val="24"/>
        </w:rPr>
      </w:pPr>
      <w:r>
        <w:rPr>
          <w:rFonts w:hint="eastAsia" w:ascii="宋体" w:hAnsi="宋体" w:cs="宋体"/>
          <w:sz w:val="24"/>
        </w:rPr>
        <w:t>（二）采购数量：约1900份。</w:t>
      </w:r>
    </w:p>
    <w:p>
      <w:pPr>
        <w:spacing w:line="360" w:lineRule="exact"/>
        <w:ind w:firstLine="480" w:firstLineChars="200"/>
        <w:contextualSpacing/>
        <w:rPr>
          <w:rFonts w:hint="eastAsia" w:ascii="宋体" w:hAnsi="宋体" w:eastAsia="宋体" w:cs="宋体"/>
          <w:sz w:val="24"/>
        </w:rPr>
      </w:pPr>
      <w:r>
        <w:rPr>
          <w:rFonts w:hint="eastAsia" w:ascii="宋体" w:hAnsi="宋体" w:cs="宋体"/>
          <w:sz w:val="24"/>
        </w:rPr>
        <w:t>（三）采额金额：每份采购经费不超过</w:t>
      </w:r>
      <w:r>
        <w:rPr>
          <w:rFonts w:hint="eastAsia" w:ascii="宋体" w:hAnsi="宋体" w:eastAsia="宋体" w:cs="宋体"/>
          <w:sz w:val="24"/>
        </w:rPr>
        <w:t>200元，总预算不超过38万元，资金为工会专项经费，以实</w:t>
      </w:r>
      <w:r>
        <w:rPr>
          <w:rFonts w:hint="eastAsia" w:ascii="宋体" w:hAnsi="宋体" w:cs="宋体"/>
          <w:sz w:val="24"/>
        </w:rPr>
        <w:t>际</w:t>
      </w:r>
      <w:r>
        <w:rPr>
          <w:rFonts w:hint="eastAsia" w:ascii="宋体" w:hAnsi="宋体" w:eastAsia="宋体" w:cs="宋体"/>
          <w:sz w:val="24"/>
        </w:rPr>
        <w:t>采购数量结算为准。</w:t>
      </w:r>
    </w:p>
    <w:p>
      <w:pPr>
        <w:spacing w:line="360" w:lineRule="exact"/>
        <w:ind w:firstLine="480" w:firstLineChars="200"/>
        <w:contextualSpacing/>
        <w:rPr>
          <w:rFonts w:hint="eastAsia"/>
        </w:rPr>
      </w:pPr>
      <w:r>
        <w:rPr>
          <w:rFonts w:hint="eastAsia" w:ascii="宋体" w:hAnsi="宋体" w:cs="宋体"/>
          <w:sz w:val="24"/>
        </w:rPr>
        <w:t>（</w:t>
      </w:r>
      <w:r>
        <w:rPr>
          <w:rFonts w:hint="eastAsia" w:ascii="宋体" w:hAnsi="宋体" w:cs="宋体"/>
          <w:sz w:val="24"/>
          <w:lang w:eastAsia="zh-CN"/>
        </w:rPr>
        <w:t>四</w:t>
      </w:r>
      <w:r>
        <w:rPr>
          <w:rFonts w:hint="eastAsia" w:ascii="宋体" w:hAnsi="宋体" w:cs="宋体"/>
          <w:sz w:val="24"/>
        </w:rPr>
        <w:t>）报价要求：报价包含但不限于慰问品采购、包装、运输、配送、发放等全过程费用的含税价。</w:t>
      </w:r>
    </w:p>
    <w:p>
      <w:pPr>
        <w:spacing w:line="360" w:lineRule="exact"/>
        <w:ind w:firstLine="482" w:firstLineChars="200"/>
        <w:contextualSpacing/>
        <w:rPr>
          <w:rFonts w:hint="eastAsia"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bCs/>
          <w:sz w:val="24"/>
          <w:lang w:eastAsia="zh-CN"/>
        </w:rPr>
        <w:t>产品</w:t>
      </w:r>
      <w:r>
        <w:rPr>
          <w:rFonts w:hint="eastAsia" w:ascii="宋体" w:hAnsi="宋体" w:eastAsia="宋体" w:cs="宋体"/>
          <w:b/>
          <w:bCs/>
          <w:sz w:val="24"/>
        </w:rPr>
        <w:t>要求</w:t>
      </w:r>
    </w:p>
    <w:p>
      <w:pPr>
        <w:widowControl/>
        <w:tabs>
          <w:tab w:val="left" w:pos="1080"/>
        </w:tabs>
        <w:spacing w:line="400" w:lineRule="exact"/>
        <w:ind w:firstLine="480" w:firstLineChars="200"/>
        <w:jc w:val="left"/>
        <w:rPr>
          <w:rFonts w:hint="eastAsia" w:ascii="宋体" w:hAnsi="宋体" w:cs="宋体"/>
          <w:sz w:val="24"/>
          <w:highlight w:val="none"/>
        </w:rPr>
      </w:pPr>
      <w:r>
        <w:rPr>
          <w:rFonts w:ascii="宋体" w:hAnsi="宋体" w:cs="宋体"/>
          <w:sz w:val="24"/>
        </w:rPr>
        <w:t>中秋月饼：</w:t>
      </w:r>
      <w:r>
        <w:rPr>
          <w:rFonts w:hint="eastAsia" w:ascii="宋体" w:hAnsi="宋体" w:cs="宋体"/>
          <w:sz w:val="24"/>
        </w:rPr>
        <w:t>每份两盒，</w:t>
      </w:r>
      <w:r>
        <w:rPr>
          <w:rFonts w:ascii="宋体" w:hAnsi="宋体" w:cs="宋体"/>
          <w:sz w:val="24"/>
        </w:rPr>
        <w:t>符合国家相关食品安全要求，每盒内含4个或以上独立密封包装的月饼</w:t>
      </w:r>
      <w:r>
        <w:rPr>
          <w:rFonts w:hint="eastAsia" w:ascii="宋体" w:hAnsi="宋体" w:cs="宋体"/>
          <w:sz w:val="24"/>
        </w:rPr>
        <w:t>，</w:t>
      </w:r>
      <w:r>
        <w:rPr>
          <w:rFonts w:hint="eastAsia" w:ascii="宋体" w:hAnsi="宋体" w:cs="宋体"/>
          <w:sz w:val="24"/>
          <w:highlight w:val="none"/>
        </w:rPr>
        <w:t>单只净重不少于80克。</w:t>
      </w:r>
    </w:p>
    <w:p>
      <w:pPr>
        <w:spacing w:line="360" w:lineRule="exact"/>
        <w:ind w:firstLine="482" w:firstLineChars="200"/>
        <w:contextualSpacing/>
        <w:jc w:val="left"/>
        <w:rPr>
          <w:rFonts w:hint="eastAsia" w:ascii="宋体" w:hAnsi="宋体" w:cs="宋体"/>
          <w:b/>
          <w:sz w:val="24"/>
        </w:rPr>
      </w:pPr>
      <w:r>
        <w:rPr>
          <w:rFonts w:hint="eastAsia" w:ascii="宋体" w:hAnsi="宋体" w:cs="宋体"/>
          <w:b/>
          <w:sz w:val="24"/>
        </w:rPr>
        <w:t>▲备注：</w:t>
      </w:r>
    </w:p>
    <w:p>
      <w:pPr>
        <w:spacing w:line="360" w:lineRule="exact"/>
        <w:ind w:firstLine="723" w:firstLineChars="300"/>
        <w:contextualSpacing/>
        <w:jc w:val="left"/>
        <w:rPr>
          <w:rFonts w:hint="eastAsia" w:ascii="宋体" w:hAnsi="宋体" w:cs="宋体"/>
          <w:b/>
          <w:sz w:val="24"/>
        </w:rPr>
      </w:pPr>
      <w:r>
        <w:rPr>
          <w:rFonts w:hint="eastAsia" w:ascii="宋体" w:hAnsi="宋体" w:cs="宋体"/>
          <w:b/>
          <w:sz w:val="24"/>
        </w:rPr>
        <w:t>（1）评审现场需提供样品。</w:t>
      </w:r>
    </w:p>
    <w:p>
      <w:pPr>
        <w:spacing w:line="360" w:lineRule="exact"/>
        <w:ind w:firstLine="723" w:firstLineChars="300"/>
        <w:contextualSpacing/>
        <w:jc w:val="left"/>
        <w:rPr>
          <w:rFonts w:hint="eastAsia" w:ascii="宋体" w:hAnsi="宋体" w:cs="宋体"/>
          <w:b/>
          <w:sz w:val="24"/>
        </w:rPr>
      </w:pPr>
      <w:r>
        <w:rPr>
          <w:rFonts w:hint="eastAsia" w:ascii="宋体" w:hAnsi="宋体" w:cs="宋体"/>
          <w:b/>
          <w:sz w:val="24"/>
        </w:rPr>
        <w:t>（2）每盒月饼需礼品包装并配有礼品袋，礼品袋内放一份中秋节贺卡。</w:t>
      </w:r>
    </w:p>
    <w:p>
      <w:pPr>
        <w:spacing w:line="400" w:lineRule="exact"/>
        <w:ind w:firstLine="482" w:firstLineChars="200"/>
        <w:contextualSpacing/>
        <w:rPr>
          <w:rFonts w:hint="eastAsia" w:ascii="宋体" w:hAnsi="宋体" w:eastAsia="宋体" w:cs="宋体"/>
          <w:b/>
          <w:sz w:val="24"/>
          <w:lang w:eastAsia="zh-CN"/>
        </w:rPr>
      </w:pPr>
      <w:r>
        <w:rPr>
          <w:rFonts w:hint="eastAsia" w:ascii="宋体" w:hAnsi="宋体" w:cs="宋体"/>
          <w:b/>
          <w:sz w:val="24"/>
          <w:lang w:eastAsia="zh-CN"/>
        </w:rPr>
        <w:t>三</w:t>
      </w:r>
      <w:r>
        <w:rPr>
          <w:rFonts w:hint="eastAsia" w:ascii="宋体" w:hAnsi="宋体" w:cs="宋体"/>
          <w:b/>
          <w:sz w:val="24"/>
        </w:rPr>
        <w:t>、保质期、质量、包装</w:t>
      </w:r>
      <w:r>
        <w:rPr>
          <w:rFonts w:hint="eastAsia" w:ascii="宋体" w:hAnsi="宋体" w:cs="宋体"/>
          <w:b/>
          <w:sz w:val="24"/>
          <w:lang w:eastAsia="zh-CN"/>
        </w:rPr>
        <w:t>要求</w:t>
      </w:r>
    </w:p>
    <w:p>
      <w:pPr>
        <w:spacing w:line="400" w:lineRule="exact"/>
        <w:ind w:firstLine="480" w:firstLineChars="200"/>
        <w:contextualSpacing/>
        <w:rPr>
          <w:rFonts w:hint="eastAsia" w:ascii="宋体" w:hAnsi="宋体" w:cs="宋体"/>
          <w:b/>
          <w:sz w:val="24"/>
        </w:rPr>
      </w:pPr>
      <w:r>
        <w:rPr>
          <w:rFonts w:hint="eastAsia" w:ascii="宋体" w:hAnsi="宋体" w:cs="宋体"/>
          <w:sz w:val="24"/>
        </w:rPr>
        <w:t>（一）保质期：月饼供货时的剩余保质期必须大于标注有效期的三分之二。</w:t>
      </w:r>
    </w:p>
    <w:p>
      <w:pPr>
        <w:spacing w:line="400" w:lineRule="exact"/>
        <w:ind w:firstLine="480" w:firstLineChars="200"/>
        <w:contextualSpacing/>
        <w:rPr>
          <w:rFonts w:hint="eastAsia" w:ascii="宋体" w:hAnsi="宋体" w:cs="宋体"/>
          <w:sz w:val="24"/>
        </w:rPr>
      </w:pPr>
      <w:r>
        <w:rPr>
          <w:rFonts w:hint="eastAsia" w:ascii="宋体" w:hAnsi="宋体" w:cs="宋体"/>
          <w:sz w:val="24"/>
        </w:rPr>
        <w:t>（二）质量：供货商必须严格遵守国家相关法律法规，一经发现以下不符合行业标准产品，除全部退货外，将视情况取消供应商的供货资格（终止合同），同时扣除货款总价的20%作为违约金，供应商承担由此造成采购方的全部经济损失和法律责任：</w:t>
      </w:r>
    </w:p>
    <w:p>
      <w:pPr>
        <w:spacing w:line="400" w:lineRule="exact"/>
        <w:ind w:firstLine="480" w:firstLineChars="200"/>
        <w:contextualSpacing/>
        <w:rPr>
          <w:rFonts w:hint="eastAsia" w:ascii="宋体" w:hAnsi="宋体" w:cs="宋体"/>
          <w:sz w:val="24"/>
        </w:rPr>
      </w:pPr>
      <w:r>
        <w:rPr>
          <w:rFonts w:hint="eastAsia" w:ascii="宋体" w:hAnsi="宋体" w:cs="宋体"/>
          <w:sz w:val="24"/>
        </w:rPr>
        <w:t>1.腐败变质、霉变、生虫、污秽不洁、混有异物或其他感官性状异常，对人体健康有害的。</w:t>
      </w:r>
    </w:p>
    <w:p>
      <w:pPr>
        <w:spacing w:line="400" w:lineRule="exact"/>
        <w:ind w:firstLine="480" w:firstLineChars="200"/>
        <w:contextualSpacing/>
        <w:rPr>
          <w:rFonts w:hint="eastAsia" w:ascii="宋体" w:hAnsi="宋体" w:cs="宋体"/>
          <w:sz w:val="24"/>
        </w:rPr>
      </w:pPr>
      <w:r>
        <w:rPr>
          <w:rFonts w:hint="eastAsia" w:ascii="宋体" w:hAnsi="宋体" w:cs="宋体"/>
          <w:sz w:val="24"/>
        </w:rPr>
        <w:t>2.含有毒、有害物质或者被有害物质污染，对人体健康有害的。</w:t>
      </w:r>
    </w:p>
    <w:p>
      <w:pPr>
        <w:spacing w:line="400" w:lineRule="exact"/>
        <w:ind w:firstLine="480" w:firstLineChars="200"/>
        <w:contextualSpacing/>
        <w:rPr>
          <w:rFonts w:hint="eastAsia" w:ascii="宋体" w:hAnsi="宋体" w:cs="宋体"/>
          <w:sz w:val="24"/>
        </w:rPr>
      </w:pPr>
      <w:r>
        <w:rPr>
          <w:rFonts w:hint="eastAsia" w:ascii="宋体" w:hAnsi="宋体" w:cs="宋体"/>
          <w:sz w:val="24"/>
        </w:rPr>
        <w:t>3.含有致病性寄生虫、微生物或者微生物含量超过国家限定标准的。</w:t>
      </w:r>
    </w:p>
    <w:p>
      <w:pPr>
        <w:spacing w:line="400" w:lineRule="exact"/>
        <w:ind w:firstLine="480" w:firstLineChars="200"/>
        <w:contextualSpacing/>
        <w:rPr>
          <w:rFonts w:hint="eastAsia" w:ascii="宋体" w:hAnsi="宋体" w:cs="宋体"/>
          <w:sz w:val="24"/>
        </w:rPr>
      </w:pPr>
      <w:r>
        <w:rPr>
          <w:rFonts w:hint="eastAsia" w:ascii="宋体" w:hAnsi="宋体" w:cs="宋体"/>
          <w:sz w:val="24"/>
        </w:rPr>
        <w:t>4.掺假、掺杂、伪造，影响营养、卫生的。</w:t>
      </w:r>
    </w:p>
    <w:p>
      <w:pPr>
        <w:spacing w:line="400" w:lineRule="exact"/>
        <w:ind w:firstLine="480" w:firstLineChars="200"/>
        <w:contextualSpacing/>
        <w:rPr>
          <w:rFonts w:hint="eastAsia" w:ascii="宋体" w:hAnsi="宋体" w:cs="宋体"/>
          <w:sz w:val="24"/>
        </w:rPr>
      </w:pPr>
      <w:r>
        <w:rPr>
          <w:rFonts w:hint="eastAsia" w:ascii="宋体" w:hAnsi="宋体" w:cs="宋体"/>
          <w:sz w:val="24"/>
        </w:rPr>
        <w:t>5.用非食品原料加工的，加入非食品用化学物质或者将非食品当作食品的。</w:t>
      </w:r>
    </w:p>
    <w:p>
      <w:pPr>
        <w:spacing w:line="400" w:lineRule="exact"/>
        <w:ind w:firstLine="480" w:firstLineChars="200"/>
        <w:contextualSpacing/>
        <w:rPr>
          <w:rFonts w:hint="eastAsia" w:ascii="宋体" w:hAnsi="宋体" w:cs="宋体"/>
          <w:sz w:val="24"/>
        </w:rPr>
      </w:pPr>
      <w:r>
        <w:rPr>
          <w:rFonts w:hint="eastAsia" w:ascii="宋体" w:hAnsi="宋体" w:cs="宋体"/>
          <w:sz w:val="24"/>
        </w:rPr>
        <w:t>6.超过保质期限的。</w:t>
      </w:r>
    </w:p>
    <w:p>
      <w:pPr>
        <w:spacing w:line="400" w:lineRule="exact"/>
        <w:ind w:firstLine="480" w:firstLineChars="200"/>
        <w:contextualSpacing/>
        <w:rPr>
          <w:rFonts w:hint="eastAsia" w:ascii="宋体" w:hAnsi="宋体" w:cs="宋体"/>
          <w:sz w:val="24"/>
        </w:rPr>
      </w:pPr>
      <w:r>
        <w:rPr>
          <w:rFonts w:hint="eastAsia" w:ascii="宋体" w:hAnsi="宋体" w:cs="宋体"/>
          <w:sz w:val="24"/>
        </w:rPr>
        <w:t>7.其它违法违规行为造成食品安全事件发生的。</w:t>
      </w:r>
    </w:p>
    <w:p>
      <w:pPr>
        <w:spacing w:line="400" w:lineRule="exact"/>
        <w:ind w:firstLine="480" w:firstLineChars="200"/>
        <w:contextualSpacing/>
        <w:rPr>
          <w:rFonts w:hint="eastAsia" w:ascii="宋体" w:hAnsi="宋体" w:cs="宋体"/>
          <w:sz w:val="24"/>
        </w:rPr>
      </w:pPr>
      <w:r>
        <w:rPr>
          <w:rFonts w:hint="eastAsia" w:ascii="宋体" w:hAnsi="宋体" w:cs="宋体"/>
          <w:sz w:val="24"/>
        </w:rPr>
        <w:t>8.由于供应商的原因致使合同不能正常履行的。</w:t>
      </w:r>
    </w:p>
    <w:p>
      <w:pPr>
        <w:spacing w:line="400" w:lineRule="exact"/>
        <w:ind w:firstLine="480" w:firstLineChars="200"/>
        <w:contextualSpacing/>
        <w:rPr>
          <w:rFonts w:hint="eastAsia" w:ascii="宋体" w:hAnsi="宋体" w:cs="宋体"/>
          <w:sz w:val="24"/>
        </w:rPr>
      </w:pPr>
      <w:r>
        <w:rPr>
          <w:rFonts w:hint="eastAsia" w:ascii="宋体" w:hAnsi="宋体" w:cs="宋体"/>
          <w:sz w:val="24"/>
        </w:rPr>
        <w:t>9.不符合国家生产标准和相关法律的。</w:t>
      </w:r>
    </w:p>
    <w:p>
      <w:pPr>
        <w:spacing w:line="400" w:lineRule="exact"/>
        <w:ind w:firstLine="480" w:firstLineChars="200"/>
        <w:contextualSpacing/>
        <w:rPr>
          <w:rFonts w:hint="eastAsia" w:ascii="宋体" w:hAnsi="宋体" w:cs="宋体"/>
          <w:sz w:val="24"/>
        </w:rPr>
      </w:pPr>
      <w:r>
        <w:rPr>
          <w:rFonts w:hint="eastAsia" w:ascii="宋体" w:hAnsi="宋体" w:cs="宋体"/>
          <w:sz w:val="24"/>
        </w:rPr>
        <w:t>10.商品质量不达标的。</w:t>
      </w:r>
    </w:p>
    <w:p>
      <w:pPr>
        <w:spacing w:line="400" w:lineRule="exact"/>
        <w:ind w:firstLine="480" w:firstLineChars="200"/>
        <w:contextualSpacing/>
        <w:rPr>
          <w:rFonts w:hint="eastAsia" w:ascii="宋体" w:hAnsi="宋体" w:cs="宋体"/>
          <w:sz w:val="24"/>
        </w:rPr>
      </w:pPr>
      <w:r>
        <w:rPr>
          <w:rFonts w:hint="eastAsia" w:ascii="宋体" w:hAnsi="宋体" w:cs="宋体"/>
          <w:sz w:val="24"/>
        </w:rPr>
        <w:t>（三）产品包装要密封，无破损。标识说明完整详细包括：产品名称、净含量、制造者或经销者的名称和地址、产品标准号、生产日期、保质期，要注明生产日期和保质期。凡由于包装不良造成的损失和由此产生的费用均由成交供应商承担。</w:t>
      </w:r>
    </w:p>
    <w:p>
      <w:pPr>
        <w:spacing w:line="400" w:lineRule="exact"/>
        <w:ind w:firstLine="480" w:firstLineChars="200"/>
        <w:contextualSpacing/>
        <w:rPr>
          <w:rFonts w:hint="eastAsia" w:ascii="宋体" w:hAnsi="宋体" w:cs="宋体"/>
          <w:sz w:val="24"/>
        </w:rPr>
      </w:pPr>
    </w:p>
    <w:p>
      <w:pPr>
        <w:spacing w:line="400" w:lineRule="exact"/>
        <w:ind w:firstLine="480" w:firstLineChars="200"/>
        <w:contextualSpacing/>
        <w:rPr>
          <w:rFonts w:hint="eastAsia" w:ascii="宋体" w:hAnsi="宋体" w:cs="宋体"/>
          <w:sz w:val="24"/>
        </w:rPr>
      </w:pPr>
    </w:p>
    <w:p>
      <w:pPr>
        <w:numPr>
          <w:ilvl w:val="0"/>
          <w:numId w:val="0"/>
        </w:numPr>
        <w:spacing w:line="400" w:lineRule="exact"/>
        <w:ind w:firstLine="482" w:firstLineChars="200"/>
        <w:contextualSpacing/>
        <w:rPr>
          <w:rFonts w:hint="eastAsia" w:ascii="宋体" w:hAnsi="宋体" w:cs="宋体"/>
          <w:sz w:val="24"/>
        </w:rPr>
      </w:pPr>
      <w:r>
        <w:rPr>
          <w:rFonts w:hint="eastAsia" w:ascii="宋体" w:hAnsi="宋体" w:cs="宋体"/>
          <w:b/>
          <w:bCs/>
          <w:sz w:val="24"/>
          <w:lang w:eastAsia="zh-CN"/>
        </w:rPr>
        <w:t>四、</w:t>
      </w:r>
      <w:r>
        <w:rPr>
          <w:rFonts w:hint="eastAsia" w:ascii="宋体" w:hAnsi="宋体" w:cs="宋体"/>
          <w:b/>
          <w:bCs/>
          <w:sz w:val="24"/>
        </w:rPr>
        <w:t>售后服务</w:t>
      </w:r>
    </w:p>
    <w:p>
      <w:pPr>
        <w:numPr>
          <w:ilvl w:val="0"/>
          <w:numId w:val="0"/>
        </w:numPr>
        <w:spacing w:line="400" w:lineRule="exact"/>
        <w:ind w:firstLine="480" w:firstLineChars="200"/>
        <w:contextualSpacing/>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应具有完善的售后服务体系，能及时处理项目实施过程中的突发问题。供货未达到国家产品质量要求的，成交供应商须及时予以退货、换货。连续两次以上未达到质量要求、未及时退货、换货，或供货不及时，采购方对成交供应商视情节轻重进行口头警告或扣罚10%结算款。供货质量和及时性未达到要求并导致严重后果的，采购方有权随时终止合同。</w:t>
      </w:r>
    </w:p>
    <w:p>
      <w:pPr>
        <w:spacing w:line="400" w:lineRule="exact"/>
        <w:ind w:firstLine="482" w:firstLineChars="200"/>
        <w:contextualSpacing/>
        <w:rPr>
          <w:rFonts w:hint="eastAsia" w:ascii="宋体" w:hAnsi="宋体" w:eastAsia="宋体" w:cs="宋体"/>
          <w:b/>
          <w:sz w:val="24"/>
          <w:lang w:eastAsia="zh-CN"/>
        </w:rPr>
      </w:pPr>
      <w:r>
        <w:rPr>
          <w:rFonts w:hint="eastAsia" w:ascii="宋体" w:hAnsi="宋体" w:cs="宋体"/>
          <w:b/>
          <w:sz w:val="24"/>
        </w:rPr>
        <w:t>五、</w:t>
      </w:r>
      <w:r>
        <w:rPr>
          <w:rFonts w:hint="eastAsia" w:ascii="宋体" w:hAnsi="宋体" w:cs="宋体"/>
          <w:b/>
          <w:sz w:val="24"/>
          <w:lang w:eastAsia="zh-CN"/>
        </w:rPr>
        <w:t>交货时间和交货地点</w:t>
      </w:r>
    </w:p>
    <w:p>
      <w:pPr>
        <w:spacing w:line="400" w:lineRule="exact"/>
        <w:ind w:firstLine="480" w:firstLineChars="200"/>
        <w:contextualSpacing/>
        <w:rPr>
          <w:rFonts w:hint="eastAsia" w:ascii="宋体" w:hAnsi="宋体" w:cs="宋体"/>
          <w:sz w:val="24"/>
        </w:rPr>
      </w:pPr>
      <w:r>
        <w:rPr>
          <w:rFonts w:hint="eastAsia" w:ascii="宋体" w:hAnsi="宋体" w:cs="宋体"/>
          <w:sz w:val="24"/>
        </w:rPr>
        <w:t>（一）交货</w:t>
      </w:r>
      <w:r>
        <w:rPr>
          <w:rFonts w:hint="eastAsia" w:ascii="宋体" w:hAnsi="宋体" w:cs="宋体"/>
          <w:sz w:val="24"/>
          <w:lang w:eastAsia="zh-CN"/>
        </w:rPr>
        <w:t>时间</w:t>
      </w:r>
      <w:r>
        <w:rPr>
          <w:rFonts w:hint="eastAsia" w:ascii="宋体" w:hAnsi="宋体" w:cs="宋体"/>
          <w:sz w:val="24"/>
        </w:rPr>
        <w:t>：2022年9月2日之前</w:t>
      </w:r>
    </w:p>
    <w:p>
      <w:pPr>
        <w:spacing w:line="400" w:lineRule="exact"/>
        <w:ind w:firstLine="480" w:firstLineChars="200"/>
        <w:contextualSpacing/>
        <w:rPr>
          <w:rFonts w:hint="eastAsia" w:ascii="宋体" w:hAnsi="宋体" w:cs="宋体"/>
          <w:sz w:val="24"/>
        </w:rPr>
      </w:pPr>
      <w:r>
        <w:rPr>
          <w:rFonts w:hint="eastAsia" w:ascii="宋体" w:hAnsi="宋体" w:cs="宋体"/>
          <w:sz w:val="24"/>
        </w:rPr>
        <w:t>（二）交货地点：南方医科大学第五附属医院住院部和朝阳街门诊</w:t>
      </w:r>
    </w:p>
    <w:p>
      <w:pPr>
        <w:spacing w:line="400" w:lineRule="exact"/>
        <w:ind w:firstLine="482" w:firstLineChars="200"/>
        <w:contextualSpacing/>
        <w:rPr>
          <w:rFonts w:hint="eastAsia" w:ascii="宋体" w:hAnsi="宋体" w:cs="宋体"/>
          <w:sz w:val="24"/>
        </w:rPr>
      </w:pPr>
      <w:r>
        <w:rPr>
          <w:rFonts w:hint="eastAsia" w:ascii="宋体" w:hAnsi="宋体" w:cs="宋体"/>
          <w:b/>
          <w:sz w:val="24"/>
          <w:lang w:eastAsia="zh-CN"/>
        </w:rPr>
        <w:t>六、</w:t>
      </w:r>
      <w:r>
        <w:rPr>
          <w:rFonts w:hint="eastAsia" w:ascii="宋体" w:hAnsi="宋体" w:cs="宋体"/>
          <w:b/>
          <w:sz w:val="24"/>
        </w:rPr>
        <w:t>结算方式</w:t>
      </w:r>
    </w:p>
    <w:p>
      <w:pPr>
        <w:spacing w:line="400" w:lineRule="exact"/>
        <w:ind w:firstLine="480" w:firstLineChars="200"/>
        <w:contextualSpacing/>
        <w:rPr>
          <w:rFonts w:hint="eastAsia" w:ascii="宋体" w:hAnsi="宋体" w:cs="宋体"/>
          <w:sz w:val="24"/>
        </w:rPr>
      </w:pPr>
      <w:r>
        <w:rPr>
          <w:rFonts w:hint="eastAsia" w:ascii="宋体" w:hAnsi="宋体" w:cs="宋体"/>
          <w:sz w:val="24"/>
        </w:rPr>
        <w:t>由采购人统计采购数量，并将采购清单提供给成交供应商，按实际产生费用进行最终结算。供应商凭采购人购货单向采购人收款，并提供有效、等额发票、相关清单明细，采购人核实无误后，以银行转账形式在3个月内将货款支付给成交供应商。</w:t>
      </w:r>
    </w:p>
    <w:p>
      <w:pPr>
        <w:spacing w:line="360" w:lineRule="exact"/>
        <w:ind w:firstLine="482" w:firstLineChars="200"/>
        <w:contextualSpacing/>
        <w:rPr>
          <w:rFonts w:hint="eastAsia" w:ascii="宋体" w:hAnsi="宋体" w:cs="宋体"/>
          <w:b/>
          <w:bCs/>
          <w:sz w:val="24"/>
        </w:rPr>
      </w:pPr>
      <w:r>
        <w:rPr>
          <w:rFonts w:hint="eastAsia" w:ascii="宋体" w:hAnsi="宋体" w:cs="宋体"/>
          <w:b/>
          <w:bCs/>
          <w:sz w:val="24"/>
          <w:lang w:eastAsia="zh-CN"/>
        </w:rPr>
        <w:t>七、</w:t>
      </w:r>
      <w:r>
        <w:rPr>
          <w:rFonts w:hint="eastAsia" w:ascii="宋体" w:hAnsi="宋体" w:cs="宋体"/>
          <w:b/>
          <w:bCs/>
          <w:sz w:val="24"/>
        </w:rPr>
        <w:t>供应商资质要求</w:t>
      </w:r>
    </w:p>
    <w:p>
      <w:pPr>
        <w:spacing w:line="360" w:lineRule="exact"/>
        <w:ind w:firstLine="480" w:firstLineChars="200"/>
        <w:contextualSpacing/>
        <w:rPr>
          <w:rFonts w:hint="eastAsia" w:ascii="宋体" w:hAnsi="宋体" w:cs="宋体"/>
          <w:sz w:val="24"/>
        </w:rPr>
      </w:pPr>
      <w:r>
        <w:rPr>
          <w:rFonts w:hint="eastAsia" w:ascii="宋体" w:hAnsi="宋体" w:cs="宋体"/>
          <w:sz w:val="24"/>
        </w:rPr>
        <w:t>1.必须是中华人民共和国境内注册的独立法人，持有有效的企业法人营业执照；</w:t>
      </w:r>
    </w:p>
    <w:p>
      <w:pPr>
        <w:spacing w:line="360" w:lineRule="exact"/>
        <w:ind w:firstLine="480" w:firstLineChars="200"/>
        <w:contextualSpacing/>
        <w:rPr>
          <w:rFonts w:hint="eastAsia" w:ascii="宋体" w:hAnsi="宋体" w:cs="宋体"/>
          <w:color w:val="0000FF"/>
          <w:sz w:val="24"/>
        </w:rPr>
      </w:pPr>
      <w:r>
        <w:rPr>
          <w:rFonts w:hint="eastAsia" w:ascii="宋体" w:hAnsi="宋体" w:cs="宋体"/>
          <w:sz w:val="24"/>
        </w:rPr>
        <w:t>2.供应商须具有有效期内的食品经营许可</w:t>
      </w:r>
      <w:r>
        <w:rPr>
          <w:rFonts w:hint="eastAsia" w:ascii="宋体" w:hAnsi="宋体" w:cs="宋体"/>
          <w:color w:val="0000FF"/>
          <w:sz w:val="24"/>
        </w:rPr>
        <w:t>证</w:t>
      </w:r>
      <w:r>
        <w:rPr>
          <w:rFonts w:hint="eastAsia" w:ascii="宋体" w:hAnsi="宋体" w:cs="宋体"/>
          <w:color w:val="0000FF"/>
          <w:sz w:val="24"/>
          <w:lang w:eastAsia="zh-CN"/>
        </w:rPr>
        <w:t>明材料；</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sz w:val="24"/>
        </w:rPr>
      </w:pPr>
      <w:r>
        <w:rPr>
          <w:rFonts w:hint="eastAsia" w:ascii="宋体" w:hAnsi="宋体" w:cs="宋体"/>
          <w:color w:val="0000FF"/>
          <w:sz w:val="24"/>
        </w:rPr>
        <w:t>3.</w:t>
      </w:r>
      <w:r>
        <w:rPr>
          <w:rFonts w:hint="eastAsia" w:ascii="宋体" w:hAnsi="宋体" w:eastAsia="宋体" w:cs="宋体"/>
          <w:b w:val="0"/>
          <w:bCs w:val="0"/>
          <w:color w:val="0000FF"/>
          <w:sz w:val="24"/>
          <w:szCs w:val="24"/>
          <w:highlight w:val="none"/>
          <w:lang w:val="zh-CN" w:eastAsia="zh-CN"/>
        </w:rPr>
        <w:t>在近三年的商业活动中无违法、违规、违纪、违约行为；</w:t>
      </w:r>
    </w:p>
    <w:p>
      <w:pPr>
        <w:spacing w:line="360" w:lineRule="exact"/>
        <w:ind w:firstLine="480" w:firstLineChars="200"/>
        <w:contextualSpacing/>
        <w:rPr>
          <w:rFonts w:hint="eastAsia" w:ascii="宋体" w:hAnsi="宋体"/>
          <w:b/>
          <w:color w:val="auto"/>
          <w:sz w:val="24"/>
          <w:highlight w:val="none"/>
          <w:lang w:eastAsia="zh-CN"/>
        </w:rPr>
      </w:pPr>
      <w:r>
        <w:rPr>
          <w:rFonts w:hint="eastAsia" w:ascii="宋体" w:hAnsi="宋体" w:cs="宋体"/>
          <w:sz w:val="24"/>
          <w:lang w:val="en-US" w:eastAsia="zh-CN"/>
        </w:rPr>
        <w:t>4.</w:t>
      </w:r>
      <w:r>
        <w:rPr>
          <w:rFonts w:hint="eastAsia" w:ascii="宋体" w:hAnsi="宋体" w:cs="宋体"/>
          <w:sz w:val="24"/>
        </w:rPr>
        <w:t>本项目不接受联合体报名，不允许分包、转包。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rPr>
      </w:pPr>
      <w:r>
        <w:rPr>
          <w:rFonts w:hint="eastAsia" w:ascii="宋体" w:hAnsi="宋体"/>
          <w:b/>
          <w:color w:val="auto"/>
          <w:sz w:val="24"/>
          <w:highlight w:val="none"/>
          <w:lang w:eastAsia="zh-CN"/>
        </w:rPr>
        <w:t>八</w:t>
      </w:r>
      <w:r>
        <w:rPr>
          <w:rFonts w:hint="eastAsia" w:ascii="宋体" w:hAnsi="宋体"/>
          <w:b/>
          <w:color w:val="auto"/>
          <w:sz w:val="24"/>
          <w:highlight w:val="none"/>
        </w:rPr>
        <w:t>、其他要求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1.</w:t>
      </w:r>
      <w:r>
        <w:rPr>
          <w:rFonts w:hint="eastAsia" w:ascii="宋体" w:hAnsi="宋体" w:eastAsia="宋体" w:cs="宋体"/>
          <w:b/>
          <w:bCs/>
          <w:color w:val="auto"/>
          <w:sz w:val="24"/>
          <w:szCs w:val="24"/>
          <w:lang w:val="en-US" w:eastAsia="zh-CN"/>
        </w:rPr>
        <w:t>样品要求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rPr>
      </w:pPr>
      <w:r>
        <w:rPr>
          <w:rFonts w:hint="eastAsia" w:ascii="宋体" w:hAnsi="宋体" w:eastAsia="宋体" w:cs="宋体"/>
          <w:bCs/>
          <w:color w:val="auto"/>
          <w:sz w:val="24"/>
          <w:szCs w:val="24"/>
          <w:lang w:val="en-US" w:eastAsia="zh-CN"/>
        </w:rPr>
        <w:t>供应商在参加评审会议签到的同时，必须提供</w:t>
      </w:r>
      <w:r>
        <w:rPr>
          <w:rFonts w:hint="eastAsia" w:ascii="宋体" w:hAnsi="宋体" w:eastAsia="宋体" w:cs="宋体"/>
          <w:bCs/>
          <w:strike w:val="0"/>
          <w:dstrike w:val="0"/>
          <w:color w:val="auto"/>
          <w:sz w:val="24"/>
          <w:szCs w:val="24"/>
          <w:lang w:val="en-US" w:eastAsia="zh-CN"/>
        </w:rPr>
        <w:t>所有货品实物样品供评委评审，所提供的样品</w:t>
      </w:r>
      <w:r>
        <w:rPr>
          <w:rFonts w:hint="eastAsia" w:ascii="宋体" w:hAnsi="宋体" w:cs="宋体"/>
          <w:bCs/>
          <w:strike w:val="0"/>
          <w:dstrike w:val="0"/>
          <w:color w:val="auto"/>
          <w:sz w:val="24"/>
          <w:szCs w:val="24"/>
          <w:lang w:val="en-US" w:eastAsia="zh-CN"/>
        </w:rPr>
        <w:t>需密封</w:t>
      </w:r>
      <w:r>
        <w:rPr>
          <w:rFonts w:hint="eastAsia" w:ascii="宋体" w:hAnsi="宋体" w:eastAsia="宋体" w:cs="宋体"/>
          <w:bCs/>
          <w:strike w:val="0"/>
          <w:dstrike w:val="0"/>
          <w:color w:val="auto"/>
          <w:sz w:val="24"/>
          <w:szCs w:val="24"/>
          <w:lang w:val="en-US" w:eastAsia="zh-CN"/>
        </w:rPr>
        <w:t>，将作为评分的重要依据。如在评审会议前没有提供样品，其样品得分则为零分。</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aps w:val="0"/>
          <w:color w:val="auto"/>
          <w:spacing w:val="0"/>
          <w:sz w:val="24"/>
          <w:szCs w:val="24"/>
          <w:shd w:val="clear" w:fill="FFFFFF"/>
          <w:vertAlign w:val="baseline"/>
        </w:rPr>
      </w:pPr>
      <w:r>
        <w:rPr>
          <w:rFonts w:hint="eastAsia" w:ascii="宋体" w:hAnsi="宋体" w:cs="宋体"/>
          <w:color w:val="auto"/>
          <w:sz w:val="24"/>
        </w:rPr>
        <w:t>▲</w:t>
      </w:r>
      <w:bookmarkStart w:id="5" w:name="_Toc27614"/>
      <w:bookmarkStart w:id="6" w:name="_Toc26796"/>
      <w:bookmarkStart w:id="7" w:name="_Toc20762"/>
      <w:bookmarkStart w:id="8" w:name="_Toc28850"/>
      <w:bookmarkStart w:id="9" w:name="_Toc20606"/>
      <w:bookmarkStart w:id="10" w:name="_Toc6416"/>
      <w:bookmarkStart w:id="11" w:name="_Toc8122"/>
      <w:r>
        <w:rPr>
          <w:rFonts w:hint="eastAsia" w:ascii="宋体" w:hAnsi="宋体" w:cs="宋体"/>
          <w:color w:val="auto"/>
          <w:sz w:val="24"/>
          <w:lang w:val="en-US" w:eastAsia="zh-CN"/>
        </w:rPr>
        <w:t>2.</w:t>
      </w:r>
      <w:r>
        <w:rPr>
          <w:rFonts w:hint="eastAsia" w:ascii="宋体" w:hAnsi="宋体" w:eastAsia="宋体" w:cs="宋体"/>
          <w:b w:val="0"/>
          <w:bCs w:val="0"/>
          <w:i w:val="0"/>
          <w:iCs w:val="0"/>
          <w:caps w:val="0"/>
          <w:color w:val="auto"/>
          <w:spacing w:val="0"/>
          <w:sz w:val="24"/>
          <w:szCs w:val="24"/>
          <w:shd w:val="clear" w:fill="FFFFFF"/>
          <w:vertAlign w:val="baseline"/>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b w:val="0"/>
          <w:bCs w:val="0"/>
          <w:color w:val="auto"/>
          <w:sz w:val="24"/>
          <w:highlight w:val="none"/>
          <w:lang w:val="en-US" w:eastAsia="zh-CN"/>
        </w:rPr>
      </w:pPr>
      <w:r>
        <w:rPr>
          <w:rStyle w:val="19"/>
          <w:rFonts w:hint="eastAsia" w:ascii="宋体" w:hAnsi="宋体" w:eastAsia="宋体" w:cs="宋体"/>
          <w:b w:val="0"/>
          <w:bCs w:val="0"/>
          <w:i w:val="0"/>
          <w:iCs w:val="0"/>
          <w:caps w:val="0"/>
          <w:color w:val="auto"/>
          <w:spacing w:val="0"/>
          <w:sz w:val="24"/>
          <w:szCs w:val="24"/>
          <w:shd w:val="clear" w:fill="FFFFFF"/>
          <w:vertAlign w:val="baseline"/>
        </w:rPr>
        <w:t>参加评审会议供应商必须无流行病学史，需提供健康码绿码、行程码绿码、72小时核酸检测结果阴性。(如有最新防疫政策要求，按最新的政策要求执行）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b w:val="0"/>
          <w:bCs w:val="0"/>
          <w:strike w:val="0"/>
          <w:dstrike w:val="0"/>
          <w:color w:val="auto"/>
          <w:kern w:val="2"/>
          <w:sz w:val="24"/>
          <w:szCs w:val="24"/>
          <w:highlight w:val="none"/>
          <w:lang w:val="en-US" w:eastAsia="zh-CN" w:bidi="ar-SA"/>
        </w:rPr>
        <w:t>3.</w:t>
      </w:r>
      <w:r>
        <w:rPr>
          <w:rFonts w:hint="eastAsia" w:ascii="宋体" w:hAnsi="宋体" w:eastAsia="宋体" w:cs="宋体"/>
          <w:color w:val="auto"/>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9"/>
        <w:rPr>
          <w:rFonts w:hint="eastAsia"/>
          <w:b/>
          <w:bCs/>
          <w:kern w:val="0"/>
          <w:sz w:val="32"/>
          <w:szCs w:val="36"/>
        </w:rPr>
      </w:pPr>
    </w:p>
    <w:p>
      <w:pPr>
        <w:pStyle w:val="6"/>
        <w:spacing w:line="380" w:lineRule="exact"/>
        <w:rPr>
          <w:rFonts w:hint="eastAsia" w:ascii="宋体" w:hAnsi="宋体" w:eastAsia="宋体" w:cs="宋体"/>
          <w:color w:val="auto"/>
          <w:sz w:val="24"/>
        </w:rPr>
      </w:pPr>
    </w:p>
    <w:p>
      <w:pPr>
        <w:jc w:val="center"/>
        <w:outlineLvl w:val="0"/>
        <w:rPr>
          <w:rFonts w:hint="eastAsia"/>
          <w:b/>
          <w:bCs/>
          <w:color w:val="auto"/>
          <w:kern w:val="0"/>
          <w:sz w:val="32"/>
          <w:szCs w:val="36"/>
        </w:rPr>
      </w:pPr>
      <w:bookmarkStart w:id="15" w:name="_Toc2432"/>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6" w:name="_Toc270"/>
      <w:r>
        <w:rPr>
          <w:rFonts w:hint="eastAsia"/>
          <w:b/>
          <w:bCs/>
          <w:color w:val="auto"/>
          <w:kern w:val="0"/>
          <w:sz w:val="32"/>
          <w:szCs w:val="36"/>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yellow"/>
          <w:lang w:val="en-US" w:eastAsia="zh-CN" w:bidi="ar-SA"/>
        </w:rPr>
      </w:pPr>
      <w:bookmarkStart w:id="279" w:name="_GoBack"/>
      <w:bookmarkEnd w:id="279"/>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除封面外，其他材料须双面打印，打印出来的资料盖章后扫描成PDF版，各报名供应商应确保所提供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7" w:name="_Toc13814"/>
      <w:bookmarkStart w:id="18" w:name="_Toc32164"/>
      <w:bookmarkStart w:id="19" w:name="_Toc7581"/>
      <w:bookmarkStart w:id="20" w:name="_Toc30326"/>
      <w:bookmarkStart w:id="21" w:name="_Toc2347"/>
      <w:bookmarkStart w:id="22" w:name="_Toc9461"/>
      <w:bookmarkStart w:id="23" w:name="_Toc19354"/>
      <w:bookmarkStart w:id="24" w:name="_Toc40346213"/>
      <w:bookmarkStart w:id="25" w:name="_Toc30230"/>
      <w:bookmarkStart w:id="26" w:name="_Toc40776108"/>
      <w:bookmarkStart w:id="27" w:name="_Toc32228"/>
      <w:bookmarkStart w:id="28" w:name="_Toc2647"/>
      <w:bookmarkStart w:id="29" w:name="_Toc5829"/>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0"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26336"/>
      <w:bookmarkStart w:id="32" w:name="_Toc40776109"/>
      <w:bookmarkStart w:id="33" w:name="_Toc40346214"/>
      <w:bookmarkStart w:id="34" w:name="_Toc17987"/>
      <w:bookmarkStart w:id="35" w:name="_Toc23126"/>
      <w:bookmarkStart w:id="36" w:name="_Toc40346373"/>
      <w:bookmarkStart w:id="37" w:name="_Toc13972"/>
      <w:bookmarkStart w:id="38" w:name="_Toc10842"/>
      <w:bookmarkStart w:id="39" w:name="_Toc30201"/>
      <w:bookmarkStart w:id="40" w:name="_Toc11236"/>
      <w:bookmarkStart w:id="41" w:name="_Toc10941"/>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13293"/>
      <w:bookmarkStart w:id="43" w:name="_Toc12695"/>
      <w:bookmarkStart w:id="44" w:name="_Toc3033"/>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40776117"/>
      <w:bookmarkStart w:id="47" w:name="_Toc40346222"/>
      <w:bookmarkStart w:id="48" w:name="_Toc25470"/>
      <w:bookmarkStart w:id="49" w:name="_Toc40346381"/>
      <w:bookmarkStart w:id="50" w:name="_Toc22145"/>
      <w:bookmarkStart w:id="51" w:name="_Toc12431"/>
      <w:bookmarkStart w:id="52" w:name="_Toc3784"/>
      <w:bookmarkStart w:id="53" w:name="_Toc10213"/>
      <w:bookmarkStart w:id="54" w:name="_Toc4407"/>
      <w:bookmarkStart w:id="55" w:name="_Toc22864"/>
      <w:bookmarkStart w:id="56" w:name="_Toc28217"/>
      <w:bookmarkStart w:id="57" w:name="_Toc23156"/>
      <w:bookmarkStart w:id="58" w:name="_Toc18837"/>
      <w:bookmarkStart w:id="59" w:name="_Toc913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6547"/>
      <w:bookmarkStart w:id="61" w:name="_Toc40346375"/>
      <w:bookmarkStart w:id="62" w:name="_Toc40776111"/>
      <w:bookmarkStart w:id="63" w:name="_Toc435"/>
      <w:bookmarkStart w:id="64" w:name="_Toc1994"/>
      <w:bookmarkStart w:id="65" w:name="_Toc21249"/>
      <w:bookmarkStart w:id="66" w:name="_Toc8364"/>
      <w:bookmarkStart w:id="67" w:name="_Toc40346216"/>
      <w:bookmarkStart w:id="68" w:name="_Toc29113"/>
      <w:bookmarkStart w:id="69" w:name="_Toc11305"/>
      <w:bookmarkStart w:id="70" w:name="_Toc12520"/>
      <w:bookmarkStart w:id="71" w:name="_Toc28703"/>
      <w:bookmarkStart w:id="72" w:name="_Toc3471"/>
      <w:bookmarkStart w:id="73" w:name="_Toc11075"/>
      <w:bookmarkStart w:id="74" w:name="_Toc7291"/>
      <w:bookmarkStart w:id="75" w:name="_Toc15870"/>
      <w:bookmarkStart w:id="76" w:name="_Toc26267"/>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43"/>
      <w:bookmarkStart w:id="79" w:name="_Toc2916"/>
      <w:bookmarkStart w:id="80" w:name="_Toc20884"/>
      <w:bookmarkStart w:id="81" w:name="_Toc27997"/>
      <w:bookmarkStart w:id="82" w:name="_Toc17709"/>
      <w:bookmarkStart w:id="83" w:name="_Toc40346217"/>
      <w:bookmarkStart w:id="84" w:name="_Toc40346376"/>
      <w:bookmarkStart w:id="85" w:name="_Toc40776112"/>
    </w:p>
    <w:p>
      <w:pPr>
        <w:widowControl/>
        <w:spacing w:line="360" w:lineRule="auto"/>
        <w:ind w:firstLine="600"/>
        <w:outlineLvl w:val="0"/>
        <w:rPr>
          <w:rFonts w:cs="宋体"/>
          <w:kern w:val="0"/>
          <w:sz w:val="30"/>
          <w:szCs w:val="30"/>
        </w:rPr>
      </w:pPr>
      <w:bookmarkStart w:id="86" w:name="_Toc2029"/>
      <w:bookmarkStart w:id="87" w:name="_Toc31538"/>
      <w:bookmarkStart w:id="88" w:name="_Toc5238"/>
      <w:bookmarkStart w:id="89" w:name="_Toc2012"/>
      <w:bookmarkStart w:id="90" w:name="_Toc23992"/>
      <w:bookmarkStart w:id="91" w:name="_Toc29102"/>
      <w:bookmarkStart w:id="92" w:name="_Toc23097"/>
      <w:bookmarkStart w:id="93" w:name="_Toc19699"/>
      <w:bookmarkStart w:id="94" w:name="_Toc11485"/>
      <w:bookmarkStart w:id="95" w:name="_Toc3097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2113"/>
      <w:bookmarkStart w:id="97" w:name="_Toc17930"/>
      <w:bookmarkStart w:id="98" w:name="_Toc14824"/>
      <w:bookmarkStart w:id="99" w:name="_Toc28064"/>
      <w:bookmarkStart w:id="100" w:name="_Toc21483"/>
      <w:bookmarkStart w:id="101" w:name="_Toc27867"/>
      <w:bookmarkStart w:id="102" w:name="_Toc11141"/>
      <w:bookmarkStart w:id="103" w:name="_Toc11558"/>
      <w:bookmarkStart w:id="104" w:name="_Toc40776113"/>
      <w:bookmarkStart w:id="105" w:name="_Toc40346377"/>
      <w:bookmarkStart w:id="106" w:name="_Toc7052"/>
      <w:bookmarkStart w:id="107" w:name="_Toc29767"/>
      <w:bookmarkStart w:id="108" w:name="_Toc4013"/>
      <w:bookmarkStart w:id="109" w:name="_Toc40346218"/>
      <w:bookmarkStart w:id="110" w:name="_Toc16794"/>
      <w:bookmarkStart w:id="111" w:name="_Toc31993"/>
      <w:bookmarkStart w:id="112" w:name="_Toc24763"/>
      <w:bookmarkStart w:id="113" w:name="_Toc12645"/>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4563"/>
      <w:bookmarkStart w:id="115" w:name="_Toc6438"/>
      <w:bookmarkStart w:id="116" w:name="_Toc26029"/>
      <w:bookmarkStart w:id="117" w:name="_Toc40346378"/>
      <w:bookmarkStart w:id="118" w:name="_Toc17537"/>
      <w:bookmarkStart w:id="119" w:name="_Toc19831"/>
      <w:bookmarkStart w:id="120" w:name="_Toc40776114"/>
      <w:bookmarkStart w:id="121" w:name="_Toc11334"/>
      <w:bookmarkStart w:id="122" w:name="_Toc24651"/>
      <w:bookmarkStart w:id="123" w:name="_Toc16813"/>
      <w:bookmarkStart w:id="124" w:name="_Toc27771"/>
      <w:bookmarkStart w:id="125" w:name="_Toc14287"/>
      <w:bookmarkStart w:id="126" w:name="_Toc9883"/>
      <w:bookmarkStart w:id="127" w:name="_Toc32709"/>
      <w:bookmarkStart w:id="128" w:name="_Toc25370"/>
      <w:bookmarkStart w:id="129" w:name="_Toc40346219"/>
      <w:bookmarkStart w:id="130" w:name="_Toc1324"/>
      <w:bookmarkStart w:id="131" w:name="_Toc3119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40346379"/>
      <w:bookmarkStart w:id="133" w:name="_Toc18353"/>
      <w:bookmarkStart w:id="134" w:name="_Toc27206"/>
      <w:bookmarkStart w:id="135" w:name="_Toc17483"/>
      <w:bookmarkStart w:id="136" w:name="_Toc27868"/>
      <w:bookmarkStart w:id="137" w:name="_Toc19057"/>
      <w:bookmarkStart w:id="138" w:name="_Toc20994"/>
      <w:bookmarkStart w:id="139" w:name="_Toc40776115"/>
      <w:bookmarkStart w:id="140" w:name="_Toc21940"/>
      <w:bookmarkStart w:id="141" w:name="_Toc30336"/>
      <w:bookmarkStart w:id="142" w:name="_Toc21686"/>
      <w:bookmarkStart w:id="143" w:name="_Toc5634"/>
      <w:bookmarkStart w:id="144" w:name="_Toc5189"/>
      <w:bookmarkStart w:id="145" w:name="_Toc12650"/>
      <w:bookmarkStart w:id="146" w:name="_Toc13222"/>
      <w:bookmarkStart w:id="147" w:name="_Toc40346220"/>
      <w:bookmarkStart w:id="148" w:name="_Toc14586"/>
      <w:bookmarkStart w:id="149" w:name="_Toc389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1547"/>
      <w:bookmarkStart w:id="151" w:name="_Toc9282"/>
      <w:bookmarkStart w:id="152" w:name="_Toc21449"/>
      <w:bookmarkStart w:id="153" w:name="_Toc5220"/>
      <w:bookmarkStart w:id="154" w:name="_Toc14462"/>
      <w:bookmarkStart w:id="155" w:name="_Toc30856"/>
      <w:bookmarkStart w:id="156" w:name="_Toc30904"/>
      <w:bookmarkStart w:id="157" w:name="_Toc27009"/>
      <w:bookmarkStart w:id="158" w:name="_Toc40346221"/>
      <w:bookmarkStart w:id="159" w:name="_Toc10454"/>
      <w:bookmarkStart w:id="160" w:name="_Toc27646"/>
      <w:bookmarkStart w:id="161" w:name="_Toc40776116"/>
      <w:bookmarkStart w:id="162" w:name="_Toc12127"/>
      <w:bookmarkStart w:id="163" w:name="_Toc3498"/>
      <w:bookmarkStart w:id="164" w:name="_Toc22276"/>
      <w:bookmarkStart w:id="165" w:name="_Toc8526"/>
      <w:bookmarkStart w:id="166" w:name="_Toc32371"/>
      <w:bookmarkStart w:id="167" w:name="_Toc40346380"/>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27920"/>
      <w:bookmarkStart w:id="170" w:name="_Toc31006"/>
      <w:bookmarkStart w:id="171" w:name="_Toc6985"/>
      <w:bookmarkStart w:id="172" w:name="_Toc24584"/>
      <w:r>
        <w:rPr>
          <w:rFonts w:hint="eastAsia"/>
          <w:b/>
          <w:bCs/>
          <w:color w:val="auto"/>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报名成功后获得</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提供有效期内的食品经营许可证</w:t>
            </w:r>
            <w:r>
              <w:rPr>
                <w:rFonts w:hint="eastAsia" w:ascii="宋体" w:hAnsi="宋体" w:cs="Times New Roman"/>
                <w:color w:val="auto"/>
                <w:sz w:val="24"/>
                <w:lang w:val="en-US" w:eastAsia="zh-CN"/>
              </w:rPr>
              <w:t>明材料</w:t>
            </w:r>
            <w:r>
              <w:rPr>
                <w:rFonts w:hint="eastAsia" w:ascii="宋体" w:hAnsi="宋体" w:eastAsia="宋体" w:cs="Times New Roman"/>
                <w:color w:val="auto"/>
                <w:sz w:val="24"/>
                <w:lang w:val="en-US" w:eastAsia="zh-CN"/>
              </w:rPr>
              <w:t>（提供复印件并加盖供应商公司公章）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eastAsia="zh-CN"/>
              </w:rPr>
              <w:t>在近三年的商业活动中无违法、违规、违纪、违约行为</w:t>
            </w:r>
            <w:r>
              <w:rPr>
                <w:rFonts w:hint="eastAsia" w:ascii="宋体" w:hAnsi="宋体" w:eastAsia="宋体" w:cs="Times New Roman"/>
                <w:color w:val="auto"/>
                <w:sz w:val="24"/>
                <w:lang w:val="en-US" w:eastAsia="zh-CN"/>
              </w:rPr>
              <w:t>（需提供承诺函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本项目不接受联合体报名，不允许分包、转包。（需提供承诺函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公司简介及产品介绍</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配送方案（格式自拟）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现场需提供样品</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eastAsia="zh-CN"/>
              </w:rPr>
            </w:pPr>
            <w:r>
              <w:rPr>
                <w:rFonts w:hint="eastAsia" w:ascii="宋体" w:hAnsi="宋体"/>
                <w:bCs/>
                <w:sz w:val="24"/>
                <w:szCs w:val="24"/>
                <w:lang w:val="en-US" w:eastAsia="zh-CN"/>
              </w:rPr>
              <w:t>/</w:t>
            </w:r>
          </w:p>
        </w:tc>
      </w:tr>
    </w:tbl>
    <w:p>
      <w:pPr>
        <w:widowControl/>
        <w:spacing w:line="360" w:lineRule="auto"/>
        <w:jc w:val="left"/>
        <w:outlineLvl w:val="9"/>
        <w:rPr>
          <w:rFonts w:hint="eastAsia" w:ascii="仿宋" w:hAnsi="仿宋" w:eastAsia="仿宋" w:cs="宋体"/>
          <w:b/>
          <w:kern w:val="0"/>
          <w:sz w:val="24"/>
          <w:szCs w:val="32"/>
        </w:rPr>
      </w:pPr>
      <w:bookmarkStart w:id="173" w:name="_Toc562"/>
      <w:bookmarkStart w:id="174" w:name="_Toc21936"/>
      <w:bookmarkStart w:id="175" w:name="_Toc11232"/>
      <w:bookmarkStart w:id="176" w:name="_Toc24508"/>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7" w:name="_Toc18896"/>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4565"/>
      <w:bookmarkStart w:id="179" w:name="_Toc26391"/>
      <w:bookmarkStart w:id="180" w:name="_Toc11212"/>
      <w:bookmarkStart w:id="181" w:name="_Toc25102"/>
      <w:bookmarkStart w:id="182" w:name="_Toc9683"/>
      <w:bookmarkStart w:id="183" w:name="_Toc28877"/>
      <w:bookmarkStart w:id="184" w:name="_Toc10771"/>
      <w:bookmarkStart w:id="185" w:name="_Toc20169"/>
      <w:bookmarkStart w:id="186" w:name="_Toc31025"/>
      <w:bookmarkStart w:id="187" w:name="_Toc29101"/>
      <w:bookmarkStart w:id="188" w:name="_Toc10605"/>
      <w:bookmarkStart w:id="189" w:name="_Toc20065"/>
      <w:bookmarkStart w:id="190" w:name="_Toc31804"/>
      <w:bookmarkStart w:id="191" w:name="_Toc8481"/>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24550"/>
      <w:bookmarkStart w:id="194" w:name="_Toc7019"/>
      <w:bookmarkStart w:id="195" w:name="_Toc10398"/>
      <w:bookmarkStart w:id="196" w:name="_Toc32295"/>
      <w:bookmarkStart w:id="197" w:name="_Toc24286"/>
      <w:bookmarkStart w:id="198" w:name="_Toc15079"/>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199" w:name="_Toc13551"/>
      <w:bookmarkStart w:id="200" w:name="_Toc21905"/>
      <w:bookmarkStart w:id="201" w:name="_Toc31638"/>
      <w:bookmarkStart w:id="202" w:name="_Toc17416"/>
      <w:bookmarkStart w:id="203" w:name="_Toc1548"/>
      <w:bookmarkStart w:id="204" w:name="_Toc14009"/>
      <w:r>
        <w:rPr>
          <w:rFonts w:hint="eastAsia" w:cs="Times New Roman" w:asciiTheme="majorEastAsia" w:hAnsiTheme="majorEastAsia" w:eastAsiaTheme="majorEastAsia"/>
          <w:b/>
          <w:kern w:val="2"/>
          <w:sz w:val="22"/>
          <w:szCs w:val="24"/>
          <w:lang w:val="en-US" w:eastAsia="zh-CN" w:bidi="ar-SA"/>
        </w:rPr>
        <w:t>一、</w:t>
      </w:r>
      <w:bookmarkEnd w:id="199"/>
      <w:bookmarkEnd w:id="200"/>
      <w:bookmarkEnd w:id="201"/>
      <w:bookmarkEnd w:id="202"/>
      <w:bookmarkEnd w:id="203"/>
      <w:bookmarkEnd w:id="204"/>
      <w:r>
        <w:rPr>
          <w:rFonts w:hint="eastAsia" w:cs="Times New Roman" w:asciiTheme="majorEastAsia" w:hAnsiTheme="majorEastAsia" w:eastAsiaTheme="majorEastAsia"/>
          <w:b/>
          <w:kern w:val="2"/>
          <w:sz w:val="22"/>
          <w:szCs w:val="24"/>
          <w:lang w:val="en-US" w:eastAsia="zh-CN" w:bidi="ar-SA"/>
        </w:rPr>
        <w:t>“▲”号条款</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5" w:name="_Toc16131"/>
      <w:bookmarkStart w:id="206" w:name="_Toc15903"/>
      <w:bookmarkStart w:id="207" w:name="_Toc31897"/>
    </w:p>
    <w:p>
      <w:pPr>
        <w:spacing w:line="300" w:lineRule="auto"/>
        <w:ind w:firstLine="663" w:firstLineChars="300"/>
        <w:outlineLvl w:val="9"/>
        <w:rPr>
          <w:rFonts w:hint="eastAsia" w:cs="Times New Roman" w:asciiTheme="majorEastAsia" w:hAnsiTheme="majorEastAsia" w:eastAsiaTheme="majorEastAsia"/>
          <w:b/>
          <w:sz w:val="22"/>
          <w:lang w:val="en-US" w:eastAsia="zh-CN"/>
        </w:rPr>
      </w:pPr>
      <w:bookmarkStart w:id="208" w:name="_Toc14718"/>
      <w:bookmarkStart w:id="209" w:name="_Toc26114"/>
      <w:bookmarkStart w:id="210" w:name="_Toc19330"/>
      <w:bookmarkStart w:id="211" w:name="_Toc28342"/>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cs="Times New Roman" w:asciiTheme="majorEastAsia" w:hAnsiTheme="majorEastAsia" w:eastAsiaTheme="majorEastAsia"/>
          <w:b/>
          <w:kern w:val="2"/>
          <w:sz w:val="22"/>
          <w:szCs w:val="24"/>
          <w:lang w:val="en-US" w:eastAsia="zh-CN" w:bidi="ar-SA"/>
        </w:rPr>
        <w:t>项目内容及产品要求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spacing w:line="400" w:lineRule="exact"/>
        <w:ind w:firstLine="663" w:firstLineChars="300"/>
        <w:contextualSpacing/>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三、保质期、质量、包装要求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
        <w:rPr>
          <w:rFonts w:hint="default" w:cs="Times New Roman" w:asciiTheme="majorEastAsia" w:hAnsiTheme="majorEastAsia" w:eastAsiaTheme="majorEastAsia"/>
          <w:b/>
          <w:kern w:val="2"/>
          <w:sz w:val="22"/>
          <w:szCs w:val="24"/>
          <w:lang w:val="en-US" w:eastAsia="zh-CN" w:bidi="ar-SA"/>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四、售后服务</w:t>
      </w:r>
    </w:p>
    <w:p>
      <w:pPr>
        <w:spacing w:line="400" w:lineRule="exact"/>
        <w:ind w:firstLine="422" w:firstLineChars="200"/>
        <w:contextualSpacing/>
        <w:rPr>
          <w:rFonts w:hint="eastAsia" w:ascii="宋体" w:hAnsi="宋体"/>
          <w:b/>
          <w:bCs/>
          <w:szCs w:val="21"/>
          <w:lang w:val="en-US" w:eastAsia="zh-CN"/>
        </w:rPr>
      </w:pPr>
      <w:r>
        <w:rPr>
          <w:rFonts w:hint="eastAsia" w:ascii="宋体" w:hAnsi="宋体"/>
          <w:b/>
          <w:bCs/>
          <w:szCs w:val="21"/>
          <w:lang w:val="en-US" w:eastAsia="zh-CN"/>
        </w:rPr>
        <w:t xml:space="preserve">  </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hint="eastAsia" w:ascii="宋体" w:hAnsi="宋体"/>
          <w:b/>
          <w:bCs/>
          <w:szCs w:val="21"/>
          <w:lang w:val="en-US" w:eastAsia="zh-CN"/>
        </w:rPr>
      </w:pPr>
    </w:p>
    <w:p>
      <w:pPr>
        <w:spacing w:line="400" w:lineRule="exact"/>
        <w:ind w:firstLine="442" w:firstLineChars="200"/>
        <w:contextualSpacing/>
        <w:rPr>
          <w:rFonts w:hint="default"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sz w:val="22"/>
          <w:lang w:val="en-US" w:eastAsia="zh-CN"/>
        </w:rPr>
        <w:t xml:space="preserve"> 五</w:t>
      </w:r>
      <w:r>
        <w:rPr>
          <w:rFonts w:hint="eastAsia" w:cs="Times New Roman" w:asciiTheme="majorEastAsia" w:hAnsiTheme="majorEastAsia" w:eastAsiaTheme="majorEastAsia"/>
          <w:b/>
          <w:kern w:val="2"/>
          <w:sz w:val="22"/>
          <w:szCs w:val="24"/>
          <w:lang w:val="en-US" w:eastAsia="zh-CN" w:bidi="ar-SA"/>
        </w:rPr>
        <w:t>、交货时间和交货地点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ind w:firstLine="442" w:firstLineChars="200"/>
        <w:contextualSpacing/>
        <w:rPr>
          <w:rFonts w:hint="eastAsia" w:cs="Times New Roman" w:asciiTheme="majorEastAsia" w:hAnsiTheme="majorEastAsia" w:eastAsiaTheme="majorEastAsia"/>
          <w:b/>
          <w:kern w:val="2"/>
          <w:sz w:val="22"/>
          <w:szCs w:val="24"/>
          <w:lang w:val="en-US" w:eastAsia="zh-CN" w:bidi="ar-SA"/>
        </w:rPr>
      </w:pPr>
    </w:p>
    <w:p>
      <w:pPr>
        <w:spacing w:line="300" w:lineRule="auto"/>
        <w:ind w:firstLine="663" w:firstLineChars="300"/>
        <w:outlineLvl w:val="1"/>
        <w:rPr>
          <w:rFonts w:hint="eastAsia" w:cs="Times New Roman" w:asciiTheme="majorEastAsia" w:hAnsiTheme="majorEastAsia" w:eastAsiaTheme="majorEastAsia"/>
          <w:b/>
          <w:sz w:val="22"/>
          <w:lang w:val="en-US" w:eastAsia="zh-CN"/>
        </w:rPr>
      </w:pPr>
    </w:p>
    <w:p>
      <w:pPr>
        <w:spacing w:line="300" w:lineRule="auto"/>
        <w:ind w:firstLine="663" w:firstLineChars="300"/>
        <w:outlineLvl w:val="1"/>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六、结算方式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pStyle w:val="2"/>
        <w:rPr>
          <w:rFonts w:hint="eastAsia"/>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七、其他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
        <w:spacing w:line="360" w:lineRule="auto"/>
        <w:ind w:firstLine="602" w:firstLineChars="200"/>
        <w:jc w:val="center"/>
        <w:outlineLvl w:val="0"/>
        <w:rPr>
          <w:rFonts w:ascii="宋体" w:hAnsi="宋体"/>
          <w:b/>
          <w:bCs/>
          <w:sz w:val="24"/>
        </w:rPr>
      </w:pPr>
      <w:bookmarkStart w:id="212" w:name="_Toc28851"/>
      <w:bookmarkStart w:id="213" w:name="_Toc21213"/>
      <w:bookmarkStart w:id="214" w:name="_Toc31077"/>
      <w:bookmarkStart w:id="215" w:name="_Toc6214"/>
      <w:bookmarkStart w:id="216" w:name="_Toc21561"/>
      <w:bookmarkStart w:id="217" w:name="_Toc31674"/>
      <w:r>
        <w:rPr>
          <w:rFonts w:hint="eastAsia" w:ascii="仿宋" w:hAnsi="仿宋" w:eastAsia="仿宋" w:cs="宋体"/>
          <w:b/>
          <w:kern w:val="0"/>
          <w:sz w:val="30"/>
          <w:szCs w:val="30"/>
        </w:rPr>
        <w:t>初始报价单</w:t>
      </w:r>
    </w:p>
    <w:tbl>
      <w:tblPr>
        <w:tblStyle w:val="16"/>
        <w:tblpPr w:leftFromText="180" w:rightFromText="180" w:vertAnchor="text" w:horzAnchor="page" w:tblpX="1165" w:tblpY="479"/>
        <w:tblOverlap w:val="never"/>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319"/>
        <w:gridCol w:w="1091"/>
        <w:gridCol w:w="1009"/>
        <w:gridCol w:w="1295"/>
        <w:gridCol w:w="2100"/>
        <w:gridCol w:w="68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kern w:val="0"/>
                <w:sz w:val="21"/>
                <w:szCs w:val="21"/>
              </w:rPr>
              <w:t>项目</w:t>
            </w:r>
            <w:r>
              <w:rPr>
                <w:rFonts w:ascii="宋体" w:hAnsi="宋体" w:cs="宋体"/>
                <w:b/>
                <w:bCs/>
                <w:kern w:val="0"/>
                <w:sz w:val="21"/>
                <w:szCs w:val="21"/>
              </w:rPr>
              <w:t>名称</w:t>
            </w:r>
          </w:p>
        </w:tc>
        <w:tc>
          <w:tcPr>
            <w:tcW w:w="1319"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lang w:eastAsia="zh-CN"/>
              </w:rPr>
              <w:t>品名</w:t>
            </w:r>
          </w:p>
        </w:tc>
        <w:tc>
          <w:tcPr>
            <w:tcW w:w="1091"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eastAsia="宋体" w:cs="宋体"/>
                <w:b/>
                <w:bCs/>
                <w:sz w:val="21"/>
                <w:szCs w:val="21"/>
                <w:lang w:eastAsia="zh-CN"/>
              </w:rPr>
            </w:pPr>
            <w:r>
              <w:rPr>
                <w:rFonts w:hint="eastAsia" w:ascii="宋体" w:hAnsi="宋体" w:cs="宋体"/>
                <w:b/>
                <w:bCs/>
                <w:sz w:val="21"/>
                <w:szCs w:val="21"/>
                <w:lang w:eastAsia="zh-CN"/>
              </w:rPr>
              <w:t>单位</w:t>
            </w:r>
          </w:p>
        </w:tc>
        <w:tc>
          <w:tcPr>
            <w:tcW w:w="1009"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数量</w:t>
            </w:r>
          </w:p>
        </w:tc>
        <w:tc>
          <w:tcPr>
            <w:tcW w:w="12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品牌</w:t>
            </w:r>
          </w:p>
        </w:tc>
        <w:tc>
          <w:tcPr>
            <w:tcW w:w="210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规格及内容</w:t>
            </w:r>
          </w:p>
        </w:tc>
        <w:tc>
          <w:tcPr>
            <w:tcW w:w="68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pBdr>
                <w:bottom w:val="none" w:color="auto" w:sz="0" w:space="0"/>
              </w:pBdr>
              <w:kinsoku/>
              <w:wordWrap/>
              <w:overflowPunct/>
              <w:topLinePunct w:val="0"/>
              <w:autoSpaceDE/>
              <w:autoSpaceDN/>
              <w:bidi w:val="0"/>
              <w:adjustRightInd/>
              <w:snapToGrid/>
              <w:spacing w:line="360" w:lineRule="exact"/>
              <w:textAlignment w:val="auto"/>
              <w:rPr>
                <w:rFonts w:ascii="宋体" w:hAnsi="宋体" w:cs="宋体"/>
                <w:b/>
                <w:bCs/>
                <w:sz w:val="21"/>
                <w:szCs w:val="21"/>
              </w:rPr>
            </w:pPr>
            <w:r>
              <w:rPr>
                <w:rFonts w:hint="eastAsia" w:ascii="宋体" w:hAnsi="宋体" w:cs="宋体"/>
                <w:b/>
                <w:bCs/>
                <w:sz w:val="21"/>
                <w:szCs w:val="21"/>
              </w:rPr>
              <w:t>市场价格</w:t>
            </w:r>
          </w:p>
        </w:tc>
        <w:tc>
          <w:tcPr>
            <w:tcW w:w="123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r>
              <w:rPr>
                <w:rFonts w:hint="eastAsia" w:ascii="宋体" w:hAnsi="宋体" w:cs="宋体"/>
                <w:bCs/>
                <w:sz w:val="24"/>
                <w:lang w:eastAsia="zh-CN"/>
              </w:rPr>
              <w:t>南方医科大学第五附属医院</w:t>
            </w:r>
            <w:r>
              <w:rPr>
                <w:rFonts w:hint="eastAsia" w:ascii="宋体" w:hAnsi="宋体" w:cs="宋体"/>
                <w:bCs/>
                <w:sz w:val="24"/>
              </w:rPr>
              <w:t>2022年中秋节慰问品采购项目</w:t>
            </w:r>
          </w:p>
        </w:tc>
        <w:tc>
          <w:tcPr>
            <w:tcW w:w="1319"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009"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23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bl>
    <w:p>
      <w:pPr>
        <w:pStyle w:val="2"/>
        <w:spacing w:line="360" w:lineRule="auto"/>
        <w:rPr>
          <w:rFonts w:ascii="宋体" w:hAnsi="宋体"/>
          <w:sz w:val="24"/>
        </w:rPr>
      </w:pPr>
    </w:p>
    <w:p>
      <w:pPr>
        <w:pStyle w:val="2"/>
        <w:spacing w:line="360" w:lineRule="auto"/>
        <w:rPr>
          <w:rFonts w:hint="eastAsia" w:ascii="宋体" w:hAnsi="宋体"/>
          <w:b/>
          <w:bCs/>
          <w:sz w:val="24"/>
          <w:lang w:eastAsia="zh-CN"/>
        </w:rPr>
      </w:pPr>
      <w:r>
        <w:rPr>
          <w:rFonts w:hint="eastAsia" w:ascii="宋体" w:hAnsi="宋体"/>
          <w:b/>
          <w:bCs/>
          <w:sz w:val="24"/>
          <w:lang w:eastAsia="zh-CN"/>
        </w:rPr>
        <w:t>备注：</w:t>
      </w:r>
    </w:p>
    <w:p>
      <w:pPr>
        <w:pStyle w:val="2"/>
        <w:spacing w:line="360" w:lineRule="auto"/>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pStyle w:val="2"/>
        <w:spacing w:line="360" w:lineRule="auto"/>
        <w:ind w:left="1446" w:hanging="1446" w:hangingChars="600"/>
        <w:rPr>
          <w:rFonts w:hint="eastAsia" w:ascii="宋体" w:hAnsi="宋体" w:cs="宋体"/>
          <w:sz w:val="24"/>
        </w:rPr>
      </w:pPr>
      <w:r>
        <w:rPr>
          <w:rFonts w:hint="eastAsia" w:ascii="宋体" w:hAnsi="宋体"/>
          <w:b/>
          <w:bCs/>
          <w:sz w:val="24"/>
        </w:rPr>
        <w:t>2.报价要求:</w:t>
      </w:r>
      <w:r>
        <w:rPr>
          <w:rFonts w:hint="eastAsia" w:ascii="宋体" w:hAnsi="宋体" w:cs="宋体"/>
          <w:sz w:val="24"/>
        </w:rPr>
        <w:t>报价包含但不限于慰问品采购、包装、运输、配送、发放等全过程费用的含税价。</w:t>
      </w:r>
    </w:p>
    <w:p>
      <w:pPr>
        <w:widowControl/>
        <w:spacing w:line="360" w:lineRule="auto"/>
        <w:jc w:val="left"/>
        <w:rPr>
          <w:rFonts w:ascii="宋体" w:hAnsi="宋体"/>
          <w:b/>
          <w:bCs/>
          <w:sz w:val="24"/>
        </w:rPr>
      </w:pPr>
      <w:r>
        <w:rPr>
          <w:rFonts w:hint="eastAsia" w:ascii="宋体" w:hAnsi="宋体"/>
          <w:b/>
          <w:bCs/>
          <w:sz w:val="24"/>
        </w:rPr>
        <w:t>3.附加说明：</w:t>
      </w:r>
    </w:p>
    <w:p>
      <w:pPr>
        <w:widowControl/>
        <w:spacing w:line="360" w:lineRule="auto"/>
        <w:jc w:val="left"/>
        <w:rPr>
          <w:rFonts w:ascii="宋体" w:hAnsi="宋体"/>
          <w:sz w:val="24"/>
        </w:rPr>
      </w:pPr>
      <w:r>
        <w:rPr>
          <w:rFonts w:hint="eastAsia" w:ascii="宋体" w:hAnsi="宋体"/>
          <w:b/>
          <w:bCs/>
          <w:sz w:val="24"/>
        </w:rPr>
        <w:t>3.1交货期：</w:t>
      </w:r>
      <w:r>
        <w:rPr>
          <w:rFonts w:hint="eastAsia" w:ascii="宋体" w:hAnsi="宋体"/>
          <w:sz w:val="24"/>
        </w:rPr>
        <w:t xml:space="preserve">   年   月    日；</w:t>
      </w:r>
    </w:p>
    <w:p>
      <w:pPr>
        <w:pStyle w:val="2"/>
        <w:spacing w:line="360" w:lineRule="auto"/>
        <w:outlineLvl w:val="0"/>
        <w:rPr>
          <w:rFonts w:ascii="宋体" w:hAnsi="宋体"/>
          <w:b/>
          <w:bCs/>
          <w:sz w:val="24"/>
        </w:rPr>
      </w:pPr>
      <w:bookmarkStart w:id="218" w:name="_Toc22248"/>
      <w:r>
        <w:rPr>
          <w:rFonts w:hint="eastAsia" w:ascii="宋体" w:hAnsi="宋体"/>
          <w:b/>
          <w:bCs/>
          <w:sz w:val="24"/>
        </w:rPr>
        <w:t>3.2其他承诺：</w:t>
      </w:r>
      <w:bookmarkEnd w:id="218"/>
    </w:p>
    <w:p>
      <w:pPr>
        <w:widowControl/>
        <w:spacing w:line="360" w:lineRule="auto"/>
        <w:ind w:firstLine="6720" w:firstLineChars="2800"/>
        <w:jc w:val="left"/>
        <w:rPr>
          <w:rFonts w:ascii="宋体" w:hAnsi="宋体"/>
          <w:sz w:val="24"/>
        </w:rPr>
      </w:pPr>
    </w:p>
    <w:p>
      <w:pPr>
        <w:widowControl/>
        <w:spacing w:line="360" w:lineRule="auto"/>
        <w:ind w:firstLine="6720" w:firstLineChars="2800"/>
        <w:jc w:val="left"/>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19" w:name="_Toc16161"/>
      <w:r>
        <w:rPr>
          <w:rFonts w:hint="eastAsia" w:ascii="宋体" w:hAnsi="宋体"/>
          <w:sz w:val="24"/>
        </w:rPr>
        <w:t>公司名称（加盖公章）：</w:t>
      </w:r>
      <w:bookmarkEnd w:id="219"/>
    </w:p>
    <w:p>
      <w:pPr>
        <w:widowControl/>
        <w:spacing w:line="360" w:lineRule="auto"/>
        <w:ind w:firstLine="6000" w:firstLineChars="2500"/>
        <w:jc w:val="left"/>
        <w:outlineLvl w:val="0"/>
        <w:rPr>
          <w:rFonts w:ascii="宋体" w:hAnsi="宋体"/>
          <w:sz w:val="24"/>
        </w:rPr>
      </w:pPr>
      <w:bookmarkStart w:id="220"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0"/>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1"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1"/>
    </w:p>
    <w:p>
      <w:pPr>
        <w:pStyle w:val="6"/>
        <w:ind w:firstLine="0"/>
        <w:jc w:val="center"/>
        <w:outlineLvl w:val="0"/>
        <w:rPr>
          <w:rFonts w:ascii="宋体" w:hAnsi="宋体" w:cs="宋体"/>
          <w:b/>
          <w:bCs/>
          <w:sz w:val="32"/>
          <w:szCs w:val="32"/>
        </w:rPr>
      </w:pPr>
    </w:p>
    <w:p>
      <w:pPr>
        <w:pStyle w:val="25"/>
        <w:tabs>
          <w:tab w:val="left" w:pos="1050"/>
          <w:tab w:val="center" w:pos="4535"/>
        </w:tabs>
        <w:spacing w:line="360" w:lineRule="auto"/>
        <w:jc w:val="center"/>
        <w:outlineLvl w:val="9"/>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bookmarkStart w:id="222" w:name="_Toc11748"/>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12"/>
      <w:bookmarkEnd w:id="213"/>
      <w:bookmarkEnd w:id="214"/>
      <w:bookmarkEnd w:id="215"/>
      <w:bookmarkEnd w:id="222"/>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9"/>
        <w:rPr>
          <w:rFonts w:hint="eastAsia"/>
          <w:b/>
          <w:bCs/>
          <w:color w:val="auto"/>
          <w:sz w:val="32"/>
          <w:szCs w:val="32"/>
        </w:rPr>
      </w:pPr>
      <w:bookmarkStart w:id="223" w:name="_Toc7276"/>
      <w:bookmarkStart w:id="224" w:name="_Toc3758"/>
      <w:bookmarkStart w:id="225" w:name="_Toc3241"/>
      <w:bookmarkStart w:id="226" w:name="_Toc18443"/>
      <w:bookmarkStart w:id="227" w:name="_Toc22175"/>
      <w:bookmarkStart w:id="228" w:name="_Toc14853"/>
      <w:bookmarkStart w:id="229" w:name="_Toc15050"/>
      <w:bookmarkStart w:id="230" w:name="_Toc14020"/>
      <w:bookmarkStart w:id="231" w:name="_Toc28957"/>
      <w:bookmarkStart w:id="232" w:name="_Toc23685"/>
      <w:bookmarkStart w:id="233" w:name="_Toc14591"/>
    </w:p>
    <w:p>
      <w:pPr>
        <w:pStyle w:val="25"/>
        <w:spacing w:line="360" w:lineRule="auto"/>
        <w:jc w:val="center"/>
        <w:outlineLvl w:val="0"/>
        <w:rPr>
          <w:b/>
          <w:bCs/>
          <w:color w:val="auto"/>
          <w:sz w:val="32"/>
          <w:szCs w:val="32"/>
        </w:rPr>
      </w:pPr>
      <w:bookmarkStart w:id="234" w:name="_Toc11289"/>
      <w:r>
        <w:rPr>
          <w:rFonts w:hint="eastAsia"/>
          <w:b/>
          <w:bCs/>
          <w:color w:val="auto"/>
          <w:sz w:val="32"/>
          <w:szCs w:val="32"/>
        </w:rPr>
        <w:t>法定代表人授权委托书</w:t>
      </w:r>
      <w:bookmarkEnd w:id="223"/>
      <w:bookmarkEnd w:id="224"/>
      <w:bookmarkEnd w:id="225"/>
      <w:bookmarkEnd w:id="226"/>
      <w:bookmarkEnd w:id="227"/>
      <w:bookmarkEnd w:id="228"/>
      <w:bookmarkEnd w:id="229"/>
      <w:bookmarkEnd w:id="230"/>
      <w:bookmarkEnd w:id="231"/>
      <w:bookmarkEnd w:id="232"/>
      <w:bookmarkEnd w:id="233"/>
      <w:bookmarkEnd w:id="234"/>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5"/>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5" w:name="_Toc10212"/>
      <w:bookmarkStart w:id="236" w:name="_Toc32281"/>
      <w:bookmarkStart w:id="237" w:name="_Toc31757"/>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6"/>
      <w:bookmarkEnd w:id="217"/>
      <w:bookmarkEnd w:id="235"/>
      <w:bookmarkEnd w:id="236"/>
      <w:bookmarkEnd w:id="23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38" w:name="_Toc6536"/>
      <w:bookmarkStart w:id="239" w:name="_Toc16613"/>
      <w:bookmarkStart w:id="240" w:name="_Toc3109"/>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38"/>
      <w:bookmarkEnd w:id="239"/>
      <w:bookmarkEnd w:id="24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41" w:name="_Toc40776119"/>
      <w:bookmarkStart w:id="242" w:name="_Toc40346226"/>
      <w:bookmarkStart w:id="243" w:name="_Toc20164"/>
      <w:bookmarkStart w:id="244" w:name="_Toc17929"/>
      <w:bookmarkStart w:id="245" w:name="_Toc30558"/>
      <w:bookmarkStart w:id="246" w:name="_Toc40346385"/>
      <w:bookmarkStart w:id="247" w:name="_Toc27180"/>
      <w:bookmarkStart w:id="248" w:name="_Toc23732"/>
      <w:bookmarkStart w:id="249" w:name="_Toc21435"/>
      <w:bookmarkStart w:id="250" w:name="_Toc16505"/>
      <w:bookmarkStart w:id="251" w:name="_Toc9749"/>
      <w:bookmarkStart w:id="252" w:name="_Toc24877"/>
    </w:p>
    <w:bookmarkEnd w:id="241"/>
    <w:bookmarkEnd w:id="242"/>
    <w:bookmarkEnd w:id="243"/>
    <w:bookmarkEnd w:id="244"/>
    <w:bookmarkEnd w:id="245"/>
    <w:bookmarkEnd w:id="246"/>
    <w:bookmarkEnd w:id="247"/>
    <w:bookmarkEnd w:id="248"/>
    <w:bookmarkEnd w:id="249"/>
    <w:bookmarkEnd w:id="250"/>
    <w:bookmarkEnd w:id="251"/>
    <w:bookmarkEnd w:id="252"/>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53" w:name="_Toc31988"/>
      <w:bookmarkStart w:id="254" w:name="_Toc16816"/>
      <w:bookmarkStart w:id="255" w:name="_Toc24705"/>
      <w:bookmarkStart w:id="256" w:name="_Toc17932"/>
      <w:bookmarkStart w:id="257" w:name="_Toc19803"/>
      <w:bookmarkStart w:id="258" w:name="_Toc2196"/>
      <w:bookmarkStart w:id="259" w:name="_Toc25012"/>
      <w:bookmarkStart w:id="260" w:name="_Toc14093"/>
      <w:bookmarkStart w:id="261" w:name="_Toc1521"/>
      <w:bookmarkStart w:id="262" w:name="_Toc5396"/>
      <w:bookmarkStart w:id="263" w:name="_Toc27834"/>
      <w:bookmarkStart w:id="264" w:name="_Toc14321"/>
      <w:r>
        <w:rPr>
          <w:rFonts w:hint="eastAsia"/>
          <w:b/>
          <w:bCs/>
          <w:color w:val="auto"/>
          <w:sz w:val="32"/>
          <w:szCs w:val="32"/>
        </w:rPr>
        <w:t>公平竞争承诺书</w:t>
      </w:r>
      <w:bookmarkEnd w:id="253"/>
      <w:bookmarkEnd w:id="254"/>
      <w:bookmarkEnd w:id="255"/>
      <w:bookmarkEnd w:id="256"/>
      <w:bookmarkEnd w:id="257"/>
      <w:bookmarkEnd w:id="258"/>
      <w:bookmarkEnd w:id="259"/>
      <w:bookmarkEnd w:id="260"/>
      <w:bookmarkEnd w:id="261"/>
      <w:bookmarkEnd w:id="262"/>
      <w:bookmarkEnd w:id="263"/>
      <w:bookmarkEnd w:id="264"/>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5" w:name="_Toc9308"/>
      <w:bookmarkStart w:id="266" w:name="_Toc9813"/>
      <w:bookmarkStart w:id="267" w:name="_Toc22349"/>
      <w:bookmarkStart w:id="268" w:name="_Toc5237"/>
      <w:bookmarkStart w:id="269" w:name="_Toc6773"/>
      <w:bookmarkStart w:id="270" w:name="_Toc20949"/>
      <w:bookmarkStart w:id="271" w:name="_Toc9333"/>
      <w:bookmarkStart w:id="272" w:name="_Toc4538"/>
      <w:bookmarkStart w:id="273" w:name="_Toc29986"/>
      <w:bookmarkStart w:id="274" w:name="_Toc12567"/>
      <w:bookmarkStart w:id="275" w:name="_Toc12986"/>
      <w:bookmarkStart w:id="276" w:name="_Toc9085"/>
      <w:r>
        <w:rPr>
          <w:rFonts w:hint="eastAsia"/>
          <w:b/>
          <w:bCs/>
          <w:color w:val="auto"/>
          <w:sz w:val="32"/>
          <w:szCs w:val="32"/>
        </w:rPr>
        <w:t>关于资格和响应文件的声明函</w:t>
      </w:r>
      <w:bookmarkEnd w:id="265"/>
      <w:bookmarkEnd w:id="266"/>
      <w:bookmarkEnd w:id="267"/>
      <w:bookmarkEnd w:id="268"/>
      <w:bookmarkEnd w:id="269"/>
      <w:bookmarkEnd w:id="270"/>
      <w:bookmarkEnd w:id="271"/>
      <w:bookmarkEnd w:id="272"/>
      <w:bookmarkEnd w:id="273"/>
      <w:bookmarkEnd w:id="274"/>
      <w:bookmarkEnd w:id="275"/>
      <w:bookmarkEnd w:id="276"/>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根据评分标准提供</w:t>
      </w:r>
      <w:r>
        <w:rPr>
          <w:rFonts w:hint="eastAsia" w:ascii="宋体" w:hAnsi="宋体" w:cs="宋体"/>
          <w:b/>
          <w:bCs/>
          <w:color w:val="auto"/>
          <w:sz w:val="24"/>
          <w:szCs w:val="24"/>
          <w:highlight w:val="none"/>
          <w:lang w:eastAsia="zh-CN"/>
        </w:rPr>
        <w:t>对应</w:t>
      </w:r>
      <w:r>
        <w:rPr>
          <w:rFonts w:hint="eastAsia" w:ascii="宋体" w:hAnsi="宋体" w:eastAsia="宋体" w:cs="宋体"/>
          <w:b/>
          <w:bCs/>
          <w:color w:val="auto"/>
          <w:sz w:val="24"/>
          <w:szCs w:val="24"/>
          <w:highlight w:val="none"/>
          <w:lang w:eastAsia="zh-CN"/>
        </w:rPr>
        <w:t>佐证材料</w:t>
      </w:r>
    </w:p>
    <w:p>
      <w:pPr>
        <w:pStyle w:val="2"/>
        <w:rPr>
          <w:rFonts w:hint="eastAsia" w:ascii="宋体" w:hAnsi="宋体" w:eastAsia="宋体" w:cs="宋体"/>
          <w:color w:val="auto"/>
          <w:sz w:val="24"/>
          <w:szCs w:val="24"/>
          <w:highlight w:val="yellow"/>
          <w:lang w:eastAsia="zh-CN"/>
        </w:rPr>
      </w:pPr>
    </w:p>
    <w:p>
      <w:pPr>
        <w:pStyle w:val="2"/>
        <w:spacing w:line="360" w:lineRule="auto"/>
        <w:rPr>
          <w:rFonts w:hint="eastAsia" w:ascii="宋体" w:hAnsi="宋体"/>
          <w:color w:val="auto"/>
          <w:sz w:val="24"/>
          <w:highlight w:val="yellow"/>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3"/>
        <w:jc w:val="center"/>
        <w:outlineLvl w:val="9"/>
        <w:rPr>
          <w:color w:val="auto"/>
        </w:rPr>
      </w:pPr>
    </w:p>
    <w:p>
      <w:pPr>
        <w:rPr>
          <w:color w:val="auto"/>
        </w:rPr>
      </w:pPr>
    </w:p>
    <w:p>
      <w:pPr>
        <w:pStyle w:val="3"/>
        <w:outlineLvl w:val="9"/>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7" w:name="_Toc17933"/>
      <w:bookmarkStart w:id="278" w:name="_Toc26773"/>
      <w:r>
        <w:rPr>
          <w:rFonts w:hint="eastAsia" w:ascii="宋体" w:hAnsi="宋体" w:eastAsia="宋体"/>
          <w:color w:val="auto"/>
          <w:sz w:val="40"/>
          <w:lang w:eastAsia="zh-CN"/>
        </w:rPr>
        <w:t>合同模板</w:t>
      </w:r>
      <w:bookmarkEnd w:id="277"/>
      <w:r>
        <w:rPr>
          <w:rFonts w:hint="eastAsia" w:ascii="宋体" w:hAnsi="宋体" w:eastAsia="宋体"/>
          <w:color w:val="auto"/>
          <w:sz w:val="40"/>
          <w:lang w:eastAsia="zh-CN"/>
        </w:rPr>
        <w:t>（报名成功后获得）</w:t>
      </w:r>
      <w:bookmarkEnd w:id="278"/>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2"/>
        <w:spacing w:line="288" w:lineRule="auto"/>
        <w:rPr>
          <w:rFonts w:ascii="宋体" w:hAnsi="宋体" w:cs="宋体"/>
          <w:color w:val="auto"/>
          <w:szCs w:val="21"/>
        </w:rPr>
      </w:pPr>
    </w:p>
    <w:p>
      <w:pPr>
        <w:rPr>
          <w:rFonts w:hAnsi="宋体" w:cs="宋体"/>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CAE089B"/>
    <w:multiLevelType w:val="singleLevel"/>
    <w:tmpl w:val="5CAE089B"/>
    <w:lvl w:ilvl="0" w:tentative="0">
      <w:start w:val="2"/>
      <w:numFmt w:val="chineseCounting"/>
      <w:suff w:val="space"/>
      <w:lvlText w:val="第%1部分"/>
      <w:lvlJc w:val="left"/>
      <w:rPr>
        <w:rFonts w:hint="eastAsia"/>
      </w:rPr>
    </w:lvl>
  </w:abstractNum>
  <w:abstractNum w:abstractNumId="3">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AE423C"/>
    <w:rsid w:val="031C04E2"/>
    <w:rsid w:val="034404CF"/>
    <w:rsid w:val="035A45AA"/>
    <w:rsid w:val="039B179B"/>
    <w:rsid w:val="04151569"/>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C35A2"/>
    <w:rsid w:val="0C705246"/>
    <w:rsid w:val="0CAD27D4"/>
    <w:rsid w:val="0D1F6A7A"/>
    <w:rsid w:val="0E970697"/>
    <w:rsid w:val="0ED05230"/>
    <w:rsid w:val="0EE9378D"/>
    <w:rsid w:val="0F2B5904"/>
    <w:rsid w:val="11B73ED3"/>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C74E69"/>
    <w:rsid w:val="1AF93CE3"/>
    <w:rsid w:val="1B977D90"/>
    <w:rsid w:val="1CAC7FE6"/>
    <w:rsid w:val="1DE30DB3"/>
    <w:rsid w:val="1E4F22B0"/>
    <w:rsid w:val="1F187406"/>
    <w:rsid w:val="20995391"/>
    <w:rsid w:val="20B81B4B"/>
    <w:rsid w:val="21282075"/>
    <w:rsid w:val="21CF3215"/>
    <w:rsid w:val="21D627A8"/>
    <w:rsid w:val="22A53EBB"/>
    <w:rsid w:val="22F85FBE"/>
    <w:rsid w:val="22FB2B87"/>
    <w:rsid w:val="25394189"/>
    <w:rsid w:val="254863CC"/>
    <w:rsid w:val="255D353C"/>
    <w:rsid w:val="25673FA5"/>
    <w:rsid w:val="262F2952"/>
    <w:rsid w:val="26C20E41"/>
    <w:rsid w:val="26F058DC"/>
    <w:rsid w:val="272975C1"/>
    <w:rsid w:val="274618E3"/>
    <w:rsid w:val="27715F5E"/>
    <w:rsid w:val="27E21FC8"/>
    <w:rsid w:val="28084236"/>
    <w:rsid w:val="282633A8"/>
    <w:rsid w:val="28716EFA"/>
    <w:rsid w:val="2886681A"/>
    <w:rsid w:val="28EF5E90"/>
    <w:rsid w:val="298D7034"/>
    <w:rsid w:val="2A241B69"/>
    <w:rsid w:val="2A8A0209"/>
    <w:rsid w:val="2B694EC9"/>
    <w:rsid w:val="2BD8709E"/>
    <w:rsid w:val="2BE11C14"/>
    <w:rsid w:val="2C1134D3"/>
    <w:rsid w:val="2C695F59"/>
    <w:rsid w:val="2D07550B"/>
    <w:rsid w:val="2DA7679B"/>
    <w:rsid w:val="2FB56247"/>
    <w:rsid w:val="2FD823C2"/>
    <w:rsid w:val="2FD82C2E"/>
    <w:rsid w:val="300F2D70"/>
    <w:rsid w:val="30120A8D"/>
    <w:rsid w:val="311010E0"/>
    <w:rsid w:val="31120C66"/>
    <w:rsid w:val="31EA386E"/>
    <w:rsid w:val="36917A9F"/>
    <w:rsid w:val="370B587C"/>
    <w:rsid w:val="377A2F71"/>
    <w:rsid w:val="380B2F5F"/>
    <w:rsid w:val="39D13924"/>
    <w:rsid w:val="3C683C2C"/>
    <w:rsid w:val="3C943841"/>
    <w:rsid w:val="3CF94A44"/>
    <w:rsid w:val="3D6A0B18"/>
    <w:rsid w:val="3DBE51F4"/>
    <w:rsid w:val="3E5D51F2"/>
    <w:rsid w:val="3EBA1C45"/>
    <w:rsid w:val="3F794EB1"/>
    <w:rsid w:val="3F8955E2"/>
    <w:rsid w:val="3FF52FF7"/>
    <w:rsid w:val="40065B1F"/>
    <w:rsid w:val="416135FA"/>
    <w:rsid w:val="41B60C35"/>
    <w:rsid w:val="41CD076A"/>
    <w:rsid w:val="42A321BA"/>
    <w:rsid w:val="42AF6223"/>
    <w:rsid w:val="435B5C8B"/>
    <w:rsid w:val="44062D00"/>
    <w:rsid w:val="44546201"/>
    <w:rsid w:val="44581F51"/>
    <w:rsid w:val="449832F3"/>
    <w:rsid w:val="451E6F60"/>
    <w:rsid w:val="45244DEA"/>
    <w:rsid w:val="46D069DB"/>
    <w:rsid w:val="485129D4"/>
    <w:rsid w:val="48F44CB0"/>
    <w:rsid w:val="49040430"/>
    <w:rsid w:val="49054F84"/>
    <w:rsid w:val="49386EF2"/>
    <w:rsid w:val="4A3B6FBA"/>
    <w:rsid w:val="4A950DCF"/>
    <w:rsid w:val="4C603C95"/>
    <w:rsid w:val="4C981BA5"/>
    <w:rsid w:val="4CAF6F6C"/>
    <w:rsid w:val="4CED0E45"/>
    <w:rsid w:val="4D72553A"/>
    <w:rsid w:val="4DAC34B5"/>
    <w:rsid w:val="4DDF729F"/>
    <w:rsid w:val="4E011820"/>
    <w:rsid w:val="4E2D698F"/>
    <w:rsid w:val="4E4C452A"/>
    <w:rsid w:val="4E5E5E11"/>
    <w:rsid w:val="4E98699E"/>
    <w:rsid w:val="4ED23FAB"/>
    <w:rsid w:val="50C82D96"/>
    <w:rsid w:val="50FC2A30"/>
    <w:rsid w:val="51403B6E"/>
    <w:rsid w:val="514C42EA"/>
    <w:rsid w:val="51A73BDA"/>
    <w:rsid w:val="52726854"/>
    <w:rsid w:val="538E410D"/>
    <w:rsid w:val="53A776AF"/>
    <w:rsid w:val="55D55D03"/>
    <w:rsid w:val="56187F25"/>
    <w:rsid w:val="5623033B"/>
    <w:rsid w:val="56553C8D"/>
    <w:rsid w:val="5658445F"/>
    <w:rsid w:val="568F6108"/>
    <w:rsid w:val="579161E1"/>
    <w:rsid w:val="584A1AA0"/>
    <w:rsid w:val="5851284C"/>
    <w:rsid w:val="58D76A1B"/>
    <w:rsid w:val="59287F31"/>
    <w:rsid w:val="5A4B59E1"/>
    <w:rsid w:val="5A6E3589"/>
    <w:rsid w:val="5A9814EF"/>
    <w:rsid w:val="5B245060"/>
    <w:rsid w:val="5B6836FC"/>
    <w:rsid w:val="5C8E6CC1"/>
    <w:rsid w:val="5CD4150B"/>
    <w:rsid w:val="5CFC008B"/>
    <w:rsid w:val="5D453D32"/>
    <w:rsid w:val="5D6F1865"/>
    <w:rsid w:val="5D8E3A90"/>
    <w:rsid w:val="5ED21E8E"/>
    <w:rsid w:val="5ED7519A"/>
    <w:rsid w:val="5F0B7BE8"/>
    <w:rsid w:val="5F7243E2"/>
    <w:rsid w:val="60423FDD"/>
    <w:rsid w:val="60636240"/>
    <w:rsid w:val="61306A6A"/>
    <w:rsid w:val="614B10EF"/>
    <w:rsid w:val="62FC7815"/>
    <w:rsid w:val="635941B3"/>
    <w:rsid w:val="63D27641"/>
    <w:rsid w:val="641E2A62"/>
    <w:rsid w:val="64C02086"/>
    <w:rsid w:val="65877B96"/>
    <w:rsid w:val="658925AF"/>
    <w:rsid w:val="66845C96"/>
    <w:rsid w:val="673451CA"/>
    <w:rsid w:val="6772399F"/>
    <w:rsid w:val="6780006F"/>
    <w:rsid w:val="684D2239"/>
    <w:rsid w:val="689C77C3"/>
    <w:rsid w:val="68B72DD1"/>
    <w:rsid w:val="6A274C05"/>
    <w:rsid w:val="6B1B462D"/>
    <w:rsid w:val="6D971A88"/>
    <w:rsid w:val="6DA25BA6"/>
    <w:rsid w:val="6F32730A"/>
    <w:rsid w:val="705C256B"/>
    <w:rsid w:val="7139323E"/>
    <w:rsid w:val="71F6334C"/>
    <w:rsid w:val="73093017"/>
    <w:rsid w:val="743D52CE"/>
    <w:rsid w:val="752A0A70"/>
    <w:rsid w:val="752E6281"/>
    <w:rsid w:val="754135B9"/>
    <w:rsid w:val="75656114"/>
    <w:rsid w:val="776963DA"/>
    <w:rsid w:val="783919C4"/>
    <w:rsid w:val="78D00495"/>
    <w:rsid w:val="78FA1F51"/>
    <w:rsid w:val="795067BF"/>
    <w:rsid w:val="79CB3169"/>
    <w:rsid w:val="79FA6E97"/>
    <w:rsid w:val="7A597865"/>
    <w:rsid w:val="7A6F193F"/>
    <w:rsid w:val="7B1665E7"/>
    <w:rsid w:val="7C4A0BE1"/>
    <w:rsid w:val="7C66738C"/>
    <w:rsid w:val="7C6737CC"/>
    <w:rsid w:val="7CC01DE0"/>
    <w:rsid w:val="7D876186"/>
    <w:rsid w:val="7E7B76A5"/>
    <w:rsid w:val="7EB4618D"/>
    <w:rsid w:val="7EE929F5"/>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20</Pages>
  <Words>5207</Words>
  <Characters>5404</Characters>
  <Lines>93</Lines>
  <Paragraphs>26</Paragraphs>
  <TotalTime>5</TotalTime>
  <ScaleCrop>false</ScaleCrop>
  <LinksUpToDate>false</LinksUpToDate>
  <CharactersWithSpaces>6384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2022-08-03T07:25:00Z</cp:lastPrinted>
  <dcterms:modified xsi:type="dcterms:W3CDTF">2022-08-04T03:29:05Z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47429C040DC449BB8D491E4A4BA5268A</vt:lpwstr>
  </property>
</Properties>
</file>