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ascii="宋体" w:hAnsi="宋体"/>
          <w:b/>
          <w:kern w:val="0"/>
          <w:sz w:val="44"/>
          <w:szCs w:val="44"/>
        </w:rPr>
      </w:pPr>
      <w:r>
        <w:rPr>
          <w:rFonts w:hint="eastAsia" w:ascii="宋体" w:hAnsi="宋体"/>
          <w:b/>
          <w:kern w:val="0"/>
          <w:sz w:val="44"/>
          <w:szCs w:val="44"/>
        </w:rPr>
        <w:t>污水处理消毒粉剂采购项目</w:t>
      </w:r>
    </w:p>
    <w:p>
      <w:pPr>
        <w:jc w:val="center"/>
        <w:rPr>
          <w:rFonts w:ascii="宋体" w:hAnsi="宋体"/>
          <w:b/>
          <w:kern w:val="0"/>
          <w:sz w:val="48"/>
          <w:szCs w:val="48"/>
        </w:rPr>
      </w:pPr>
    </w:p>
    <w:p>
      <w:pPr>
        <w:jc w:val="center"/>
        <w:rPr>
          <w:rFonts w:ascii="宋体" w:hAnsi="宋体"/>
          <w:b/>
          <w:kern w:val="0"/>
          <w:sz w:val="48"/>
          <w:szCs w:val="4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2530" w:firstLineChars="700"/>
        <w:rPr>
          <w:rFonts w:ascii="宋体" w:hAnsi="宋体"/>
          <w:b/>
          <w:bCs/>
          <w:sz w:val="36"/>
          <w:szCs w:val="36"/>
        </w:rPr>
      </w:pPr>
      <w:r>
        <w:rPr>
          <w:rFonts w:hint="eastAsia" w:ascii="宋体" w:hAnsi="宋体"/>
          <w:b/>
          <w:bCs/>
          <w:sz w:val="36"/>
          <w:szCs w:val="36"/>
        </w:rPr>
        <w:t>项目编号：NYWYH2022003</w:t>
      </w:r>
    </w:p>
    <w:p>
      <w:pPr>
        <w:pStyle w:val="2"/>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期：2022年5月</w:t>
      </w:r>
    </w:p>
    <w:p>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rPr>
        <w:id w:val="147455384"/>
        <w:docPartObj>
          <w:docPartGallery w:val="Table of Contents"/>
          <w:docPartUnique/>
        </w:docPartObj>
      </w:sdtPr>
      <w:sdtEndPr>
        <w:rPr>
          <w:rFonts w:hint="eastAsia" w:ascii="黑体" w:hAnsi="黑体" w:eastAsia="黑体" w:cs="黑体"/>
          <w:bCs/>
          <w:kern w:val="0"/>
          <w:sz w:val="30"/>
          <w:szCs w:val="30"/>
        </w:rPr>
      </w:sdtEndPr>
      <w:sdtContent>
        <w:p>
          <w:pPr>
            <w:spacing w:line="360" w:lineRule="auto"/>
            <w:jc w:val="center"/>
            <w:rPr>
              <w:rFonts w:ascii="黑体" w:hAnsi="黑体" w:eastAsia="黑体" w:cs="黑体"/>
              <w:sz w:val="44"/>
              <w:szCs w:val="44"/>
            </w:rPr>
          </w:pPr>
          <w:r>
            <w:rPr>
              <w:rFonts w:hint="eastAsia" w:ascii="黑体" w:hAnsi="黑体" w:eastAsia="黑体" w:cs="黑体"/>
              <w:sz w:val="44"/>
              <w:szCs w:val="44"/>
            </w:rPr>
            <w:t>目  录</w:t>
          </w:r>
        </w:p>
        <w:p>
          <w:pPr>
            <w:pStyle w:val="23"/>
            <w:tabs>
              <w:tab w:val="right" w:leader="dot" w:pos="9638"/>
            </w:tabs>
            <w:spacing w:line="360" w:lineRule="auto"/>
            <w:rPr>
              <w:rFonts w:ascii="宋体" w:hAnsi="宋体" w:cs="宋体"/>
              <w:sz w:val="30"/>
              <w:szCs w:val="30"/>
            </w:rPr>
          </w:pPr>
          <w:r>
            <w:rPr>
              <w:rFonts w:hint="eastAsia" w:ascii="宋体" w:hAnsi="宋体" w:cs="宋体"/>
              <w:b/>
              <w:bCs/>
              <w:sz w:val="30"/>
              <w:szCs w:val="30"/>
            </w:rPr>
            <w:fldChar w:fldCharType="begin"/>
          </w:r>
          <w:r>
            <w:rPr>
              <w:rFonts w:hint="eastAsia" w:ascii="宋体" w:hAnsi="宋体" w:cs="宋体"/>
              <w:b/>
              <w:bCs/>
              <w:sz w:val="30"/>
              <w:szCs w:val="30"/>
            </w:rPr>
            <w:instrText xml:space="preserve">TOC \o "1-1" \h \u </w:instrText>
          </w:r>
          <w:r>
            <w:rPr>
              <w:rFonts w:hint="eastAsia" w:ascii="宋体" w:hAnsi="宋体" w:cs="宋体"/>
              <w:b/>
              <w:bCs/>
              <w:sz w:val="30"/>
              <w:szCs w:val="30"/>
            </w:rPr>
            <w:fldChar w:fldCharType="separate"/>
          </w:r>
          <w:r>
            <w:fldChar w:fldCharType="begin"/>
          </w:r>
          <w:r>
            <w:instrText xml:space="preserve"> HYPERLINK \l "_Toc14957" </w:instrText>
          </w:r>
          <w:r>
            <w:fldChar w:fldCharType="separate"/>
          </w:r>
          <w:r>
            <w:rPr>
              <w:rFonts w:hint="eastAsia" w:ascii="宋体" w:hAnsi="宋体" w:cs="宋体"/>
              <w:bCs/>
              <w:sz w:val="30"/>
              <w:szCs w:val="30"/>
            </w:rPr>
            <w:t>第一部分 报名邀请函</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_Toc14957 \h </w:instrText>
          </w:r>
          <w:r>
            <w:rPr>
              <w:rFonts w:hint="eastAsia" w:ascii="宋体" w:hAnsi="宋体" w:cs="宋体"/>
              <w:sz w:val="30"/>
              <w:szCs w:val="30"/>
            </w:rPr>
            <w:fldChar w:fldCharType="separate"/>
          </w:r>
          <w:r>
            <w:rPr>
              <w:rFonts w:hint="eastAsia" w:ascii="宋体" w:hAnsi="宋体" w:cs="宋体"/>
              <w:sz w:val="30"/>
              <w:szCs w:val="30"/>
            </w:rPr>
            <w:t>1</w:t>
          </w:r>
          <w:r>
            <w:rPr>
              <w:rFonts w:hint="eastAsia" w:ascii="宋体" w:hAnsi="宋体" w:cs="宋体"/>
              <w:sz w:val="30"/>
              <w:szCs w:val="30"/>
            </w:rPr>
            <w:fldChar w:fldCharType="end"/>
          </w:r>
          <w:r>
            <w:rPr>
              <w:rFonts w:hint="eastAsia" w:ascii="宋体" w:hAnsi="宋体" w:cs="宋体"/>
              <w:sz w:val="30"/>
              <w:szCs w:val="30"/>
            </w:rPr>
            <w:fldChar w:fldCharType="end"/>
          </w:r>
        </w:p>
        <w:p>
          <w:pPr>
            <w:pStyle w:val="23"/>
            <w:tabs>
              <w:tab w:val="right" w:leader="dot" w:pos="9638"/>
            </w:tabs>
            <w:spacing w:line="360" w:lineRule="auto"/>
            <w:rPr>
              <w:rFonts w:ascii="宋体" w:hAnsi="宋体" w:cs="宋体"/>
              <w:sz w:val="30"/>
              <w:szCs w:val="30"/>
            </w:rPr>
          </w:pPr>
          <w:r>
            <w:fldChar w:fldCharType="begin"/>
          </w:r>
          <w:r>
            <w:instrText xml:space="preserve"> HYPERLINK \l "_Toc1526" </w:instrText>
          </w:r>
          <w:r>
            <w:fldChar w:fldCharType="separate"/>
          </w:r>
          <w:r>
            <w:rPr>
              <w:rFonts w:hint="eastAsia" w:ascii="宋体" w:hAnsi="宋体" w:cs="宋体"/>
              <w:bCs/>
              <w:sz w:val="30"/>
              <w:szCs w:val="30"/>
            </w:rPr>
            <w:t>第二部分  用户需求书</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_Toc1526 \h </w:instrText>
          </w:r>
          <w:r>
            <w:rPr>
              <w:rFonts w:hint="eastAsia" w:ascii="宋体" w:hAnsi="宋体" w:cs="宋体"/>
              <w:sz w:val="30"/>
              <w:szCs w:val="30"/>
            </w:rPr>
            <w:fldChar w:fldCharType="separate"/>
          </w:r>
          <w:r>
            <w:rPr>
              <w:rFonts w:hint="eastAsia" w:ascii="宋体" w:hAnsi="宋体" w:cs="宋体"/>
              <w:sz w:val="30"/>
              <w:szCs w:val="30"/>
            </w:rPr>
            <w:t>3</w:t>
          </w:r>
          <w:r>
            <w:rPr>
              <w:rFonts w:hint="eastAsia" w:ascii="宋体" w:hAnsi="宋体" w:cs="宋体"/>
              <w:sz w:val="30"/>
              <w:szCs w:val="30"/>
            </w:rPr>
            <w:fldChar w:fldCharType="end"/>
          </w:r>
          <w:r>
            <w:rPr>
              <w:rFonts w:hint="eastAsia" w:ascii="宋体" w:hAnsi="宋体" w:cs="宋体"/>
              <w:sz w:val="30"/>
              <w:szCs w:val="30"/>
            </w:rPr>
            <w:fldChar w:fldCharType="end"/>
          </w:r>
        </w:p>
        <w:p>
          <w:pPr>
            <w:pStyle w:val="23"/>
            <w:tabs>
              <w:tab w:val="right" w:leader="dot" w:pos="9638"/>
            </w:tabs>
            <w:spacing w:line="360" w:lineRule="auto"/>
            <w:rPr>
              <w:rFonts w:ascii="宋体" w:hAnsi="宋体" w:cs="宋体"/>
              <w:sz w:val="30"/>
              <w:szCs w:val="30"/>
            </w:rPr>
          </w:pPr>
          <w:r>
            <w:fldChar w:fldCharType="begin"/>
          </w:r>
          <w:r>
            <w:instrText xml:space="preserve"> HYPERLINK \l "_Toc2432" </w:instrText>
          </w:r>
          <w:r>
            <w:fldChar w:fldCharType="separate"/>
          </w:r>
          <w:r>
            <w:rPr>
              <w:rFonts w:hint="eastAsia" w:ascii="宋体" w:hAnsi="宋体" w:cs="宋体"/>
              <w:bCs/>
              <w:sz w:val="30"/>
              <w:szCs w:val="30"/>
            </w:rPr>
            <w:t>第三部分  资料整理注意事项</w:t>
          </w:r>
          <w:r>
            <w:rPr>
              <w:rFonts w:hint="eastAsia" w:ascii="宋体" w:hAnsi="宋体" w:cs="宋体"/>
              <w:sz w:val="30"/>
              <w:szCs w:val="30"/>
            </w:rPr>
            <w:tab/>
          </w:r>
          <w:r>
            <w:rPr>
              <w:rFonts w:hint="eastAsia" w:ascii="宋体" w:hAnsi="宋体" w:cs="宋体"/>
              <w:sz w:val="30"/>
              <w:szCs w:val="30"/>
            </w:rPr>
            <w:t>7</w:t>
          </w:r>
          <w:r>
            <w:rPr>
              <w:rFonts w:hint="eastAsia" w:ascii="宋体" w:hAnsi="宋体" w:cs="宋体"/>
              <w:sz w:val="30"/>
              <w:szCs w:val="30"/>
            </w:rPr>
            <w:fldChar w:fldCharType="end"/>
          </w:r>
        </w:p>
        <w:p>
          <w:pPr>
            <w:pStyle w:val="23"/>
            <w:tabs>
              <w:tab w:val="right" w:leader="dot" w:pos="9638"/>
            </w:tabs>
            <w:spacing w:line="360" w:lineRule="auto"/>
            <w:rPr>
              <w:rFonts w:ascii="宋体" w:hAnsi="宋体" w:cs="宋体"/>
              <w:sz w:val="30"/>
              <w:szCs w:val="30"/>
            </w:rPr>
          </w:pPr>
          <w:r>
            <w:fldChar w:fldCharType="begin"/>
          </w:r>
          <w:r>
            <w:instrText xml:space="preserve"> HYPERLINK \l "_Toc1634" </w:instrText>
          </w:r>
          <w:r>
            <w:fldChar w:fldCharType="separate"/>
          </w:r>
          <w:r>
            <w:rPr>
              <w:rFonts w:hint="eastAsia" w:ascii="宋体" w:hAnsi="宋体" w:cs="宋体"/>
              <w:sz w:val="30"/>
              <w:szCs w:val="30"/>
            </w:rPr>
            <w:t>第四部分  相关格式文件</w:t>
          </w:r>
          <w:r>
            <w:rPr>
              <w:rFonts w:hint="eastAsia" w:ascii="宋体" w:hAnsi="宋体" w:cs="宋体"/>
              <w:sz w:val="30"/>
              <w:szCs w:val="30"/>
            </w:rPr>
            <w:tab/>
          </w:r>
          <w:r>
            <w:rPr>
              <w:rFonts w:hint="eastAsia" w:ascii="宋体" w:hAnsi="宋体" w:cs="宋体"/>
              <w:sz w:val="30"/>
              <w:szCs w:val="30"/>
            </w:rPr>
            <w:t>8</w:t>
          </w:r>
          <w:r>
            <w:rPr>
              <w:rFonts w:hint="eastAsia" w:ascii="宋体" w:hAnsi="宋体" w:cs="宋体"/>
              <w:sz w:val="30"/>
              <w:szCs w:val="30"/>
            </w:rPr>
            <w:fldChar w:fldCharType="end"/>
          </w:r>
        </w:p>
        <w:p>
          <w:pPr>
            <w:pStyle w:val="23"/>
            <w:tabs>
              <w:tab w:val="right" w:leader="dot" w:pos="9638"/>
            </w:tabs>
            <w:spacing w:line="360" w:lineRule="auto"/>
            <w:rPr>
              <w:rFonts w:ascii="宋体" w:hAnsi="宋体" w:cs="宋体"/>
              <w:sz w:val="30"/>
              <w:szCs w:val="30"/>
            </w:rPr>
          </w:pPr>
          <w:r>
            <w:fldChar w:fldCharType="begin"/>
          </w:r>
          <w:r>
            <w:instrText xml:space="preserve"> HYPERLINK \l "_Toc26773" </w:instrText>
          </w:r>
          <w:r>
            <w:fldChar w:fldCharType="separate"/>
          </w:r>
          <w:r>
            <w:rPr>
              <w:rFonts w:hint="eastAsia" w:ascii="宋体" w:hAnsi="宋体" w:cs="宋体"/>
              <w:sz w:val="30"/>
              <w:szCs w:val="30"/>
            </w:rPr>
            <w:t>第五部分 合同模板（报名成功后获得）</w:t>
          </w:r>
          <w:r>
            <w:rPr>
              <w:rFonts w:hint="eastAsia" w:ascii="宋体" w:hAnsi="宋体" w:cs="宋体"/>
              <w:sz w:val="30"/>
              <w:szCs w:val="30"/>
            </w:rPr>
            <w:tab/>
          </w:r>
          <w:r>
            <w:rPr>
              <w:rFonts w:hint="eastAsia" w:ascii="宋体" w:hAnsi="宋体" w:cs="宋体"/>
              <w:sz w:val="30"/>
              <w:szCs w:val="30"/>
            </w:rPr>
            <w:t>1</w:t>
          </w:r>
          <w:r>
            <w:rPr>
              <w:rFonts w:hint="eastAsia" w:ascii="宋体" w:hAnsi="宋体" w:cs="宋体"/>
              <w:sz w:val="30"/>
              <w:szCs w:val="30"/>
            </w:rPr>
            <w:fldChar w:fldCharType="end"/>
          </w:r>
          <w:r>
            <w:rPr>
              <w:rFonts w:hint="eastAsia" w:ascii="宋体" w:hAnsi="宋体" w:cs="宋体"/>
              <w:bCs/>
              <w:sz w:val="30"/>
              <w:szCs w:val="30"/>
            </w:rPr>
            <w:t>8</w:t>
          </w:r>
        </w:p>
        <w:p>
          <w:pPr>
            <w:spacing w:line="360" w:lineRule="auto"/>
            <w:jc w:val="center"/>
            <w:rPr>
              <w:rFonts w:ascii="黑体" w:hAnsi="黑体" w:eastAsia="黑体" w:cs="黑体"/>
              <w:b/>
              <w:bCs/>
              <w:kern w:val="0"/>
              <w:sz w:val="30"/>
              <w:szCs w:val="30"/>
            </w:rPr>
          </w:pPr>
          <w:r>
            <w:rPr>
              <w:rFonts w:hint="eastAsia" w:ascii="宋体" w:hAnsi="宋体" w:cs="宋体"/>
              <w:bCs/>
              <w:kern w:val="0"/>
              <w:sz w:val="30"/>
              <w:szCs w:val="30"/>
            </w:rPr>
            <w:fldChar w:fldCharType="end"/>
          </w:r>
        </w:p>
      </w:sdtContent>
    </w:sdt>
    <w:p>
      <w:pPr>
        <w:tabs>
          <w:tab w:val="left" w:pos="8352"/>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0" w:name="_Toc19427"/>
    </w:p>
    <w:p>
      <w:pPr>
        <w:spacing w:line="360" w:lineRule="auto"/>
        <w:jc w:val="center"/>
        <w:outlineLvl w:val="0"/>
        <w:rPr>
          <w:rFonts w:ascii="仿宋" w:hAnsi="仿宋" w:eastAsia="仿宋" w:cs="Helvetica"/>
          <w:sz w:val="30"/>
          <w:szCs w:val="30"/>
        </w:rPr>
      </w:pPr>
      <w:bookmarkStart w:id="1" w:name="_Toc14957"/>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0"/>
      <w:bookmarkEnd w:id="1"/>
    </w:p>
    <w:p>
      <w:pPr>
        <w:pStyle w:val="15"/>
        <w:wordWrap w:val="0"/>
        <w:spacing w:before="0" w:beforeAutospacing="0" w:after="0" w:afterAutospacing="0" w:line="360" w:lineRule="auto"/>
        <w:ind w:firstLine="420"/>
        <w:textAlignment w:val="baseline"/>
      </w:pPr>
      <w:bookmarkStart w:id="2" w:name="_Toc25861"/>
      <w:bookmarkStart w:id="3" w:name="_Toc27350"/>
      <w:r>
        <w:rPr>
          <w:rFonts w:hint="eastAsia"/>
        </w:rPr>
        <w:t>根据我院</w:t>
      </w:r>
      <w:r>
        <w:rPr>
          <w:rFonts w:hint="eastAsia" w:cs="宋体"/>
        </w:rPr>
        <w:t>业务发展需要，近期拟对污水处理消毒粉剂进行采购，现根据相关规定特此公告，欢迎符合条件的供应商参加。</w:t>
      </w:r>
    </w:p>
    <w:p>
      <w:pPr>
        <w:pStyle w:val="15"/>
        <w:wordWrap w:val="0"/>
        <w:spacing w:before="0" w:beforeAutospacing="0" w:after="0" w:afterAutospacing="0" w:line="360" w:lineRule="auto"/>
        <w:ind w:firstLine="482" w:firstLineChars="200"/>
        <w:textAlignment w:val="baseline"/>
        <w:rPr>
          <w:rFonts w:cs="宋体"/>
          <w:b/>
          <w:bCs/>
          <w:color w:val="auto"/>
        </w:rPr>
      </w:pPr>
      <w:r>
        <w:rPr>
          <w:rFonts w:hint="eastAsia" w:cs="宋体"/>
          <w:b/>
          <w:bCs/>
          <w:color w:val="auto"/>
        </w:rPr>
        <w:t>一、采购需求</w:t>
      </w:r>
    </w:p>
    <w:p>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1.项目编号：NYWYH20220003</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2.项目名称：南方医科大学第五附属医院污水处理消毒粉剂采购项目</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3.采购内容及用途：确定1家供应商为医院提供污水处理消毒粉剂。医院住院部及朝阳门诊每日处理污水约600吨。</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4.项目最高限价：</w:t>
      </w:r>
      <w:r>
        <w:rPr>
          <w:rFonts w:hint="eastAsia" w:ascii="宋体" w:hAnsi="宋体" w:cs="宋体"/>
          <w:color w:val="000000"/>
          <w:kern w:val="0"/>
          <w:sz w:val="24"/>
          <w:highlight w:val="none"/>
        </w:rPr>
        <w:t>污</w:t>
      </w:r>
      <w:r>
        <w:rPr>
          <w:rFonts w:hint="eastAsia" w:ascii="宋体" w:hAnsi="宋体" w:cs="宋体"/>
          <w:color w:val="auto"/>
          <w:kern w:val="0"/>
          <w:sz w:val="24"/>
          <w:highlight w:val="none"/>
        </w:rPr>
        <w:t>水处理</w:t>
      </w:r>
      <w:r>
        <w:rPr>
          <w:rFonts w:hint="eastAsia" w:ascii="宋体" w:hAnsi="宋体" w:cs="宋体"/>
          <w:color w:val="auto"/>
          <w:kern w:val="0"/>
          <w:sz w:val="24"/>
          <w:highlight w:val="none"/>
          <w:lang w:val="en-US" w:eastAsia="zh-CN"/>
        </w:rPr>
        <w:t>消毒剂单价限价80元/公斤，项目年总限价</w:t>
      </w:r>
      <w:r>
        <w:rPr>
          <w:rFonts w:hint="eastAsia" w:ascii="宋体" w:hAnsi="宋体" w:cs="宋体"/>
          <w:color w:val="auto"/>
          <w:kern w:val="0"/>
          <w:sz w:val="24"/>
          <w:highlight w:val="none"/>
        </w:rPr>
        <w:t>人民币172800 元/年</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年采购量约2160公斤</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，项目实行</w:t>
      </w:r>
      <w:r>
        <w:rPr>
          <w:rFonts w:hint="eastAsia" w:ascii="宋体" w:hAnsi="宋体" w:cs="宋体"/>
          <w:color w:val="auto"/>
          <w:kern w:val="0"/>
          <w:sz w:val="24"/>
          <w:highlight w:val="none"/>
          <w:lang w:eastAsia="zh-CN"/>
        </w:rPr>
        <w:t>总价</w:t>
      </w:r>
      <w:r>
        <w:rPr>
          <w:rFonts w:hint="eastAsia" w:ascii="宋体" w:hAnsi="宋体" w:cs="宋体"/>
          <w:color w:val="000000"/>
          <w:kern w:val="0"/>
          <w:sz w:val="24"/>
          <w:highlight w:val="none"/>
        </w:rPr>
        <w:t>包</w:t>
      </w:r>
      <w:r>
        <w:rPr>
          <w:rFonts w:hint="eastAsia" w:ascii="宋体" w:hAnsi="宋体" w:cs="宋体"/>
          <w:color w:val="000000"/>
          <w:kern w:val="0"/>
          <w:sz w:val="24"/>
        </w:rPr>
        <w:t>干，价格包含但不限于确保医院所供污水完成合格的消毒处理所有消毒粉、配套3套安全型消毒粉剂自动溶解投加装置的设备、1台总余氯检测仪（配检测试剂）、配送、安装、维护保养、运输、材料、调试费、培训、全部税费等一切交付院方使用的全部费用。</w:t>
      </w:r>
    </w:p>
    <w:p>
      <w:pPr>
        <w:spacing w:line="360" w:lineRule="auto"/>
        <w:ind w:firstLine="480" w:firstLineChars="200"/>
        <w:rPr>
          <w:b/>
          <w:bCs/>
          <w:color w:val="000000"/>
          <w:highlight w:val="yellow"/>
        </w:rPr>
      </w:pPr>
      <w:r>
        <w:rPr>
          <w:rFonts w:hint="eastAsia" w:ascii="宋体" w:hAnsi="宋体" w:cs="宋体"/>
          <w:color w:val="000000"/>
          <w:kern w:val="0"/>
          <w:sz w:val="24"/>
        </w:rPr>
        <w:t>5.服务期：服务期为自合同签订之日起一年，若新门诊楼与</w:t>
      </w:r>
      <w:r>
        <w:rPr>
          <w:rFonts w:hint="eastAsia" w:ascii="宋体" w:hAnsi="宋体" w:cs="宋体"/>
          <w:color w:val="000000"/>
          <w:sz w:val="24"/>
        </w:rPr>
        <w:t>感染楼在合同期内投入使用，医院可提前终止合同进行新一轮采购流程或根据实际增加使用量与成交供应商签订补充协议至合同期结束。</w:t>
      </w:r>
    </w:p>
    <w:p>
      <w:pPr>
        <w:pStyle w:val="15"/>
        <w:wordWrap w:val="0"/>
        <w:spacing w:before="0" w:beforeAutospacing="0" w:after="0" w:afterAutospacing="0" w:line="360" w:lineRule="auto"/>
        <w:ind w:firstLine="420"/>
        <w:textAlignment w:val="baseline"/>
        <w:rPr>
          <w:b/>
          <w:bCs/>
        </w:rPr>
      </w:pPr>
      <w:r>
        <w:rPr>
          <w:rFonts w:hint="eastAsia"/>
          <w:b/>
          <w:bCs/>
        </w:rPr>
        <w:t>二、提供资料相关事项</w:t>
      </w:r>
    </w:p>
    <w:p>
      <w:pPr>
        <w:widowControl/>
        <w:tabs>
          <w:tab w:val="left" w:pos="6567"/>
        </w:tabs>
        <w:spacing w:line="360" w:lineRule="auto"/>
        <w:ind w:firstLine="482" w:firstLineChars="200"/>
        <w:jc w:val="left"/>
        <w:rPr>
          <w:rFonts w:hint="eastAsia" w:eastAsia="宋体"/>
          <w:lang w:eastAsia="zh-CN"/>
        </w:rPr>
      </w:pPr>
      <w:r>
        <w:rPr>
          <w:rFonts w:hint="eastAsia" w:ascii="宋体" w:hAnsi="宋体" w:cs="宋体"/>
          <w:b/>
          <w:bCs/>
          <w:sz w:val="24"/>
          <w:shd w:val="clear" w:color="auto" w:fill="FFFFFF"/>
        </w:rPr>
        <w:t>1．</w:t>
      </w:r>
      <w:r>
        <w:rPr>
          <w:rFonts w:hint="eastAsia" w:ascii="宋体" w:hAnsi="宋体" w:cs="宋体"/>
          <w:b/>
          <w:bCs/>
          <w:kern w:val="0"/>
          <w:sz w:val="24"/>
        </w:rPr>
        <w:t>报名截止时间：</w:t>
      </w:r>
      <w:r>
        <w:rPr>
          <w:rFonts w:hint="eastAsia" w:ascii="宋体" w:hAnsi="宋体" w:cs="宋体"/>
          <w:kern w:val="0"/>
          <w:sz w:val="24"/>
        </w:rPr>
        <w:t>2022年5月</w:t>
      </w:r>
      <w:r>
        <w:rPr>
          <w:rFonts w:hint="eastAsia" w:ascii="宋体" w:hAnsi="宋体" w:cs="宋体"/>
          <w:kern w:val="0"/>
          <w:sz w:val="24"/>
          <w:lang w:val="en-US" w:eastAsia="zh-CN"/>
        </w:rPr>
        <w:t>18</w:t>
      </w:r>
      <w:r>
        <w:rPr>
          <w:rFonts w:hint="eastAsia" w:ascii="宋体" w:hAnsi="宋体" w:cs="宋体"/>
          <w:kern w:val="0"/>
          <w:sz w:val="24"/>
        </w:rPr>
        <w:t>日下午17点30分</w:t>
      </w:r>
      <w:r>
        <w:rPr>
          <w:rFonts w:hint="eastAsia" w:ascii="宋体" w:hAnsi="宋体" w:cs="宋体"/>
          <w:kern w:val="0"/>
          <w:sz w:val="24"/>
          <w:lang w:eastAsia="zh-CN"/>
        </w:rPr>
        <w:tab/>
      </w:r>
    </w:p>
    <w:p>
      <w:pPr>
        <w:pStyle w:val="15"/>
        <w:wordWrap w:val="0"/>
        <w:spacing w:before="0" w:beforeAutospacing="0" w:after="0" w:afterAutospacing="0" w:line="360" w:lineRule="auto"/>
        <w:ind w:firstLine="482" w:firstLineChars="200"/>
        <w:textAlignment w:val="center"/>
        <w:rPr>
          <w:b/>
          <w:bCs/>
        </w:rPr>
      </w:pPr>
      <w:r>
        <w:rPr>
          <w:rFonts w:hint="eastAsia"/>
          <w:b/>
          <w:bCs/>
          <w:kern w:val="2"/>
          <w:shd w:val="clear" w:color="auto" w:fill="FFFFFF"/>
        </w:rPr>
        <w:t>2.报名方式：</w:t>
      </w:r>
      <w:r>
        <w:rPr>
          <w:rFonts w:hint="eastAsia"/>
          <w:kern w:val="2"/>
          <w:shd w:val="clear" w:color="auto" w:fill="FFFFFF"/>
        </w:rPr>
        <w:t>接受电子邮件报名。</w:t>
      </w:r>
    </w:p>
    <w:p>
      <w:pPr>
        <w:widowControl/>
        <w:spacing w:line="360" w:lineRule="auto"/>
        <w:ind w:firstLine="482" w:firstLineChars="200"/>
        <w:jc w:val="left"/>
        <w:rPr>
          <w:rFonts w:ascii="宋体" w:hAnsi="宋体" w:cs="宋体"/>
          <w:kern w:val="0"/>
          <w:sz w:val="24"/>
        </w:rPr>
      </w:pPr>
      <w:r>
        <w:rPr>
          <w:rFonts w:hint="eastAsia" w:ascii="宋体" w:hAnsi="宋体" w:cs="宋体"/>
          <w:b/>
          <w:bCs/>
          <w:kern w:val="0"/>
          <w:sz w:val="24"/>
        </w:rPr>
        <w:t>3.评审时间及地点：</w:t>
      </w:r>
      <w:r>
        <w:rPr>
          <w:rFonts w:hint="eastAsia" w:ascii="宋体" w:hAnsi="宋体" w:cs="宋体"/>
          <w:kern w:val="0"/>
          <w:sz w:val="24"/>
        </w:rPr>
        <w:t>待定（根据医院工作安排通知符合要求报名代表）</w:t>
      </w:r>
    </w:p>
    <w:p>
      <w:pPr>
        <w:widowControl/>
        <w:spacing w:line="360" w:lineRule="auto"/>
        <w:ind w:firstLine="482" w:firstLineChars="200"/>
        <w:jc w:val="left"/>
        <w:rPr>
          <w:rStyle w:val="19"/>
          <w:rFonts w:ascii="宋体" w:hAnsi="宋体" w:cs="宋体"/>
          <w:color w:val="E03E2D"/>
          <w:spacing w:val="0"/>
          <w:shd w:val="clear" w:color="auto" w:fill="FFFFFF"/>
        </w:rPr>
      </w:pPr>
      <w:r>
        <w:rPr>
          <w:rStyle w:val="19"/>
          <w:rFonts w:hint="eastAsia" w:ascii="宋体" w:hAnsi="宋体" w:cs="宋体"/>
          <w:color w:val="E03E2D"/>
          <w:spacing w:val="0"/>
          <w:shd w:val="clear" w:color="auto" w:fill="FFFFFF"/>
        </w:rPr>
        <w:t>4.</w:t>
      </w:r>
      <w:r>
        <w:rPr>
          <w:rFonts w:hint="eastAsia" w:ascii="宋体" w:hAnsi="宋体" w:cs="宋体"/>
          <w:b/>
          <w:bCs/>
          <w:color w:val="E03E2D"/>
          <w:sz w:val="24"/>
          <w:shd w:val="clear" w:color="auto" w:fill="FFFFFF"/>
        </w:rPr>
        <w:t>疫情防控要求：</w:t>
      </w:r>
      <w:r>
        <w:rPr>
          <w:rStyle w:val="19"/>
          <w:rFonts w:hint="eastAsia" w:ascii="宋体" w:hAnsi="宋体" w:cs="宋体"/>
          <w:color w:val="E03E2D"/>
          <w:spacing w:val="0"/>
          <w:shd w:val="clear" w:color="auto" w:fill="FFFFFF"/>
        </w:rPr>
        <w:t>参加评审会议供应商必须无流行病学史，需提供健康码绿码、行程码绿码、72小时核酸检测结果阴性。(如有最新防疫政策要求，按最新的政策要求执行）</w:t>
      </w:r>
    </w:p>
    <w:p>
      <w:pPr>
        <w:pStyle w:val="15"/>
        <w:wordWrap w:val="0"/>
        <w:spacing w:before="0" w:beforeAutospacing="0" w:after="0" w:afterAutospacing="0" w:line="360" w:lineRule="auto"/>
        <w:ind w:firstLine="420"/>
        <w:textAlignment w:val="baseline"/>
        <w:rPr>
          <w:rFonts w:cs="宋体"/>
        </w:rPr>
      </w:pPr>
      <w:r>
        <w:rPr>
          <w:rFonts w:hint="eastAsia" w:cs="宋体"/>
          <w:b/>
          <w:bCs/>
        </w:rPr>
        <w:t>三、供应商资质要求</w:t>
      </w:r>
    </w:p>
    <w:p>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1.必须是具有独立承担民事责任能力的在中华人民共和国境内注册的法人或其他组织，需提交有效的企业法人营业执照（或事业法人登记证等）副本复印件,并加盖供应商公章；</w:t>
      </w:r>
    </w:p>
    <w:p>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2.提供有效期内消毒产品生产企业的卫生许可证。</w:t>
      </w:r>
    </w:p>
    <w:p>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3.提供的消毒粉需在全国消毒产品网上备案信息服务平台备案，需附上产品备案的截图信息和可证明消毒粉剂适用于“医院污水”消毒的相关文件。</w:t>
      </w:r>
    </w:p>
    <w:p>
      <w:pPr>
        <w:adjustRightInd w:val="0"/>
        <w:snapToGrid w:val="0"/>
        <w:spacing w:line="360" w:lineRule="auto"/>
        <w:ind w:firstLine="480" w:firstLineChars="200"/>
        <w:rPr>
          <w:rFonts w:ascii="宋体" w:hAnsi="宋体" w:cs="宋体"/>
          <w:b/>
          <w:sz w:val="24"/>
        </w:rPr>
      </w:pPr>
      <w:r>
        <w:rPr>
          <w:rFonts w:hint="eastAsia" w:ascii="宋体" w:hAnsi="宋体" w:cs="宋体"/>
          <w:bCs/>
          <w:kern w:val="0"/>
          <w:sz w:val="24"/>
        </w:rPr>
        <w:t>4.本项目不接受联合体投标、分包、转包。</w:t>
      </w:r>
    </w:p>
    <w:p>
      <w:pPr>
        <w:widowControl/>
        <w:spacing w:line="360" w:lineRule="auto"/>
        <w:ind w:firstLine="482" w:firstLineChars="200"/>
        <w:jc w:val="left"/>
        <w:rPr>
          <w:rStyle w:val="19"/>
          <w:rFonts w:ascii="宋体" w:hAnsi="宋体" w:cs="宋体"/>
          <w:color w:val="000000"/>
          <w:spacing w:val="0"/>
          <w:shd w:val="clear" w:color="auto" w:fill="FFFFFF"/>
        </w:rPr>
      </w:pPr>
      <w:r>
        <w:rPr>
          <w:rStyle w:val="19"/>
          <w:rFonts w:hint="eastAsia" w:ascii="宋体" w:hAnsi="宋体" w:cs="宋体"/>
          <w:color w:val="000000"/>
          <w:spacing w:val="0"/>
          <w:shd w:val="clear" w:color="auto" w:fill="FFFFFF"/>
        </w:rPr>
        <w:t>注：供应商若不能同时满足以上条件则视为投标参与无效。（如发现提供虚假材料者，取消其参加评审资格和成交资格）</w:t>
      </w:r>
    </w:p>
    <w:p>
      <w:pPr>
        <w:widowControl/>
        <w:spacing w:line="360" w:lineRule="auto"/>
        <w:ind w:firstLine="482" w:firstLineChars="200"/>
        <w:jc w:val="left"/>
        <w:rPr>
          <w:rFonts w:ascii="宋体" w:hAnsi="宋体" w:cs="宋体"/>
          <w:b/>
          <w:kern w:val="0"/>
          <w:sz w:val="24"/>
        </w:rPr>
      </w:pPr>
      <w:r>
        <w:rPr>
          <w:rFonts w:hint="eastAsia" w:ascii="宋体" w:hAnsi="宋体" w:cs="宋体"/>
          <w:b/>
          <w:kern w:val="0"/>
          <w:sz w:val="24"/>
        </w:rPr>
        <w:t>四、联系方式</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1.联系人：冯老师（女）</w:t>
      </w:r>
    </w:p>
    <w:p>
      <w:pPr>
        <w:tabs>
          <w:tab w:val="left" w:pos="0"/>
        </w:tabs>
        <w:spacing w:line="360" w:lineRule="auto"/>
        <w:ind w:firstLine="480" w:firstLineChars="200"/>
        <w:rPr>
          <w:rFonts w:ascii="宋体" w:hAnsi="宋体"/>
          <w:sz w:val="24"/>
        </w:rPr>
      </w:pPr>
      <w:r>
        <w:rPr>
          <w:rFonts w:hint="eastAsia" w:ascii="宋体" w:hAnsi="宋体"/>
          <w:sz w:val="24"/>
        </w:rPr>
        <w:t>2.联系电话：020-61780580  </w:t>
      </w:r>
    </w:p>
    <w:p>
      <w:pPr>
        <w:tabs>
          <w:tab w:val="left" w:pos="0"/>
        </w:tabs>
        <w:spacing w:line="360" w:lineRule="auto"/>
        <w:ind w:firstLine="480" w:firstLineChars="200"/>
        <w:rPr>
          <w:rFonts w:ascii="宋体" w:hAnsi="宋体"/>
          <w:sz w:val="24"/>
        </w:rPr>
      </w:pPr>
      <w:r>
        <w:rPr>
          <w:rFonts w:hint="eastAsia" w:ascii="宋体" w:hAnsi="宋体"/>
          <w:sz w:val="24"/>
        </w:rPr>
        <w:t>3.邮箱：nywycgb@126.com</w:t>
      </w:r>
    </w:p>
    <w:p>
      <w:pPr>
        <w:widowControl/>
        <w:spacing w:line="360" w:lineRule="auto"/>
        <w:ind w:firstLine="5520" w:firstLineChars="2300"/>
        <w:jc w:val="left"/>
        <w:rPr>
          <w:rFonts w:ascii="宋体" w:hAnsi="宋体" w:cs="宋体"/>
          <w:kern w:val="0"/>
          <w:sz w:val="24"/>
        </w:rPr>
      </w:pPr>
    </w:p>
    <w:p>
      <w:pPr>
        <w:widowControl/>
        <w:spacing w:line="360" w:lineRule="auto"/>
        <w:ind w:firstLine="5520" w:firstLineChars="2300"/>
        <w:jc w:val="left"/>
        <w:rPr>
          <w:rFonts w:ascii="宋体" w:hAnsi="宋体" w:cs="宋体"/>
          <w:kern w:val="0"/>
          <w:sz w:val="24"/>
        </w:rPr>
      </w:pPr>
      <w:r>
        <w:rPr>
          <w:rFonts w:hint="eastAsia" w:ascii="宋体" w:hAnsi="宋体" w:cs="宋体"/>
          <w:kern w:val="0"/>
          <w:sz w:val="24"/>
        </w:rPr>
        <w:t>南方医科大学第五附属医院</w:t>
      </w:r>
    </w:p>
    <w:p>
      <w:pPr>
        <w:widowControl/>
        <w:spacing w:line="360" w:lineRule="auto"/>
        <w:ind w:firstLine="240" w:firstLineChars="100"/>
        <w:jc w:val="left"/>
        <w:rPr>
          <w:rFonts w:ascii="宋体" w:hAnsi="宋体" w:cs="宋体"/>
          <w:kern w:val="0"/>
          <w:sz w:val="24"/>
        </w:rPr>
      </w:pPr>
      <w:r>
        <w:rPr>
          <w:rFonts w:hint="eastAsia" w:ascii="宋体" w:hAnsi="宋体" w:cs="宋体"/>
          <w:kern w:val="0"/>
          <w:sz w:val="24"/>
        </w:rPr>
        <w:t>                                        2022年5月</w:t>
      </w:r>
      <w:r>
        <w:rPr>
          <w:rFonts w:hint="eastAsia" w:ascii="宋体" w:hAnsi="宋体" w:cs="宋体"/>
          <w:kern w:val="0"/>
          <w:sz w:val="24"/>
          <w:lang w:val="en-US" w:eastAsia="zh-CN"/>
        </w:rPr>
        <w:t>13</w:t>
      </w:r>
      <w:r>
        <w:rPr>
          <w:rFonts w:hint="eastAsia" w:ascii="宋体" w:hAnsi="宋体" w:cs="宋体"/>
          <w:kern w:val="0"/>
          <w:sz w:val="24"/>
        </w:rPr>
        <w:t>日</w:t>
      </w:r>
    </w:p>
    <w:p>
      <w:pPr>
        <w:spacing w:line="360" w:lineRule="auto"/>
        <w:jc w:val="center"/>
        <w:rPr>
          <w:rFonts w:ascii="宋体" w:hAnsi="宋体"/>
          <w:b/>
          <w:bCs/>
          <w:sz w:val="30"/>
          <w:szCs w:val="30"/>
          <w:highlight w:val="yellow"/>
        </w:rPr>
      </w:pPr>
    </w:p>
    <w:p>
      <w:pPr>
        <w:spacing w:line="360" w:lineRule="auto"/>
        <w:jc w:val="center"/>
        <w:rPr>
          <w:rFonts w:ascii="宋体" w:hAnsi="宋体"/>
          <w:b/>
          <w:bCs/>
          <w:sz w:val="30"/>
          <w:szCs w:val="30"/>
          <w:highlight w:val="yellow"/>
        </w:rPr>
      </w:pPr>
    </w:p>
    <w:p>
      <w:pPr>
        <w:pStyle w:val="2"/>
        <w:rPr>
          <w:rFonts w:ascii="宋体" w:hAnsi="宋体"/>
          <w:b/>
          <w:bCs/>
          <w:sz w:val="30"/>
          <w:szCs w:val="30"/>
        </w:rPr>
      </w:pPr>
    </w:p>
    <w:p>
      <w:pPr>
        <w:pStyle w:val="2"/>
        <w:rPr>
          <w:rFonts w:ascii="宋体" w:hAnsi="宋体"/>
          <w:b/>
          <w:bCs/>
          <w:sz w:val="30"/>
          <w:szCs w:val="30"/>
        </w:rPr>
      </w:pPr>
    </w:p>
    <w:p>
      <w:pPr>
        <w:pStyle w:val="2"/>
        <w:rPr>
          <w:rFonts w:ascii="宋体" w:hAnsi="宋体"/>
          <w:b/>
          <w:bCs/>
          <w:sz w:val="30"/>
          <w:szCs w:val="30"/>
        </w:rPr>
      </w:pPr>
    </w:p>
    <w:p>
      <w:pPr>
        <w:pStyle w:val="2"/>
        <w:rPr>
          <w:rFonts w:ascii="宋体" w:hAnsi="宋体"/>
          <w:b/>
          <w:bCs/>
          <w:sz w:val="30"/>
          <w:szCs w:val="30"/>
        </w:rPr>
      </w:pPr>
    </w:p>
    <w:p>
      <w:pPr>
        <w:pStyle w:val="2"/>
        <w:rPr>
          <w:rFonts w:ascii="宋体" w:hAnsi="宋体"/>
          <w:b/>
          <w:bCs/>
          <w:sz w:val="30"/>
          <w:szCs w:val="30"/>
        </w:rPr>
      </w:pPr>
    </w:p>
    <w:p>
      <w:pPr>
        <w:pStyle w:val="2"/>
        <w:rPr>
          <w:rFonts w:ascii="宋体" w:hAnsi="宋体"/>
          <w:b/>
          <w:bCs/>
          <w:sz w:val="30"/>
          <w:szCs w:val="30"/>
        </w:rPr>
      </w:pPr>
    </w:p>
    <w:p>
      <w:pPr>
        <w:pStyle w:val="2"/>
        <w:rPr>
          <w:rFonts w:ascii="宋体" w:hAnsi="宋体"/>
          <w:b/>
          <w:bCs/>
          <w:sz w:val="30"/>
          <w:szCs w:val="30"/>
        </w:rPr>
      </w:pPr>
    </w:p>
    <w:p>
      <w:pPr>
        <w:pStyle w:val="2"/>
        <w:rPr>
          <w:rFonts w:ascii="宋体" w:hAnsi="宋体"/>
          <w:b/>
          <w:bCs/>
          <w:sz w:val="30"/>
          <w:szCs w:val="30"/>
        </w:rPr>
      </w:pPr>
    </w:p>
    <w:p>
      <w:pPr>
        <w:pStyle w:val="2"/>
        <w:rPr>
          <w:rFonts w:ascii="宋体" w:hAnsi="宋体"/>
          <w:b/>
          <w:bCs/>
          <w:sz w:val="30"/>
          <w:szCs w:val="30"/>
        </w:rPr>
      </w:pPr>
    </w:p>
    <w:p>
      <w:pPr>
        <w:pStyle w:val="2"/>
        <w:rPr>
          <w:rFonts w:ascii="宋体" w:hAnsi="宋体"/>
          <w:b/>
          <w:bCs/>
          <w:sz w:val="30"/>
          <w:szCs w:val="30"/>
        </w:rPr>
      </w:pPr>
    </w:p>
    <w:p>
      <w:pPr>
        <w:pStyle w:val="2"/>
        <w:rPr>
          <w:rFonts w:ascii="宋体" w:hAnsi="宋体"/>
          <w:b/>
          <w:bCs/>
          <w:sz w:val="30"/>
          <w:szCs w:val="30"/>
        </w:rPr>
      </w:pPr>
    </w:p>
    <w:p>
      <w:pPr>
        <w:pStyle w:val="2"/>
        <w:rPr>
          <w:rFonts w:ascii="宋体" w:hAnsi="宋体"/>
          <w:b/>
          <w:bCs/>
          <w:sz w:val="30"/>
          <w:szCs w:val="30"/>
        </w:rPr>
      </w:pPr>
    </w:p>
    <w:p>
      <w:pPr>
        <w:pStyle w:val="2"/>
        <w:rPr>
          <w:rFonts w:ascii="宋体" w:hAnsi="宋体"/>
          <w:b/>
          <w:bCs/>
          <w:sz w:val="30"/>
          <w:szCs w:val="30"/>
        </w:rPr>
      </w:pPr>
    </w:p>
    <w:p>
      <w:pPr>
        <w:pStyle w:val="2"/>
        <w:rPr>
          <w:rFonts w:ascii="宋体" w:hAnsi="宋体"/>
          <w:b/>
          <w:bCs/>
          <w:sz w:val="30"/>
          <w:szCs w:val="30"/>
        </w:rPr>
      </w:pPr>
    </w:p>
    <w:p>
      <w:pPr>
        <w:pStyle w:val="2"/>
        <w:rPr>
          <w:rFonts w:ascii="宋体" w:hAnsi="宋体"/>
          <w:b/>
          <w:bCs/>
          <w:sz w:val="30"/>
          <w:szCs w:val="30"/>
        </w:rPr>
      </w:pPr>
    </w:p>
    <w:p>
      <w:pPr>
        <w:pStyle w:val="2"/>
        <w:rPr>
          <w:rFonts w:ascii="宋体" w:hAnsi="宋体"/>
          <w:b/>
          <w:bCs/>
          <w:sz w:val="30"/>
          <w:szCs w:val="30"/>
        </w:rPr>
      </w:pPr>
    </w:p>
    <w:p>
      <w:pPr>
        <w:pStyle w:val="2"/>
        <w:rPr>
          <w:rFonts w:ascii="宋体" w:hAnsi="宋体"/>
          <w:b/>
          <w:bCs/>
          <w:sz w:val="30"/>
          <w:szCs w:val="30"/>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spacing w:line="360" w:lineRule="auto"/>
        <w:outlineLvl w:val="0"/>
        <w:rPr>
          <w:rFonts w:ascii="宋体" w:hAnsi="宋体"/>
          <w:b/>
          <w:bCs/>
          <w:sz w:val="30"/>
          <w:szCs w:val="30"/>
        </w:rPr>
      </w:pPr>
      <w:bookmarkStart w:id="4" w:name="_Toc1526"/>
    </w:p>
    <w:p>
      <w:pPr>
        <w:spacing w:line="360" w:lineRule="auto"/>
        <w:jc w:val="center"/>
        <w:outlineLvl w:val="0"/>
      </w:pPr>
      <w:r>
        <w:rPr>
          <w:rFonts w:hint="eastAsia" w:ascii="宋体" w:hAnsi="宋体"/>
          <w:b/>
          <w:bCs/>
          <w:sz w:val="30"/>
          <w:szCs w:val="30"/>
        </w:rPr>
        <w:t>第二部分  用户需求书</w:t>
      </w:r>
      <w:bookmarkEnd w:id="2"/>
      <w:bookmarkEnd w:id="3"/>
      <w:bookmarkEnd w:id="4"/>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一、</w:t>
      </w:r>
      <w:r>
        <w:rPr>
          <w:rFonts w:hint="eastAsia" w:ascii="宋体" w:hAnsi="宋体" w:cs="宋体"/>
          <w:b/>
          <w:color w:val="000000"/>
          <w:sz w:val="24"/>
        </w:rPr>
        <w:t>项目</w:t>
      </w:r>
      <w:r>
        <w:rPr>
          <w:rFonts w:hint="eastAsia" w:ascii="宋体" w:hAnsi="宋体" w:cs="宋体"/>
          <w:b/>
          <w:bCs/>
          <w:color w:val="000000"/>
          <w:sz w:val="24"/>
        </w:rPr>
        <w:t>概况</w:t>
      </w:r>
    </w:p>
    <w:p>
      <w:pPr>
        <w:spacing w:line="360" w:lineRule="auto"/>
        <w:ind w:firstLine="480" w:firstLineChars="200"/>
        <w:rPr>
          <w:rFonts w:ascii="宋体" w:hAnsi="宋体" w:cs="宋体"/>
          <w:color w:val="000000"/>
          <w:sz w:val="24"/>
        </w:rPr>
      </w:pPr>
      <w:r>
        <w:rPr>
          <w:rFonts w:hint="eastAsia" w:ascii="宋体" w:hAnsi="宋体" w:cs="宋体"/>
          <w:color w:val="000000"/>
          <w:sz w:val="24"/>
        </w:rPr>
        <w:t>1.项目名称：南方医科大学第五附属医院污水处理消毒粉剂采购项目</w:t>
      </w:r>
    </w:p>
    <w:p>
      <w:pPr>
        <w:spacing w:line="360" w:lineRule="auto"/>
        <w:ind w:firstLine="480" w:firstLineChars="200"/>
        <w:rPr>
          <w:rFonts w:ascii="宋体" w:hAnsi="宋体" w:cs="宋体"/>
          <w:color w:val="000000"/>
          <w:sz w:val="24"/>
        </w:rPr>
      </w:pPr>
      <w:r>
        <w:rPr>
          <w:rFonts w:hint="eastAsia" w:ascii="宋体" w:hAnsi="宋体" w:cs="宋体"/>
          <w:color w:val="000000"/>
          <w:sz w:val="24"/>
        </w:rPr>
        <w:t>2.项目类别：货物类</w:t>
      </w:r>
    </w:p>
    <w:p>
      <w:pPr>
        <w:spacing w:line="360" w:lineRule="auto"/>
        <w:ind w:firstLine="480" w:firstLineChars="200"/>
        <w:rPr>
          <w:rFonts w:hint="eastAsia" w:ascii="宋体" w:hAnsi="宋体" w:cs="宋体"/>
          <w:color w:val="000000"/>
          <w:kern w:val="0"/>
          <w:sz w:val="24"/>
        </w:rPr>
      </w:pPr>
      <w:r>
        <w:rPr>
          <w:rFonts w:hint="eastAsia" w:ascii="宋体" w:hAnsi="宋体" w:cs="宋体"/>
          <w:sz w:val="24"/>
        </w:rPr>
        <w:t>3.</w:t>
      </w:r>
      <w:r>
        <w:rPr>
          <w:rFonts w:hint="eastAsia" w:ascii="宋体" w:hAnsi="宋体" w:cs="宋体"/>
          <w:color w:val="000000"/>
          <w:sz w:val="24"/>
        </w:rPr>
        <w:t>采购内容及用途：确定1家供应商为医院提供污水处理消毒粉剂。</w:t>
      </w:r>
      <w:r>
        <w:rPr>
          <w:rFonts w:hint="eastAsia" w:ascii="宋体" w:hAnsi="宋体" w:cs="宋体"/>
          <w:color w:val="000000"/>
          <w:kern w:val="0"/>
          <w:sz w:val="24"/>
        </w:rPr>
        <w:t>医院住院部及朝阳门诊每日处理污水约600吨。</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4.项目最高限价：</w:t>
      </w:r>
      <w:r>
        <w:rPr>
          <w:rFonts w:hint="eastAsia" w:ascii="宋体" w:hAnsi="宋体" w:cs="宋体"/>
          <w:color w:val="000000"/>
          <w:kern w:val="0"/>
          <w:sz w:val="24"/>
          <w:highlight w:val="none"/>
        </w:rPr>
        <w:t>污</w:t>
      </w:r>
      <w:r>
        <w:rPr>
          <w:rFonts w:hint="eastAsia" w:ascii="宋体" w:hAnsi="宋体" w:cs="宋体"/>
          <w:color w:val="auto"/>
          <w:kern w:val="0"/>
          <w:sz w:val="24"/>
          <w:highlight w:val="none"/>
        </w:rPr>
        <w:t>水处理</w:t>
      </w:r>
      <w:r>
        <w:rPr>
          <w:rFonts w:hint="eastAsia" w:ascii="宋体" w:hAnsi="宋体" w:cs="宋体"/>
          <w:color w:val="auto"/>
          <w:kern w:val="0"/>
          <w:sz w:val="24"/>
          <w:highlight w:val="none"/>
          <w:lang w:val="en-US" w:eastAsia="zh-CN"/>
        </w:rPr>
        <w:t>消毒剂单价限价80元/公斤，项目年总限价</w:t>
      </w:r>
      <w:r>
        <w:rPr>
          <w:rFonts w:hint="eastAsia" w:ascii="宋体" w:hAnsi="宋体" w:cs="宋体"/>
          <w:color w:val="auto"/>
          <w:kern w:val="0"/>
          <w:sz w:val="24"/>
          <w:highlight w:val="none"/>
        </w:rPr>
        <w:t>人民币172800 元/年</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年采购量约2160公斤</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，项目实行</w:t>
      </w:r>
      <w:r>
        <w:rPr>
          <w:rFonts w:hint="eastAsia" w:ascii="宋体" w:hAnsi="宋体" w:cs="宋体"/>
          <w:color w:val="auto"/>
          <w:kern w:val="0"/>
          <w:sz w:val="24"/>
          <w:highlight w:val="none"/>
          <w:lang w:eastAsia="zh-CN"/>
        </w:rPr>
        <w:t>总价</w:t>
      </w:r>
      <w:r>
        <w:rPr>
          <w:rFonts w:hint="eastAsia" w:ascii="宋体" w:hAnsi="宋体" w:cs="宋体"/>
          <w:color w:val="auto"/>
          <w:kern w:val="0"/>
          <w:sz w:val="24"/>
        </w:rPr>
        <w:t>包干，价格包含但不限于确保医院所排污水</w:t>
      </w:r>
      <w:r>
        <w:rPr>
          <w:rFonts w:hint="eastAsia" w:ascii="宋体" w:hAnsi="宋体" w:cs="宋体"/>
          <w:color w:val="auto"/>
          <w:sz w:val="24"/>
          <w:highlight w:val="none"/>
        </w:rPr>
        <w:t>能完成消毒处理的所用消毒粉、配套3套安全型消</w:t>
      </w:r>
      <w:r>
        <w:rPr>
          <w:rFonts w:hint="eastAsia" w:ascii="宋体" w:hAnsi="宋体" w:cs="宋体"/>
          <w:color w:val="000000"/>
          <w:sz w:val="24"/>
          <w:highlight w:val="none"/>
        </w:rPr>
        <w:t>毒粉剂自动溶解投加装置的设备、1台总余氯检测仪（配检测试剂）、配送、安装、维护保养、运输、材料、调试费、培训、全部税费等一切交付院方使用的全部费用。</w:t>
      </w:r>
    </w:p>
    <w:p>
      <w:pPr>
        <w:spacing w:line="360" w:lineRule="auto"/>
        <w:ind w:firstLine="480" w:firstLineChars="200"/>
        <w:rPr>
          <w:rFonts w:ascii="宋体" w:hAnsi="宋体" w:cs="宋体"/>
          <w:sz w:val="24"/>
        </w:rPr>
      </w:pPr>
      <w:r>
        <w:rPr>
          <w:rFonts w:hint="eastAsia" w:ascii="宋体" w:hAnsi="宋体" w:cs="宋体"/>
          <w:sz w:val="24"/>
        </w:rPr>
        <w:t>5.服务期：服务期为自合同签订之日起一年，若新门诊楼与感染楼在合同期内投入使用，医院可提前终止合同进行新一轮采购流程或根据实际增加使用量与成交供应商签订补充协议至合同期结束。</w:t>
      </w:r>
    </w:p>
    <w:p>
      <w:pPr>
        <w:spacing w:line="360" w:lineRule="auto"/>
        <w:ind w:firstLine="480" w:firstLineChars="200"/>
        <w:rPr>
          <w:rFonts w:ascii="宋体" w:hAnsi="宋体" w:cs="宋体"/>
          <w:sz w:val="24"/>
        </w:rPr>
      </w:pPr>
      <w:r>
        <w:rPr>
          <w:rFonts w:hint="eastAsia" w:ascii="宋体" w:hAnsi="宋体" w:cs="宋体"/>
          <w:sz w:val="24"/>
        </w:rPr>
        <w:t>6.交货地点：由供应商负责送货到院方指定仓库内存放。</w:t>
      </w:r>
    </w:p>
    <w:p>
      <w:pPr>
        <w:pStyle w:val="2"/>
        <w:spacing w:line="360" w:lineRule="auto"/>
        <w:rPr>
          <w:rFonts w:ascii="宋体" w:hAnsi="宋体" w:cs="宋体"/>
          <w:b/>
          <w:bCs/>
          <w:sz w:val="24"/>
        </w:rPr>
      </w:pPr>
      <w:r>
        <w:rPr>
          <w:rFonts w:hint="eastAsia" w:ascii="宋体" w:hAnsi="宋体" w:cs="宋体"/>
          <w:sz w:val="24"/>
        </w:rPr>
        <w:t xml:space="preserve">   </w:t>
      </w:r>
      <w:r>
        <w:rPr>
          <w:rFonts w:hint="eastAsia" w:ascii="宋体" w:hAnsi="宋体" w:cs="宋体"/>
          <w:b/>
          <w:bCs/>
          <w:sz w:val="24"/>
        </w:rPr>
        <w:t xml:space="preserve">  二、污水处理消毒粉剂产品要求</w:t>
      </w:r>
    </w:p>
    <w:p>
      <w:pPr>
        <w:pStyle w:val="2"/>
        <w:spacing w:line="360" w:lineRule="auto"/>
        <w:ind w:firstLine="480" w:firstLineChars="200"/>
        <w:rPr>
          <w:rFonts w:ascii="宋体" w:hAnsi="宋体" w:cs="宋体"/>
          <w:kern w:val="0"/>
          <w:sz w:val="24"/>
        </w:rPr>
      </w:pPr>
      <w:r>
        <w:rPr>
          <w:rFonts w:hint="eastAsia" w:ascii="宋体" w:hAnsi="宋体" w:cs="宋体"/>
          <w:sz w:val="24"/>
        </w:rPr>
        <w:t>1. 产品名称及成分</w:t>
      </w:r>
    </w:p>
    <w:p>
      <w:pPr>
        <w:pStyle w:val="2"/>
        <w:spacing w:line="360" w:lineRule="auto"/>
        <w:ind w:firstLine="480" w:firstLineChars="200"/>
        <w:rPr>
          <w:rFonts w:ascii="宋体" w:hAnsi="宋体" w:cs="宋体"/>
          <w:bCs/>
          <w:kern w:val="0"/>
          <w:sz w:val="24"/>
        </w:rPr>
      </w:pPr>
      <w:r>
        <w:rPr>
          <w:rFonts w:hint="eastAsia" w:ascii="宋体" w:hAnsi="宋体" w:cs="宋体"/>
          <w:bCs/>
          <w:kern w:val="0"/>
          <w:sz w:val="24"/>
        </w:rPr>
        <w:t>1.1</w:t>
      </w:r>
      <w:r>
        <w:rPr>
          <w:rFonts w:hint="eastAsia" w:ascii="宋体" w:hAnsi="宋体" w:cs="宋体"/>
          <w:sz w:val="24"/>
        </w:rPr>
        <w:t>产品名称：单过硫酸氢钾消毒粉剂</w:t>
      </w:r>
    </w:p>
    <w:p>
      <w:pPr>
        <w:pStyle w:val="2"/>
        <w:spacing w:line="360" w:lineRule="auto"/>
        <w:ind w:firstLine="480" w:firstLineChars="200"/>
        <w:rPr>
          <w:rFonts w:ascii="宋体" w:hAnsi="宋体" w:cs="宋体"/>
          <w:sz w:val="24"/>
        </w:rPr>
      </w:pPr>
      <w:r>
        <w:rPr>
          <w:rFonts w:hint="eastAsia" w:ascii="宋体" w:hAnsi="宋体" w:cs="宋体"/>
          <w:bCs/>
          <w:kern w:val="0"/>
          <w:sz w:val="24"/>
        </w:rPr>
        <w:t>1.2</w:t>
      </w:r>
      <w:r>
        <w:rPr>
          <w:rFonts w:hint="eastAsia" w:ascii="宋体" w:hAnsi="宋体" w:cs="宋体"/>
          <w:bCs/>
          <w:sz w:val="24"/>
        </w:rPr>
        <w:t>单过硫酸氢钾25%-30%、氯化钠5%、活性氧含量10%</w:t>
      </w:r>
      <w:r>
        <w:rPr>
          <w:rFonts w:hint="eastAsia" w:ascii="宋体" w:hAnsi="宋体" w:cs="宋体"/>
          <w:bCs/>
          <w:kern w:val="0"/>
          <w:sz w:val="24"/>
        </w:rPr>
        <w:t>。</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1.3水溶液主要成分：有效物质含量：新生态氧【O】、硫酸自由基SO4-.羟基自由基OH.超氧自由基[ROO] .过氧化氢H2O2微量次氯酸。</w:t>
      </w:r>
    </w:p>
    <w:p>
      <w:pPr>
        <w:adjustRightInd w:val="0"/>
        <w:snapToGrid w:val="0"/>
        <w:spacing w:line="360" w:lineRule="auto"/>
        <w:ind w:firstLine="480" w:firstLineChars="200"/>
        <w:rPr>
          <w:rFonts w:ascii="宋体" w:hAnsi="宋体" w:cs="宋体"/>
          <w:sz w:val="24"/>
        </w:rPr>
      </w:pPr>
      <w:r>
        <w:rPr>
          <w:rFonts w:hint="eastAsia" w:ascii="宋体" w:hAnsi="宋体" w:cs="宋体"/>
          <w:bCs/>
          <w:kern w:val="0"/>
          <w:sz w:val="24"/>
        </w:rPr>
        <w:t>2.产品</w:t>
      </w:r>
      <w:r>
        <w:rPr>
          <w:rFonts w:hint="eastAsia" w:ascii="宋体" w:hAnsi="宋体" w:cs="宋体"/>
          <w:bCs/>
          <w:sz w:val="24"/>
        </w:rPr>
        <w:t>污水处理能力及相关要求：</w:t>
      </w:r>
      <w:r>
        <w:rPr>
          <w:rFonts w:hint="eastAsia" w:ascii="宋体" w:hAnsi="宋体" w:cs="宋体"/>
          <w:bCs/>
          <w:sz w:val="24"/>
          <w:highlight w:val="none"/>
        </w:rPr>
        <w:t>1公斤消毒粉剂处理污水不低于100吨（</w:t>
      </w:r>
      <w:r>
        <w:rPr>
          <w:rFonts w:hint="eastAsia" w:ascii="宋体" w:hAnsi="宋体" w:cs="宋体"/>
          <w:bCs/>
          <w:sz w:val="24"/>
        </w:rPr>
        <w:t>含100吨），消毒粉年采购金额不高于供应商的年度总报价。</w:t>
      </w:r>
    </w:p>
    <w:p>
      <w:pPr>
        <w:pStyle w:val="2"/>
        <w:spacing w:line="360" w:lineRule="auto"/>
        <w:ind w:firstLine="480" w:firstLineChars="200"/>
        <w:rPr>
          <w:rFonts w:ascii="宋体" w:hAnsi="宋体" w:cs="宋体"/>
          <w:sz w:val="24"/>
          <w:lang w:val="zh-CN"/>
        </w:rPr>
      </w:pPr>
      <w:r>
        <w:rPr>
          <w:rFonts w:hint="eastAsia" w:ascii="宋体" w:hAnsi="宋体" w:cs="宋体"/>
          <w:sz w:val="24"/>
        </w:rPr>
        <w:t>3.供货方式：协议供货，每次接到院方下单通知，供应商24小时内将货物交至院方指定地点，应急送货时间12小时内。</w:t>
      </w:r>
      <w:r>
        <w:rPr>
          <w:rFonts w:hint="eastAsia" w:ascii="宋体" w:hAnsi="宋体" w:cs="宋体"/>
          <w:sz w:val="24"/>
          <w:lang w:val="zh-CN"/>
        </w:rPr>
        <w:t>急需货品节假日照常配送。</w:t>
      </w:r>
    </w:p>
    <w:p>
      <w:pPr>
        <w:spacing w:line="360" w:lineRule="auto"/>
        <w:ind w:firstLine="480" w:firstLineChars="200"/>
        <w:rPr>
          <w:rFonts w:ascii="宋体" w:hAnsi="宋体" w:cs="宋体"/>
          <w:sz w:val="24"/>
        </w:rPr>
      </w:pPr>
      <w:r>
        <w:rPr>
          <w:rFonts w:hint="eastAsia" w:ascii="宋体" w:hAnsi="宋体" w:cs="宋体"/>
          <w:sz w:val="24"/>
        </w:rPr>
        <w:t>4.保质期及包装质量要求：保质期不低于180天，所供货物必须包装完好、外包装未拆封。</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sz w:val="24"/>
        </w:rPr>
        <w:t>5.供应商所供</w:t>
      </w:r>
      <w:r>
        <w:rPr>
          <w:rFonts w:hint="eastAsia" w:ascii="宋体" w:hAnsi="宋体" w:cs="宋体"/>
          <w:bCs/>
          <w:kern w:val="0"/>
          <w:sz w:val="24"/>
        </w:rPr>
        <w:t>消毒粉需具备相关的有效期内的消毒用品许可证，为颗粒状末（粉剂），易溶于水，产品在固态时安全稳定不发生反应，溶于水后通过系列链试反应，连续产生激发态氧自由基，杀菌效果优异，且消毒粉在水中分解释放出氧气和硫酸钾，不产生有害物资。</w:t>
      </w:r>
    </w:p>
    <w:p>
      <w:pPr>
        <w:adjustRightInd w:val="0"/>
        <w:snapToGrid w:val="0"/>
        <w:spacing w:line="360" w:lineRule="auto"/>
        <w:ind w:firstLine="482" w:firstLineChars="200"/>
        <w:rPr>
          <w:rFonts w:ascii="宋体" w:hAnsi="宋体" w:cs="宋体"/>
          <w:b/>
          <w:bCs/>
          <w:kern w:val="0"/>
          <w:sz w:val="24"/>
        </w:rPr>
      </w:pPr>
      <w:r>
        <w:rPr>
          <w:rFonts w:hint="eastAsia" w:ascii="宋体" w:hAnsi="宋体" w:cs="宋体"/>
          <w:b/>
          <w:bCs/>
          <w:kern w:val="0"/>
          <w:sz w:val="24"/>
        </w:rPr>
        <w:t>6.供应商如为非生产商，需提供生产企业有效期内授权经营企业代理委托书。</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7.经投放消毒产品进行处理后的污水(排放口污水)中有效活性氧成分不低0.5mg/L(活性氧检测仪检测的结果为准)。成交供应商需提供一部配套活性氧检测仪供日常检测使用。</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8.供应商需承诺所供的消毒产品应符合国家有关医疗机构污水处理消毒管理的质量标准、符合国家行业生产及经营标准，产品必须无腐蚀，对人体无伤害，安全环保性，需有广东省广州市级疾控中心提供的检测报告如不符合应退货退款，并承担违约责任。</w:t>
      </w:r>
    </w:p>
    <w:p>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bCs/>
          <w:kern w:val="0"/>
          <w:sz w:val="24"/>
        </w:rPr>
        <w:t>9.经供应商投加所供消毒产品处理后的医院污水，必须</w:t>
      </w:r>
      <w:r>
        <w:rPr>
          <w:rFonts w:hint="eastAsia" w:ascii="宋体" w:hAnsi="宋体" w:cs="宋体"/>
          <w:color w:val="000000"/>
          <w:kern w:val="0"/>
          <w:sz w:val="24"/>
        </w:rPr>
        <w:t>符合(GB18466一2005)的菌类标准中的《综合医疗机构和其他医疗机构水污染排放限值（日均值）》（详见下表），符合广州市从化区环保局24小时动态监测排污标准最高允许排放标准。院方使用成交供应商的产品后，经广州市疾控部门及环保部门检测合格，达到下表要求（具体按部门规定标准）。经广州市疾控部门及环保部门检测不合格，医院有权取消供应商消毒产品的付款，并要求供应商赔偿医院损失的一切费用。</w:t>
      </w:r>
    </w:p>
    <w:p>
      <w:pPr>
        <w:pStyle w:val="41"/>
        <w:ind w:left="1594"/>
        <w:jc w:val="left"/>
        <w:rPr>
          <w:bCs/>
          <w:kern w:val="0"/>
          <w:sz w:val="21"/>
          <w:szCs w:val="21"/>
        </w:rPr>
      </w:pPr>
      <w:r>
        <w:rPr>
          <w:rFonts w:hint="eastAsia"/>
          <w:bCs/>
          <w:kern w:val="0"/>
          <w:sz w:val="21"/>
          <w:szCs w:val="21"/>
        </w:rPr>
        <w:t>表1综合医疗机构和其他医疗机构水污染物排放限值(日均值)</w:t>
      </w:r>
    </w:p>
    <w:tbl>
      <w:tblPr>
        <w:tblStyle w:val="16"/>
        <w:tblW w:w="0" w:type="auto"/>
        <w:jc w:val="center"/>
        <w:tblLayout w:type="fixed"/>
        <w:tblCellMar>
          <w:top w:w="0" w:type="dxa"/>
          <w:left w:w="10" w:type="dxa"/>
          <w:bottom w:w="0" w:type="dxa"/>
          <w:right w:w="10" w:type="dxa"/>
        </w:tblCellMar>
      </w:tblPr>
      <w:tblGrid>
        <w:gridCol w:w="725"/>
        <w:gridCol w:w="4512"/>
        <w:gridCol w:w="1987"/>
        <w:gridCol w:w="1973"/>
      </w:tblGrid>
      <w:tr>
        <w:tblPrEx>
          <w:tblCellMar>
            <w:top w:w="0" w:type="dxa"/>
            <w:left w:w="10" w:type="dxa"/>
            <w:bottom w:w="0" w:type="dxa"/>
            <w:right w:w="10" w:type="dxa"/>
          </w:tblCellMar>
        </w:tblPrEx>
        <w:trPr>
          <w:trHeight w:val="408" w:hRule="exact"/>
          <w:jc w:val="center"/>
        </w:trPr>
        <w:tc>
          <w:tcPr>
            <w:tcW w:w="725" w:type="dxa"/>
            <w:tcBorders>
              <w:top w:val="single" w:color="auto" w:sz="4" w:space="0"/>
              <w:left w:val="single" w:color="auto" w:sz="4" w:space="0"/>
            </w:tcBorders>
            <w:shd w:val="clear" w:color="auto" w:fill="FFFFFF"/>
            <w:vAlign w:val="bottom"/>
          </w:tcPr>
          <w:p>
            <w:pPr>
              <w:pStyle w:val="42"/>
              <w:spacing w:line="240" w:lineRule="auto"/>
              <w:ind w:firstLine="0"/>
              <w:jc w:val="center"/>
              <w:rPr>
                <w:b/>
                <w:bCs/>
                <w:sz w:val="21"/>
                <w:szCs w:val="21"/>
              </w:rPr>
            </w:pPr>
            <w:r>
              <w:rPr>
                <w:b/>
                <w:bCs/>
                <w:color w:val="000000"/>
                <w:sz w:val="21"/>
                <w:szCs w:val="21"/>
              </w:rPr>
              <w:t>序号</w:t>
            </w:r>
          </w:p>
        </w:tc>
        <w:tc>
          <w:tcPr>
            <w:tcW w:w="4512" w:type="dxa"/>
            <w:tcBorders>
              <w:top w:val="single" w:color="auto" w:sz="4" w:space="0"/>
              <w:left w:val="single" w:color="auto" w:sz="4" w:space="0"/>
            </w:tcBorders>
            <w:shd w:val="clear" w:color="auto" w:fill="FFFFFF"/>
            <w:vAlign w:val="bottom"/>
          </w:tcPr>
          <w:p>
            <w:pPr>
              <w:pStyle w:val="42"/>
              <w:spacing w:line="240" w:lineRule="auto"/>
              <w:ind w:firstLine="0"/>
              <w:jc w:val="center"/>
              <w:rPr>
                <w:b/>
                <w:bCs/>
                <w:sz w:val="21"/>
                <w:szCs w:val="21"/>
              </w:rPr>
            </w:pPr>
            <w:r>
              <w:rPr>
                <w:b/>
                <w:bCs/>
                <w:color w:val="000000"/>
                <w:sz w:val="21"/>
                <w:szCs w:val="21"/>
              </w:rPr>
              <w:t>控制项目</w:t>
            </w:r>
          </w:p>
        </w:tc>
        <w:tc>
          <w:tcPr>
            <w:tcW w:w="1987" w:type="dxa"/>
            <w:tcBorders>
              <w:top w:val="single" w:color="auto" w:sz="4" w:space="0"/>
              <w:left w:val="single" w:color="auto" w:sz="4" w:space="0"/>
            </w:tcBorders>
            <w:shd w:val="clear" w:color="auto" w:fill="FFFFFF"/>
            <w:vAlign w:val="bottom"/>
          </w:tcPr>
          <w:p>
            <w:pPr>
              <w:pStyle w:val="42"/>
              <w:spacing w:line="240" w:lineRule="auto"/>
              <w:ind w:firstLine="0"/>
              <w:jc w:val="center"/>
              <w:rPr>
                <w:b/>
                <w:bCs/>
                <w:sz w:val="21"/>
                <w:szCs w:val="21"/>
              </w:rPr>
            </w:pPr>
            <w:r>
              <w:rPr>
                <w:b/>
                <w:bCs/>
                <w:color w:val="000000"/>
                <w:sz w:val="21"/>
                <w:szCs w:val="21"/>
              </w:rPr>
              <w:t>排放标准</w:t>
            </w:r>
          </w:p>
        </w:tc>
        <w:tc>
          <w:tcPr>
            <w:tcW w:w="1973" w:type="dxa"/>
            <w:tcBorders>
              <w:top w:val="single" w:color="auto" w:sz="4" w:space="0"/>
              <w:left w:val="single" w:color="auto" w:sz="4" w:space="0"/>
              <w:right w:val="single" w:color="auto" w:sz="4" w:space="0"/>
            </w:tcBorders>
            <w:shd w:val="clear" w:color="auto" w:fill="FFFFFF"/>
            <w:vAlign w:val="bottom"/>
          </w:tcPr>
          <w:p>
            <w:pPr>
              <w:pStyle w:val="42"/>
              <w:spacing w:line="240" w:lineRule="auto"/>
              <w:ind w:firstLine="0"/>
              <w:jc w:val="center"/>
              <w:rPr>
                <w:b/>
                <w:bCs/>
                <w:sz w:val="21"/>
                <w:szCs w:val="21"/>
              </w:rPr>
            </w:pPr>
            <w:r>
              <w:rPr>
                <w:b/>
                <w:bCs/>
                <w:color w:val="000000"/>
                <w:sz w:val="21"/>
                <w:szCs w:val="21"/>
              </w:rPr>
              <w:t>预处理标准</w:t>
            </w:r>
          </w:p>
        </w:tc>
      </w:tr>
      <w:tr>
        <w:tblPrEx>
          <w:tblCellMar>
            <w:top w:w="0" w:type="dxa"/>
            <w:left w:w="10" w:type="dxa"/>
            <w:bottom w:w="0" w:type="dxa"/>
            <w:right w:w="10" w:type="dxa"/>
          </w:tblCellMar>
        </w:tblPrEx>
        <w:trPr>
          <w:trHeight w:val="355" w:hRule="exact"/>
          <w:jc w:val="center"/>
        </w:trPr>
        <w:tc>
          <w:tcPr>
            <w:tcW w:w="725" w:type="dxa"/>
            <w:tcBorders>
              <w:top w:val="single" w:color="auto" w:sz="4" w:space="0"/>
              <w:left w:val="single" w:color="auto" w:sz="4" w:space="0"/>
            </w:tcBorders>
            <w:shd w:val="clear" w:color="auto" w:fill="FFFFFF"/>
            <w:vAlign w:val="center"/>
          </w:tcPr>
          <w:p>
            <w:pPr>
              <w:pStyle w:val="42"/>
              <w:spacing w:line="240" w:lineRule="auto"/>
              <w:ind w:firstLine="260"/>
              <w:jc w:val="left"/>
              <w:rPr>
                <w:sz w:val="21"/>
                <w:szCs w:val="21"/>
              </w:rPr>
            </w:pPr>
            <w:r>
              <w:rPr>
                <w:rFonts w:hint="eastAsia"/>
                <w:color w:val="000000"/>
                <w:sz w:val="21"/>
                <w:szCs w:val="21"/>
              </w:rPr>
              <w:t>1</w:t>
            </w:r>
          </w:p>
        </w:tc>
        <w:tc>
          <w:tcPr>
            <w:tcW w:w="4512" w:type="dxa"/>
            <w:tcBorders>
              <w:top w:val="single" w:color="auto" w:sz="4" w:space="0"/>
              <w:left w:val="single" w:color="auto" w:sz="4" w:space="0"/>
            </w:tcBorders>
            <w:shd w:val="clear" w:color="auto" w:fill="FFFFFF"/>
            <w:vAlign w:val="bottom"/>
          </w:tcPr>
          <w:p>
            <w:pPr>
              <w:pStyle w:val="42"/>
              <w:spacing w:line="240" w:lineRule="auto"/>
              <w:ind w:firstLine="0"/>
              <w:jc w:val="center"/>
              <w:rPr>
                <w:sz w:val="21"/>
                <w:szCs w:val="21"/>
              </w:rPr>
            </w:pPr>
            <w:r>
              <w:rPr>
                <w:rFonts w:hint="eastAsia"/>
                <w:color w:val="000000"/>
                <w:sz w:val="21"/>
                <w:szCs w:val="21"/>
              </w:rPr>
              <w:t>粪大肠菌群数/( MPN/L)</w:t>
            </w:r>
          </w:p>
        </w:tc>
        <w:tc>
          <w:tcPr>
            <w:tcW w:w="1987"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500</w:t>
            </w:r>
          </w:p>
        </w:tc>
        <w:tc>
          <w:tcPr>
            <w:tcW w:w="1973" w:type="dxa"/>
            <w:tcBorders>
              <w:top w:val="single" w:color="auto" w:sz="4" w:space="0"/>
              <w:left w:val="single" w:color="auto" w:sz="4" w:space="0"/>
              <w:righ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5 000</w:t>
            </w:r>
          </w:p>
        </w:tc>
      </w:tr>
      <w:tr>
        <w:tblPrEx>
          <w:tblCellMar>
            <w:top w:w="0" w:type="dxa"/>
            <w:left w:w="10" w:type="dxa"/>
            <w:bottom w:w="0" w:type="dxa"/>
            <w:right w:w="10" w:type="dxa"/>
          </w:tblCellMar>
        </w:tblPrEx>
        <w:trPr>
          <w:trHeight w:val="365" w:hRule="exact"/>
          <w:jc w:val="center"/>
        </w:trPr>
        <w:tc>
          <w:tcPr>
            <w:tcW w:w="725" w:type="dxa"/>
            <w:tcBorders>
              <w:top w:val="single" w:color="auto" w:sz="4" w:space="0"/>
              <w:left w:val="single" w:color="auto" w:sz="4" w:space="0"/>
            </w:tcBorders>
            <w:shd w:val="clear" w:color="auto" w:fill="FFFFFF"/>
            <w:vAlign w:val="center"/>
          </w:tcPr>
          <w:p>
            <w:pPr>
              <w:pStyle w:val="42"/>
              <w:spacing w:line="240" w:lineRule="auto"/>
              <w:ind w:firstLine="260"/>
              <w:jc w:val="left"/>
              <w:rPr>
                <w:sz w:val="21"/>
                <w:szCs w:val="21"/>
              </w:rPr>
            </w:pPr>
            <w:r>
              <w:rPr>
                <w:rFonts w:hint="eastAsia"/>
                <w:color w:val="000000"/>
                <w:sz w:val="21"/>
                <w:szCs w:val="21"/>
              </w:rPr>
              <w:t>2</w:t>
            </w:r>
          </w:p>
        </w:tc>
        <w:tc>
          <w:tcPr>
            <w:tcW w:w="4512" w:type="dxa"/>
            <w:tcBorders>
              <w:top w:val="single" w:color="auto" w:sz="4" w:space="0"/>
              <w:left w:val="single" w:color="auto" w:sz="4" w:space="0"/>
            </w:tcBorders>
            <w:shd w:val="clear" w:color="auto" w:fill="FFFFFF"/>
            <w:vAlign w:val="bottom"/>
          </w:tcPr>
          <w:p>
            <w:pPr>
              <w:pStyle w:val="42"/>
              <w:spacing w:line="240" w:lineRule="auto"/>
              <w:ind w:firstLine="0"/>
              <w:jc w:val="center"/>
              <w:rPr>
                <w:sz w:val="21"/>
                <w:szCs w:val="21"/>
              </w:rPr>
            </w:pPr>
            <w:r>
              <w:rPr>
                <w:rFonts w:hint="eastAsia"/>
                <w:color w:val="000000"/>
                <w:sz w:val="21"/>
                <w:szCs w:val="21"/>
              </w:rPr>
              <w:t>肠道致病菌</w:t>
            </w:r>
          </w:p>
        </w:tc>
        <w:tc>
          <w:tcPr>
            <w:tcW w:w="1987"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不得检出</w:t>
            </w:r>
          </w:p>
        </w:tc>
        <w:tc>
          <w:tcPr>
            <w:tcW w:w="1973" w:type="dxa"/>
            <w:tcBorders>
              <w:top w:val="single" w:color="auto" w:sz="4" w:space="0"/>
              <w:left w:val="single" w:color="auto" w:sz="4" w:space="0"/>
              <w:righ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一</w:t>
            </w:r>
          </w:p>
        </w:tc>
      </w:tr>
      <w:tr>
        <w:tblPrEx>
          <w:tblCellMar>
            <w:top w:w="0" w:type="dxa"/>
            <w:left w:w="10" w:type="dxa"/>
            <w:bottom w:w="0" w:type="dxa"/>
            <w:right w:w="10" w:type="dxa"/>
          </w:tblCellMar>
        </w:tblPrEx>
        <w:trPr>
          <w:trHeight w:val="360" w:hRule="exact"/>
          <w:jc w:val="center"/>
        </w:trPr>
        <w:tc>
          <w:tcPr>
            <w:tcW w:w="725" w:type="dxa"/>
            <w:tcBorders>
              <w:top w:val="single" w:color="auto" w:sz="4" w:space="0"/>
              <w:left w:val="single" w:color="auto" w:sz="4" w:space="0"/>
            </w:tcBorders>
            <w:shd w:val="clear" w:color="auto" w:fill="FFFFFF"/>
            <w:vAlign w:val="center"/>
          </w:tcPr>
          <w:p>
            <w:pPr>
              <w:pStyle w:val="42"/>
              <w:spacing w:line="240" w:lineRule="auto"/>
              <w:ind w:firstLine="260"/>
              <w:jc w:val="left"/>
              <w:rPr>
                <w:sz w:val="21"/>
                <w:szCs w:val="21"/>
              </w:rPr>
            </w:pPr>
            <w:r>
              <w:rPr>
                <w:rFonts w:hint="eastAsia"/>
                <w:color w:val="000000"/>
                <w:sz w:val="21"/>
                <w:szCs w:val="21"/>
              </w:rPr>
              <w:t>3</w:t>
            </w:r>
          </w:p>
        </w:tc>
        <w:tc>
          <w:tcPr>
            <w:tcW w:w="4512" w:type="dxa"/>
            <w:tcBorders>
              <w:top w:val="single" w:color="auto" w:sz="4" w:space="0"/>
              <w:left w:val="single" w:color="auto" w:sz="4" w:space="0"/>
            </w:tcBorders>
            <w:shd w:val="clear" w:color="auto" w:fill="FFFFFF"/>
            <w:vAlign w:val="bottom"/>
          </w:tcPr>
          <w:p>
            <w:pPr>
              <w:pStyle w:val="42"/>
              <w:spacing w:line="240" w:lineRule="auto"/>
              <w:ind w:firstLine="0"/>
              <w:jc w:val="center"/>
              <w:rPr>
                <w:sz w:val="21"/>
                <w:szCs w:val="21"/>
              </w:rPr>
            </w:pPr>
            <w:r>
              <w:rPr>
                <w:rFonts w:hint="eastAsia"/>
                <w:color w:val="000000"/>
                <w:sz w:val="21"/>
                <w:szCs w:val="21"/>
              </w:rPr>
              <w:t>肠道病毒</w:t>
            </w:r>
          </w:p>
        </w:tc>
        <w:tc>
          <w:tcPr>
            <w:tcW w:w="1987"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不得检出</w:t>
            </w:r>
          </w:p>
        </w:tc>
        <w:tc>
          <w:tcPr>
            <w:tcW w:w="1973" w:type="dxa"/>
            <w:tcBorders>
              <w:top w:val="single" w:color="auto" w:sz="4" w:space="0"/>
              <w:left w:val="single" w:color="auto" w:sz="4" w:space="0"/>
              <w:righ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一</w:t>
            </w:r>
          </w:p>
        </w:tc>
      </w:tr>
      <w:tr>
        <w:tblPrEx>
          <w:tblCellMar>
            <w:top w:w="0" w:type="dxa"/>
            <w:left w:w="10" w:type="dxa"/>
            <w:bottom w:w="0" w:type="dxa"/>
            <w:right w:w="10" w:type="dxa"/>
          </w:tblCellMar>
        </w:tblPrEx>
        <w:trPr>
          <w:trHeight w:val="360" w:hRule="exact"/>
          <w:jc w:val="center"/>
        </w:trPr>
        <w:tc>
          <w:tcPr>
            <w:tcW w:w="725" w:type="dxa"/>
            <w:tcBorders>
              <w:top w:val="single" w:color="auto" w:sz="4" w:space="0"/>
              <w:left w:val="single" w:color="auto" w:sz="4" w:space="0"/>
            </w:tcBorders>
            <w:shd w:val="clear" w:color="auto" w:fill="FFFFFF"/>
            <w:vAlign w:val="center"/>
          </w:tcPr>
          <w:p>
            <w:pPr>
              <w:pStyle w:val="42"/>
              <w:spacing w:line="240" w:lineRule="auto"/>
              <w:ind w:firstLine="260"/>
              <w:jc w:val="left"/>
              <w:rPr>
                <w:sz w:val="21"/>
                <w:szCs w:val="21"/>
              </w:rPr>
            </w:pPr>
            <w:r>
              <w:rPr>
                <w:rFonts w:hint="eastAsia"/>
                <w:color w:val="000000"/>
                <w:sz w:val="21"/>
                <w:szCs w:val="21"/>
              </w:rPr>
              <w:t>4</w:t>
            </w:r>
          </w:p>
        </w:tc>
        <w:tc>
          <w:tcPr>
            <w:tcW w:w="4512"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pH</w:t>
            </w:r>
          </w:p>
        </w:tc>
        <w:tc>
          <w:tcPr>
            <w:tcW w:w="1987"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6 ~9</w:t>
            </w:r>
          </w:p>
        </w:tc>
        <w:tc>
          <w:tcPr>
            <w:tcW w:w="1973" w:type="dxa"/>
            <w:tcBorders>
              <w:top w:val="single" w:color="auto" w:sz="4" w:space="0"/>
              <w:left w:val="single" w:color="auto" w:sz="4" w:space="0"/>
              <w:righ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6〜9</w:t>
            </w:r>
          </w:p>
        </w:tc>
      </w:tr>
      <w:tr>
        <w:tblPrEx>
          <w:tblCellMar>
            <w:top w:w="0" w:type="dxa"/>
            <w:left w:w="10" w:type="dxa"/>
            <w:bottom w:w="0" w:type="dxa"/>
            <w:right w:w="10" w:type="dxa"/>
          </w:tblCellMar>
        </w:tblPrEx>
        <w:trPr>
          <w:trHeight w:val="994" w:hRule="exact"/>
          <w:jc w:val="center"/>
        </w:trPr>
        <w:tc>
          <w:tcPr>
            <w:tcW w:w="725" w:type="dxa"/>
            <w:tcBorders>
              <w:top w:val="single" w:color="auto" w:sz="4" w:space="0"/>
              <w:left w:val="single" w:color="auto" w:sz="4" w:space="0"/>
            </w:tcBorders>
            <w:shd w:val="clear" w:color="auto" w:fill="FFFFFF"/>
            <w:vAlign w:val="center"/>
          </w:tcPr>
          <w:p>
            <w:pPr>
              <w:pStyle w:val="42"/>
              <w:spacing w:line="240" w:lineRule="auto"/>
              <w:ind w:firstLine="260"/>
              <w:jc w:val="left"/>
              <w:rPr>
                <w:sz w:val="21"/>
                <w:szCs w:val="21"/>
              </w:rPr>
            </w:pPr>
            <w:r>
              <w:rPr>
                <w:rFonts w:hint="eastAsia"/>
                <w:color w:val="000000"/>
                <w:sz w:val="21"/>
                <w:szCs w:val="21"/>
              </w:rPr>
              <w:t>5</w:t>
            </w:r>
          </w:p>
        </w:tc>
        <w:tc>
          <w:tcPr>
            <w:tcW w:w="4512" w:type="dxa"/>
            <w:tcBorders>
              <w:top w:val="single" w:color="auto" w:sz="4" w:space="0"/>
              <w:left w:val="single" w:color="auto" w:sz="4" w:space="0"/>
            </w:tcBorders>
            <w:shd w:val="clear" w:color="auto" w:fill="FFFFFF"/>
            <w:vAlign w:val="center"/>
          </w:tcPr>
          <w:p>
            <w:pPr>
              <w:pStyle w:val="42"/>
              <w:spacing w:after="40" w:line="240" w:lineRule="auto"/>
              <w:ind w:firstLine="0"/>
              <w:jc w:val="left"/>
              <w:rPr>
                <w:sz w:val="21"/>
                <w:szCs w:val="21"/>
              </w:rPr>
            </w:pPr>
            <w:r>
              <w:rPr>
                <w:rFonts w:hint="eastAsia"/>
                <w:color w:val="000000"/>
                <w:sz w:val="21"/>
                <w:szCs w:val="21"/>
              </w:rPr>
              <w:t>化学需氧量(COD)</w:t>
            </w:r>
          </w:p>
          <w:p>
            <w:pPr>
              <w:pStyle w:val="42"/>
              <w:spacing w:after="40" w:line="240" w:lineRule="auto"/>
              <w:ind w:firstLine="440"/>
              <w:jc w:val="left"/>
              <w:rPr>
                <w:sz w:val="21"/>
                <w:szCs w:val="21"/>
              </w:rPr>
            </w:pPr>
            <w:r>
              <w:rPr>
                <w:rFonts w:hint="eastAsia"/>
                <w:color w:val="000000"/>
                <w:sz w:val="21"/>
                <w:szCs w:val="21"/>
              </w:rPr>
              <w:t>浓度/ (mg/L)</w:t>
            </w:r>
          </w:p>
          <w:p>
            <w:pPr>
              <w:pStyle w:val="42"/>
              <w:spacing w:after="40" w:line="240" w:lineRule="auto"/>
              <w:ind w:firstLine="440"/>
              <w:jc w:val="left"/>
              <w:rPr>
                <w:sz w:val="21"/>
                <w:szCs w:val="21"/>
              </w:rPr>
            </w:pPr>
            <w:r>
              <w:rPr>
                <w:rFonts w:hint="eastAsia"/>
                <w:color w:val="000000"/>
                <w:sz w:val="21"/>
                <w:szCs w:val="21"/>
              </w:rPr>
              <w:t>最高允许排放负荷/ [g/(床位.d)]</w:t>
            </w:r>
          </w:p>
        </w:tc>
        <w:tc>
          <w:tcPr>
            <w:tcW w:w="1987" w:type="dxa"/>
            <w:tcBorders>
              <w:top w:val="single" w:color="auto" w:sz="4" w:space="0"/>
              <w:left w:val="single" w:color="auto" w:sz="4" w:space="0"/>
            </w:tcBorders>
            <w:shd w:val="clear" w:color="auto" w:fill="FFFFFF"/>
            <w:vAlign w:val="center"/>
          </w:tcPr>
          <w:p>
            <w:pPr>
              <w:pStyle w:val="42"/>
              <w:spacing w:after="80" w:line="240" w:lineRule="auto"/>
              <w:ind w:firstLine="0"/>
              <w:jc w:val="center"/>
              <w:rPr>
                <w:sz w:val="21"/>
                <w:szCs w:val="21"/>
              </w:rPr>
            </w:pPr>
            <w:r>
              <w:rPr>
                <w:rFonts w:hint="eastAsia"/>
                <w:color w:val="000000"/>
                <w:sz w:val="21"/>
                <w:szCs w:val="21"/>
              </w:rPr>
              <w:t>60</w:t>
            </w:r>
          </w:p>
          <w:p>
            <w:pPr>
              <w:pStyle w:val="42"/>
              <w:spacing w:line="240" w:lineRule="auto"/>
              <w:ind w:firstLine="0"/>
              <w:jc w:val="center"/>
              <w:rPr>
                <w:sz w:val="21"/>
                <w:szCs w:val="21"/>
              </w:rPr>
            </w:pPr>
            <w:r>
              <w:rPr>
                <w:rFonts w:hint="eastAsia"/>
                <w:color w:val="000000"/>
                <w:sz w:val="21"/>
                <w:szCs w:val="21"/>
              </w:rPr>
              <w:t>60</w:t>
            </w:r>
          </w:p>
        </w:tc>
        <w:tc>
          <w:tcPr>
            <w:tcW w:w="1973" w:type="dxa"/>
            <w:tcBorders>
              <w:top w:val="single" w:color="auto" w:sz="4" w:space="0"/>
              <w:left w:val="single" w:color="auto" w:sz="4" w:space="0"/>
              <w:right w:val="single" w:color="auto" w:sz="4" w:space="0"/>
            </w:tcBorders>
            <w:shd w:val="clear" w:color="auto" w:fill="FFFFFF"/>
            <w:vAlign w:val="center"/>
          </w:tcPr>
          <w:p>
            <w:pPr>
              <w:pStyle w:val="42"/>
              <w:spacing w:after="80" w:line="240" w:lineRule="auto"/>
              <w:ind w:firstLine="0"/>
              <w:jc w:val="center"/>
              <w:rPr>
                <w:sz w:val="21"/>
                <w:szCs w:val="21"/>
              </w:rPr>
            </w:pPr>
            <w:r>
              <w:rPr>
                <w:rFonts w:hint="eastAsia"/>
                <w:color w:val="000000"/>
                <w:sz w:val="21"/>
                <w:szCs w:val="21"/>
              </w:rPr>
              <w:t>250</w:t>
            </w:r>
          </w:p>
          <w:p>
            <w:pPr>
              <w:pStyle w:val="42"/>
              <w:spacing w:line="240" w:lineRule="auto"/>
              <w:ind w:firstLine="0"/>
              <w:jc w:val="center"/>
              <w:rPr>
                <w:sz w:val="21"/>
                <w:szCs w:val="21"/>
              </w:rPr>
            </w:pPr>
            <w:r>
              <w:rPr>
                <w:rFonts w:hint="eastAsia"/>
                <w:color w:val="000000"/>
                <w:sz w:val="21"/>
                <w:szCs w:val="21"/>
              </w:rPr>
              <w:t>250</w:t>
            </w:r>
          </w:p>
        </w:tc>
      </w:tr>
      <w:tr>
        <w:tblPrEx>
          <w:tblCellMar>
            <w:top w:w="0" w:type="dxa"/>
            <w:left w:w="10" w:type="dxa"/>
            <w:bottom w:w="0" w:type="dxa"/>
            <w:right w:w="10" w:type="dxa"/>
          </w:tblCellMar>
        </w:tblPrEx>
        <w:trPr>
          <w:trHeight w:val="989" w:hRule="exact"/>
          <w:jc w:val="center"/>
        </w:trPr>
        <w:tc>
          <w:tcPr>
            <w:tcW w:w="725" w:type="dxa"/>
            <w:tcBorders>
              <w:top w:val="single" w:color="auto" w:sz="4" w:space="0"/>
              <w:left w:val="single" w:color="auto" w:sz="4" w:space="0"/>
            </w:tcBorders>
            <w:shd w:val="clear" w:color="auto" w:fill="FFFFFF"/>
            <w:vAlign w:val="center"/>
          </w:tcPr>
          <w:p>
            <w:pPr>
              <w:pStyle w:val="42"/>
              <w:spacing w:line="240" w:lineRule="auto"/>
              <w:ind w:firstLine="260"/>
              <w:jc w:val="left"/>
              <w:rPr>
                <w:sz w:val="21"/>
                <w:szCs w:val="21"/>
              </w:rPr>
            </w:pPr>
            <w:r>
              <w:rPr>
                <w:rFonts w:hint="eastAsia"/>
                <w:color w:val="000000"/>
                <w:sz w:val="21"/>
                <w:szCs w:val="21"/>
              </w:rPr>
              <w:t>6</w:t>
            </w:r>
          </w:p>
        </w:tc>
        <w:tc>
          <w:tcPr>
            <w:tcW w:w="4512" w:type="dxa"/>
            <w:tcBorders>
              <w:top w:val="single" w:color="auto" w:sz="4" w:space="0"/>
              <w:left w:val="single" w:color="auto" w:sz="4" w:space="0"/>
            </w:tcBorders>
            <w:shd w:val="clear" w:color="auto" w:fill="FFFFFF"/>
            <w:vAlign w:val="center"/>
          </w:tcPr>
          <w:p>
            <w:pPr>
              <w:pStyle w:val="42"/>
              <w:spacing w:after="60" w:line="240" w:lineRule="auto"/>
              <w:ind w:firstLine="0"/>
              <w:jc w:val="left"/>
              <w:rPr>
                <w:sz w:val="21"/>
                <w:szCs w:val="21"/>
              </w:rPr>
            </w:pPr>
            <w:r>
              <w:rPr>
                <w:rFonts w:hint="eastAsia"/>
                <w:color w:val="000000"/>
                <w:sz w:val="21"/>
                <w:szCs w:val="21"/>
              </w:rPr>
              <w:t>生化需氧量(BOD)</w:t>
            </w:r>
          </w:p>
          <w:p>
            <w:pPr>
              <w:pStyle w:val="42"/>
              <w:spacing w:after="60" w:line="240" w:lineRule="auto"/>
              <w:ind w:firstLine="440"/>
              <w:jc w:val="left"/>
              <w:rPr>
                <w:sz w:val="21"/>
                <w:szCs w:val="21"/>
              </w:rPr>
            </w:pPr>
            <w:r>
              <w:rPr>
                <w:rFonts w:hint="eastAsia"/>
                <w:color w:val="000000"/>
                <w:sz w:val="21"/>
                <w:szCs w:val="21"/>
              </w:rPr>
              <w:t>浓度/ (mg/L)</w:t>
            </w:r>
          </w:p>
          <w:p>
            <w:pPr>
              <w:pStyle w:val="42"/>
              <w:spacing w:after="60" w:line="240" w:lineRule="auto"/>
              <w:ind w:firstLine="440"/>
              <w:jc w:val="left"/>
              <w:rPr>
                <w:sz w:val="21"/>
                <w:szCs w:val="21"/>
              </w:rPr>
            </w:pPr>
            <w:r>
              <w:rPr>
                <w:rFonts w:hint="eastAsia"/>
                <w:color w:val="000000"/>
                <w:sz w:val="21"/>
                <w:szCs w:val="21"/>
              </w:rPr>
              <w:t>最高允许排放负荷/[g/(床位.d)]</w:t>
            </w:r>
          </w:p>
        </w:tc>
        <w:tc>
          <w:tcPr>
            <w:tcW w:w="1987" w:type="dxa"/>
            <w:tcBorders>
              <w:top w:val="single" w:color="auto" w:sz="4" w:space="0"/>
              <w:left w:val="single" w:color="auto" w:sz="4" w:space="0"/>
            </w:tcBorders>
            <w:shd w:val="clear" w:color="auto" w:fill="FFFFFF"/>
            <w:vAlign w:val="bottom"/>
          </w:tcPr>
          <w:p>
            <w:pPr>
              <w:pStyle w:val="42"/>
              <w:spacing w:after="80" w:line="240" w:lineRule="auto"/>
              <w:ind w:firstLine="0"/>
              <w:jc w:val="center"/>
              <w:rPr>
                <w:sz w:val="21"/>
                <w:szCs w:val="21"/>
              </w:rPr>
            </w:pPr>
            <w:r>
              <w:rPr>
                <w:rFonts w:hint="eastAsia"/>
                <w:color w:val="000000"/>
                <w:sz w:val="21"/>
                <w:szCs w:val="21"/>
              </w:rPr>
              <w:t>20</w:t>
            </w:r>
          </w:p>
          <w:p>
            <w:pPr>
              <w:pStyle w:val="42"/>
              <w:spacing w:line="240" w:lineRule="auto"/>
              <w:ind w:firstLine="0"/>
              <w:jc w:val="center"/>
              <w:rPr>
                <w:sz w:val="21"/>
                <w:szCs w:val="21"/>
              </w:rPr>
            </w:pPr>
            <w:r>
              <w:rPr>
                <w:rFonts w:hint="eastAsia"/>
                <w:color w:val="000000"/>
                <w:sz w:val="21"/>
                <w:szCs w:val="21"/>
              </w:rPr>
              <w:t>20</w:t>
            </w:r>
          </w:p>
        </w:tc>
        <w:tc>
          <w:tcPr>
            <w:tcW w:w="1973" w:type="dxa"/>
            <w:tcBorders>
              <w:top w:val="single" w:color="auto" w:sz="4" w:space="0"/>
              <w:left w:val="single" w:color="auto" w:sz="4" w:space="0"/>
              <w:right w:val="single" w:color="auto" w:sz="4" w:space="0"/>
            </w:tcBorders>
            <w:shd w:val="clear" w:color="auto" w:fill="FFFFFF"/>
            <w:vAlign w:val="bottom"/>
          </w:tcPr>
          <w:p>
            <w:pPr>
              <w:pStyle w:val="42"/>
              <w:spacing w:after="80" w:line="240" w:lineRule="auto"/>
              <w:ind w:firstLine="0"/>
              <w:jc w:val="center"/>
              <w:rPr>
                <w:sz w:val="21"/>
                <w:szCs w:val="21"/>
              </w:rPr>
            </w:pPr>
            <w:r>
              <w:rPr>
                <w:rFonts w:hint="eastAsia"/>
                <w:color w:val="000000"/>
                <w:sz w:val="21"/>
                <w:szCs w:val="21"/>
              </w:rPr>
              <w:t>100</w:t>
            </w:r>
          </w:p>
          <w:p>
            <w:pPr>
              <w:pStyle w:val="42"/>
              <w:spacing w:line="240" w:lineRule="auto"/>
              <w:ind w:firstLine="0"/>
              <w:jc w:val="center"/>
              <w:rPr>
                <w:sz w:val="21"/>
                <w:szCs w:val="21"/>
              </w:rPr>
            </w:pPr>
            <w:r>
              <w:rPr>
                <w:rFonts w:hint="eastAsia"/>
                <w:color w:val="000000"/>
                <w:sz w:val="21"/>
                <w:szCs w:val="21"/>
              </w:rPr>
              <w:t>100</w:t>
            </w:r>
          </w:p>
        </w:tc>
      </w:tr>
      <w:tr>
        <w:tblPrEx>
          <w:tblCellMar>
            <w:top w:w="0" w:type="dxa"/>
            <w:left w:w="10" w:type="dxa"/>
            <w:bottom w:w="0" w:type="dxa"/>
            <w:right w:w="10" w:type="dxa"/>
          </w:tblCellMar>
        </w:tblPrEx>
        <w:trPr>
          <w:trHeight w:val="994" w:hRule="exact"/>
          <w:jc w:val="center"/>
        </w:trPr>
        <w:tc>
          <w:tcPr>
            <w:tcW w:w="725" w:type="dxa"/>
            <w:tcBorders>
              <w:top w:val="single" w:color="auto" w:sz="4" w:space="0"/>
              <w:left w:val="single" w:color="auto" w:sz="4" w:space="0"/>
            </w:tcBorders>
            <w:shd w:val="clear" w:color="auto" w:fill="FFFFFF"/>
            <w:vAlign w:val="center"/>
          </w:tcPr>
          <w:p>
            <w:pPr>
              <w:pStyle w:val="42"/>
              <w:spacing w:line="240" w:lineRule="auto"/>
              <w:ind w:firstLine="260"/>
              <w:jc w:val="left"/>
              <w:rPr>
                <w:sz w:val="21"/>
                <w:szCs w:val="21"/>
              </w:rPr>
            </w:pPr>
            <w:r>
              <w:rPr>
                <w:rFonts w:hint="eastAsia"/>
                <w:color w:val="000000"/>
                <w:sz w:val="21"/>
                <w:szCs w:val="21"/>
              </w:rPr>
              <w:t>7</w:t>
            </w:r>
          </w:p>
        </w:tc>
        <w:tc>
          <w:tcPr>
            <w:tcW w:w="4512" w:type="dxa"/>
            <w:tcBorders>
              <w:top w:val="single" w:color="auto" w:sz="4" w:space="0"/>
              <w:left w:val="single" w:color="auto" w:sz="4" w:space="0"/>
            </w:tcBorders>
            <w:shd w:val="clear" w:color="auto" w:fill="FFFFFF"/>
            <w:vAlign w:val="center"/>
          </w:tcPr>
          <w:p>
            <w:pPr>
              <w:pStyle w:val="42"/>
              <w:spacing w:after="60" w:line="240" w:lineRule="auto"/>
              <w:ind w:firstLine="0"/>
              <w:jc w:val="left"/>
              <w:rPr>
                <w:sz w:val="21"/>
                <w:szCs w:val="21"/>
              </w:rPr>
            </w:pPr>
            <w:r>
              <w:rPr>
                <w:rFonts w:hint="eastAsia"/>
                <w:color w:val="000000"/>
                <w:sz w:val="21"/>
                <w:szCs w:val="21"/>
              </w:rPr>
              <w:t>悬浮物(SS)</w:t>
            </w:r>
          </w:p>
          <w:p>
            <w:pPr>
              <w:pStyle w:val="42"/>
              <w:spacing w:after="60" w:line="240" w:lineRule="auto"/>
              <w:ind w:firstLine="440"/>
              <w:jc w:val="left"/>
              <w:rPr>
                <w:sz w:val="21"/>
                <w:szCs w:val="21"/>
              </w:rPr>
            </w:pPr>
            <w:r>
              <w:rPr>
                <w:rFonts w:hint="eastAsia"/>
                <w:color w:val="000000"/>
                <w:sz w:val="21"/>
                <w:szCs w:val="21"/>
              </w:rPr>
              <w:t>浓度/ ( mg/L)</w:t>
            </w:r>
          </w:p>
          <w:p>
            <w:pPr>
              <w:pStyle w:val="42"/>
              <w:spacing w:after="60" w:line="240" w:lineRule="auto"/>
              <w:ind w:firstLine="440"/>
              <w:jc w:val="left"/>
              <w:rPr>
                <w:sz w:val="21"/>
                <w:szCs w:val="21"/>
              </w:rPr>
            </w:pPr>
            <w:r>
              <w:rPr>
                <w:rFonts w:hint="eastAsia"/>
                <w:color w:val="000000"/>
                <w:sz w:val="21"/>
                <w:szCs w:val="21"/>
              </w:rPr>
              <w:t>最高允许排放负荷/[g/(床位.d)]</w:t>
            </w:r>
          </w:p>
        </w:tc>
        <w:tc>
          <w:tcPr>
            <w:tcW w:w="1987" w:type="dxa"/>
            <w:tcBorders>
              <w:top w:val="single" w:color="auto" w:sz="4" w:space="0"/>
              <w:left w:val="single" w:color="auto" w:sz="4" w:space="0"/>
            </w:tcBorders>
            <w:shd w:val="clear" w:color="auto" w:fill="FFFFFF"/>
            <w:vAlign w:val="bottom"/>
          </w:tcPr>
          <w:p>
            <w:pPr>
              <w:pStyle w:val="42"/>
              <w:spacing w:after="80" w:line="240" w:lineRule="auto"/>
              <w:ind w:firstLine="0"/>
              <w:jc w:val="center"/>
              <w:rPr>
                <w:sz w:val="21"/>
                <w:szCs w:val="21"/>
              </w:rPr>
            </w:pPr>
            <w:r>
              <w:rPr>
                <w:rFonts w:hint="eastAsia"/>
                <w:color w:val="000000"/>
                <w:sz w:val="21"/>
                <w:szCs w:val="21"/>
              </w:rPr>
              <w:t>20</w:t>
            </w:r>
          </w:p>
          <w:p>
            <w:pPr>
              <w:pStyle w:val="42"/>
              <w:spacing w:line="240" w:lineRule="auto"/>
              <w:ind w:firstLine="0"/>
              <w:jc w:val="center"/>
              <w:rPr>
                <w:sz w:val="21"/>
                <w:szCs w:val="21"/>
              </w:rPr>
            </w:pPr>
            <w:r>
              <w:rPr>
                <w:rFonts w:hint="eastAsia"/>
                <w:color w:val="000000"/>
                <w:sz w:val="21"/>
                <w:szCs w:val="21"/>
              </w:rPr>
              <w:t>20</w:t>
            </w:r>
          </w:p>
        </w:tc>
        <w:tc>
          <w:tcPr>
            <w:tcW w:w="1973" w:type="dxa"/>
            <w:tcBorders>
              <w:top w:val="single" w:color="auto" w:sz="4" w:space="0"/>
              <w:left w:val="single" w:color="auto" w:sz="4" w:space="0"/>
              <w:right w:val="single" w:color="auto" w:sz="4" w:space="0"/>
            </w:tcBorders>
            <w:shd w:val="clear" w:color="auto" w:fill="FFFFFF"/>
            <w:vAlign w:val="bottom"/>
          </w:tcPr>
          <w:p>
            <w:pPr>
              <w:pStyle w:val="42"/>
              <w:spacing w:after="80" w:line="240" w:lineRule="auto"/>
              <w:ind w:firstLine="0"/>
              <w:jc w:val="center"/>
              <w:rPr>
                <w:sz w:val="21"/>
                <w:szCs w:val="21"/>
              </w:rPr>
            </w:pPr>
            <w:r>
              <w:rPr>
                <w:rFonts w:hint="eastAsia"/>
                <w:color w:val="000000"/>
                <w:sz w:val="21"/>
                <w:szCs w:val="21"/>
              </w:rPr>
              <w:t>60</w:t>
            </w:r>
          </w:p>
          <w:p>
            <w:pPr>
              <w:pStyle w:val="42"/>
              <w:spacing w:line="240" w:lineRule="auto"/>
              <w:ind w:firstLine="0"/>
              <w:jc w:val="center"/>
              <w:rPr>
                <w:sz w:val="21"/>
                <w:szCs w:val="21"/>
              </w:rPr>
            </w:pPr>
            <w:r>
              <w:rPr>
                <w:rFonts w:hint="eastAsia"/>
                <w:color w:val="000000"/>
                <w:sz w:val="21"/>
                <w:szCs w:val="21"/>
              </w:rPr>
              <w:t>60</w:t>
            </w:r>
          </w:p>
        </w:tc>
      </w:tr>
      <w:tr>
        <w:tblPrEx>
          <w:tblCellMar>
            <w:top w:w="0" w:type="dxa"/>
            <w:left w:w="10" w:type="dxa"/>
            <w:bottom w:w="0" w:type="dxa"/>
            <w:right w:w="10" w:type="dxa"/>
          </w:tblCellMar>
        </w:tblPrEx>
        <w:trPr>
          <w:trHeight w:val="360" w:hRule="exact"/>
          <w:jc w:val="center"/>
        </w:trPr>
        <w:tc>
          <w:tcPr>
            <w:tcW w:w="725" w:type="dxa"/>
            <w:tcBorders>
              <w:top w:val="single" w:color="auto" w:sz="4" w:space="0"/>
              <w:left w:val="single" w:color="auto" w:sz="4" w:space="0"/>
            </w:tcBorders>
            <w:shd w:val="clear" w:color="auto" w:fill="FFFFFF"/>
            <w:vAlign w:val="center"/>
          </w:tcPr>
          <w:p>
            <w:pPr>
              <w:pStyle w:val="42"/>
              <w:spacing w:line="240" w:lineRule="auto"/>
              <w:ind w:firstLine="260"/>
              <w:jc w:val="left"/>
              <w:rPr>
                <w:sz w:val="21"/>
                <w:szCs w:val="21"/>
              </w:rPr>
            </w:pPr>
            <w:r>
              <w:rPr>
                <w:rFonts w:hint="eastAsia"/>
                <w:color w:val="000000"/>
                <w:sz w:val="21"/>
                <w:szCs w:val="21"/>
              </w:rPr>
              <w:t>8</w:t>
            </w:r>
          </w:p>
        </w:tc>
        <w:tc>
          <w:tcPr>
            <w:tcW w:w="4512" w:type="dxa"/>
            <w:tcBorders>
              <w:top w:val="single" w:color="auto" w:sz="4" w:space="0"/>
              <w:left w:val="single" w:color="auto" w:sz="4" w:space="0"/>
            </w:tcBorders>
            <w:shd w:val="clear" w:color="auto" w:fill="FFFFFF"/>
            <w:vAlign w:val="bottom"/>
          </w:tcPr>
          <w:p>
            <w:pPr>
              <w:pStyle w:val="42"/>
              <w:spacing w:line="240" w:lineRule="auto"/>
              <w:ind w:firstLine="0"/>
              <w:jc w:val="center"/>
              <w:rPr>
                <w:sz w:val="21"/>
                <w:szCs w:val="21"/>
              </w:rPr>
            </w:pPr>
            <w:r>
              <w:rPr>
                <w:rFonts w:hint="eastAsia"/>
                <w:color w:val="000000"/>
                <w:sz w:val="21"/>
                <w:szCs w:val="21"/>
              </w:rPr>
              <w:t>氨氮/ (mg/L)</w:t>
            </w:r>
          </w:p>
        </w:tc>
        <w:tc>
          <w:tcPr>
            <w:tcW w:w="1987"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15</w:t>
            </w:r>
          </w:p>
        </w:tc>
        <w:tc>
          <w:tcPr>
            <w:tcW w:w="1973" w:type="dxa"/>
            <w:tcBorders>
              <w:top w:val="single" w:color="auto" w:sz="4" w:space="0"/>
              <w:left w:val="single" w:color="auto" w:sz="4" w:space="0"/>
              <w:righ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一</w:t>
            </w:r>
          </w:p>
        </w:tc>
      </w:tr>
      <w:tr>
        <w:tblPrEx>
          <w:tblCellMar>
            <w:top w:w="0" w:type="dxa"/>
            <w:left w:w="10" w:type="dxa"/>
            <w:bottom w:w="0" w:type="dxa"/>
            <w:right w:w="10" w:type="dxa"/>
          </w:tblCellMar>
        </w:tblPrEx>
        <w:trPr>
          <w:trHeight w:val="360" w:hRule="exact"/>
          <w:jc w:val="center"/>
        </w:trPr>
        <w:tc>
          <w:tcPr>
            <w:tcW w:w="725" w:type="dxa"/>
            <w:tcBorders>
              <w:top w:val="single" w:color="auto" w:sz="4" w:space="0"/>
              <w:left w:val="single" w:color="auto" w:sz="4" w:space="0"/>
            </w:tcBorders>
            <w:shd w:val="clear" w:color="auto" w:fill="FFFFFF"/>
            <w:vAlign w:val="center"/>
          </w:tcPr>
          <w:p>
            <w:pPr>
              <w:pStyle w:val="42"/>
              <w:spacing w:line="240" w:lineRule="auto"/>
              <w:ind w:firstLine="260"/>
              <w:jc w:val="left"/>
              <w:rPr>
                <w:sz w:val="21"/>
                <w:szCs w:val="21"/>
              </w:rPr>
            </w:pPr>
            <w:r>
              <w:rPr>
                <w:rFonts w:hint="eastAsia"/>
                <w:color w:val="000000"/>
                <w:sz w:val="21"/>
                <w:szCs w:val="21"/>
              </w:rPr>
              <w:t>9</w:t>
            </w:r>
          </w:p>
        </w:tc>
        <w:tc>
          <w:tcPr>
            <w:tcW w:w="4512"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动植物油/ (mg/L)</w:t>
            </w:r>
          </w:p>
        </w:tc>
        <w:tc>
          <w:tcPr>
            <w:tcW w:w="1987"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5</w:t>
            </w:r>
          </w:p>
        </w:tc>
        <w:tc>
          <w:tcPr>
            <w:tcW w:w="1973" w:type="dxa"/>
            <w:tcBorders>
              <w:top w:val="single" w:color="auto" w:sz="4" w:space="0"/>
              <w:left w:val="single" w:color="auto" w:sz="4" w:space="0"/>
              <w:righ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20</w:t>
            </w:r>
          </w:p>
        </w:tc>
      </w:tr>
      <w:tr>
        <w:tblPrEx>
          <w:tblCellMar>
            <w:top w:w="0" w:type="dxa"/>
            <w:left w:w="10" w:type="dxa"/>
            <w:bottom w:w="0" w:type="dxa"/>
            <w:right w:w="10" w:type="dxa"/>
          </w:tblCellMar>
        </w:tblPrEx>
        <w:trPr>
          <w:trHeight w:val="360" w:hRule="exact"/>
          <w:jc w:val="center"/>
        </w:trPr>
        <w:tc>
          <w:tcPr>
            <w:tcW w:w="725" w:type="dxa"/>
            <w:tcBorders>
              <w:top w:val="single" w:color="auto" w:sz="4" w:space="0"/>
              <w:left w:val="single" w:color="auto" w:sz="4" w:space="0"/>
            </w:tcBorders>
            <w:shd w:val="clear" w:color="auto" w:fill="FFFFFF"/>
            <w:vAlign w:val="center"/>
          </w:tcPr>
          <w:p>
            <w:pPr>
              <w:pStyle w:val="42"/>
              <w:spacing w:line="240" w:lineRule="auto"/>
              <w:ind w:firstLine="260"/>
              <w:jc w:val="left"/>
              <w:rPr>
                <w:sz w:val="21"/>
                <w:szCs w:val="21"/>
              </w:rPr>
            </w:pPr>
            <w:r>
              <w:rPr>
                <w:rFonts w:hint="eastAsia"/>
                <w:color w:val="000000"/>
                <w:sz w:val="21"/>
                <w:szCs w:val="21"/>
              </w:rPr>
              <w:t>10</w:t>
            </w:r>
          </w:p>
        </w:tc>
        <w:tc>
          <w:tcPr>
            <w:tcW w:w="4512"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石油类/ (mg/L)</w:t>
            </w:r>
          </w:p>
        </w:tc>
        <w:tc>
          <w:tcPr>
            <w:tcW w:w="1987"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5</w:t>
            </w:r>
          </w:p>
        </w:tc>
        <w:tc>
          <w:tcPr>
            <w:tcW w:w="1973" w:type="dxa"/>
            <w:tcBorders>
              <w:top w:val="single" w:color="auto" w:sz="4" w:space="0"/>
              <w:left w:val="single" w:color="auto" w:sz="4" w:space="0"/>
              <w:righ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20</w:t>
            </w:r>
          </w:p>
        </w:tc>
      </w:tr>
      <w:tr>
        <w:tblPrEx>
          <w:tblCellMar>
            <w:top w:w="0" w:type="dxa"/>
            <w:left w:w="10" w:type="dxa"/>
            <w:bottom w:w="0" w:type="dxa"/>
            <w:right w:w="10" w:type="dxa"/>
          </w:tblCellMar>
        </w:tblPrEx>
        <w:trPr>
          <w:trHeight w:val="365" w:hRule="exact"/>
          <w:jc w:val="center"/>
        </w:trPr>
        <w:tc>
          <w:tcPr>
            <w:tcW w:w="725" w:type="dxa"/>
            <w:tcBorders>
              <w:top w:val="single" w:color="auto" w:sz="4" w:space="0"/>
              <w:left w:val="single" w:color="auto" w:sz="4" w:space="0"/>
            </w:tcBorders>
            <w:shd w:val="clear" w:color="auto" w:fill="FFFFFF"/>
            <w:vAlign w:val="center"/>
          </w:tcPr>
          <w:p>
            <w:pPr>
              <w:pStyle w:val="42"/>
              <w:spacing w:line="240" w:lineRule="auto"/>
              <w:ind w:firstLine="260"/>
              <w:jc w:val="left"/>
              <w:rPr>
                <w:sz w:val="21"/>
                <w:szCs w:val="21"/>
              </w:rPr>
            </w:pPr>
            <w:r>
              <w:rPr>
                <w:rFonts w:hint="eastAsia"/>
                <w:color w:val="000000"/>
                <w:sz w:val="21"/>
                <w:szCs w:val="21"/>
              </w:rPr>
              <w:t>11</w:t>
            </w:r>
          </w:p>
        </w:tc>
        <w:tc>
          <w:tcPr>
            <w:tcW w:w="4512"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阴离子表面活性剂/ (mg/L)</w:t>
            </w:r>
          </w:p>
        </w:tc>
        <w:tc>
          <w:tcPr>
            <w:tcW w:w="1987"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5</w:t>
            </w:r>
          </w:p>
        </w:tc>
        <w:tc>
          <w:tcPr>
            <w:tcW w:w="1973" w:type="dxa"/>
            <w:tcBorders>
              <w:top w:val="single" w:color="auto" w:sz="4" w:space="0"/>
              <w:left w:val="single" w:color="auto" w:sz="4" w:space="0"/>
              <w:righ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10</w:t>
            </w:r>
          </w:p>
        </w:tc>
      </w:tr>
      <w:tr>
        <w:tblPrEx>
          <w:tblCellMar>
            <w:top w:w="0" w:type="dxa"/>
            <w:left w:w="10" w:type="dxa"/>
            <w:bottom w:w="0" w:type="dxa"/>
            <w:right w:w="10" w:type="dxa"/>
          </w:tblCellMar>
        </w:tblPrEx>
        <w:trPr>
          <w:trHeight w:val="360" w:hRule="exact"/>
          <w:jc w:val="center"/>
        </w:trPr>
        <w:tc>
          <w:tcPr>
            <w:tcW w:w="725" w:type="dxa"/>
            <w:tcBorders>
              <w:top w:val="single" w:color="auto" w:sz="4" w:space="0"/>
              <w:left w:val="single" w:color="auto" w:sz="4" w:space="0"/>
            </w:tcBorders>
            <w:shd w:val="clear" w:color="auto" w:fill="FFFFFF"/>
            <w:vAlign w:val="center"/>
          </w:tcPr>
          <w:p>
            <w:pPr>
              <w:pStyle w:val="42"/>
              <w:spacing w:line="240" w:lineRule="auto"/>
              <w:ind w:firstLine="260"/>
              <w:jc w:val="left"/>
              <w:rPr>
                <w:sz w:val="21"/>
                <w:szCs w:val="21"/>
              </w:rPr>
            </w:pPr>
            <w:r>
              <w:rPr>
                <w:rFonts w:hint="eastAsia"/>
                <w:color w:val="000000"/>
                <w:sz w:val="21"/>
                <w:szCs w:val="21"/>
              </w:rPr>
              <w:t>12</w:t>
            </w:r>
          </w:p>
        </w:tc>
        <w:tc>
          <w:tcPr>
            <w:tcW w:w="4512"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色度/ (稀释倍数)</w:t>
            </w:r>
          </w:p>
        </w:tc>
        <w:tc>
          <w:tcPr>
            <w:tcW w:w="1987"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30</w:t>
            </w:r>
          </w:p>
        </w:tc>
        <w:tc>
          <w:tcPr>
            <w:tcW w:w="1973" w:type="dxa"/>
            <w:tcBorders>
              <w:top w:val="single" w:color="auto" w:sz="4" w:space="0"/>
              <w:left w:val="single" w:color="auto" w:sz="4" w:space="0"/>
              <w:righ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一</w:t>
            </w:r>
          </w:p>
        </w:tc>
      </w:tr>
      <w:tr>
        <w:tblPrEx>
          <w:tblCellMar>
            <w:top w:w="0" w:type="dxa"/>
            <w:left w:w="10" w:type="dxa"/>
            <w:bottom w:w="0" w:type="dxa"/>
            <w:right w:w="10" w:type="dxa"/>
          </w:tblCellMar>
        </w:tblPrEx>
        <w:trPr>
          <w:trHeight w:val="360" w:hRule="exact"/>
          <w:jc w:val="center"/>
        </w:trPr>
        <w:tc>
          <w:tcPr>
            <w:tcW w:w="725" w:type="dxa"/>
            <w:tcBorders>
              <w:top w:val="single" w:color="auto" w:sz="4" w:space="0"/>
              <w:left w:val="single" w:color="auto" w:sz="4" w:space="0"/>
            </w:tcBorders>
            <w:shd w:val="clear" w:color="auto" w:fill="FFFFFF"/>
            <w:vAlign w:val="center"/>
          </w:tcPr>
          <w:p>
            <w:pPr>
              <w:pStyle w:val="42"/>
              <w:spacing w:line="240" w:lineRule="auto"/>
              <w:ind w:firstLine="260"/>
              <w:jc w:val="left"/>
              <w:rPr>
                <w:sz w:val="21"/>
                <w:szCs w:val="21"/>
              </w:rPr>
            </w:pPr>
            <w:r>
              <w:rPr>
                <w:rFonts w:hint="eastAsia"/>
                <w:color w:val="000000"/>
                <w:sz w:val="21"/>
                <w:szCs w:val="21"/>
              </w:rPr>
              <w:t>13</w:t>
            </w:r>
          </w:p>
        </w:tc>
        <w:tc>
          <w:tcPr>
            <w:tcW w:w="4512"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挥发酚/ (mg/L)</w:t>
            </w:r>
          </w:p>
        </w:tc>
        <w:tc>
          <w:tcPr>
            <w:tcW w:w="1987"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0.5</w:t>
            </w:r>
          </w:p>
        </w:tc>
        <w:tc>
          <w:tcPr>
            <w:tcW w:w="1973" w:type="dxa"/>
            <w:tcBorders>
              <w:top w:val="single" w:color="auto" w:sz="4" w:space="0"/>
              <w:left w:val="single" w:color="auto" w:sz="4" w:space="0"/>
              <w:righ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1.0</w:t>
            </w:r>
          </w:p>
        </w:tc>
      </w:tr>
      <w:tr>
        <w:tblPrEx>
          <w:tblCellMar>
            <w:top w:w="0" w:type="dxa"/>
            <w:left w:w="10" w:type="dxa"/>
            <w:bottom w:w="0" w:type="dxa"/>
            <w:right w:w="10" w:type="dxa"/>
          </w:tblCellMar>
        </w:tblPrEx>
        <w:trPr>
          <w:trHeight w:val="365" w:hRule="exact"/>
          <w:jc w:val="center"/>
        </w:trPr>
        <w:tc>
          <w:tcPr>
            <w:tcW w:w="725" w:type="dxa"/>
            <w:tcBorders>
              <w:top w:val="single" w:color="auto" w:sz="4" w:space="0"/>
              <w:left w:val="single" w:color="auto" w:sz="4" w:space="0"/>
            </w:tcBorders>
            <w:shd w:val="clear" w:color="auto" w:fill="FFFFFF"/>
            <w:vAlign w:val="center"/>
          </w:tcPr>
          <w:p>
            <w:pPr>
              <w:pStyle w:val="42"/>
              <w:spacing w:line="240" w:lineRule="auto"/>
              <w:ind w:firstLine="260"/>
              <w:jc w:val="left"/>
              <w:rPr>
                <w:sz w:val="21"/>
                <w:szCs w:val="21"/>
              </w:rPr>
            </w:pPr>
            <w:r>
              <w:rPr>
                <w:rFonts w:hint="eastAsia"/>
                <w:color w:val="000000"/>
                <w:sz w:val="21"/>
                <w:szCs w:val="21"/>
              </w:rPr>
              <w:t>14</w:t>
            </w:r>
          </w:p>
        </w:tc>
        <w:tc>
          <w:tcPr>
            <w:tcW w:w="4512"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总氤化物/ (mg/L)</w:t>
            </w:r>
          </w:p>
        </w:tc>
        <w:tc>
          <w:tcPr>
            <w:tcW w:w="1987"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0.5</w:t>
            </w:r>
          </w:p>
        </w:tc>
        <w:tc>
          <w:tcPr>
            <w:tcW w:w="1973" w:type="dxa"/>
            <w:tcBorders>
              <w:top w:val="single" w:color="auto" w:sz="4" w:space="0"/>
              <w:left w:val="single" w:color="auto" w:sz="4" w:space="0"/>
              <w:righ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0.5</w:t>
            </w:r>
          </w:p>
        </w:tc>
      </w:tr>
      <w:tr>
        <w:tblPrEx>
          <w:tblCellMar>
            <w:top w:w="0" w:type="dxa"/>
            <w:left w:w="10" w:type="dxa"/>
            <w:bottom w:w="0" w:type="dxa"/>
            <w:right w:w="10" w:type="dxa"/>
          </w:tblCellMar>
        </w:tblPrEx>
        <w:trPr>
          <w:trHeight w:val="355" w:hRule="exact"/>
          <w:jc w:val="center"/>
        </w:trPr>
        <w:tc>
          <w:tcPr>
            <w:tcW w:w="725" w:type="dxa"/>
            <w:tcBorders>
              <w:top w:val="single" w:color="auto" w:sz="4" w:space="0"/>
              <w:left w:val="single" w:color="auto" w:sz="4" w:space="0"/>
            </w:tcBorders>
            <w:shd w:val="clear" w:color="auto" w:fill="FFFFFF"/>
            <w:vAlign w:val="center"/>
          </w:tcPr>
          <w:p>
            <w:pPr>
              <w:pStyle w:val="42"/>
              <w:spacing w:line="240" w:lineRule="auto"/>
              <w:ind w:firstLine="260"/>
              <w:jc w:val="left"/>
              <w:rPr>
                <w:sz w:val="21"/>
                <w:szCs w:val="21"/>
              </w:rPr>
            </w:pPr>
            <w:r>
              <w:rPr>
                <w:rFonts w:hint="eastAsia"/>
                <w:color w:val="000000"/>
                <w:sz w:val="21"/>
                <w:szCs w:val="21"/>
              </w:rPr>
              <w:t>15</w:t>
            </w:r>
          </w:p>
        </w:tc>
        <w:tc>
          <w:tcPr>
            <w:tcW w:w="4512"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总汞/ ( mg/L)</w:t>
            </w:r>
          </w:p>
        </w:tc>
        <w:tc>
          <w:tcPr>
            <w:tcW w:w="1987"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0. 05</w:t>
            </w:r>
          </w:p>
        </w:tc>
        <w:tc>
          <w:tcPr>
            <w:tcW w:w="1973" w:type="dxa"/>
            <w:tcBorders>
              <w:top w:val="single" w:color="auto" w:sz="4" w:space="0"/>
              <w:left w:val="single" w:color="auto" w:sz="4" w:space="0"/>
              <w:righ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0. 05</w:t>
            </w:r>
          </w:p>
        </w:tc>
      </w:tr>
      <w:tr>
        <w:tblPrEx>
          <w:tblCellMar>
            <w:top w:w="0" w:type="dxa"/>
            <w:left w:w="10" w:type="dxa"/>
            <w:bottom w:w="0" w:type="dxa"/>
            <w:right w:w="10" w:type="dxa"/>
          </w:tblCellMar>
        </w:tblPrEx>
        <w:trPr>
          <w:trHeight w:val="360" w:hRule="exact"/>
          <w:jc w:val="center"/>
        </w:trPr>
        <w:tc>
          <w:tcPr>
            <w:tcW w:w="725" w:type="dxa"/>
            <w:tcBorders>
              <w:top w:val="single" w:color="auto" w:sz="4" w:space="0"/>
              <w:left w:val="single" w:color="auto" w:sz="4" w:space="0"/>
            </w:tcBorders>
            <w:shd w:val="clear" w:color="auto" w:fill="FFFFFF"/>
            <w:vAlign w:val="center"/>
          </w:tcPr>
          <w:p>
            <w:pPr>
              <w:pStyle w:val="42"/>
              <w:spacing w:line="240" w:lineRule="auto"/>
              <w:ind w:firstLine="260"/>
              <w:jc w:val="left"/>
              <w:rPr>
                <w:sz w:val="21"/>
                <w:szCs w:val="21"/>
              </w:rPr>
            </w:pPr>
            <w:r>
              <w:rPr>
                <w:rFonts w:hint="eastAsia"/>
                <w:color w:val="000000"/>
                <w:sz w:val="21"/>
                <w:szCs w:val="21"/>
              </w:rPr>
              <w:t>16</w:t>
            </w:r>
          </w:p>
        </w:tc>
        <w:tc>
          <w:tcPr>
            <w:tcW w:w="4512"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总镉/ ( mg/L)</w:t>
            </w:r>
          </w:p>
        </w:tc>
        <w:tc>
          <w:tcPr>
            <w:tcW w:w="1987"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0. 1</w:t>
            </w:r>
          </w:p>
        </w:tc>
        <w:tc>
          <w:tcPr>
            <w:tcW w:w="1973" w:type="dxa"/>
            <w:tcBorders>
              <w:top w:val="single" w:color="auto" w:sz="4" w:space="0"/>
              <w:left w:val="single" w:color="auto" w:sz="4" w:space="0"/>
              <w:righ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0. 1</w:t>
            </w:r>
          </w:p>
        </w:tc>
      </w:tr>
      <w:tr>
        <w:tblPrEx>
          <w:tblCellMar>
            <w:top w:w="0" w:type="dxa"/>
            <w:left w:w="10" w:type="dxa"/>
            <w:bottom w:w="0" w:type="dxa"/>
            <w:right w:w="10" w:type="dxa"/>
          </w:tblCellMar>
        </w:tblPrEx>
        <w:trPr>
          <w:trHeight w:val="326" w:hRule="exact"/>
          <w:jc w:val="center"/>
        </w:trPr>
        <w:tc>
          <w:tcPr>
            <w:tcW w:w="725" w:type="dxa"/>
            <w:tcBorders>
              <w:top w:val="single" w:color="auto" w:sz="4" w:space="0"/>
              <w:left w:val="single" w:color="auto" w:sz="4" w:space="0"/>
            </w:tcBorders>
            <w:shd w:val="clear" w:color="auto" w:fill="FFFFFF"/>
            <w:vAlign w:val="bottom"/>
          </w:tcPr>
          <w:p>
            <w:pPr>
              <w:pStyle w:val="42"/>
              <w:spacing w:line="240" w:lineRule="auto"/>
              <w:ind w:firstLine="260"/>
              <w:jc w:val="left"/>
              <w:rPr>
                <w:sz w:val="21"/>
                <w:szCs w:val="21"/>
              </w:rPr>
            </w:pPr>
            <w:r>
              <w:rPr>
                <w:rFonts w:hint="eastAsia"/>
                <w:color w:val="000000"/>
                <w:sz w:val="21"/>
                <w:szCs w:val="21"/>
              </w:rPr>
              <w:t>17</w:t>
            </w:r>
          </w:p>
        </w:tc>
        <w:tc>
          <w:tcPr>
            <w:tcW w:w="4512" w:type="dxa"/>
            <w:tcBorders>
              <w:top w:val="single" w:color="auto" w:sz="4" w:space="0"/>
              <w:left w:val="single" w:color="auto" w:sz="4" w:space="0"/>
            </w:tcBorders>
            <w:shd w:val="clear" w:color="auto" w:fill="FFFFFF"/>
            <w:vAlign w:val="bottom"/>
          </w:tcPr>
          <w:p>
            <w:pPr>
              <w:pStyle w:val="42"/>
              <w:spacing w:line="240" w:lineRule="auto"/>
              <w:ind w:firstLine="0"/>
              <w:jc w:val="center"/>
              <w:rPr>
                <w:sz w:val="21"/>
                <w:szCs w:val="21"/>
              </w:rPr>
            </w:pPr>
            <w:r>
              <w:rPr>
                <w:rFonts w:hint="eastAsia"/>
                <w:color w:val="000000"/>
                <w:sz w:val="21"/>
                <w:szCs w:val="21"/>
              </w:rPr>
              <w:t>总铭/ ( mg/L)</w:t>
            </w:r>
          </w:p>
        </w:tc>
        <w:tc>
          <w:tcPr>
            <w:tcW w:w="1987" w:type="dxa"/>
            <w:tcBorders>
              <w:top w:val="single" w:color="auto" w:sz="4" w:space="0"/>
              <w:left w:val="single" w:color="auto" w:sz="4" w:space="0"/>
            </w:tcBorders>
            <w:shd w:val="clear" w:color="auto" w:fill="FFFFFF"/>
            <w:vAlign w:val="bottom"/>
          </w:tcPr>
          <w:p>
            <w:pPr>
              <w:pStyle w:val="42"/>
              <w:spacing w:line="240" w:lineRule="auto"/>
              <w:ind w:firstLine="0"/>
              <w:jc w:val="center"/>
              <w:rPr>
                <w:sz w:val="21"/>
                <w:szCs w:val="21"/>
              </w:rPr>
            </w:pPr>
            <w:r>
              <w:rPr>
                <w:rFonts w:hint="eastAsia"/>
                <w:color w:val="000000"/>
                <w:sz w:val="21"/>
                <w:szCs w:val="21"/>
              </w:rPr>
              <w:t>1.5</w:t>
            </w:r>
          </w:p>
        </w:tc>
        <w:tc>
          <w:tcPr>
            <w:tcW w:w="1973" w:type="dxa"/>
            <w:tcBorders>
              <w:top w:val="single" w:color="auto" w:sz="4" w:space="0"/>
              <w:left w:val="single" w:color="auto" w:sz="4" w:space="0"/>
              <w:right w:val="single" w:color="auto" w:sz="4" w:space="0"/>
            </w:tcBorders>
            <w:shd w:val="clear" w:color="auto" w:fill="FFFFFF"/>
            <w:vAlign w:val="bottom"/>
          </w:tcPr>
          <w:p>
            <w:pPr>
              <w:pStyle w:val="42"/>
              <w:spacing w:line="240" w:lineRule="auto"/>
              <w:ind w:firstLine="0"/>
              <w:jc w:val="center"/>
              <w:rPr>
                <w:sz w:val="21"/>
                <w:szCs w:val="21"/>
              </w:rPr>
            </w:pPr>
            <w:r>
              <w:rPr>
                <w:rFonts w:hint="eastAsia"/>
                <w:color w:val="000000"/>
                <w:sz w:val="21"/>
                <w:szCs w:val="21"/>
              </w:rPr>
              <w:t>1.5</w:t>
            </w:r>
          </w:p>
        </w:tc>
      </w:tr>
      <w:tr>
        <w:tblPrEx>
          <w:tblCellMar>
            <w:top w:w="0" w:type="dxa"/>
            <w:left w:w="10" w:type="dxa"/>
            <w:bottom w:w="0" w:type="dxa"/>
            <w:right w:w="10" w:type="dxa"/>
          </w:tblCellMar>
        </w:tblPrEx>
        <w:trPr>
          <w:trHeight w:val="331" w:hRule="exact"/>
          <w:jc w:val="center"/>
        </w:trPr>
        <w:tc>
          <w:tcPr>
            <w:tcW w:w="725" w:type="dxa"/>
            <w:tcBorders>
              <w:top w:val="single" w:color="auto" w:sz="4" w:space="0"/>
              <w:left w:val="single" w:color="auto" w:sz="4" w:space="0"/>
            </w:tcBorders>
            <w:shd w:val="clear" w:color="auto" w:fill="FFFFFF"/>
            <w:vAlign w:val="center"/>
          </w:tcPr>
          <w:p>
            <w:pPr>
              <w:pStyle w:val="42"/>
              <w:spacing w:line="240" w:lineRule="auto"/>
              <w:ind w:firstLine="260"/>
              <w:jc w:val="left"/>
              <w:rPr>
                <w:sz w:val="21"/>
                <w:szCs w:val="21"/>
              </w:rPr>
            </w:pPr>
            <w:r>
              <w:rPr>
                <w:rFonts w:hint="eastAsia"/>
                <w:color w:val="000000"/>
                <w:sz w:val="21"/>
                <w:szCs w:val="21"/>
              </w:rPr>
              <w:t>18</w:t>
            </w:r>
          </w:p>
        </w:tc>
        <w:tc>
          <w:tcPr>
            <w:tcW w:w="4512"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六价铭/ (mg/L)</w:t>
            </w:r>
          </w:p>
        </w:tc>
        <w:tc>
          <w:tcPr>
            <w:tcW w:w="1987"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0.5</w:t>
            </w:r>
          </w:p>
        </w:tc>
        <w:tc>
          <w:tcPr>
            <w:tcW w:w="1973" w:type="dxa"/>
            <w:tcBorders>
              <w:top w:val="single" w:color="auto" w:sz="4" w:space="0"/>
              <w:left w:val="single" w:color="auto" w:sz="4" w:space="0"/>
              <w:righ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0.5</w:t>
            </w:r>
          </w:p>
        </w:tc>
      </w:tr>
      <w:tr>
        <w:tblPrEx>
          <w:tblCellMar>
            <w:top w:w="0" w:type="dxa"/>
            <w:left w:w="10" w:type="dxa"/>
            <w:bottom w:w="0" w:type="dxa"/>
            <w:right w:w="10" w:type="dxa"/>
          </w:tblCellMar>
        </w:tblPrEx>
        <w:trPr>
          <w:trHeight w:val="312" w:hRule="exact"/>
          <w:jc w:val="center"/>
        </w:trPr>
        <w:tc>
          <w:tcPr>
            <w:tcW w:w="725" w:type="dxa"/>
            <w:tcBorders>
              <w:top w:val="single" w:color="auto" w:sz="4" w:space="0"/>
              <w:left w:val="single" w:color="auto" w:sz="4" w:space="0"/>
            </w:tcBorders>
            <w:shd w:val="clear" w:color="auto" w:fill="FFFFFF"/>
            <w:vAlign w:val="bottom"/>
          </w:tcPr>
          <w:p>
            <w:pPr>
              <w:pStyle w:val="42"/>
              <w:spacing w:line="240" w:lineRule="auto"/>
              <w:ind w:firstLine="260"/>
              <w:jc w:val="left"/>
              <w:rPr>
                <w:sz w:val="21"/>
                <w:szCs w:val="21"/>
              </w:rPr>
            </w:pPr>
            <w:r>
              <w:rPr>
                <w:rFonts w:hint="eastAsia"/>
                <w:color w:val="000000"/>
                <w:sz w:val="21"/>
                <w:szCs w:val="21"/>
              </w:rPr>
              <w:t>19</w:t>
            </w:r>
          </w:p>
        </w:tc>
        <w:tc>
          <w:tcPr>
            <w:tcW w:w="4512" w:type="dxa"/>
            <w:tcBorders>
              <w:top w:val="single" w:color="auto" w:sz="4" w:space="0"/>
              <w:left w:val="single" w:color="auto" w:sz="4" w:space="0"/>
            </w:tcBorders>
            <w:shd w:val="clear" w:color="auto" w:fill="FFFFFF"/>
            <w:vAlign w:val="bottom"/>
          </w:tcPr>
          <w:p>
            <w:pPr>
              <w:pStyle w:val="42"/>
              <w:spacing w:line="240" w:lineRule="auto"/>
              <w:ind w:firstLine="0"/>
              <w:jc w:val="center"/>
              <w:rPr>
                <w:sz w:val="21"/>
                <w:szCs w:val="21"/>
              </w:rPr>
            </w:pPr>
            <w:r>
              <w:rPr>
                <w:rFonts w:hint="eastAsia"/>
                <w:color w:val="000000"/>
                <w:sz w:val="21"/>
                <w:szCs w:val="21"/>
              </w:rPr>
              <w:t>总碑/ ( mg/L)</w:t>
            </w:r>
          </w:p>
        </w:tc>
        <w:tc>
          <w:tcPr>
            <w:tcW w:w="1987" w:type="dxa"/>
            <w:tcBorders>
              <w:top w:val="single" w:color="auto" w:sz="4" w:space="0"/>
              <w:left w:val="single" w:color="auto" w:sz="4" w:space="0"/>
            </w:tcBorders>
            <w:shd w:val="clear" w:color="auto" w:fill="FFFFFF"/>
            <w:vAlign w:val="bottom"/>
          </w:tcPr>
          <w:p>
            <w:pPr>
              <w:pStyle w:val="42"/>
              <w:spacing w:line="240" w:lineRule="auto"/>
              <w:ind w:firstLine="0"/>
              <w:jc w:val="center"/>
              <w:rPr>
                <w:sz w:val="21"/>
                <w:szCs w:val="21"/>
              </w:rPr>
            </w:pPr>
            <w:r>
              <w:rPr>
                <w:rFonts w:hint="eastAsia"/>
                <w:color w:val="000000"/>
                <w:sz w:val="21"/>
                <w:szCs w:val="21"/>
              </w:rPr>
              <w:t>0.5</w:t>
            </w:r>
          </w:p>
        </w:tc>
        <w:tc>
          <w:tcPr>
            <w:tcW w:w="1973" w:type="dxa"/>
            <w:tcBorders>
              <w:top w:val="single" w:color="auto" w:sz="4" w:space="0"/>
              <w:left w:val="single" w:color="auto" w:sz="4" w:space="0"/>
              <w:right w:val="single" w:color="auto" w:sz="4" w:space="0"/>
            </w:tcBorders>
            <w:shd w:val="clear" w:color="auto" w:fill="FFFFFF"/>
            <w:vAlign w:val="bottom"/>
          </w:tcPr>
          <w:p>
            <w:pPr>
              <w:pStyle w:val="42"/>
              <w:spacing w:line="240" w:lineRule="auto"/>
              <w:ind w:firstLine="0"/>
              <w:jc w:val="center"/>
              <w:rPr>
                <w:sz w:val="21"/>
                <w:szCs w:val="21"/>
              </w:rPr>
            </w:pPr>
            <w:r>
              <w:rPr>
                <w:rFonts w:hint="eastAsia"/>
                <w:color w:val="000000"/>
                <w:sz w:val="21"/>
                <w:szCs w:val="21"/>
              </w:rPr>
              <w:t>0.5</w:t>
            </w:r>
          </w:p>
        </w:tc>
      </w:tr>
      <w:tr>
        <w:tblPrEx>
          <w:tblCellMar>
            <w:top w:w="0" w:type="dxa"/>
            <w:left w:w="10" w:type="dxa"/>
            <w:bottom w:w="0" w:type="dxa"/>
            <w:right w:w="10" w:type="dxa"/>
          </w:tblCellMar>
        </w:tblPrEx>
        <w:trPr>
          <w:trHeight w:val="307" w:hRule="exact"/>
          <w:jc w:val="center"/>
        </w:trPr>
        <w:tc>
          <w:tcPr>
            <w:tcW w:w="725" w:type="dxa"/>
            <w:tcBorders>
              <w:top w:val="single" w:color="auto" w:sz="4" w:space="0"/>
              <w:left w:val="single" w:color="auto" w:sz="4" w:space="0"/>
            </w:tcBorders>
            <w:shd w:val="clear" w:color="auto" w:fill="FFFFFF"/>
            <w:vAlign w:val="bottom"/>
          </w:tcPr>
          <w:p>
            <w:pPr>
              <w:pStyle w:val="42"/>
              <w:spacing w:line="240" w:lineRule="auto"/>
              <w:ind w:firstLine="260"/>
              <w:jc w:val="left"/>
              <w:rPr>
                <w:sz w:val="21"/>
                <w:szCs w:val="21"/>
              </w:rPr>
            </w:pPr>
            <w:r>
              <w:rPr>
                <w:rFonts w:hint="eastAsia"/>
                <w:color w:val="000000"/>
                <w:sz w:val="21"/>
                <w:szCs w:val="21"/>
              </w:rPr>
              <w:t>20</w:t>
            </w:r>
          </w:p>
        </w:tc>
        <w:tc>
          <w:tcPr>
            <w:tcW w:w="4512" w:type="dxa"/>
            <w:tcBorders>
              <w:top w:val="single" w:color="auto" w:sz="4" w:space="0"/>
              <w:left w:val="single" w:color="auto" w:sz="4" w:space="0"/>
            </w:tcBorders>
            <w:shd w:val="clear" w:color="auto" w:fill="FFFFFF"/>
            <w:vAlign w:val="bottom"/>
          </w:tcPr>
          <w:p>
            <w:pPr>
              <w:pStyle w:val="42"/>
              <w:spacing w:line="240" w:lineRule="auto"/>
              <w:ind w:firstLine="0"/>
              <w:jc w:val="center"/>
              <w:rPr>
                <w:sz w:val="21"/>
                <w:szCs w:val="21"/>
              </w:rPr>
            </w:pPr>
            <w:r>
              <w:rPr>
                <w:rFonts w:hint="eastAsia"/>
                <w:color w:val="000000"/>
                <w:sz w:val="21"/>
                <w:szCs w:val="21"/>
              </w:rPr>
              <w:t>总铅/ (mg/L)</w:t>
            </w:r>
          </w:p>
        </w:tc>
        <w:tc>
          <w:tcPr>
            <w:tcW w:w="1987" w:type="dxa"/>
            <w:tcBorders>
              <w:top w:val="single" w:color="auto" w:sz="4" w:space="0"/>
              <w:left w:val="single" w:color="auto" w:sz="4" w:space="0"/>
            </w:tcBorders>
            <w:shd w:val="clear" w:color="auto" w:fill="FFFFFF"/>
            <w:vAlign w:val="bottom"/>
          </w:tcPr>
          <w:p>
            <w:pPr>
              <w:pStyle w:val="42"/>
              <w:spacing w:line="240" w:lineRule="auto"/>
              <w:ind w:firstLine="0"/>
              <w:jc w:val="center"/>
              <w:rPr>
                <w:sz w:val="21"/>
                <w:szCs w:val="21"/>
              </w:rPr>
            </w:pPr>
            <w:r>
              <w:rPr>
                <w:rFonts w:hint="eastAsia"/>
                <w:color w:val="000000"/>
                <w:sz w:val="21"/>
                <w:szCs w:val="21"/>
              </w:rPr>
              <w:t>1.0</w:t>
            </w:r>
          </w:p>
        </w:tc>
        <w:tc>
          <w:tcPr>
            <w:tcW w:w="1973" w:type="dxa"/>
            <w:tcBorders>
              <w:top w:val="single" w:color="auto" w:sz="4" w:space="0"/>
              <w:left w:val="single" w:color="auto" w:sz="4" w:space="0"/>
              <w:right w:val="single" w:color="auto" w:sz="4" w:space="0"/>
            </w:tcBorders>
            <w:shd w:val="clear" w:color="auto" w:fill="FFFFFF"/>
            <w:vAlign w:val="bottom"/>
          </w:tcPr>
          <w:p>
            <w:pPr>
              <w:pStyle w:val="42"/>
              <w:spacing w:line="240" w:lineRule="auto"/>
              <w:ind w:firstLine="0"/>
              <w:jc w:val="center"/>
              <w:rPr>
                <w:sz w:val="21"/>
                <w:szCs w:val="21"/>
              </w:rPr>
            </w:pPr>
            <w:r>
              <w:rPr>
                <w:rFonts w:hint="eastAsia"/>
                <w:color w:val="000000"/>
                <w:sz w:val="21"/>
                <w:szCs w:val="21"/>
              </w:rPr>
              <w:t>1.0</w:t>
            </w:r>
          </w:p>
        </w:tc>
      </w:tr>
      <w:tr>
        <w:tblPrEx>
          <w:tblCellMar>
            <w:top w:w="0" w:type="dxa"/>
            <w:left w:w="10" w:type="dxa"/>
            <w:bottom w:w="0" w:type="dxa"/>
            <w:right w:w="10" w:type="dxa"/>
          </w:tblCellMar>
        </w:tblPrEx>
        <w:trPr>
          <w:trHeight w:val="312" w:hRule="exact"/>
          <w:jc w:val="center"/>
        </w:trPr>
        <w:tc>
          <w:tcPr>
            <w:tcW w:w="725" w:type="dxa"/>
            <w:tcBorders>
              <w:top w:val="single" w:color="auto" w:sz="4" w:space="0"/>
              <w:left w:val="single" w:color="auto" w:sz="4" w:space="0"/>
            </w:tcBorders>
            <w:shd w:val="clear" w:color="auto" w:fill="FFFFFF"/>
            <w:vAlign w:val="center"/>
          </w:tcPr>
          <w:p>
            <w:pPr>
              <w:pStyle w:val="42"/>
              <w:spacing w:line="240" w:lineRule="auto"/>
              <w:ind w:firstLine="260"/>
              <w:jc w:val="left"/>
              <w:rPr>
                <w:color w:val="000000"/>
                <w:sz w:val="21"/>
                <w:szCs w:val="21"/>
              </w:rPr>
            </w:pPr>
            <w:r>
              <w:rPr>
                <w:rFonts w:hint="eastAsia"/>
                <w:color w:val="000000"/>
                <w:sz w:val="21"/>
                <w:szCs w:val="21"/>
              </w:rPr>
              <w:t>21</w:t>
            </w:r>
          </w:p>
        </w:tc>
        <w:tc>
          <w:tcPr>
            <w:tcW w:w="4512" w:type="dxa"/>
            <w:tcBorders>
              <w:top w:val="single" w:color="auto" w:sz="4" w:space="0"/>
              <w:left w:val="single" w:color="auto" w:sz="4" w:space="0"/>
            </w:tcBorders>
            <w:shd w:val="clear" w:color="auto" w:fill="FFFFFF"/>
            <w:vAlign w:val="center"/>
          </w:tcPr>
          <w:p>
            <w:pPr>
              <w:pStyle w:val="42"/>
              <w:spacing w:line="240" w:lineRule="auto"/>
              <w:ind w:firstLine="0"/>
              <w:jc w:val="center"/>
              <w:rPr>
                <w:color w:val="000000"/>
                <w:sz w:val="21"/>
                <w:szCs w:val="21"/>
              </w:rPr>
            </w:pPr>
            <w:r>
              <w:rPr>
                <w:rFonts w:hint="eastAsia"/>
                <w:color w:val="000000"/>
                <w:sz w:val="21"/>
                <w:szCs w:val="21"/>
              </w:rPr>
              <w:t>总银/ (mg/L)</w:t>
            </w:r>
          </w:p>
        </w:tc>
        <w:tc>
          <w:tcPr>
            <w:tcW w:w="1987" w:type="dxa"/>
            <w:tcBorders>
              <w:top w:val="single" w:color="auto" w:sz="4" w:space="0"/>
              <w:left w:val="single" w:color="auto" w:sz="4" w:space="0"/>
            </w:tcBorders>
            <w:shd w:val="clear" w:color="auto" w:fill="FFFFFF"/>
            <w:vAlign w:val="center"/>
          </w:tcPr>
          <w:p>
            <w:pPr>
              <w:pStyle w:val="42"/>
              <w:spacing w:line="240" w:lineRule="auto"/>
              <w:ind w:firstLine="0"/>
              <w:jc w:val="center"/>
              <w:rPr>
                <w:color w:val="000000"/>
                <w:sz w:val="21"/>
                <w:szCs w:val="21"/>
              </w:rPr>
            </w:pPr>
            <w:r>
              <w:rPr>
                <w:rFonts w:hint="eastAsia"/>
                <w:color w:val="000000"/>
                <w:sz w:val="21"/>
                <w:szCs w:val="21"/>
              </w:rPr>
              <w:t>0.5</w:t>
            </w:r>
          </w:p>
        </w:tc>
        <w:tc>
          <w:tcPr>
            <w:tcW w:w="1973" w:type="dxa"/>
            <w:tcBorders>
              <w:top w:val="single" w:color="auto" w:sz="4" w:space="0"/>
              <w:left w:val="single" w:color="auto" w:sz="4" w:space="0"/>
              <w:right w:val="single" w:color="auto" w:sz="4" w:space="0"/>
            </w:tcBorders>
            <w:shd w:val="clear" w:color="auto" w:fill="FFFFFF"/>
            <w:vAlign w:val="bottom"/>
          </w:tcPr>
          <w:p>
            <w:pPr>
              <w:pStyle w:val="42"/>
              <w:spacing w:line="240" w:lineRule="auto"/>
              <w:ind w:firstLine="0"/>
              <w:jc w:val="center"/>
              <w:rPr>
                <w:color w:val="000000"/>
                <w:sz w:val="21"/>
                <w:szCs w:val="21"/>
              </w:rPr>
            </w:pPr>
            <w:r>
              <w:rPr>
                <w:rFonts w:hint="eastAsia"/>
                <w:color w:val="000000"/>
                <w:sz w:val="21"/>
                <w:szCs w:val="21"/>
              </w:rPr>
              <w:t>0.5</w:t>
            </w:r>
          </w:p>
        </w:tc>
      </w:tr>
      <w:tr>
        <w:tblPrEx>
          <w:tblCellMar>
            <w:top w:w="0" w:type="dxa"/>
            <w:left w:w="10" w:type="dxa"/>
            <w:bottom w:w="0" w:type="dxa"/>
            <w:right w:w="10" w:type="dxa"/>
          </w:tblCellMar>
        </w:tblPrEx>
        <w:trPr>
          <w:trHeight w:val="312" w:hRule="exact"/>
          <w:jc w:val="center"/>
        </w:trPr>
        <w:tc>
          <w:tcPr>
            <w:tcW w:w="725" w:type="dxa"/>
            <w:tcBorders>
              <w:top w:val="single" w:color="auto" w:sz="4" w:space="0"/>
              <w:left w:val="single" w:color="auto" w:sz="4" w:space="0"/>
            </w:tcBorders>
            <w:shd w:val="clear" w:color="auto" w:fill="FFFFFF"/>
            <w:vAlign w:val="center"/>
          </w:tcPr>
          <w:p>
            <w:pPr>
              <w:pStyle w:val="42"/>
              <w:spacing w:line="240" w:lineRule="auto"/>
              <w:ind w:firstLine="260"/>
              <w:jc w:val="left"/>
              <w:rPr>
                <w:sz w:val="21"/>
                <w:szCs w:val="21"/>
              </w:rPr>
            </w:pPr>
            <w:r>
              <w:rPr>
                <w:rFonts w:hint="eastAsia"/>
                <w:color w:val="000000"/>
                <w:sz w:val="21"/>
                <w:szCs w:val="21"/>
              </w:rPr>
              <w:t>22</w:t>
            </w:r>
          </w:p>
        </w:tc>
        <w:tc>
          <w:tcPr>
            <w:tcW w:w="4512"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总 α</w:t>
            </w:r>
            <w:r>
              <w:rPr>
                <w:rFonts w:hint="eastAsia"/>
                <w:i/>
                <w:iCs/>
                <w:color w:val="000000"/>
                <w:sz w:val="21"/>
                <w:szCs w:val="21"/>
              </w:rPr>
              <w:t>/ (</w:t>
            </w:r>
            <w:r>
              <w:rPr>
                <w:rFonts w:hint="eastAsia"/>
                <w:color w:val="000000"/>
                <w:sz w:val="21"/>
                <w:szCs w:val="21"/>
              </w:rPr>
              <w:t>Bq/L)</w:t>
            </w:r>
          </w:p>
        </w:tc>
        <w:tc>
          <w:tcPr>
            <w:tcW w:w="1987"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1</w:t>
            </w:r>
          </w:p>
        </w:tc>
        <w:tc>
          <w:tcPr>
            <w:tcW w:w="1973" w:type="dxa"/>
            <w:tcBorders>
              <w:top w:val="single" w:color="auto" w:sz="4" w:space="0"/>
              <w:left w:val="single" w:color="auto" w:sz="4" w:space="0"/>
              <w:right w:val="single" w:color="auto" w:sz="4" w:space="0"/>
            </w:tcBorders>
            <w:shd w:val="clear" w:color="auto" w:fill="FFFFFF"/>
            <w:vAlign w:val="bottom"/>
          </w:tcPr>
          <w:p>
            <w:pPr>
              <w:pStyle w:val="42"/>
              <w:spacing w:line="240" w:lineRule="auto"/>
              <w:ind w:firstLine="0"/>
              <w:jc w:val="center"/>
              <w:rPr>
                <w:sz w:val="21"/>
                <w:szCs w:val="21"/>
              </w:rPr>
            </w:pPr>
            <w:r>
              <w:rPr>
                <w:rFonts w:hint="eastAsia"/>
                <w:color w:val="000000"/>
                <w:sz w:val="21"/>
                <w:szCs w:val="21"/>
              </w:rPr>
              <w:t>1</w:t>
            </w:r>
          </w:p>
        </w:tc>
      </w:tr>
      <w:tr>
        <w:tblPrEx>
          <w:tblCellMar>
            <w:top w:w="0" w:type="dxa"/>
            <w:left w:w="10" w:type="dxa"/>
            <w:bottom w:w="0" w:type="dxa"/>
            <w:right w:w="10" w:type="dxa"/>
          </w:tblCellMar>
        </w:tblPrEx>
        <w:trPr>
          <w:trHeight w:val="331" w:hRule="exact"/>
          <w:jc w:val="center"/>
        </w:trPr>
        <w:tc>
          <w:tcPr>
            <w:tcW w:w="725" w:type="dxa"/>
            <w:tcBorders>
              <w:top w:val="single" w:color="auto" w:sz="4" w:space="0"/>
              <w:left w:val="single" w:color="auto" w:sz="4" w:space="0"/>
            </w:tcBorders>
            <w:shd w:val="clear" w:color="auto" w:fill="FFFFFF"/>
            <w:vAlign w:val="bottom"/>
          </w:tcPr>
          <w:p>
            <w:pPr>
              <w:pStyle w:val="42"/>
              <w:spacing w:line="240" w:lineRule="auto"/>
              <w:ind w:firstLine="260"/>
              <w:jc w:val="left"/>
              <w:rPr>
                <w:sz w:val="21"/>
                <w:szCs w:val="21"/>
              </w:rPr>
            </w:pPr>
            <w:r>
              <w:rPr>
                <w:rFonts w:hint="eastAsia"/>
                <w:color w:val="000000"/>
                <w:sz w:val="21"/>
                <w:szCs w:val="21"/>
              </w:rPr>
              <w:t>23</w:t>
            </w:r>
          </w:p>
        </w:tc>
        <w:tc>
          <w:tcPr>
            <w:tcW w:w="4512" w:type="dxa"/>
            <w:tcBorders>
              <w:top w:val="single" w:color="auto" w:sz="4" w:space="0"/>
              <w:left w:val="single" w:color="auto" w:sz="4" w:space="0"/>
            </w:tcBorders>
            <w:shd w:val="clear" w:color="auto" w:fill="FFFFFF"/>
            <w:vAlign w:val="bottom"/>
          </w:tcPr>
          <w:p>
            <w:pPr>
              <w:pStyle w:val="42"/>
              <w:spacing w:line="240" w:lineRule="auto"/>
              <w:ind w:firstLine="0"/>
              <w:jc w:val="center"/>
              <w:rPr>
                <w:sz w:val="21"/>
                <w:szCs w:val="21"/>
              </w:rPr>
            </w:pPr>
            <w:r>
              <w:rPr>
                <w:rFonts w:hint="eastAsia"/>
                <w:color w:val="000000"/>
                <w:sz w:val="21"/>
                <w:szCs w:val="21"/>
              </w:rPr>
              <w:t>总β/ (Bq/L)</w:t>
            </w:r>
          </w:p>
        </w:tc>
        <w:tc>
          <w:tcPr>
            <w:tcW w:w="1987" w:type="dxa"/>
            <w:tcBorders>
              <w:top w:val="single" w:color="auto" w:sz="4" w:space="0"/>
              <w:left w:val="single" w:color="auto" w:sz="4" w:space="0"/>
            </w:tcBorders>
            <w:shd w:val="clear" w:color="auto" w:fill="FFFFFF"/>
            <w:vAlign w:val="bottom"/>
          </w:tcPr>
          <w:p>
            <w:pPr>
              <w:pStyle w:val="42"/>
              <w:spacing w:line="240" w:lineRule="auto"/>
              <w:ind w:firstLine="0"/>
              <w:jc w:val="center"/>
              <w:rPr>
                <w:sz w:val="21"/>
                <w:szCs w:val="21"/>
              </w:rPr>
            </w:pPr>
            <w:r>
              <w:rPr>
                <w:rFonts w:hint="eastAsia"/>
                <w:color w:val="000000"/>
                <w:sz w:val="21"/>
                <w:szCs w:val="21"/>
              </w:rPr>
              <w:t>10</w:t>
            </w:r>
          </w:p>
        </w:tc>
        <w:tc>
          <w:tcPr>
            <w:tcW w:w="1973" w:type="dxa"/>
            <w:tcBorders>
              <w:top w:val="single" w:color="auto" w:sz="4" w:space="0"/>
              <w:left w:val="single" w:color="auto" w:sz="4" w:space="0"/>
              <w:right w:val="single" w:color="auto" w:sz="4" w:space="0"/>
            </w:tcBorders>
            <w:shd w:val="clear" w:color="auto" w:fill="FFFFFF"/>
            <w:vAlign w:val="bottom"/>
          </w:tcPr>
          <w:p>
            <w:pPr>
              <w:pStyle w:val="42"/>
              <w:spacing w:line="240" w:lineRule="auto"/>
              <w:ind w:firstLine="0"/>
              <w:jc w:val="center"/>
              <w:rPr>
                <w:sz w:val="21"/>
                <w:szCs w:val="21"/>
              </w:rPr>
            </w:pPr>
            <w:r>
              <w:rPr>
                <w:rFonts w:hint="eastAsia"/>
                <w:color w:val="000000"/>
                <w:sz w:val="21"/>
                <w:szCs w:val="21"/>
              </w:rPr>
              <w:t>10</w:t>
            </w:r>
          </w:p>
        </w:tc>
      </w:tr>
      <w:tr>
        <w:tblPrEx>
          <w:tblCellMar>
            <w:top w:w="0" w:type="dxa"/>
            <w:left w:w="10" w:type="dxa"/>
            <w:bottom w:w="0" w:type="dxa"/>
            <w:right w:w="10" w:type="dxa"/>
          </w:tblCellMar>
        </w:tblPrEx>
        <w:trPr>
          <w:trHeight w:val="411" w:hRule="exact"/>
          <w:jc w:val="center"/>
        </w:trPr>
        <w:tc>
          <w:tcPr>
            <w:tcW w:w="725" w:type="dxa"/>
            <w:tcBorders>
              <w:top w:val="single" w:color="auto" w:sz="4" w:space="0"/>
              <w:left w:val="single" w:color="auto" w:sz="4" w:space="0"/>
            </w:tcBorders>
            <w:shd w:val="clear" w:color="auto" w:fill="FFFFFF"/>
            <w:vAlign w:val="center"/>
          </w:tcPr>
          <w:p>
            <w:pPr>
              <w:pStyle w:val="42"/>
              <w:spacing w:line="240" w:lineRule="auto"/>
              <w:ind w:firstLine="260"/>
              <w:jc w:val="left"/>
              <w:rPr>
                <w:sz w:val="21"/>
                <w:szCs w:val="21"/>
              </w:rPr>
            </w:pPr>
            <w:r>
              <w:rPr>
                <w:rFonts w:hint="eastAsia"/>
                <w:color w:val="000000"/>
                <w:sz w:val="21"/>
                <w:szCs w:val="21"/>
              </w:rPr>
              <w:t>24</w:t>
            </w:r>
          </w:p>
        </w:tc>
        <w:tc>
          <w:tcPr>
            <w:tcW w:w="4512" w:type="dxa"/>
            <w:tcBorders>
              <w:top w:val="single" w:color="auto" w:sz="4" w:space="0"/>
              <w:left w:val="single" w:color="auto" w:sz="4" w:space="0"/>
            </w:tcBorders>
            <w:shd w:val="clear" w:color="auto" w:fill="FFFFFF"/>
            <w:vAlign w:val="center"/>
          </w:tcPr>
          <w:p>
            <w:pPr>
              <w:widowControl/>
              <w:jc w:val="center"/>
              <w:rPr>
                <w:rFonts w:ascii="宋体" w:hAnsi="宋体" w:cs="宋体"/>
                <w:color w:val="000000"/>
                <w:szCs w:val="21"/>
              </w:rPr>
            </w:pPr>
            <w:r>
              <w:rPr>
                <w:rFonts w:hint="eastAsia" w:ascii="宋体" w:hAnsi="宋体" w:cs="宋体"/>
                <w:color w:val="000000"/>
                <w:szCs w:val="21"/>
              </w:rPr>
              <w:t>总余氯</w:t>
            </w:r>
            <w:r>
              <w:rPr>
                <w:rFonts w:hint="eastAsia" w:ascii="宋体" w:hAnsi="宋体" w:cs="宋体"/>
                <w:color w:val="000000"/>
                <w:szCs w:val="21"/>
                <w:vertAlign w:val="superscript"/>
              </w:rPr>
              <w:t>１），２）</w:t>
            </w:r>
            <w:r>
              <w:rPr>
                <w:rFonts w:hint="eastAsia" w:ascii="宋体" w:hAnsi="宋体" w:cs="宋体"/>
                <w:color w:val="000000"/>
                <w:szCs w:val="21"/>
              </w:rPr>
              <w:t>/ (mg/L)</w:t>
            </w:r>
          </w:p>
          <w:p>
            <w:pPr>
              <w:widowControl/>
              <w:jc w:val="center"/>
              <w:rPr>
                <w:rFonts w:ascii="宋体" w:hAnsi="宋体" w:cs="宋体"/>
                <w:szCs w:val="21"/>
              </w:rPr>
            </w:pPr>
          </w:p>
        </w:tc>
        <w:tc>
          <w:tcPr>
            <w:tcW w:w="1987" w:type="dxa"/>
            <w:tcBorders>
              <w:top w:val="single" w:color="auto" w:sz="4" w:space="0"/>
              <w:left w:val="single" w:color="auto" w:sz="4" w:space="0"/>
            </w:tcBorders>
            <w:shd w:val="clear" w:color="auto" w:fill="FFFFFF"/>
            <w:vAlign w:val="center"/>
          </w:tcPr>
          <w:p>
            <w:pPr>
              <w:pStyle w:val="42"/>
              <w:spacing w:line="240" w:lineRule="auto"/>
              <w:ind w:firstLine="0"/>
              <w:jc w:val="center"/>
              <w:rPr>
                <w:sz w:val="21"/>
                <w:szCs w:val="21"/>
              </w:rPr>
            </w:pPr>
            <w:r>
              <w:rPr>
                <w:rFonts w:hint="eastAsia"/>
                <w:color w:val="000000"/>
                <w:sz w:val="21"/>
                <w:szCs w:val="21"/>
              </w:rPr>
              <w:t>0.5</w:t>
            </w:r>
          </w:p>
        </w:tc>
        <w:tc>
          <w:tcPr>
            <w:tcW w:w="1973" w:type="dxa"/>
            <w:tcBorders>
              <w:top w:val="single" w:color="auto" w:sz="4" w:space="0"/>
              <w:left w:val="single" w:color="auto" w:sz="4" w:space="0"/>
              <w:right w:val="single" w:color="auto" w:sz="4" w:space="0"/>
            </w:tcBorders>
            <w:shd w:val="clear" w:color="auto" w:fill="FFFFFF"/>
            <w:vAlign w:val="center"/>
          </w:tcPr>
          <w:p>
            <w:pPr>
              <w:pStyle w:val="42"/>
              <w:spacing w:line="240" w:lineRule="auto"/>
              <w:ind w:firstLine="880"/>
              <w:jc w:val="left"/>
              <w:rPr>
                <w:sz w:val="21"/>
                <w:szCs w:val="21"/>
              </w:rPr>
            </w:pPr>
            <w:r>
              <w:rPr>
                <w:rFonts w:hint="eastAsia"/>
                <w:color w:val="000000"/>
                <w:sz w:val="21"/>
                <w:szCs w:val="21"/>
              </w:rPr>
              <w:t>一</w:t>
            </w:r>
          </w:p>
        </w:tc>
      </w:tr>
      <w:tr>
        <w:tblPrEx>
          <w:tblCellMar>
            <w:top w:w="0" w:type="dxa"/>
            <w:left w:w="10" w:type="dxa"/>
            <w:bottom w:w="0" w:type="dxa"/>
            <w:right w:w="10" w:type="dxa"/>
          </w:tblCellMar>
        </w:tblPrEx>
        <w:trPr>
          <w:trHeight w:val="1502" w:hRule="exact"/>
          <w:jc w:val="center"/>
        </w:trPr>
        <w:tc>
          <w:tcPr>
            <w:tcW w:w="919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szCs w:val="21"/>
              </w:rPr>
            </w:pPr>
            <w:r>
              <w:rPr>
                <w:rFonts w:ascii="宋体" w:hAnsi="宋体" w:cs="宋体"/>
                <w:color w:val="000000"/>
                <w:szCs w:val="21"/>
              </w:rPr>
              <w:t>注：</w:t>
            </w:r>
            <w:r>
              <w:rPr>
                <w:rFonts w:hint="eastAsia" w:ascii="宋体" w:hAnsi="宋体" w:cs="宋体"/>
                <w:color w:val="000000"/>
                <w:szCs w:val="21"/>
              </w:rPr>
              <w:t>1</w:t>
            </w:r>
            <w:r>
              <w:rPr>
                <w:rFonts w:ascii="宋体" w:hAnsi="宋体" w:cs="宋体"/>
                <w:color w:val="000000"/>
                <w:szCs w:val="21"/>
              </w:rPr>
              <w:t xml:space="preserve">）采用含氯消毒剂消毒的工艺控制要求为： </w:t>
            </w:r>
          </w:p>
          <w:p>
            <w:pPr>
              <w:widowControl/>
              <w:ind w:firstLine="840" w:firstLineChars="400"/>
              <w:jc w:val="left"/>
              <w:rPr>
                <w:rFonts w:ascii="宋体" w:hAnsi="宋体" w:cs="宋体"/>
                <w:color w:val="000000"/>
                <w:szCs w:val="21"/>
              </w:rPr>
            </w:pPr>
            <w:r>
              <w:rPr>
                <w:rFonts w:ascii="宋体" w:hAnsi="宋体" w:cs="宋体"/>
                <w:color w:val="000000"/>
                <w:szCs w:val="21"/>
              </w:rPr>
              <w:t xml:space="preserve">排放标准：消毒接触池接触时间≥１ｈ，接触池出口总余氯 ３～１０ｍｇ／Ｌ。 </w:t>
            </w:r>
          </w:p>
          <w:p>
            <w:pPr>
              <w:widowControl/>
              <w:ind w:firstLine="840" w:firstLineChars="400"/>
              <w:jc w:val="left"/>
              <w:rPr>
                <w:rFonts w:ascii="宋体" w:hAnsi="宋体" w:cs="宋体"/>
                <w:color w:val="000000"/>
                <w:szCs w:val="21"/>
              </w:rPr>
            </w:pPr>
            <w:r>
              <w:rPr>
                <w:rFonts w:ascii="宋体" w:hAnsi="宋体" w:cs="宋体"/>
                <w:color w:val="000000"/>
                <w:szCs w:val="21"/>
              </w:rPr>
              <w:t xml:space="preserve">预处理标准：消毒接触池接触时间≥１ｈ，接触池出口总余氯 ２～８ｍｇ／Ｌ。 </w:t>
            </w:r>
          </w:p>
          <w:p>
            <w:pPr>
              <w:widowControl/>
              <w:ind w:firstLine="420" w:firstLineChars="200"/>
              <w:jc w:val="left"/>
              <w:rPr>
                <w:sz w:val="18"/>
                <w:szCs w:val="18"/>
              </w:rPr>
            </w:pPr>
            <w:r>
              <w:rPr>
                <w:rFonts w:hint="eastAsia" w:ascii="宋体" w:hAnsi="宋体" w:cs="宋体"/>
                <w:color w:val="000000"/>
                <w:szCs w:val="21"/>
              </w:rPr>
              <w:t>2</w:t>
            </w:r>
            <w:r>
              <w:rPr>
                <w:rFonts w:ascii="宋体" w:hAnsi="宋体" w:cs="宋体"/>
                <w:color w:val="000000"/>
                <w:szCs w:val="21"/>
              </w:rPr>
              <w:t xml:space="preserve">）采用其他消毒剂对总余氯不做要求。 </w:t>
            </w:r>
          </w:p>
        </w:tc>
      </w:tr>
    </w:tbl>
    <w:p>
      <w:pPr>
        <w:pStyle w:val="2"/>
        <w:spacing w:line="360" w:lineRule="auto"/>
        <w:ind w:firstLine="482" w:firstLineChars="200"/>
        <w:rPr>
          <w:rFonts w:ascii="宋体" w:hAnsi="宋体" w:cs="宋体"/>
          <w:b/>
          <w:bCs/>
          <w:sz w:val="24"/>
        </w:rPr>
      </w:pPr>
      <w:r>
        <w:rPr>
          <w:rFonts w:hint="eastAsia" w:ascii="宋体" w:hAnsi="宋体" w:cs="宋体"/>
          <w:b/>
          <w:bCs/>
          <w:sz w:val="24"/>
        </w:rPr>
        <w:t>三、设备管理</w:t>
      </w:r>
    </w:p>
    <w:p>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bCs/>
          <w:kern w:val="0"/>
          <w:sz w:val="24"/>
        </w:rPr>
        <w:t>1.</w:t>
      </w:r>
      <w:r>
        <w:rPr>
          <w:rFonts w:hint="eastAsia" w:ascii="宋体" w:hAnsi="宋体" w:cs="宋体"/>
          <w:sz w:val="24"/>
        </w:rPr>
        <w:t>服务期内</w:t>
      </w:r>
      <w:r>
        <w:rPr>
          <w:rFonts w:hint="eastAsia" w:ascii="宋体" w:hAnsi="宋体" w:cs="宋体"/>
          <w:bCs/>
          <w:kern w:val="0"/>
          <w:sz w:val="24"/>
        </w:rPr>
        <w:t>供应商需配套三台安全型</w:t>
      </w:r>
      <w:r>
        <w:rPr>
          <w:rFonts w:hint="eastAsia" w:ascii="宋体" w:hAnsi="宋体" w:cs="宋体"/>
          <w:sz w:val="24"/>
        </w:rPr>
        <w:t>消毒粉剂</w:t>
      </w:r>
      <w:r>
        <w:rPr>
          <w:rFonts w:hint="eastAsia" w:ascii="宋体" w:hAnsi="宋体" w:cs="宋体"/>
          <w:bCs/>
          <w:kern w:val="0"/>
          <w:sz w:val="24"/>
        </w:rPr>
        <w:t>自动溶解投加</w:t>
      </w:r>
      <w:r>
        <w:rPr>
          <w:rFonts w:hint="eastAsia" w:ascii="宋体" w:hAnsi="宋体" w:cs="宋体"/>
          <w:color w:val="000000"/>
          <w:kern w:val="0"/>
          <w:sz w:val="24"/>
        </w:rPr>
        <w:t>装置设备（其中住院部2台，朝阳门诊1台），供院方使用。</w:t>
      </w:r>
    </w:p>
    <w:tbl>
      <w:tblPr>
        <w:tblStyle w:val="17"/>
        <w:tblW w:w="9779" w:type="dxa"/>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59"/>
        <w:gridCol w:w="1785"/>
        <w:gridCol w:w="1620"/>
        <w:gridCol w:w="1785"/>
        <w:gridCol w:w="2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59" w:type="dxa"/>
          </w:tcPr>
          <w:p>
            <w:pPr>
              <w:adjustRightInd w:val="0"/>
              <w:snapToGrid w:val="0"/>
              <w:spacing w:line="360" w:lineRule="auto"/>
              <w:jc w:val="center"/>
              <w:rPr>
                <w:rFonts w:ascii="宋体" w:hAnsi="宋体" w:cs="宋体"/>
                <w:bCs/>
                <w:szCs w:val="21"/>
              </w:rPr>
            </w:pPr>
            <w:r>
              <w:rPr>
                <w:rFonts w:hint="eastAsia" w:ascii="宋体" w:hAnsi="宋体" w:cs="宋体"/>
                <w:bCs/>
                <w:szCs w:val="21"/>
              </w:rPr>
              <w:t>产品名称</w:t>
            </w:r>
          </w:p>
        </w:tc>
        <w:tc>
          <w:tcPr>
            <w:tcW w:w="1785" w:type="dxa"/>
          </w:tcPr>
          <w:p>
            <w:pPr>
              <w:adjustRightInd w:val="0"/>
              <w:snapToGrid w:val="0"/>
              <w:spacing w:line="360" w:lineRule="auto"/>
              <w:jc w:val="center"/>
              <w:rPr>
                <w:rFonts w:ascii="宋体" w:hAnsi="宋体" w:cs="宋体"/>
                <w:bCs/>
                <w:szCs w:val="21"/>
              </w:rPr>
            </w:pPr>
            <w:r>
              <w:rPr>
                <w:rFonts w:hint="eastAsia" w:ascii="宋体" w:hAnsi="宋体" w:cs="宋体"/>
                <w:bCs/>
                <w:szCs w:val="21"/>
              </w:rPr>
              <w:t>污水处理能力</w:t>
            </w:r>
          </w:p>
        </w:tc>
        <w:tc>
          <w:tcPr>
            <w:tcW w:w="1620" w:type="dxa"/>
          </w:tcPr>
          <w:p>
            <w:pPr>
              <w:adjustRightInd w:val="0"/>
              <w:snapToGrid w:val="0"/>
              <w:spacing w:line="360" w:lineRule="auto"/>
              <w:jc w:val="center"/>
              <w:rPr>
                <w:rFonts w:ascii="宋体" w:hAnsi="宋体" w:cs="宋体"/>
                <w:bCs/>
                <w:szCs w:val="21"/>
              </w:rPr>
            </w:pPr>
            <w:r>
              <w:rPr>
                <w:rFonts w:hint="eastAsia" w:ascii="宋体" w:hAnsi="宋体" w:cs="宋体"/>
                <w:bCs/>
                <w:szCs w:val="21"/>
              </w:rPr>
              <w:t>设备功率</w:t>
            </w:r>
          </w:p>
        </w:tc>
        <w:tc>
          <w:tcPr>
            <w:tcW w:w="1785" w:type="dxa"/>
          </w:tcPr>
          <w:p>
            <w:pPr>
              <w:adjustRightInd w:val="0"/>
              <w:snapToGrid w:val="0"/>
              <w:spacing w:line="360" w:lineRule="auto"/>
              <w:jc w:val="center"/>
              <w:rPr>
                <w:rFonts w:ascii="宋体" w:hAnsi="宋体" w:cs="宋体"/>
                <w:bCs/>
                <w:szCs w:val="21"/>
              </w:rPr>
            </w:pPr>
            <w:r>
              <w:rPr>
                <w:rFonts w:hint="eastAsia" w:ascii="宋体" w:hAnsi="宋体" w:cs="宋体"/>
                <w:bCs/>
                <w:szCs w:val="21"/>
              </w:rPr>
              <w:t>设备日耗水量</w:t>
            </w:r>
          </w:p>
        </w:tc>
        <w:tc>
          <w:tcPr>
            <w:tcW w:w="2130" w:type="dxa"/>
          </w:tcPr>
          <w:p>
            <w:pPr>
              <w:adjustRightInd w:val="0"/>
              <w:snapToGrid w:val="0"/>
              <w:spacing w:line="360" w:lineRule="auto"/>
              <w:jc w:val="center"/>
              <w:rPr>
                <w:rFonts w:ascii="宋体" w:hAnsi="宋体" w:cs="宋体"/>
                <w:bCs/>
                <w:szCs w:val="21"/>
              </w:rPr>
            </w:pPr>
            <w:r>
              <w:rPr>
                <w:rFonts w:hint="eastAsia" w:ascii="宋体" w:hAnsi="宋体" w:cs="宋体"/>
                <w:bCs/>
                <w:szCs w:val="21"/>
              </w:rPr>
              <w:t>配药周期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459" w:type="dxa"/>
          </w:tcPr>
          <w:p>
            <w:pPr>
              <w:adjustRightInd w:val="0"/>
              <w:snapToGrid w:val="0"/>
              <w:spacing w:line="360" w:lineRule="auto"/>
              <w:jc w:val="center"/>
              <w:rPr>
                <w:rFonts w:ascii="宋体" w:hAnsi="宋体" w:cs="宋体"/>
                <w:bCs/>
                <w:szCs w:val="21"/>
              </w:rPr>
            </w:pPr>
            <w:r>
              <w:rPr>
                <w:rFonts w:hint="eastAsia" w:ascii="宋体" w:hAnsi="宋体" w:cs="宋体"/>
                <w:bCs/>
                <w:kern w:val="0"/>
                <w:szCs w:val="21"/>
              </w:rPr>
              <w:t>安全型</w:t>
            </w:r>
            <w:r>
              <w:rPr>
                <w:rFonts w:hint="eastAsia" w:ascii="宋体" w:hAnsi="宋体" w:cs="宋体"/>
                <w:szCs w:val="21"/>
              </w:rPr>
              <w:t>消毒粉剂</w:t>
            </w:r>
            <w:r>
              <w:rPr>
                <w:rFonts w:hint="eastAsia" w:ascii="宋体" w:hAnsi="宋体" w:cs="宋体"/>
                <w:bCs/>
                <w:kern w:val="0"/>
                <w:szCs w:val="21"/>
              </w:rPr>
              <w:t>自动溶解投加装置设备</w:t>
            </w:r>
          </w:p>
        </w:tc>
        <w:tc>
          <w:tcPr>
            <w:tcW w:w="1785" w:type="dxa"/>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800m³/天</w:t>
            </w:r>
          </w:p>
        </w:tc>
        <w:tc>
          <w:tcPr>
            <w:tcW w:w="1620" w:type="dxa"/>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不超过1000W</w:t>
            </w:r>
          </w:p>
        </w:tc>
        <w:tc>
          <w:tcPr>
            <w:tcW w:w="1785" w:type="dxa"/>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不超过1吨</w:t>
            </w:r>
          </w:p>
        </w:tc>
        <w:tc>
          <w:tcPr>
            <w:tcW w:w="2130" w:type="dxa"/>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12H/次或24H/次</w:t>
            </w:r>
          </w:p>
        </w:tc>
      </w:tr>
    </w:tbl>
    <w:p>
      <w:pPr>
        <w:spacing w:line="360" w:lineRule="auto"/>
        <w:ind w:firstLine="480" w:firstLineChars="200"/>
        <w:rPr>
          <w:rFonts w:ascii="宋体" w:hAnsi="宋体" w:cs="宋体"/>
          <w:bCs/>
          <w:kern w:val="0"/>
          <w:sz w:val="24"/>
        </w:rPr>
      </w:pPr>
      <w:r>
        <w:rPr>
          <w:rFonts w:hint="eastAsia" w:ascii="宋体" w:hAnsi="宋体" w:cs="宋体"/>
          <w:color w:val="000000"/>
          <w:sz w:val="24"/>
        </w:rPr>
        <w:t>2.设备维修响应时间：在接到院方通知后1个小时内响应，4个小时内到现场处理完毕</w:t>
      </w:r>
    </w:p>
    <w:p>
      <w:pPr>
        <w:spacing w:line="360" w:lineRule="auto"/>
        <w:ind w:firstLine="482" w:firstLineChars="200"/>
        <w:rPr>
          <w:rFonts w:ascii="宋体" w:hAnsi="宋体" w:cs="宋体"/>
          <w:b/>
          <w:bCs/>
          <w:color w:val="000000"/>
          <w:sz w:val="24"/>
        </w:rPr>
      </w:pPr>
      <w:r>
        <w:rPr>
          <w:rFonts w:hint="eastAsia" w:ascii="宋体" w:hAnsi="宋体" w:cs="宋体"/>
          <w:b/>
          <w:bCs/>
          <w:sz w:val="24"/>
        </w:rPr>
        <w:t>四、</w:t>
      </w:r>
      <w:r>
        <w:rPr>
          <w:rFonts w:hint="eastAsia" w:ascii="宋体" w:hAnsi="宋体" w:cs="宋体"/>
          <w:b/>
          <w:bCs/>
          <w:color w:val="000000"/>
          <w:sz w:val="24"/>
        </w:rPr>
        <w:t>付款方式及履约保证金</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1.院方按月支付费用，供应商每月开具正式发票及送货清单交甲方，甲方收到发票及送货清单后在三个月内付款给乙方。</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2.项目实行包干价，供应商须保证年采购金额不高于年度总报价的前提下医院污水处理的各项指标均能达到国家要求，若不合格，供应商自行垫加消毒粉，直至污水处理各项指标达到国际要求，垫加部分的消毒粉费用由供应商承担。</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3.供应商在签订合同前需向院方缴纳履约保证金一万元，合同到期，院方确认供应商全部义务履行完毕且无违约责任后30日内，无息返还。</w:t>
      </w:r>
    </w:p>
    <w:p>
      <w:pPr>
        <w:spacing w:line="360" w:lineRule="auto"/>
        <w:ind w:firstLine="482" w:firstLineChars="200"/>
        <w:rPr>
          <w:rFonts w:ascii="宋体" w:hAnsi="宋体" w:cs="宋体"/>
          <w:b/>
          <w:bCs/>
          <w:sz w:val="24"/>
        </w:rPr>
      </w:pPr>
      <w:r>
        <w:rPr>
          <w:rFonts w:hint="eastAsia" w:ascii="宋体" w:hAnsi="宋体" w:cs="宋体"/>
          <w:b/>
          <w:bCs/>
          <w:sz w:val="24"/>
        </w:rPr>
        <w:t>五、资质要求</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1.必须是具有独立承担民事责任能力的在中华人民共和国境内注册的法人或其他组织，需提交有效的企业法人营业执照（或事业法人登记证等）副本复印件,并加盖供应商公章；</w:t>
      </w:r>
    </w:p>
    <w:p>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2.提供有效期内消毒产品生产企业的卫生许可证。</w:t>
      </w:r>
    </w:p>
    <w:p>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3.所提供消毒粉需在全国消毒产品网上备案信息服务平台备案，需附上产品备案的截图信息和相关文件可证明消毒粉剂适用于“医院污水”消毒。</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4.本项目不接受联合体投标、分包、转包。</w:t>
      </w:r>
    </w:p>
    <w:p>
      <w:pPr>
        <w:adjustRightInd w:val="0"/>
        <w:snapToGrid w:val="0"/>
        <w:spacing w:line="360" w:lineRule="auto"/>
        <w:ind w:firstLine="482" w:firstLineChars="200"/>
        <w:rPr>
          <w:rFonts w:ascii="宋体" w:hAnsi="宋体" w:cs="宋体"/>
          <w:b/>
          <w:kern w:val="0"/>
          <w:sz w:val="24"/>
        </w:rPr>
      </w:pPr>
      <w:bookmarkStart w:id="5" w:name="_Toc6416"/>
      <w:bookmarkStart w:id="6" w:name="_Toc26796"/>
      <w:bookmarkStart w:id="7" w:name="_Toc28850"/>
      <w:bookmarkStart w:id="8" w:name="_Toc8122"/>
      <w:bookmarkStart w:id="9" w:name="_Toc20606"/>
      <w:bookmarkStart w:id="10" w:name="_Toc27614"/>
      <w:bookmarkStart w:id="11" w:name="_Toc20762"/>
      <w:r>
        <w:rPr>
          <w:rFonts w:hint="eastAsia"/>
          <w:b/>
          <w:sz w:val="24"/>
        </w:rPr>
        <w:t>六、相关要求</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1.标有“★”的条款均为必须完全满足指标，报价人须进行实质性响应，报价人若有一项带“★”的条款未响应或不满足，将按无效投标处理。</w:t>
      </w:r>
    </w:p>
    <w:p>
      <w:pPr>
        <w:adjustRightInd w:val="0"/>
        <w:snapToGrid w:val="0"/>
        <w:spacing w:line="360" w:lineRule="auto"/>
        <w:ind w:firstLine="482" w:firstLineChars="200"/>
        <w:rPr>
          <w:rFonts w:ascii="宋体" w:hAnsi="宋体" w:cs="宋体"/>
          <w:b/>
          <w:bCs/>
          <w:kern w:val="0"/>
          <w:sz w:val="24"/>
        </w:rPr>
      </w:pPr>
      <w:r>
        <w:rPr>
          <w:rFonts w:hint="eastAsia" w:ascii="宋体" w:hAnsi="宋体" w:cs="宋体"/>
          <w:b/>
          <w:bCs/>
          <w:kern w:val="0"/>
          <w:sz w:val="24"/>
        </w:rPr>
        <w:t>2.</w:t>
      </w:r>
      <w:bookmarkEnd w:id="5"/>
      <w:bookmarkEnd w:id="6"/>
      <w:bookmarkEnd w:id="7"/>
      <w:bookmarkEnd w:id="8"/>
      <w:bookmarkEnd w:id="9"/>
      <w:bookmarkEnd w:id="10"/>
      <w:bookmarkEnd w:id="11"/>
      <w:bookmarkStart w:id="12" w:name="_Toc11917"/>
      <w:bookmarkStart w:id="13" w:name="_Toc4075"/>
      <w:bookmarkStart w:id="14" w:name="_Toc3222"/>
      <w:r>
        <w:rPr>
          <w:rFonts w:ascii="宋体" w:hAnsi="宋体" w:cs="宋体"/>
          <w:b/>
          <w:bCs/>
          <w:kern w:val="0"/>
          <w:sz w:val="24"/>
        </w:rPr>
        <w:t xml:space="preserve"> </w:t>
      </w:r>
      <w:r>
        <w:rPr>
          <w:rFonts w:hint="eastAsia" w:ascii="宋体" w:hAnsi="宋体" w:cs="宋体"/>
          <w:b/>
          <w:bCs/>
          <w:kern w:val="0"/>
          <w:sz w:val="24"/>
        </w:rPr>
        <w:t>成交原则：根据符合采购需求且报价最低的供应商为第一成交候选供应商。</w:t>
      </w:r>
    </w:p>
    <w:p>
      <w:pPr>
        <w:adjustRightInd w:val="0"/>
        <w:snapToGrid w:val="0"/>
        <w:spacing w:line="360" w:lineRule="auto"/>
        <w:ind w:firstLine="482" w:firstLineChars="200"/>
        <w:rPr>
          <w:rFonts w:ascii="宋体" w:hAnsi="宋体" w:cs="宋体"/>
          <w:b/>
          <w:bCs/>
          <w:kern w:val="0"/>
          <w:sz w:val="24"/>
        </w:rPr>
      </w:pPr>
      <w:r>
        <w:rPr>
          <w:rFonts w:hint="eastAsia" w:ascii="宋体" w:hAnsi="宋体" w:cs="宋体"/>
          <w:b/>
          <w:bCs/>
          <w:kern w:val="0"/>
          <w:sz w:val="24"/>
        </w:rPr>
        <w:t>3.</w:t>
      </w:r>
      <w:r>
        <w:rPr>
          <w:rFonts w:ascii="宋体" w:hAnsi="宋体" w:cs="宋体"/>
          <w:b/>
          <w:bCs/>
          <w:kern w:val="0"/>
          <w:sz w:val="24"/>
        </w:rPr>
        <w:t xml:space="preserve"> </w:t>
      </w:r>
      <w:r>
        <w:rPr>
          <w:rFonts w:hint="eastAsia" w:ascii="宋体" w:hAnsi="宋体" w:cs="宋体"/>
          <w:b/>
          <w:bCs/>
          <w:kern w:val="0"/>
          <w:sz w:val="24"/>
        </w:rPr>
        <w:t>供应商不得恶意竞价。</w:t>
      </w:r>
    </w:p>
    <w:p>
      <w:pPr>
        <w:adjustRightInd w:val="0"/>
        <w:snapToGrid w:val="0"/>
        <w:spacing w:line="360" w:lineRule="auto"/>
        <w:ind w:firstLine="602" w:firstLineChars="250"/>
        <w:rPr>
          <w:rFonts w:ascii="宋体" w:hAnsi="宋体" w:cs="宋体"/>
          <w:b/>
          <w:bCs/>
          <w:kern w:val="0"/>
          <w:sz w:val="24"/>
        </w:rPr>
      </w:pPr>
      <w:r>
        <w:rPr>
          <w:rFonts w:hint="eastAsia" w:ascii="宋体" w:hAnsi="宋体" w:cs="宋体"/>
          <w:b/>
          <w:bCs/>
          <w:kern w:val="0"/>
          <w:sz w:val="24"/>
        </w:rPr>
        <w:t>对于供应商最终报价低于最终平均报价60%的，评审小组有权要求供应商在现场或规定的时间内提供相关证明材料，规定时间内不能提供材料或者无法证明的，评审小组有权裁定该报价是否为恶意竞价。恶意竞价的供应商将被取消成交资格，并列入黑名单，在此后三年内不得参与我院任何采买活动。</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4.供应商有下列情形之一的，将列入我院黑名单管理，在此后的三年内不得参与我院任何采买活动：</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（1）提供虚假材料谋取中标、成交的；</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（2）采取不正当手段诋毁、排挤其它供应商的；</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（3）与其他供应商或者采购机构恶意串通围标的；</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（4）随意申请撤换或放弃中标/成交结果的；</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（5）中标、成交后无正当理由拒绝或迟迟不签订采购合同的；</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（6）无正当理由拒绝履行合同和有关承诺，或擅自变更、中止（终止）采购合同的；</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（7）一年内有一次以上投诉查无实据、捏造事实或者提供虚假投诉材料的；</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（8）实际提供的有关产品性能指标和技术服务能力明显低于采购响应文件或谈判、磋商、询价时的承诺的或提供假冒伪劣产品的；</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（9）中标/成交后，擅自将采购合同转包或分包给其他供应商的；</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（10）向采购人、采购机构行贿或者提供其它不正当利益的；</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（11）连续两次供应商履约诚信量化评价得分不合格的供应商；</w:t>
      </w:r>
    </w:p>
    <w:p>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（12）拒绝有关部门监督检查或者提供虚假情况的。</w:t>
      </w:r>
    </w:p>
    <w:p>
      <w:pPr>
        <w:adjustRightInd w:val="0"/>
        <w:snapToGrid w:val="0"/>
        <w:spacing w:line="360" w:lineRule="auto"/>
        <w:ind w:firstLine="482" w:firstLineChars="200"/>
        <w:rPr>
          <w:rFonts w:ascii="宋体" w:hAnsi="宋体" w:cs="宋体"/>
          <w:b/>
          <w:bCs/>
          <w:kern w:val="0"/>
          <w:sz w:val="24"/>
        </w:rPr>
      </w:pPr>
      <w:bookmarkStart w:id="15" w:name="_Toc2432"/>
      <w:r>
        <w:rPr>
          <w:rFonts w:hint="eastAsia" w:ascii="宋体" w:hAnsi="宋体" w:cs="宋体"/>
          <w:b/>
          <w:bCs/>
          <w:kern w:val="0"/>
          <w:sz w:val="24"/>
        </w:rPr>
        <w:t>5.</w:t>
      </w:r>
      <w:r>
        <w:rPr>
          <w:rFonts w:hint="eastAsia"/>
        </w:rPr>
        <w:t xml:space="preserve"> </w:t>
      </w:r>
      <w:r>
        <w:rPr>
          <w:rFonts w:hint="eastAsia" w:ascii="宋体" w:hAnsi="宋体" w:cs="宋体"/>
          <w:b/>
          <w:bCs/>
          <w:kern w:val="0"/>
          <w:sz w:val="24"/>
        </w:rPr>
        <w:t>供应商提供的文件资料看不清或者模糊不清，视为未提供该项资料处理。</w:t>
      </w:r>
    </w:p>
    <w:p>
      <w:pPr>
        <w:adjustRightInd w:val="0"/>
        <w:snapToGrid w:val="0"/>
        <w:spacing w:line="360" w:lineRule="auto"/>
        <w:ind w:firstLine="482" w:firstLineChars="200"/>
        <w:rPr>
          <w:rFonts w:ascii="宋体" w:hAnsi="宋体" w:cs="宋体"/>
          <w:b/>
          <w:bCs/>
          <w:kern w:val="0"/>
          <w:sz w:val="24"/>
        </w:rPr>
      </w:pPr>
      <w:r>
        <w:rPr>
          <w:rFonts w:hint="eastAsia" w:ascii="宋体" w:hAnsi="宋体" w:cs="宋体"/>
          <w:b/>
          <w:bCs/>
          <w:kern w:val="0"/>
          <w:sz w:val="24"/>
        </w:rPr>
        <w:t>6.疫情防控要求：参加评审会议供应商必须无流行病学史，需提供健康码绿码、行程码绿码、72小时核酸检测结果阴性。(如有最新防疫政策要求，按最新的政策要求执行）</w:t>
      </w:r>
    </w:p>
    <w:bookmarkEnd w:id="12"/>
    <w:bookmarkEnd w:id="13"/>
    <w:bookmarkEnd w:id="14"/>
    <w:bookmarkEnd w:id="15"/>
    <w:p>
      <w:pPr>
        <w:outlineLvl w:val="0"/>
        <w:rPr>
          <w:b/>
          <w:bCs/>
          <w:kern w:val="0"/>
          <w:sz w:val="32"/>
          <w:szCs w:val="36"/>
        </w:rPr>
      </w:pPr>
    </w:p>
    <w:p>
      <w:pPr>
        <w:jc w:val="center"/>
        <w:outlineLvl w:val="0"/>
        <w:rPr>
          <w:rFonts w:ascii="宋体" w:hAnsi="宋体"/>
          <w:sz w:val="24"/>
        </w:rPr>
      </w:pPr>
      <w:r>
        <w:rPr>
          <w:rFonts w:hint="eastAsia"/>
          <w:b/>
          <w:bCs/>
          <w:kern w:val="0"/>
          <w:sz w:val="32"/>
          <w:szCs w:val="36"/>
        </w:rPr>
        <w:t xml:space="preserve">第三部分  </w:t>
      </w:r>
      <w:bookmarkStart w:id="16" w:name="_Toc270"/>
      <w:r>
        <w:rPr>
          <w:rFonts w:hint="eastAsia"/>
          <w:b/>
          <w:bCs/>
          <w:kern w:val="0"/>
          <w:sz w:val="32"/>
          <w:szCs w:val="36"/>
        </w:rPr>
        <w:t>资料整理注意事项</w:t>
      </w:r>
      <w:bookmarkEnd w:id="16"/>
    </w:p>
    <w:p>
      <w:pPr>
        <w:spacing w:line="380" w:lineRule="exact"/>
        <w:ind w:firstLine="360" w:firstLineChars="150"/>
        <w:rPr>
          <w:rFonts w:ascii="宋体" w:hAnsi="宋体"/>
          <w:sz w:val="24"/>
        </w:rPr>
      </w:pPr>
    </w:p>
    <w:p>
      <w:pPr>
        <w:spacing w:line="360" w:lineRule="auto"/>
        <w:ind w:firstLine="360" w:firstLineChars="150"/>
        <w:rPr>
          <w:rFonts w:ascii="宋体" w:hAnsi="宋体"/>
          <w:sz w:val="24"/>
        </w:rPr>
      </w:pPr>
      <w:r>
        <w:rPr>
          <w:rFonts w:hint="eastAsia" w:ascii="宋体" w:hAnsi="宋体" w:cs="宋体"/>
          <w:sz w:val="24"/>
        </w:rPr>
        <w:t>1.供应商在报名资料的基础上，根据采购文件第四部分相关格式目录内容完善相关资料，完善后的整体资料为一份完整</w:t>
      </w:r>
      <w:r>
        <w:rPr>
          <w:rFonts w:hint="eastAsia" w:ascii="宋体" w:hAnsi="宋体"/>
          <w:sz w:val="24"/>
        </w:rPr>
        <w:t>响应文件，响应文件需编页码，相关文件页码与目录上的页码范围一一对应。</w:t>
      </w:r>
    </w:p>
    <w:p>
      <w:pPr>
        <w:spacing w:line="360" w:lineRule="auto"/>
        <w:ind w:firstLine="360" w:firstLineChars="150"/>
        <w:rPr>
          <w:rFonts w:ascii="宋体" w:hAnsi="宋体"/>
          <w:sz w:val="24"/>
        </w:rPr>
      </w:pPr>
      <w:r>
        <w:rPr>
          <w:rFonts w:hint="eastAsia" w:ascii="宋体" w:hAnsi="宋体"/>
          <w:sz w:val="24"/>
        </w:rPr>
        <w:t>2.响应文件除封面外，其他材料须双面打印，打印出来后一定要清晰，看不清或者模糊当不提供该项资料处理。</w:t>
      </w:r>
    </w:p>
    <w:p>
      <w:pPr>
        <w:spacing w:line="360" w:lineRule="auto"/>
        <w:ind w:firstLine="360" w:firstLineChars="150"/>
        <w:rPr>
          <w:rFonts w:ascii="宋体" w:hAnsi="宋体"/>
          <w:sz w:val="24"/>
        </w:rPr>
      </w:pPr>
      <w:r>
        <w:rPr>
          <w:rFonts w:hint="eastAsia" w:ascii="宋体" w:hAnsi="宋体"/>
          <w:sz w:val="24"/>
        </w:rPr>
        <w:t>3.响应文件需要一正五副共6份，封面应注明“正本”、“副本”字样并加盖公章、装订成册，副本可用正本复印并在封面上加盖公章。</w:t>
      </w:r>
    </w:p>
    <w:p>
      <w:pPr>
        <w:spacing w:line="360" w:lineRule="auto"/>
        <w:ind w:firstLine="360" w:firstLineChars="150"/>
        <w:rPr>
          <w:rFonts w:ascii="宋体" w:hAnsi="宋体"/>
          <w:sz w:val="24"/>
        </w:rPr>
      </w:pPr>
      <w:r>
        <w:rPr>
          <w:rFonts w:hint="eastAsia" w:ascii="宋体" w:hAnsi="宋体"/>
          <w:sz w:val="24"/>
        </w:rPr>
        <w:t>4.所有响应文件须密封在一个不透明的外层封装中；并在封口位置处加盖公章，如因响应文件未密封导致不能进入谈判环节者，一切后果由供应商自负。</w:t>
      </w:r>
    </w:p>
    <w:p>
      <w:pPr>
        <w:spacing w:line="360" w:lineRule="auto"/>
        <w:ind w:firstLine="360" w:firstLineChars="150"/>
        <w:rPr>
          <w:rFonts w:ascii="宋体" w:hAnsi="宋体"/>
          <w:sz w:val="24"/>
        </w:rPr>
      </w:pPr>
      <w:r>
        <w:rPr>
          <w:rFonts w:hint="eastAsia" w:ascii="宋体" w:hAnsi="宋体"/>
          <w:sz w:val="24"/>
        </w:rPr>
        <w:t>5.供应商携带密封的响应文件参加院内采购评审会议。</w:t>
      </w:r>
    </w:p>
    <w:p>
      <w:pPr>
        <w:spacing w:line="360" w:lineRule="auto"/>
        <w:ind w:firstLine="360" w:firstLineChars="150"/>
        <w:rPr>
          <w:rFonts w:ascii="宋体" w:hAnsi="宋体"/>
          <w:sz w:val="24"/>
        </w:rPr>
      </w:pPr>
      <w:r>
        <w:rPr>
          <w:rFonts w:hint="eastAsia" w:ascii="宋体" w:hAnsi="宋体"/>
          <w:sz w:val="24"/>
        </w:rPr>
        <w:t>6.报名时提供的资料与响应文件不一致时以响应文件为准。</w:t>
      </w:r>
    </w:p>
    <w:p>
      <w:pPr>
        <w:spacing w:line="360" w:lineRule="auto"/>
        <w:ind w:firstLine="360" w:firstLineChars="150"/>
        <w:rPr>
          <w:rFonts w:ascii="宋体" w:hAnsi="宋体"/>
          <w:sz w:val="24"/>
        </w:rPr>
      </w:pPr>
      <w:r>
        <w:rPr>
          <w:rFonts w:hint="eastAsia" w:ascii="宋体" w:hAnsi="宋体"/>
          <w:sz w:val="24"/>
        </w:rPr>
        <w:t>7.法定代表人或授权委托人（如有授权）需本人到场参加采购评审会议并出示身份证原件审核入场签到。</w:t>
      </w:r>
    </w:p>
    <w:p>
      <w:pPr>
        <w:spacing w:line="360" w:lineRule="auto"/>
        <w:ind w:firstLine="360" w:firstLineChars="150"/>
        <w:rPr>
          <w:rFonts w:ascii="宋体" w:hAnsi="宋体"/>
          <w:sz w:val="24"/>
        </w:rPr>
      </w:pPr>
      <w:r>
        <w:rPr>
          <w:rFonts w:hint="eastAsia" w:ascii="宋体" w:hAnsi="宋体"/>
          <w:sz w:val="24"/>
        </w:rPr>
        <w:t>8.各供应商需认真阅读以上注意事项，不按要求提供响应文件者后果自负。</w:t>
      </w:r>
    </w:p>
    <w:p>
      <w:pPr>
        <w:spacing w:line="380" w:lineRule="exact"/>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sectPr>
          <w:footerReference r:id="rId9" w:type="default"/>
          <w:pgSz w:w="11906" w:h="16838"/>
          <w:pgMar w:top="1440" w:right="1134" w:bottom="1440" w:left="1134" w:header="851" w:footer="992" w:gutter="0"/>
          <w:pgNumType w:start="1"/>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rPr>
          <w:rFonts w:ascii="宋体" w:hAnsi="宋体"/>
          <w:sz w:val="24"/>
        </w:rPr>
      </w:pPr>
    </w:p>
    <w:p>
      <w:pPr>
        <w:pStyle w:val="4"/>
        <w:jc w:val="center"/>
        <w:rPr>
          <w:rFonts w:ascii="宋体" w:hAnsi="宋体" w:eastAsia="宋体"/>
          <w:sz w:val="40"/>
        </w:rPr>
      </w:pPr>
      <w:bookmarkStart w:id="17" w:name="_Toc40346213"/>
      <w:bookmarkStart w:id="18" w:name="_Toc13814"/>
      <w:bookmarkStart w:id="19" w:name="_Toc2347"/>
      <w:bookmarkStart w:id="20" w:name="_Toc19354"/>
      <w:bookmarkStart w:id="21" w:name="_Toc9461"/>
      <w:bookmarkStart w:id="22" w:name="_Toc32228"/>
      <w:bookmarkStart w:id="23" w:name="_Toc7581"/>
      <w:bookmarkStart w:id="24" w:name="_Toc30326"/>
      <w:bookmarkStart w:id="25" w:name="_Toc40776108"/>
      <w:bookmarkStart w:id="26" w:name="_Toc5829"/>
      <w:bookmarkStart w:id="27" w:name="_Toc30230"/>
      <w:bookmarkStart w:id="28" w:name="_Toc2647"/>
      <w:bookmarkStart w:id="29" w:name="_Toc32164"/>
    </w:p>
    <w:p>
      <w:pPr>
        <w:pStyle w:val="4"/>
        <w:jc w:val="center"/>
        <w:rPr>
          <w:rFonts w:ascii="宋体" w:hAnsi="宋体" w:eastAsia="宋体"/>
          <w:sz w:val="40"/>
        </w:rPr>
      </w:pPr>
    </w:p>
    <w:p>
      <w:pPr>
        <w:pStyle w:val="4"/>
        <w:jc w:val="center"/>
        <w:rPr>
          <w:rFonts w:ascii="宋体" w:hAnsi="宋体" w:eastAsia="宋体" w:cs="Courier New"/>
          <w:sz w:val="40"/>
        </w:rPr>
      </w:pPr>
      <w:bookmarkStart w:id="30" w:name="_Toc1634"/>
      <w:r>
        <w:rPr>
          <w:rFonts w:hint="eastAsia" w:ascii="宋体" w:hAnsi="宋体" w:eastAsia="宋体"/>
          <w:sz w:val="40"/>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22"/>
      </w:pPr>
      <w:bookmarkStart w:id="31" w:name="_Toc30201"/>
      <w:bookmarkStart w:id="32" w:name="_Toc40776109"/>
      <w:bookmarkStart w:id="33" w:name="_Toc10842"/>
      <w:bookmarkStart w:id="34" w:name="_Toc10941"/>
      <w:bookmarkStart w:id="35" w:name="_Toc13972"/>
      <w:bookmarkStart w:id="36" w:name="_Toc40346214"/>
      <w:bookmarkStart w:id="37" w:name="_Toc17987"/>
      <w:bookmarkStart w:id="38" w:name="_Toc26336"/>
      <w:bookmarkStart w:id="39" w:name="_Toc23126"/>
      <w:bookmarkStart w:id="40" w:name="_Toc40346373"/>
      <w:bookmarkStart w:id="41" w:name="_Toc11236"/>
    </w:p>
    <w:p>
      <w:pPr>
        <w:pStyle w:val="22"/>
      </w:pPr>
    </w:p>
    <w:p>
      <w:pPr>
        <w:pStyle w:val="22"/>
      </w:pPr>
    </w:p>
    <w:p>
      <w:pPr>
        <w:pStyle w:val="22"/>
      </w:pPr>
    </w:p>
    <w:p>
      <w:pPr>
        <w:pStyle w:val="22"/>
      </w:pPr>
    </w:p>
    <w:p>
      <w:pPr>
        <w:pStyle w:val="22"/>
      </w:pPr>
    </w:p>
    <w:p>
      <w:pPr>
        <w:pStyle w:val="22"/>
      </w:pPr>
    </w:p>
    <w:p>
      <w:pPr>
        <w:pStyle w:val="22"/>
      </w:pPr>
    </w:p>
    <w:p>
      <w:pPr>
        <w:widowControl/>
        <w:spacing w:line="360" w:lineRule="auto"/>
        <w:jc w:val="left"/>
        <w:rPr>
          <w:rFonts w:ascii="仿宋" w:hAnsi="仿宋" w:eastAsia="仿宋" w:cs="宋体"/>
          <w:b/>
          <w:kern w:val="0"/>
          <w:sz w:val="24"/>
          <w:szCs w:val="32"/>
        </w:rPr>
      </w:pPr>
      <w:bookmarkStart w:id="42" w:name="_Toc13293"/>
      <w:bookmarkStart w:id="43" w:name="_Toc3033"/>
      <w:bookmarkStart w:id="44" w:name="_Toc12695"/>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45" w:name="_Toc2926"/>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jc w:val="center"/>
        <w:rPr>
          <w:rFonts w:ascii="宋体" w:hAnsi="宋体" w:cs="宋体"/>
          <w:b/>
          <w:kern w:val="0"/>
          <w:sz w:val="52"/>
          <w:szCs w:val="52"/>
        </w:rPr>
      </w:pPr>
      <w:bookmarkStart w:id="46" w:name="_Toc40346222"/>
      <w:bookmarkStart w:id="47" w:name="_Toc9134"/>
      <w:bookmarkStart w:id="48" w:name="_Toc12431"/>
      <w:bookmarkStart w:id="49" w:name="_Toc40346381"/>
      <w:bookmarkStart w:id="50" w:name="_Toc18837"/>
      <w:bookmarkStart w:id="51" w:name="_Toc10213"/>
      <w:bookmarkStart w:id="52" w:name="_Toc40776117"/>
      <w:bookmarkStart w:id="53" w:name="_Toc22864"/>
      <w:bookmarkStart w:id="54" w:name="_Toc23156"/>
      <w:bookmarkStart w:id="55" w:name="_Toc28217"/>
      <w:bookmarkStart w:id="56" w:name="_Toc22145"/>
      <w:bookmarkStart w:id="57" w:name="_Toc4407"/>
      <w:bookmarkStart w:id="58" w:name="_Toc3784"/>
      <w:bookmarkStart w:id="59" w:name="_Toc25470"/>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0" w:name="_Toc8364"/>
      <w:bookmarkStart w:id="61" w:name="_Toc7291"/>
      <w:bookmarkStart w:id="62" w:name="_Toc435"/>
      <w:bookmarkStart w:id="63" w:name="_Toc6547"/>
      <w:bookmarkStart w:id="64" w:name="_Toc11075"/>
      <w:bookmarkStart w:id="65" w:name="_Toc40346375"/>
      <w:bookmarkStart w:id="66" w:name="_Toc26267"/>
      <w:bookmarkStart w:id="67" w:name="_Toc40346216"/>
      <w:bookmarkStart w:id="68" w:name="_Toc11305"/>
      <w:bookmarkStart w:id="69" w:name="_Toc29113"/>
      <w:bookmarkStart w:id="70" w:name="_Toc1994"/>
      <w:bookmarkStart w:id="71" w:name="_Toc15870"/>
      <w:bookmarkStart w:id="72" w:name="_Toc40776111"/>
      <w:bookmarkStart w:id="73" w:name="_Toc21249"/>
      <w:bookmarkStart w:id="74" w:name="_Toc28703"/>
      <w:bookmarkStart w:id="75" w:name="_Toc3471"/>
      <w:bookmarkStart w:id="76" w:name="_Toc12520"/>
    </w:p>
    <w:p>
      <w:pPr>
        <w:widowControl/>
        <w:spacing w:line="360" w:lineRule="auto"/>
        <w:ind w:firstLine="600"/>
        <w:outlineLvl w:val="0"/>
      </w:pPr>
      <w:bookmarkStart w:id="77" w:name="_Toc4769"/>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1743"/>
      <w:bookmarkStart w:id="79" w:name="_Toc17709"/>
      <w:bookmarkStart w:id="80" w:name="_Toc2916"/>
      <w:bookmarkStart w:id="81" w:name="_Toc27997"/>
      <w:bookmarkStart w:id="82" w:name="_Toc40346217"/>
      <w:bookmarkStart w:id="83" w:name="_Toc40776112"/>
      <w:bookmarkStart w:id="84" w:name="_Toc20884"/>
      <w:bookmarkStart w:id="85" w:name="_Toc40346376"/>
    </w:p>
    <w:p>
      <w:pPr>
        <w:widowControl/>
        <w:spacing w:line="360" w:lineRule="auto"/>
        <w:ind w:firstLine="600"/>
        <w:outlineLvl w:val="0"/>
        <w:rPr>
          <w:rFonts w:cs="宋体"/>
          <w:kern w:val="0"/>
          <w:sz w:val="30"/>
          <w:szCs w:val="30"/>
        </w:rPr>
      </w:pPr>
      <w:bookmarkStart w:id="86" w:name="_Toc2029"/>
      <w:bookmarkStart w:id="87" w:name="_Toc5238"/>
      <w:bookmarkStart w:id="88" w:name="_Toc31538"/>
      <w:bookmarkStart w:id="89" w:name="_Toc2012"/>
      <w:bookmarkStart w:id="90" w:name="_Toc29102"/>
      <w:bookmarkStart w:id="91" w:name="_Toc19699"/>
      <w:bookmarkStart w:id="92" w:name="_Toc30979"/>
      <w:bookmarkStart w:id="93" w:name="_Toc23097"/>
      <w:bookmarkStart w:id="94" w:name="_Toc11485"/>
      <w:bookmarkStart w:id="95" w:name="_Toc23992"/>
      <w:r>
        <w:rPr>
          <w:rFonts w:ascii="宋体" w:hAnsi="宋体" w:cs="宋体"/>
          <w:kern w:val="0"/>
          <w:sz w:val="30"/>
          <w:szCs w:val="30"/>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11558"/>
      <w:bookmarkStart w:id="97" w:name="_Toc11141"/>
      <w:bookmarkStart w:id="98" w:name="_Toc17930"/>
      <w:bookmarkStart w:id="99" w:name="_Toc16794"/>
      <w:bookmarkStart w:id="100" w:name="_Toc24763"/>
      <w:bookmarkStart w:id="101" w:name="_Toc12645"/>
      <w:bookmarkStart w:id="102" w:name="_Toc40346218"/>
      <w:bookmarkStart w:id="103" w:name="_Toc31993"/>
      <w:bookmarkStart w:id="104" w:name="_Toc12113"/>
      <w:bookmarkStart w:id="105" w:name="_Toc28064"/>
      <w:bookmarkStart w:id="106" w:name="_Toc29767"/>
      <w:bookmarkStart w:id="107" w:name="_Toc40346377"/>
      <w:bookmarkStart w:id="108" w:name="_Toc7052"/>
      <w:bookmarkStart w:id="109" w:name="_Toc4013"/>
      <w:bookmarkStart w:id="110" w:name="_Toc21483"/>
      <w:bookmarkStart w:id="111" w:name="_Toc40776113"/>
      <w:bookmarkStart w:id="112" w:name="_Toc14824"/>
      <w:bookmarkStart w:id="113" w:name="_Toc27867"/>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rPr>
      </w:pPr>
      <w:bookmarkStart w:id="114" w:name="_Toc19831"/>
      <w:bookmarkStart w:id="115" w:name="_Toc1324"/>
      <w:bookmarkStart w:id="116" w:name="_Toc31197"/>
      <w:bookmarkStart w:id="117" w:name="_Toc27771"/>
      <w:bookmarkStart w:id="118" w:name="_Toc9883"/>
      <w:bookmarkStart w:id="119" w:name="_Toc11334"/>
      <w:bookmarkStart w:id="120" w:name="_Toc4563"/>
      <w:bookmarkStart w:id="121" w:name="_Toc26029"/>
      <w:bookmarkStart w:id="122" w:name="_Toc40776114"/>
      <w:bookmarkStart w:id="123" w:name="_Toc32709"/>
      <w:bookmarkStart w:id="124" w:name="_Toc16813"/>
      <w:bookmarkStart w:id="125" w:name="_Toc40346378"/>
      <w:bookmarkStart w:id="126" w:name="_Toc25370"/>
      <w:bookmarkStart w:id="127" w:name="_Toc24651"/>
      <w:bookmarkStart w:id="128" w:name="_Toc17537"/>
      <w:bookmarkStart w:id="129" w:name="_Toc6438"/>
      <w:bookmarkStart w:id="130" w:name="_Toc40346219"/>
      <w:bookmarkStart w:id="131" w:name="_Toc14287"/>
      <w:r>
        <w:rPr>
          <w:rFonts w:ascii="宋体" w:hAnsi="宋体" w:cs="宋体"/>
          <w:kern w:val="0"/>
          <w:sz w:val="30"/>
          <w:szCs w:val="30"/>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rPr>
      </w:pPr>
      <w:bookmarkStart w:id="132" w:name="_Toc27206"/>
      <w:bookmarkStart w:id="133" w:name="_Toc40346220"/>
      <w:bookmarkStart w:id="134" w:name="_Toc30336"/>
      <w:bookmarkStart w:id="135" w:name="_Toc40346379"/>
      <w:bookmarkStart w:id="136" w:name="_Toc13222"/>
      <w:bookmarkStart w:id="137" w:name="_Toc5189"/>
      <w:bookmarkStart w:id="138" w:name="_Toc27868"/>
      <w:bookmarkStart w:id="139" w:name="_Toc18353"/>
      <w:bookmarkStart w:id="140" w:name="_Toc19057"/>
      <w:bookmarkStart w:id="141" w:name="_Toc14586"/>
      <w:bookmarkStart w:id="142" w:name="_Toc12650"/>
      <w:bookmarkStart w:id="143" w:name="_Toc21686"/>
      <w:bookmarkStart w:id="144" w:name="_Toc17483"/>
      <w:bookmarkStart w:id="145" w:name="_Toc3895"/>
      <w:bookmarkStart w:id="146" w:name="_Toc5634"/>
      <w:bookmarkStart w:id="147" w:name="_Toc20994"/>
      <w:bookmarkStart w:id="148" w:name="_Toc21940"/>
      <w:bookmarkStart w:id="149" w:name="_Toc40776115"/>
      <w:r>
        <w:rPr>
          <w:rFonts w:ascii="宋体" w:hAnsi="宋体" w:cs="宋体"/>
          <w:kern w:val="0"/>
          <w:sz w:val="30"/>
          <w:szCs w:val="30"/>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rPr>
      </w:pPr>
      <w:bookmarkStart w:id="150" w:name="_Toc27646"/>
      <w:bookmarkStart w:id="151" w:name="_Toc40346221"/>
      <w:bookmarkStart w:id="152" w:name="_Toc30856"/>
      <w:bookmarkStart w:id="153" w:name="_Toc10454"/>
      <w:bookmarkStart w:id="154" w:name="_Toc3498"/>
      <w:bookmarkStart w:id="155" w:name="_Toc9282"/>
      <w:bookmarkStart w:id="156" w:name="_Toc27009"/>
      <w:bookmarkStart w:id="157" w:name="_Toc30904"/>
      <w:bookmarkStart w:id="158" w:name="_Toc11547"/>
      <w:bookmarkStart w:id="159" w:name="_Toc40776116"/>
      <w:bookmarkStart w:id="160" w:name="_Toc14462"/>
      <w:bookmarkStart w:id="161" w:name="_Toc5220"/>
      <w:bookmarkStart w:id="162" w:name="_Toc8526"/>
      <w:bookmarkStart w:id="163" w:name="_Toc32371"/>
      <w:bookmarkStart w:id="164" w:name="_Toc12127"/>
      <w:bookmarkStart w:id="165" w:name="_Toc22276"/>
      <w:bookmarkStart w:id="166" w:name="_Toc40346380"/>
      <w:bookmarkStart w:id="167" w:name="_Toc21449"/>
      <w:r>
        <w:rPr>
          <w:rFonts w:ascii="宋体" w:hAnsi="宋体" w:cs="宋体"/>
          <w:kern w:val="0"/>
          <w:sz w:val="30"/>
          <w:szCs w:val="30"/>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68" w:name="_Toc18806"/>
      <w:r>
        <w:rPr>
          <w:rFonts w:hint="eastAsia" w:ascii="仿宋" w:hAnsi="仿宋" w:eastAsia="仿宋" w:cs="宋体"/>
          <w:b/>
          <w:kern w:val="0"/>
          <w:sz w:val="24"/>
          <w:szCs w:val="32"/>
        </w:rPr>
        <w:t>目录模板</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168"/>
    </w:p>
    <w:p>
      <w:pPr>
        <w:pStyle w:val="2"/>
        <w:ind w:firstLine="4698" w:firstLineChars="1300"/>
        <w:rPr>
          <w:b/>
          <w:bCs/>
          <w:sz w:val="36"/>
          <w:szCs w:val="36"/>
        </w:rPr>
      </w:pPr>
      <w:bookmarkStart w:id="169" w:name="_Toc27920"/>
      <w:bookmarkStart w:id="170" w:name="_Toc6985"/>
      <w:bookmarkStart w:id="171" w:name="_Toc31006"/>
      <w:bookmarkStart w:id="172" w:name="_Toc24584"/>
      <w:r>
        <w:rPr>
          <w:rFonts w:hint="eastAsia"/>
          <w:b/>
          <w:bCs/>
          <w:sz w:val="36"/>
          <w:szCs w:val="36"/>
        </w:rPr>
        <w:t>目  录</w:t>
      </w:r>
      <w:bookmarkEnd w:id="169"/>
      <w:bookmarkEnd w:id="170"/>
      <w:bookmarkEnd w:id="171"/>
      <w:bookmarkEnd w:id="172"/>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供应商营业执照（提供复印件并加盖供应商公章）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6</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7</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有效期内消毒产品生产企业的卫生许可证</w:t>
            </w:r>
            <w:r>
              <w:rPr>
                <w:rFonts w:hint="eastAsia" w:ascii="宋体" w:hAnsi="宋体"/>
                <w:sz w:val="24"/>
                <w:highlight w:val="none"/>
              </w:rPr>
              <w:t>（提供复印件并加盖供应商公章）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8</w:t>
            </w:r>
          </w:p>
        </w:tc>
        <w:tc>
          <w:tcPr>
            <w:tcW w:w="8272" w:type="dxa"/>
            <w:tcBorders>
              <w:top w:val="single" w:color="000000" w:sz="4" w:space="0"/>
              <w:left w:val="nil"/>
              <w:bottom w:val="single" w:color="000000" w:sz="4" w:space="0"/>
              <w:right w:val="single" w:color="000000" w:sz="4" w:space="0"/>
            </w:tcBorders>
            <w:vAlign w:val="center"/>
          </w:tcPr>
          <w:p>
            <w:pPr>
              <w:adjustRightInd w:val="0"/>
              <w:snapToGrid w:val="0"/>
              <w:spacing w:line="240" w:lineRule="auto"/>
              <w:rPr>
                <w:rFonts w:hint="eastAsia" w:ascii="宋体" w:hAnsi="宋体" w:cs="宋体"/>
                <w:color w:val="000000"/>
                <w:kern w:val="0"/>
                <w:sz w:val="24"/>
              </w:rPr>
            </w:pPr>
            <w:r>
              <w:rPr>
                <w:rFonts w:hint="eastAsia" w:ascii="宋体" w:hAnsi="宋体"/>
                <w:sz w:val="24"/>
                <w:szCs w:val="22"/>
              </w:rPr>
              <w:t>所提</w:t>
            </w:r>
            <w:r>
              <w:rPr>
                <w:rFonts w:hint="eastAsia" w:ascii="宋体" w:hAnsi="宋体" w:cs="宋体"/>
                <w:color w:val="000000"/>
                <w:kern w:val="0"/>
                <w:sz w:val="24"/>
              </w:rPr>
              <w:t>供的消毒粉需在全国消毒产品网上备案信息服务平台备案，需附上产品备案的截图信息和相关文件可证明消毒粉剂适用于“医院污水”消毒。</w:t>
            </w:r>
          </w:p>
          <w:p>
            <w:pPr>
              <w:adjustRightInd w:val="0"/>
              <w:snapToGrid w:val="0"/>
              <w:spacing w:line="240" w:lineRule="auto"/>
              <w:rPr>
                <w:rFonts w:ascii="宋体" w:hAnsi="宋体"/>
                <w:sz w:val="24"/>
                <w:szCs w:val="22"/>
              </w:rPr>
            </w:pPr>
            <w:r>
              <w:rPr>
                <w:rFonts w:hint="eastAsia" w:ascii="宋体" w:hAnsi="宋体" w:cs="宋体"/>
                <w:color w:val="000000"/>
                <w:kern w:val="0"/>
                <w:sz w:val="24"/>
              </w:rPr>
              <w:t>（需附上产品备案的截图信息和可证明消毒粉剂适用于“医院污水”消毒的相关文件复印件并加盖供应商公章）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9</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lang w:val="zh-CN"/>
              </w:rPr>
            </w:pPr>
            <w:r>
              <w:rPr>
                <w:rFonts w:hint="eastAsia" w:ascii="宋体" w:hAnsi="宋体"/>
                <w:sz w:val="24"/>
              </w:rPr>
              <w:t>本项目不接受联合体投标、分包、转包（需提供承诺函原件，格式自拟，并加盖供应商公司公章）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10</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公司简介及产品介绍</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配备设备及仪器情况说明</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售后服务承诺书</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2019年至今同类项目的业绩用户名单（需提供合同关键页复印件或中标通知书复印件，并加盖供应商公章）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16</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17</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18</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bl>
    <w:p>
      <w:pPr>
        <w:widowControl/>
        <w:spacing w:line="360" w:lineRule="auto"/>
        <w:jc w:val="left"/>
        <w:rPr>
          <w:rFonts w:ascii="仿宋" w:hAnsi="仿宋" w:eastAsia="仿宋" w:cs="宋体"/>
          <w:b/>
          <w:kern w:val="0"/>
          <w:sz w:val="24"/>
          <w:szCs w:val="32"/>
        </w:rPr>
      </w:pPr>
      <w:bookmarkStart w:id="173" w:name="_Toc24508"/>
      <w:bookmarkStart w:id="174" w:name="_Toc562"/>
      <w:bookmarkStart w:id="175" w:name="_Toc21936"/>
      <w:bookmarkStart w:id="176" w:name="_Toc11232"/>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bookmarkStart w:id="177" w:name="_Toc18896"/>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73"/>
      <w:bookmarkEnd w:id="174"/>
      <w:bookmarkEnd w:id="175"/>
      <w:bookmarkEnd w:id="176"/>
      <w:bookmarkEnd w:id="177"/>
    </w:p>
    <w:p>
      <w:pPr>
        <w:pStyle w:val="25"/>
        <w:tabs>
          <w:tab w:val="left" w:pos="1050"/>
          <w:tab w:val="center" w:pos="4535"/>
        </w:tabs>
        <w:jc w:val="center"/>
        <w:outlineLvl w:val="0"/>
        <w:rPr>
          <w:b/>
          <w:bCs/>
          <w:szCs w:val="21"/>
        </w:rPr>
      </w:pPr>
      <w:bookmarkStart w:id="178" w:name="_Toc20065"/>
      <w:bookmarkStart w:id="179" w:name="_Toc8481"/>
      <w:bookmarkStart w:id="180" w:name="_Toc11212"/>
      <w:bookmarkStart w:id="181" w:name="_Toc31025"/>
      <w:bookmarkStart w:id="182" w:name="_Toc10771"/>
      <w:bookmarkStart w:id="183" w:name="_Toc31804"/>
      <w:bookmarkStart w:id="184" w:name="_Toc10605"/>
      <w:bookmarkStart w:id="185" w:name="_Toc9683"/>
      <w:bookmarkStart w:id="186" w:name="_Toc29101"/>
      <w:bookmarkStart w:id="187" w:name="_Toc28877"/>
      <w:bookmarkStart w:id="188" w:name="_Toc25102"/>
      <w:bookmarkStart w:id="189" w:name="_Toc24565"/>
      <w:bookmarkStart w:id="190" w:name="_Toc26391"/>
      <w:bookmarkStart w:id="191" w:name="_Toc20169"/>
      <w:r>
        <w:rPr>
          <w:rFonts w:hint="eastAsia"/>
          <w:b/>
          <w:bCs/>
        </w:rPr>
        <w:t>用户需求偏离表</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Start w:id="192" w:name="_Toc6232"/>
      <w:bookmarkStart w:id="193" w:name="_Toc32295"/>
      <w:bookmarkStart w:id="194" w:name="_Toc7019"/>
      <w:bookmarkStart w:id="195" w:name="_Toc15079"/>
      <w:bookmarkStart w:id="196" w:name="_Toc10398"/>
      <w:bookmarkStart w:id="197" w:name="_Toc24550"/>
      <w:bookmarkStart w:id="198" w:name="_Toc24286"/>
    </w:p>
    <w:p>
      <w:pPr>
        <w:spacing w:line="360" w:lineRule="auto"/>
        <w:ind w:firstLine="442" w:firstLineChars="200"/>
        <w:rPr>
          <w:rFonts w:asciiTheme="majorEastAsia" w:hAnsiTheme="majorEastAsia" w:eastAsiaTheme="majorEastAsia"/>
          <w:b/>
          <w:sz w:val="22"/>
        </w:rPr>
      </w:pPr>
      <w:bookmarkStart w:id="199" w:name="_Toc14009"/>
      <w:bookmarkStart w:id="200" w:name="_Toc13551"/>
      <w:bookmarkStart w:id="201" w:name="_Toc31638"/>
      <w:bookmarkStart w:id="202" w:name="_Toc17416"/>
      <w:bookmarkStart w:id="203" w:name="_Toc21905"/>
      <w:bookmarkStart w:id="204" w:name="_Toc1548"/>
      <w:r>
        <w:rPr>
          <w:rFonts w:hint="eastAsia" w:asciiTheme="majorEastAsia" w:hAnsiTheme="majorEastAsia" w:eastAsiaTheme="majorEastAsia"/>
          <w:b/>
          <w:sz w:val="22"/>
        </w:rPr>
        <w:t>一、</w:t>
      </w:r>
      <w:bookmarkEnd w:id="199"/>
      <w:bookmarkEnd w:id="200"/>
      <w:bookmarkEnd w:id="201"/>
      <w:bookmarkEnd w:id="202"/>
      <w:bookmarkEnd w:id="203"/>
      <w:bookmarkEnd w:id="204"/>
      <w:r>
        <w:rPr>
          <w:rFonts w:hint="eastAsia" w:ascii="宋体" w:hAnsi="宋体" w:cs="宋体"/>
          <w:b/>
          <w:color w:val="000000"/>
          <w:sz w:val="24"/>
        </w:rPr>
        <w:t>项目</w:t>
      </w:r>
      <w:r>
        <w:rPr>
          <w:rFonts w:hint="eastAsia" w:ascii="宋体" w:hAnsi="宋体" w:cs="宋体"/>
          <w:b/>
          <w:bCs/>
          <w:color w:val="000000"/>
          <w:sz w:val="24"/>
        </w:rPr>
        <w:t>概况</w:t>
      </w:r>
    </w:p>
    <w:bookmarkEnd w:id="192"/>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bookmarkStart w:id="280" w:name="_GoBack"/>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color w:val="FF0000"/>
                <w:szCs w:val="21"/>
              </w:rPr>
              <w:t>实际</w:t>
            </w:r>
            <w:r>
              <w:rPr>
                <w:rFonts w:hint="eastAsia" w:ascii="宋体" w:hAnsi="宋体" w:cs="宋体"/>
                <w:bCs/>
                <w:color w:val="FF0000"/>
                <w:szCs w:val="21"/>
              </w:rPr>
              <w:t>响应条款内容</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rPr>
          <w:rFonts w:ascii="宋体" w:hAnsi="宋体"/>
          <w:b/>
          <w:bCs/>
          <w:szCs w:val="21"/>
        </w:rPr>
      </w:pPr>
      <w:bookmarkStart w:id="205" w:name="_Toc16131"/>
      <w:bookmarkStart w:id="206" w:name="_Toc15903"/>
      <w:bookmarkStart w:id="207" w:name="_Toc31897"/>
    </w:p>
    <w:p>
      <w:pPr>
        <w:spacing w:line="300" w:lineRule="auto"/>
        <w:ind w:firstLine="663" w:firstLineChars="300"/>
        <w:rPr>
          <w:rFonts w:asciiTheme="majorEastAsia" w:hAnsiTheme="majorEastAsia" w:eastAsiaTheme="majorEastAsia"/>
          <w:b/>
          <w:sz w:val="22"/>
        </w:rPr>
      </w:pPr>
      <w:bookmarkStart w:id="208" w:name="_Toc14718"/>
      <w:bookmarkStart w:id="209" w:name="_Toc28342"/>
      <w:bookmarkStart w:id="210" w:name="_Toc19330"/>
      <w:bookmarkStart w:id="211" w:name="_Toc26114"/>
    </w:p>
    <w:p>
      <w:pPr>
        <w:spacing w:line="300" w:lineRule="auto"/>
        <w:ind w:firstLine="663" w:firstLineChars="300"/>
        <w:outlineLvl w:val="1"/>
        <w:rPr>
          <w:rFonts w:asciiTheme="majorEastAsia" w:hAnsiTheme="majorEastAsia" w:eastAsiaTheme="majorEastAsia"/>
          <w:b/>
          <w:sz w:val="22"/>
        </w:rPr>
      </w:pPr>
      <w:r>
        <w:rPr>
          <w:rFonts w:hint="eastAsia" w:asciiTheme="majorEastAsia" w:hAnsiTheme="majorEastAsia" w:eastAsiaTheme="majorEastAsia"/>
          <w:b/>
          <w:sz w:val="22"/>
        </w:rPr>
        <w:t>二、</w:t>
      </w:r>
      <w:bookmarkEnd w:id="193"/>
      <w:bookmarkEnd w:id="194"/>
      <w:bookmarkEnd w:id="195"/>
      <w:bookmarkEnd w:id="196"/>
      <w:bookmarkEnd w:id="197"/>
      <w:bookmarkEnd w:id="198"/>
      <w:bookmarkEnd w:id="205"/>
      <w:bookmarkEnd w:id="206"/>
      <w:bookmarkEnd w:id="207"/>
      <w:bookmarkEnd w:id="208"/>
      <w:bookmarkEnd w:id="209"/>
      <w:bookmarkEnd w:id="210"/>
      <w:bookmarkEnd w:id="211"/>
      <w:r>
        <w:rPr>
          <w:rFonts w:hint="eastAsia" w:ascii="宋体" w:hAnsi="宋体" w:cs="宋体"/>
          <w:b/>
          <w:bCs/>
          <w:sz w:val="24"/>
        </w:rPr>
        <w:t>污水处理消毒粉剂产品要求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color w:val="FF0000"/>
                <w:szCs w:val="21"/>
              </w:rPr>
              <w:t>实际响应条款内容</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rPr>
          <w:rFonts w:ascii="宋体" w:hAnsi="宋体"/>
          <w:b/>
          <w:bCs/>
          <w:szCs w:val="21"/>
        </w:rPr>
      </w:pPr>
      <w:bookmarkStart w:id="212" w:name="_Toc2277"/>
    </w:p>
    <w:bookmarkEnd w:id="212"/>
    <w:p>
      <w:pPr>
        <w:spacing w:line="300" w:lineRule="auto"/>
        <w:ind w:firstLine="420" w:firstLineChars="200"/>
      </w:pPr>
      <w:r>
        <w:rPr>
          <w:rFonts w:hint="eastAsia"/>
        </w:rPr>
        <w:t xml:space="preserve">  </w:t>
      </w:r>
    </w:p>
    <w:p>
      <w:pPr>
        <w:pStyle w:val="2"/>
        <w:spacing w:line="360" w:lineRule="auto"/>
        <w:ind w:firstLine="442" w:firstLineChars="200"/>
        <w:rPr>
          <w:rFonts w:asciiTheme="majorEastAsia" w:hAnsiTheme="majorEastAsia" w:eastAsiaTheme="majorEastAsia"/>
          <w:b/>
          <w:sz w:val="22"/>
        </w:rPr>
      </w:pPr>
      <w:r>
        <w:rPr>
          <w:rFonts w:hint="eastAsia" w:asciiTheme="majorEastAsia" w:hAnsiTheme="majorEastAsia" w:eastAsiaTheme="majorEastAsia"/>
          <w:b/>
          <w:sz w:val="22"/>
        </w:rPr>
        <w:t xml:space="preserve"> </w:t>
      </w:r>
      <w:r>
        <w:rPr>
          <w:rFonts w:hint="eastAsia" w:ascii="宋体" w:hAnsi="宋体" w:cs="宋体"/>
          <w:b/>
          <w:bCs/>
          <w:sz w:val="24"/>
        </w:rPr>
        <w:t>三、设备管理</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color w:val="FF0000"/>
                <w:szCs w:val="21"/>
              </w:rPr>
              <w:t>实际响应条款内容</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400" w:lineRule="exact"/>
        <w:contextualSpacing/>
        <w:rPr>
          <w:rFonts w:asciiTheme="majorEastAsia" w:hAnsiTheme="majorEastAsia" w:eastAsiaTheme="majorEastAsia"/>
          <w:b/>
          <w:sz w:val="22"/>
        </w:rPr>
      </w:pPr>
    </w:p>
    <w:p>
      <w:pPr>
        <w:spacing w:line="360" w:lineRule="auto"/>
        <w:ind w:firstLine="663" w:firstLineChars="300"/>
        <w:rPr>
          <w:rFonts w:asciiTheme="majorEastAsia" w:hAnsiTheme="majorEastAsia" w:eastAsiaTheme="majorEastAsia"/>
          <w:b/>
          <w:sz w:val="22"/>
        </w:rPr>
      </w:pPr>
      <w:r>
        <w:rPr>
          <w:rFonts w:hint="eastAsia" w:asciiTheme="majorEastAsia" w:hAnsiTheme="majorEastAsia" w:eastAsiaTheme="majorEastAsia"/>
          <w:b/>
          <w:sz w:val="22"/>
        </w:rPr>
        <w:t>四、</w:t>
      </w:r>
      <w:r>
        <w:rPr>
          <w:rFonts w:hint="eastAsia" w:ascii="宋体" w:hAnsi="宋体" w:cs="宋体"/>
          <w:b/>
          <w:bCs/>
          <w:color w:val="000000"/>
          <w:sz w:val="24"/>
        </w:rPr>
        <w:t>付款方式及履约保证金</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color w:val="FF0000"/>
                <w:szCs w:val="21"/>
              </w:rPr>
              <w:t>实际响应条款内容</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632" w:firstLineChars="300"/>
        <w:outlineLvl w:val="1"/>
        <w:rPr>
          <w:rFonts w:ascii="宋体" w:hAnsi="宋体"/>
          <w:b/>
          <w:bCs/>
          <w:szCs w:val="21"/>
        </w:rPr>
      </w:pPr>
      <w:r>
        <w:rPr>
          <w:rFonts w:hint="eastAsia" w:ascii="宋体" w:hAnsi="宋体"/>
          <w:b/>
          <w:bCs/>
          <w:szCs w:val="21"/>
        </w:rPr>
        <w:t xml:space="preserve">  </w:t>
      </w:r>
    </w:p>
    <w:p>
      <w:pPr>
        <w:spacing w:line="300" w:lineRule="auto"/>
        <w:ind w:firstLine="632" w:firstLineChars="300"/>
        <w:outlineLvl w:val="1"/>
        <w:rPr>
          <w:rFonts w:asciiTheme="majorEastAsia" w:hAnsiTheme="majorEastAsia" w:eastAsiaTheme="majorEastAsia"/>
          <w:b/>
          <w:sz w:val="22"/>
        </w:rPr>
      </w:pPr>
      <w:r>
        <w:rPr>
          <w:rFonts w:hint="eastAsia" w:ascii="宋体" w:hAnsi="宋体"/>
          <w:b/>
          <w:bCs/>
          <w:szCs w:val="21"/>
        </w:rPr>
        <w:t xml:space="preserve"> </w:t>
      </w:r>
      <w:r>
        <w:rPr>
          <w:rFonts w:hint="eastAsia" w:asciiTheme="majorEastAsia" w:hAnsiTheme="majorEastAsia" w:eastAsiaTheme="majorEastAsia"/>
          <w:b/>
          <w:sz w:val="22"/>
        </w:rPr>
        <w:t>五、其他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FF0000"/>
                <w:szCs w:val="21"/>
              </w:rPr>
            </w:pPr>
            <w:r>
              <w:rPr>
                <w:rFonts w:hint="eastAsia" w:ascii="宋体" w:hAnsi="宋体" w:cs="宋体"/>
                <w:bCs/>
                <w:color w:val="FF0000"/>
                <w:szCs w:val="21"/>
              </w:rPr>
              <w:t>实际响应条款内容</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3"/>
        <w:sectPr>
          <w:pgSz w:w="11906" w:h="16838"/>
          <w:pgMar w:top="850" w:right="454" w:bottom="850" w:left="454" w:header="851" w:footer="992" w:gutter="0"/>
          <w:cols w:space="720" w:num="1"/>
          <w:docGrid w:linePitch="312" w:charSpace="0"/>
        </w:sectPr>
      </w:pPr>
    </w:p>
    <w:p>
      <w:pPr>
        <w:pStyle w:val="2"/>
        <w:spacing w:line="360" w:lineRule="auto"/>
        <w:ind w:firstLine="602" w:firstLineChars="200"/>
        <w:jc w:val="center"/>
        <w:outlineLvl w:val="0"/>
        <w:rPr>
          <w:rFonts w:ascii="仿宋" w:hAnsi="仿宋" w:eastAsia="仿宋" w:cs="宋体"/>
          <w:b/>
          <w:kern w:val="0"/>
          <w:sz w:val="30"/>
          <w:szCs w:val="30"/>
        </w:rPr>
      </w:pPr>
      <w:bookmarkStart w:id="213" w:name="_Toc31077"/>
      <w:bookmarkStart w:id="214" w:name="_Toc6214"/>
      <w:bookmarkStart w:id="215" w:name="_Toc28851"/>
      <w:bookmarkStart w:id="216" w:name="_Toc21213"/>
      <w:bookmarkStart w:id="217" w:name="_Toc31674"/>
      <w:bookmarkStart w:id="218" w:name="_Toc21561"/>
      <w:r>
        <w:rPr>
          <w:rFonts w:hint="eastAsia" w:ascii="仿宋" w:hAnsi="仿宋" w:eastAsia="仿宋" w:cs="宋体"/>
          <w:b/>
          <w:kern w:val="0"/>
          <w:sz w:val="30"/>
          <w:szCs w:val="30"/>
        </w:rPr>
        <w:t>初始报价单</w:t>
      </w:r>
    </w:p>
    <w:tbl>
      <w:tblPr>
        <w:tblStyle w:val="16"/>
        <w:tblW w:w="10774" w:type="dxa"/>
        <w:tblInd w:w="-321" w:type="dxa"/>
        <w:shd w:val="clear" w:color="auto" w:fill="FFFFFF"/>
        <w:tblLayout w:type="fixed"/>
        <w:tblCellMar>
          <w:top w:w="15" w:type="dxa"/>
          <w:left w:w="15" w:type="dxa"/>
          <w:bottom w:w="15" w:type="dxa"/>
          <w:right w:w="15" w:type="dxa"/>
        </w:tblCellMar>
      </w:tblPr>
      <w:tblGrid>
        <w:gridCol w:w="2411"/>
        <w:gridCol w:w="1230"/>
        <w:gridCol w:w="1688"/>
        <w:gridCol w:w="3744"/>
        <w:gridCol w:w="1701"/>
      </w:tblGrid>
      <w:tr>
        <w:tblPrEx>
          <w:shd w:val="clear" w:color="auto" w:fill="FFFFFF"/>
          <w:tblCellMar>
            <w:top w:w="15" w:type="dxa"/>
            <w:left w:w="15" w:type="dxa"/>
            <w:bottom w:w="15" w:type="dxa"/>
            <w:right w:w="15" w:type="dxa"/>
          </w:tblCellMar>
        </w:tblPrEx>
        <w:trPr>
          <w:trHeight w:val="659" w:hRule="atLeast"/>
        </w:trPr>
        <w:tc>
          <w:tcPr>
            <w:tcW w:w="2411" w:type="dxa"/>
            <w:tcBorders>
              <w:top w:val="single" w:color="auto" w:sz="6" w:space="0"/>
              <w:left w:val="single" w:color="auto" w:sz="6" w:space="0"/>
              <w:bottom w:val="single" w:color="auto" w:sz="4"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项目名称</w:t>
            </w:r>
          </w:p>
        </w:tc>
        <w:tc>
          <w:tcPr>
            <w:tcW w:w="1230" w:type="dxa"/>
            <w:tcBorders>
              <w:top w:val="single" w:color="auto" w:sz="6" w:space="0"/>
              <w:left w:val="nil"/>
              <w:bottom w:val="single" w:color="auto" w:sz="4" w:space="0"/>
              <w:right w:val="single" w:color="auto" w:sz="4" w:space="0"/>
            </w:tcBorders>
            <w:shd w:val="clear" w:color="auto" w:fill="FFFFFF"/>
            <w:tcMar>
              <w:top w:w="0" w:type="dxa"/>
              <w:left w:w="105" w:type="dxa"/>
              <w:bottom w:w="0" w:type="dxa"/>
              <w:right w:w="105" w:type="dxa"/>
            </w:tcMar>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项目内容</w:t>
            </w:r>
          </w:p>
        </w:tc>
        <w:tc>
          <w:tcPr>
            <w:tcW w:w="1688" w:type="dxa"/>
            <w:tcBorders>
              <w:top w:val="single" w:color="auto" w:sz="6" w:space="0"/>
              <w:left w:val="single" w:color="auto" w:sz="4" w:space="0"/>
              <w:bottom w:val="single" w:color="auto" w:sz="4"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center"/>
              <w:rPr>
                <w:rFonts w:hint="eastAsia"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单价</w:t>
            </w:r>
          </w:p>
        </w:tc>
        <w:tc>
          <w:tcPr>
            <w:tcW w:w="3744" w:type="dxa"/>
            <w:tcBorders>
              <w:top w:val="single" w:color="auto" w:sz="6" w:space="0"/>
              <w:left w:val="nil"/>
              <w:bottom w:val="single" w:color="auto" w:sz="4"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lang w:eastAsia="zh-CN"/>
              </w:rPr>
              <w:t>总</w:t>
            </w:r>
            <w:r>
              <w:rPr>
                <w:rFonts w:hint="eastAsia" w:ascii="宋体" w:hAnsi="宋体" w:cs="宋体"/>
                <w:b/>
                <w:bCs/>
                <w:color w:val="auto"/>
                <w:kern w:val="0"/>
                <w:sz w:val="24"/>
                <w:highlight w:val="none"/>
              </w:rPr>
              <w:t>价</w:t>
            </w:r>
          </w:p>
        </w:tc>
        <w:tc>
          <w:tcPr>
            <w:tcW w:w="1701" w:type="dxa"/>
            <w:tcBorders>
              <w:top w:val="single" w:color="auto" w:sz="6" w:space="0"/>
              <w:left w:val="nil"/>
              <w:bottom w:val="single" w:color="auto" w:sz="4" w:space="0"/>
              <w:right w:val="single" w:color="auto" w:sz="6" w:space="0"/>
            </w:tcBorders>
            <w:shd w:val="clear" w:color="auto" w:fill="FFFFFF"/>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CellMar>
            <w:top w:w="15" w:type="dxa"/>
            <w:left w:w="15" w:type="dxa"/>
            <w:bottom w:w="15" w:type="dxa"/>
            <w:right w:w="15" w:type="dxa"/>
          </w:tblCellMar>
        </w:tblPrEx>
        <w:trPr>
          <w:trHeight w:val="1472" w:hRule="atLeast"/>
        </w:trPr>
        <w:tc>
          <w:tcPr>
            <w:tcW w:w="2411" w:type="dxa"/>
            <w:vMerge w:val="restart"/>
            <w:tcBorders>
              <w:top w:val="single" w:color="auto" w:sz="6" w:space="0"/>
              <w:left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center"/>
              <w:rPr>
                <w:rFonts w:ascii="宋体" w:hAnsi="宋体" w:cs="宋体"/>
                <w:b/>
                <w:bCs/>
                <w:color w:val="000000"/>
                <w:kern w:val="0"/>
                <w:sz w:val="24"/>
              </w:rPr>
            </w:pPr>
            <w:r>
              <w:rPr>
                <w:rFonts w:hint="eastAsia" w:ascii="宋体" w:hAnsi="宋体" w:cs="宋体"/>
                <w:color w:val="000000"/>
                <w:kern w:val="0"/>
                <w:sz w:val="24"/>
              </w:rPr>
              <w:t>南方医科大学第五附属医院污水处理消毒粉剂项目</w:t>
            </w:r>
          </w:p>
        </w:tc>
        <w:tc>
          <w:tcPr>
            <w:tcW w:w="1230" w:type="dxa"/>
            <w:tcBorders>
              <w:top w:val="single" w:color="auto" w:sz="6" w:space="0"/>
              <w:left w:val="nil"/>
              <w:bottom w:val="single" w:color="auto" w:sz="4" w:space="0"/>
              <w:right w:val="single" w:color="auto" w:sz="4" w:space="0"/>
            </w:tcBorders>
            <w:shd w:val="clear" w:color="auto" w:fill="FFFFFF"/>
            <w:tcMar>
              <w:top w:w="0" w:type="dxa"/>
              <w:left w:w="105" w:type="dxa"/>
              <w:bottom w:w="0" w:type="dxa"/>
              <w:right w:w="105" w:type="dxa"/>
            </w:tcMar>
            <w:vAlign w:val="center"/>
          </w:tcPr>
          <w:p>
            <w:pPr>
              <w:widowControl/>
              <w:spacing w:line="360" w:lineRule="auto"/>
              <w:jc w:val="center"/>
              <w:rPr>
                <w:rFonts w:ascii="宋体" w:hAnsi="宋体" w:cs="宋体"/>
                <w:b/>
                <w:bCs/>
                <w:color w:val="000000"/>
                <w:kern w:val="0"/>
                <w:sz w:val="24"/>
              </w:rPr>
            </w:pPr>
            <w:r>
              <w:rPr>
                <w:rFonts w:hint="eastAsia" w:ascii="宋体" w:hAnsi="宋体" w:cs="宋体"/>
                <w:color w:val="000000"/>
                <w:kern w:val="0"/>
                <w:sz w:val="24"/>
              </w:rPr>
              <w:t>污水处理消毒粉剂</w:t>
            </w:r>
          </w:p>
        </w:tc>
        <w:tc>
          <w:tcPr>
            <w:tcW w:w="1688" w:type="dxa"/>
            <w:tcBorders>
              <w:top w:val="single" w:color="auto" w:sz="6" w:space="0"/>
              <w:left w:val="single" w:color="auto" w:sz="4" w:space="0"/>
              <w:bottom w:val="single" w:color="auto" w:sz="4"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center"/>
              <w:rPr>
                <w:rFonts w:hint="eastAsia" w:ascii="宋体" w:hAnsi="宋体" w:eastAsia="宋体" w:cs="宋体"/>
                <w:color w:val="auto"/>
                <w:kern w:val="0"/>
                <w:sz w:val="24"/>
                <w:highlight w:val="none"/>
                <w:lang w:eastAsia="zh-CN"/>
              </w:rPr>
            </w:pPr>
            <w:r>
              <w:rPr>
                <w:rFonts w:hint="eastAsia" w:ascii="宋体" w:hAnsi="宋体" w:cs="宋体"/>
                <w:b/>
                <w:bCs/>
                <w:color w:val="auto"/>
                <w:kern w:val="0"/>
                <w:sz w:val="24"/>
                <w:highlight w:val="none"/>
                <w:u w:val="single"/>
                <w:lang w:val="en-US" w:eastAsia="zh-CN"/>
              </w:rPr>
              <w:t xml:space="preserve">     </w:t>
            </w:r>
            <w:r>
              <w:rPr>
                <w:rFonts w:hint="eastAsia" w:ascii="宋体" w:hAnsi="宋体" w:cs="宋体"/>
                <w:b/>
                <w:bCs/>
                <w:color w:val="auto"/>
                <w:kern w:val="0"/>
                <w:sz w:val="24"/>
                <w:highlight w:val="none"/>
                <w:lang w:val="en-US" w:eastAsia="zh-CN"/>
              </w:rPr>
              <w:t>元/公斤</w:t>
            </w:r>
          </w:p>
        </w:tc>
        <w:tc>
          <w:tcPr>
            <w:tcW w:w="3744" w:type="dxa"/>
            <w:tcBorders>
              <w:top w:val="single" w:color="auto" w:sz="6" w:space="0"/>
              <w:left w:val="nil"/>
              <w:bottom w:val="single" w:color="auto" w:sz="4" w:space="0"/>
              <w:right w:val="single" w:color="auto" w:sz="6" w:space="0"/>
            </w:tcBorders>
            <w:shd w:val="clear" w:color="auto" w:fill="FFFFFF"/>
            <w:tcMar>
              <w:top w:w="0" w:type="dxa"/>
              <w:left w:w="105" w:type="dxa"/>
              <w:bottom w:w="0" w:type="dxa"/>
              <w:right w:w="105" w:type="dxa"/>
            </w:tcMar>
            <w:vAlign w:val="center"/>
          </w:tcPr>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小写：</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元/年</w:t>
            </w:r>
          </w:p>
          <w:p>
            <w:pPr>
              <w:widowControl/>
              <w:spacing w:line="360" w:lineRule="auto"/>
              <w:jc w:val="left"/>
              <w:rPr>
                <w:rFonts w:ascii="宋体" w:hAnsi="宋体" w:cs="宋体"/>
                <w:b/>
                <w:bCs/>
                <w:color w:val="auto"/>
                <w:kern w:val="0"/>
                <w:sz w:val="24"/>
                <w:highlight w:val="none"/>
              </w:rPr>
            </w:pPr>
            <w:r>
              <w:rPr>
                <w:rFonts w:hint="eastAsia" w:ascii="宋体" w:hAnsi="宋体" w:cs="宋体"/>
                <w:b/>
                <w:color w:val="auto"/>
                <w:szCs w:val="21"/>
                <w:highlight w:val="none"/>
              </w:rPr>
              <w:t>大写：</w:t>
            </w:r>
          </w:p>
        </w:tc>
        <w:tc>
          <w:tcPr>
            <w:tcW w:w="1701" w:type="dxa"/>
            <w:tcBorders>
              <w:top w:val="single" w:color="auto" w:sz="6" w:space="0"/>
              <w:left w:val="nil"/>
              <w:bottom w:val="single" w:color="auto" w:sz="4" w:space="0"/>
              <w:right w:val="single" w:color="auto" w:sz="6" w:space="0"/>
            </w:tcBorders>
            <w:shd w:val="clear" w:color="auto" w:fill="FFFFFF"/>
          </w:tcPr>
          <w:p>
            <w:pPr>
              <w:adjustRightInd w:val="0"/>
              <w:snapToGrid w:val="0"/>
              <w:spacing w:line="360" w:lineRule="auto"/>
              <w:jc w:val="center"/>
              <w:rPr>
                <w:rFonts w:ascii="宋体" w:hAnsi="宋体" w:cs="宋体"/>
                <w:b/>
                <w:szCs w:val="21"/>
              </w:rPr>
            </w:pPr>
            <w:r>
              <w:rPr>
                <w:rFonts w:hint="eastAsia" w:ascii="宋体" w:hAnsi="宋体" w:cs="宋体"/>
                <w:b/>
                <w:szCs w:val="21"/>
              </w:rPr>
              <w:t>报价报至小数点后两位</w:t>
            </w:r>
          </w:p>
        </w:tc>
      </w:tr>
      <w:tr>
        <w:tblPrEx>
          <w:tblCellMar>
            <w:top w:w="15" w:type="dxa"/>
            <w:left w:w="15" w:type="dxa"/>
            <w:bottom w:w="15" w:type="dxa"/>
            <w:right w:w="15" w:type="dxa"/>
          </w:tblCellMar>
        </w:tblPrEx>
        <w:trPr>
          <w:trHeight w:val="964" w:hRule="atLeast"/>
        </w:trPr>
        <w:tc>
          <w:tcPr>
            <w:tcW w:w="2411"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center"/>
              <w:rPr>
                <w:rFonts w:ascii="宋体" w:hAnsi="宋体" w:cs="宋体"/>
                <w:b/>
                <w:bCs/>
                <w:color w:val="000000"/>
                <w:kern w:val="0"/>
                <w:sz w:val="24"/>
              </w:rPr>
            </w:pPr>
          </w:p>
        </w:tc>
        <w:tc>
          <w:tcPr>
            <w:tcW w:w="2918" w:type="dxa"/>
            <w:gridSpan w:val="2"/>
            <w:tcBorders>
              <w:top w:val="single" w:color="auto" w:sz="6" w:space="0"/>
              <w:left w:val="nil"/>
              <w:bottom w:val="single" w:color="auto" w:sz="4"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center"/>
              <w:rPr>
                <w:rFonts w:ascii="宋体" w:hAnsi="宋体" w:cs="宋体"/>
                <w:b/>
                <w:bCs/>
                <w:color w:val="000000"/>
                <w:kern w:val="0"/>
                <w:sz w:val="24"/>
              </w:rPr>
            </w:pPr>
            <w:r>
              <w:rPr>
                <w:rFonts w:hint="eastAsia" w:ascii="宋体" w:hAnsi="宋体" w:cs="宋体"/>
                <w:color w:val="000000"/>
                <w:kern w:val="0"/>
                <w:sz w:val="24"/>
              </w:rPr>
              <w:t>安全型消毒剂自动溶解投加装置设备3套</w:t>
            </w:r>
          </w:p>
        </w:tc>
        <w:tc>
          <w:tcPr>
            <w:tcW w:w="3744" w:type="dxa"/>
            <w:tcBorders>
              <w:top w:val="single" w:color="auto" w:sz="6" w:space="0"/>
              <w:left w:val="nil"/>
              <w:bottom w:val="single" w:color="auto" w:sz="4"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包含在以上报价中</w:t>
            </w:r>
          </w:p>
        </w:tc>
        <w:tc>
          <w:tcPr>
            <w:tcW w:w="1701" w:type="dxa"/>
            <w:tcBorders>
              <w:top w:val="single" w:color="auto" w:sz="6" w:space="0"/>
              <w:left w:val="nil"/>
              <w:bottom w:val="single" w:color="auto" w:sz="4" w:space="0"/>
              <w:right w:val="single" w:color="auto" w:sz="6" w:space="0"/>
            </w:tcBorders>
            <w:shd w:val="clear" w:color="auto" w:fill="FFFFFF"/>
          </w:tcPr>
          <w:p>
            <w:pPr>
              <w:widowControl/>
              <w:spacing w:line="360" w:lineRule="auto"/>
              <w:jc w:val="center"/>
              <w:rPr>
                <w:rFonts w:ascii="宋体" w:hAnsi="宋体" w:cs="宋体"/>
                <w:b/>
                <w:bCs/>
                <w:color w:val="000000"/>
                <w:kern w:val="0"/>
                <w:sz w:val="24"/>
              </w:rPr>
            </w:pPr>
          </w:p>
        </w:tc>
      </w:tr>
      <w:tr>
        <w:tblPrEx>
          <w:tblCellMar>
            <w:top w:w="15" w:type="dxa"/>
            <w:left w:w="15" w:type="dxa"/>
            <w:bottom w:w="15" w:type="dxa"/>
            <w:right w:w="15" w:type="dxa"/>
          </w:tblCellMar>
        </w:tblPrEx>
        <w:trPr>
          <w:trHeight w:val="1009" w:hRule="atLeast"/>
        </w:trPr>
        <w:tc>
          <w:tcPr>
            <w:tcW w:w="2411" w:type="dxa"/>
            <w:vMerge w:val="continue"/>
            <w:tcBorders>
              <w:left w:val="single" w:color="auto" w:sz="6" w:space="0"/>
              <w:bottom w:val="single" w:color="auto" w:sz="4"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center"/>
              <w:rPr>
                <w:rFonts w:ascii="宋体" w:hAnsi="宋体" w:cs="宋体"/>
                <w:b/>
                <w:bCs/>
                <w:color w:val="000000"/>
                <w:kern w:val="0"/>
                <w:sz w:val="24"/>
              </w:rPr>
            </w:pPr>
          </w:p>
        </w:tc>
        <w:tc>
          <w:tcPr>
            <w:tcW w:w="2918"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总余氯检测仪（配检测试剂）1台</w:t>
            </w:r>
          </w:p>
        </w:tc>
        <w:tc>
          <w:tcPr>
            <w:tcW w:w="3744"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包含在以上报价中</w:t>
            </w:r>
          </w:p>
        </w:tc>
        <w:tc>
          <w:tcPr>
            <w:tcW w:w="1701" w:type="dxa"/>
            <w:tcBorders>
              <w:top w:val="single" w:color="auto" w:sz="6" w:space="0"/>
              <w:left w:val="nil"/>
              <w:bottom w:val="single" w:color="auto" w:sz="6" w:space="0"/>
              <w:right w:val="single" w:color="auto" w:sz="6" w:space="0"/>
            </w:tcBorders>
            <w:shd w:val="clear" w:color="auto" w:fill="FFFFFF"/>
          </w:tcPr>
          <w:p>
            <w:pPr>
              <w:widowControl/>
              <w:spacing w:line="360" w:lineRule="auto"/>
              <w:jc w:val="center"/>
              <w:rPr>
                <w:rFonts w:ascii="宋体" w:hAnsi="宋体" w:cs="宋体"/>
                <w:b/>
                <w:bCs/>
                <w:color w:val="000000"/>
                <w:kern w:val="0"/>
                <w:sz w:val="24"/>
              </w:rPr>
            </w:pPr>
          </w:p>
        </w:tc>
      </w:tr>
    </w:tbl>
    <w:p>
      <w:pPr>
        <w:widowControl/>
        <w:spacing w:line="360" w:lineRule="auto"/>
        <w:jc w:val="left"/>
        <w:rPr>
          <w:rFonts w:ascii="宋体" w:hAnsi="宋体" w:cs="宋体"/>
          <w:b/>
          <w:bCs/>
          <w:color w:val="000000"/>
          <w:kern w:val="0"/>
          <w:sz w:val="24"/>
        </w:rPr>
      </w:pPr>
      <w:r>
        <w:rPr>
          <w:rFonts w:hint="eastAsia" w:ascii="宋体" w:hAnsi="宋体" w:cs="宋体"/>
          <w:b/>
          <w:bCs/>
          <w:color w:val="000000"/>
          <w:kern w:val="0"/>
          <w:sz w:val="24"/>
        </w:rPr>
        <w:t>备注：</w:t>
      </w:r>
    </w:p>
    <w:p>
      <w:pPr>
        <w:pStyle w:val="2"/>
        <w:spacing w:line="360" w:lineRule="auto"/>
        <w:ind w:firstLine="480" w:firstLineChars="200"/>
        <w:rPr>
          <w:rFonts w:ascii="宋体" w:hAnsi="宋体"/>
          <w:sz w:val="24"/>
        </w:rPr>
      </w:pPr>
      <w:r>
        <w:rPr>
          <w:rFonts w:hint="eastAsia" w:ascii="宋体" w:hAnsi="宋体"/>
          <w:sz w:val="24"/>
        </w:rPr>
        <w:t>1.温馨提示（金额大写）</w:t>
      </w:r>
      <w:r>
        <w:rPr>
          <w:rFonts w:hint="eastAsia" w:ascii="宋体" w:hAnsi="宋体"/>
          <w:b/>
          <w:bCs/>
          <w:sz w:val="24"/>
        </w:rPr>
        <w:t>：</w:t>
      </w:r>
      <w:r>
        <w:rPr>
          <w:rFonts w:hint="eastAsia" w:ascii="宋体" w:hAnsi="宋体"/>
          <w:sz w:val="24"/>
        </w:rPr>
        <w:t>壹、贰、叁、肆、伍、陆、柒、捌、玖、拾 、佰、仟、万</w:t>
      </w:r>
    </w:p>
    <w:p>
      <w:pPr>
        <w:spacing w:line="360" w:lineRule="auto"/>
        <w:ind w:firstLine="480" w:firstLineChars="200"/>
        <w:rPr>
          <w:rFonts w:ascii="宋体" w:hAnsi="宋体" w:cs="宋体"/>
          <w:color w:val="000000"/>
          <w:sz w:val="24"/>
        </w:rPr>
      </w:pPr>
      <w:r>
        <w:rPr>
          <w:rFonts w:hint="eastAsia" w:ascii="宋体" w:hAnsi="宋体" w:cs="宋体"/>
          <w:b w:val="0"/>
          <w:bCs w:val="0"/>
          <w:color w:val="000000"/>
          <w:kern w:val="0"/>
          <w:sz w:val="24"/>
          <w:highlight w:val="none"/>
          <w:lang w:val="en-US" w:eastAsia="zh-CN"/>
        </w:rPr>
        <w:t>2.总价按年采购量约2160公斤计算，</w:t>
      </w:r>
      <w:r>
        <w:rPr>
          <w:rFonts w:hint="eastAsia" w:ascii="宋体" w:hAnsi="宋体" w:cs="宋体"/>
          <w:color w:val="000000"/>
          <w:kern w:val="0"/>
          <w:sz w:val="24"/>
          <w:highlight w:val="none"/>
        </w:rPr>
        <w:t>报</w:t>
      </w:r>
      <w:r>
        <w:rPr>
          <w:rFonts w:hint="eastAsia" w:ascii="宋体" w:hAnsi="宋体" w:eastAsia="宋体" w:cs="宋体"/>
          <w:color w:val="000000"/>
          <w:kern w:val="0"/>
          <w:sz w:val="24"/>
          <w:szCs w:val="24"/>
          <w:lang w:val="en-US" w:eastAsia="zh-CN" w:bidi="ar-SA"/>
        </w:rPr>
        <w:t>价包含但不限于确保医院所排污水能完成消毒</w:t>
      </w:r>
      <w:r>
        <w:rPr>
          <w:rFonts w:hint="eastAsia" w:ascii="宋体" w:hAnsi="宋体" w:cs="宋体"/>
          <w:color w:val="000000"/>
          <w:sz w:val="24"/>
        </w:rPr>
        <w:t>处理的所用消毒粉、3套安全型消毒粉剂自动溶解投加装置的设备、1台总余氯检测仪（配检测试剂）、配送、安装、维护保养、运输、材料、调试费、培训、全部税费等一切交付院方使用的全部费用。</w:t>
      </w:r>
    </w:p>
    <w:p>
      <w:pPr>
        <w:pStyle w:val="2"/>
        <w:spacing w:line="360" w:lineRule="auto"/>
        <w:ind w:firstLine="480" w:firstLineChars="200"/>
        <w:rPr>
          <w:rFonts w:ascii="宋体" w:hAnsi="宋体" w:cs="黑体"/>
          <w:b/>
          <w:sz w:val="36"/>
          <w:szCs w:val="36"/>
        </w:rPr>
      </w:pPr>
      <w:r>
        <w:rPr>
          <w:rFonts w:hint="eastAsia" w:ascii="宋体" w:hAnsi="宋体" w:cs="宋体"/>
          <w:color w:val="000000"/>
          <w:kern w:val="0"/>
          <w:sz w:val="24"/>
        </w:rPr>
        <w:t>3.项目实行</w:t>
      </w:r>
      <w:r>
        <w:rPr>
          <w:rFonts w:hint="eastAsia" w:ascii="宋体" w:hAnsi="宋体" w:cs="宋体"/>
          <w:color w:val="000000"/>
          <w:kern w:val="0"/>
          <w:sz w:val="24"/>
          <w:lang w:eastAsia="zh-CN"/>
        </w:rPr>
        <w:t>总价</w:t>
      </w:r>
      <w:r>
        <w:rPr>
          <w:rFonts w:hint="eastAsia" w:ascii="宋体" w:hAnsi="宋体" w:cs="宋体"/>
          <w:color w:val="000000"/>
          <w:kern w:val="0"/>
          <w:sz w:val="24"/>
        </w:rPr>
        <w:t>包干，消毒粉年采购金额不高于公司的年度总报价。</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w:t>
      </w:r>
      <w:bookmarkStart w:id="219" w:name="_Toc22248"/>
      <w:r>
        <w:rPr>
          <w:rFonts w:hint="eastAsia" w:ascii="宋体" w:hAnsi="宋体" w:cs="宋体"/>
          <w:color w:val="000000"/>
          <w:kern w:val="0"/>
          <w:sz w:val="24"/>
        </w:rPr>
        <w:t>其他承诺：</w:t>
      </w:r>
      <w:bookmarkEnd w:id="219"/>
    </w:p>
    <w:p>
      <w:pPr>
        <w:widowControl/>
        <w:spacing w:line="360" w:lineRule="auto"/>
        <w:ind w:firstLine="6720" w:firstLineChars="2800"/>
        <w:jc w:val="left"/>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widowControl/>
        <w:spacing w:line="360" w:lineRule="auto"/>
        <w:ind w:firstLine="3840" w:firstLineChars="1600"/>
        <w:jc w:val="left"/>
        <w:outlineLvl w:val="0"/>
        <w:rPr>
          <w:rFonts w:hint="eastAsia" w:ascii="宋体" w:hAnsi="宋体"/>
          <w:sz w:val="24"/>
        </w:rPr>
      </w:pPr>
      <w:bookmarkStart w:id="220" w:name="_Toc16161"/>
    </w:p>
    <w:p>
      <w:pPr>
        <w:widowControl/>
        <w:spacing w:line="360" w:lineRule="auto"/>
        <w:ind w:firstLine="3840" w:firstLineChars="1600"/>
        <w:jc w:val="left"/>
        <w:outlineLvl w:val="0"/>
        <w:rPr>
          <w:rFonts w:ascii="宋体" w:hAnsi="宋体"/>
          <w:sz w:val="24"/>
        </w:rPr>
      </w:pPr>
      <w:r>
        <w:rPr>
          <w:rFonts w:hint="eastAsia" w:ascii="宋体" w:hAnsi="宋体"/>
          <w:sz w:val="24"/>
        </w:rPr>
        <w:t>公司名称（加盖公章）：</w:t>
      </w:r>
      <w:bookmarkEnd w:id="220"/>
    </w:p>
    <w:p>
      <w:pPr>
        <w:widowControl/>
        <w:spacing w:line="360" w:lineRule="auto"/>
        <w:ind w:firstLine="6000" w:firstLineChars="2500"/>
        <w:jc w:val="left"/>
        <w:outlineLvl w:val="0"/>
        <w:rPr>
          <w:rFonts w:ascii="宋体" w:hAnsi="宋体"/>
          <w:sz w:val="24"/>
        </w:rPr>
      </w:pPr>
      <w:bookmarkStart w:id="221" w:name="_Toc16792"/>
    </w:p>
    <w:p>
      <w:pPr>
        <w:widowControl/>
        <w:spacing w:line="360" w:lineRule="auto"/>
        <w:ind w:firstLine="2640" w:firstLineChars="1100"/>
        <w:jc w:val="left"/>
        <w:outlineLvl w:val="0"/>
        <w:rPr>
          <w:rFonts w:ascii="宋体" w:hAnsi="宋体"/>
          <w:sz w:val="24"/>
        </w:rPr>
      </w:pPr>
      <w:r>
        <w:rPr>
          <w:rFonts w:hint="eastAsia" w:ascii="宋体" w:hAnsi="宋体"/>
          <w:sz w:val="24"/>
        </w:rPr>
        <w:t>供应商法定代表人或授权代表签名：</w:t>
      </w:r>
      <w:bookmarkEnd w:id="221"/>
      <w:r>
        <w:rPr>
          <w:rFonts w:hint="eastAsia" w:ascii="宋体" w:hAnsi="宋体"/>
          <w:sz w:val="24"/>
        </w:rPr>
        <w:t xml:space="preserve">           </w:t>
      </w:r>
    </w:p>
    <w:p>
      <w:pPr>
        <w:widowControl/>
        <w:spacing w:line="360" w:lineRule="auto"/>
        <w:ind w:firstLine="6720" w:firstLineChars="2800"/>
        <w:jc w:val="left"/>
        <w:outlineLvl w:val="0"/>
        <w:rPr>
          <w:rFonts w:ascii="宋体" w:hAnsi="宋体"/>
          <w:sz w:val="24"/>
        </w:rPr>
      </w:pPr>
      <w:bookmarkStart w:id="222" w:name="_Toc17664"/>
    </w:p>
    <w:p>
      <w:pPr>
        <w:widowControl/>
        <w:spacing w:line="360" w:lineRule="auto"/>
        <w:ind w:firstLine="5280" w:firstLineChars="2200"/>
        <w:jc w:val="left"/>
        <w:outlineLvl w:val="0"/>
        <w:rPr>
          <w:rFonts w:hint="eastAsia" w:ascii="宋体" w:hAnsi="宋体"/>
          <w:sz w:val="24"/>
        </w:rPr>
      </w:pPr>
    </w:p>
    <w:p>
      <w:pPr>
        <w:widowControl/>
        <w:spacing w:line="360" w:lineRule="auto"/>
        <w:ind w:firstLine="5280" w:firstLineChars="2200"/>
        <w:jc w:val="left"/>
        <w:outlineLvl w:val="0"/>
        <w:rPr>
          <w:rFonts w:ascii="宋体" w:hAnsi="宋体"/>
          <w:sz w:val="24"/>
        </w:rPr>
      </w:pPr>
      <w:r>
        <w:rPr>
          <w:rFonts w:hint="eastAsia" w:ascii="宋体" w:hAnsi="宋体"/>
          <w:sz w:val="24"/>
        </w:rPr>
        <w:t>日  期：    年    月     日</w:t>
      </w:r>
      <w:bookmarkEnd w:id="222"/>
    </w:p>
    <w:p>
      <w:pPr>
        <w:pStyle w:val="6"/>
        <w:ind w:firstLine="0"/>
        <w:jc w:val="center"/>
        <w:outlineLvl w:val="0"/>
        <w:rPr>
          <w:rFonts w:hint="eastAsia" w:ascii="宋体" w:hAnsi="宋体" w:cs="宋体"/>
          <w:b/>
          <w:bCs/>
          <w:sz w:val="32"/>
          <w:szCs w:val="32"/>
        </w:rPr>
      </w:pPr>
    </w:p>
    <w:p>
      <w:pPr>
        <w:pStyle w:val="25"/>
        <w:tabs>
          <w:tab w:val="left" w:pos="1050"/>
          <w:tab w:val="center" w:pos="4535"/>
        </w:tabs>
        <w:spacing w:line="360" w:lineRule="auto"/>
        <w:jc w:val="center"/>
        <w:outlineLvl w:val="0"/>
        <w:rPr>
          <w:b/>
          <w:bCs/>
          <w:sz w:val="32"/>
          <w:szCs w:val="32"/>
        </w:rPr>
      </w:pPr>
      <w:bookmarkStart w:id="223" w:name="_Toc11748"/>
      <w:r>
        <w:rPr>
          <w:rFonts w:hint="eastAsia"/>
          <w:b/>
          <w:bCs/>
          <w:sz w:val="32"/>
          <w:szCs w:val="32"/>
        </w:rPr>
        <w:t>法定代表人资格证明书</w:t>
      </w:r>
      <w:bookmarkEnd w:id="213"/>
      <w:bookmarkEnd w:id="214"/>
      <w:bookmarkEnd w:id="215"/>
      <w:bookmarkEnd w:id="216"/>
      <w:bookmarkEnd w:id="223"/>
    </w:p>
    <w:p>
      <w:pPr>
        <w:pStyle w:val="25"/>
        <w:spacing w:line="360" w:lineRule="auto"/>
        <w:jc w:val="center"/>
        <w:rPr>
          <w:b/>
          <w:bCs/>
          <w:sz w:val="30"/>
          <w:szCs w:val="30"/>
        </w:rPr>
      </w:pPr>
    </w:p>
    <w:p>
      <w:pPr>
        <w:pStyle w:val="25"/>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5"/>
        <w:spacing w:line="360" w:lineRule="auto"/>
        <w:ind w:firstLine="560"/>
        <w:rPr>
          <w:sz w:val="28"/>
          <w:szCs w:val="28"/>
        </w:rPr>
      </w:pP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5"/>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5"/>
        <w:spacing w:line="360" w:lineRule="auto"/>
        <w:rPr>
          <w:b/>
          <w:bCs/>
          <w:sz w:val="28"/>
          <w:szCs w:val="28"/>
        </w:rPr>
      </w:pPr>
    </w:p>
    <w:p>
      <w:pPr>
        <w:pStyle w:val="25"/>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5"/>
        <w:spacing w:line="360" w:lineRule="auto"/>
        <w:jc w:val="center"/>
        <w:rPr>
          <w:b/>
          <w:bCs/>
          <w:sz w:val="32"/>
          <w:szCs w:val="32"/>
        </w:rPr>
      </w:pPr>
      <w:bookmarkStart w:id="224" w:name="_Toc3758"/>
      <w:bookmarkStart w:id="225" w:name="_Toc18443"/>
      <w:bookmarkStart w:id="226" w:name="_Toc14853"/>
      <w:bookmarkStart w:id="227" w:name="_Toc14020"/>
      <w:bookmarkStart w:id="228" w:name="_Toc28957"/>
      <w:bookmarkStart w:id="229" w:name="_Toc15050"/>
      <w:bookmarkStart w:id="230" w:name="_Toc7276"/>
      <w:bookmarkStart w:id="231" w:name="_Toc14591"/>
      <w:bookmarkStart w:id="232" w:name="_Toc23685"/>
      <w:bookmarkStart w:id="233" w:name="_Toc22175"/>
      <w:bookmarkStart w:id="234" w:name="_Toc3241"/>
    </w:p>
    <w:p>
      <w:pPr>
        <w:pStyle w:val="25"/>
        <w:spacing w:line="360" w:lineRule="auto"/>
        <w:jc w:val="center"/>
        <w:outlineLvl w:val="0"/>
        <w:rPr>
          <w:b/>
          <w:bCs/>
          <w:sz w:val="32"/>
          <w:szCs w:val="32"/>
        </w:rPr>
      </w:pPr>
      <w:bookmarkStart w:id="235" w:name="_Toc11289"/>
      <w:r>
        <w:rPr>
          <w:rFonts w:hint="eastAsia"/>
          <w:b/>
          <w:bCs/>
          <w:sz w:val="32"/>
          <w:szCs w:val="32"/>
        </w:rPr>
        <w:t>法定代表人授权委托书</w:t>
      </w:r>
      <w:bookmarkEnd w:id="224"/>
      <w:bookmarkEnd w:id="225"/>
      <w:bookmarkEnd w:id="226"/>
      <w:bookmarkEnd w:id="227"/>
      <w:bookmarkEnd w:id="228"/>
      <w:bookmarkEnd w:id="229"/>
      <w:bookmarkEnd w:id="230"/>
      <w:bookmarkEnd w:id="231"/>
      <w:bookmarkEnd w:id="232"/>
      <w:bookmarkEnd w:id="233"/>
      <w:bookmarkEnd w:id="234"/>
      <w:bookmarkEnd w:id="235"/>
    </w:p>
    <w:p>
      <w:pPr>
        <w:pStyle w:val="26"/>
        <w:spacing w:line="360" w:lineRule="auto"/>
        <w:jc w:val="left"/>
        <w:rPr>
          <w:b/>
          <w:bCs/>
          <w:sz w:val="28"/>
          <w:szCs w:val="28"/>
        </w:rPr>
      </w:pPr>
      <w:r>
        <w:rPr>
          <w:rFonts w:hint="eastAsia"/>
          <w:b/>
          <w:bCs/>
          <w:sz w:val="28"/>
          <w:szCs w:val="28"/>
        </w:rPr>
        <w:t>本授权书声明：</w:t>
      </w:r>
    </w:p>
    <w:p>
      <w:pPr>
        <w:pStyle w:val="25"/>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南方医科大学第五附属医院 ***项目</w:t>
      </w:r>
      <w:r>
        <w:rPr>
          <w:rFonts w:hint="eastAsia"/>
          <w:sz w:val="28"/>
          <w:szCs w:val="28"/>
        </w:rPr>
        <w:t>院内采购活动中参加</w:t>
      </w:r>
      <w:r>
        <w:rPr>
          <w:rFonts w:hint="eastAsia"/>
          <w:color w:val="0000FF"/>
          <w:sz w:val="28"/>
          <w:szCs w:val="28"/>
        </w:rPr>
        <w:t>谈判</w:t>
      </w:r>
      <w:r>
        <w:rPr>
          <w:rFonts w:hint="eastAsia"/>
          <w:sz w:val="28"/>
          <w:szCs w:val="28"/>
        </w:rPr>
        <w:t>、报价、签订合同等相关事宜。</w:t>
      </w:r>
    </w:p>
    <w:p>
      <w:pPr>
        <w:pStyle w:val="25"/>
        <w:spacing w:line="360" w:lineRule="auto"/>
        <w:ind w:firstLine="560"/>
        <w:rPr>
          <w:sz w:val="28"/>
          <w:szCs w:val="28"/>
        </w:rPr>
      </w:pPr>
      <w:r>
        <w:rPr>
          <w:rFonts w:hint="eastAsia"/>
          <w:sz w:val="28"/>
          <w:szCs w:val="28"/>
        </w:rPr>
        <w:t>本授权书在签字盖章后生效，特此声明。</w:t>
      </w: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5"/>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5"/>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sz w:val="36"/>
          <w:szCs w:val="36"/>
        </w:rPr>
      </w:pPr>
    </w:p>
    <w:p>
      <w:pPr>
        <w:pStyle w:val="25"/>
        <w:tabs>
          <w:tab w:val="left" w:pos="1050"/>
          <w:tab w:val="center" w:pos="4535"/>
        </w:tabs>
        <w:spacing w:line="360" w:lineRule="auto"/>
        <w:jc w:val="center"/>
        <w:rPr>
          <w:b/>
          <w:bCs/>
          <w:sz w:val="32"/>
          <w:szCs w:val="32"/>
        </w:rPr>
      </w:pPr>
    </w:p>
    <w:p>
      <w:pPr>
        <w:pStyle w:val="25"/>
        <w:tabs>
          <w:tab w:val="left" w:pos="1050"/>
          <w:tab w:val="center" w:pos="4535"/>
        </w:tabs>
        <w:spacing w:line="360" w:lineRule="auto"/>
        <w:rPr>
          <w:b/>
          <w:bCs/>
          <w:sz w:val="32"/>
          <w:szCs w:val="32"/>
        </w:rPr>
      </w:pPr>
    </w:p>
    <w:p>
      <w:pPr>
        <w:pStyle w:val="25"/>
        <w:tabs>
          <w:tab w:val="left" w:pos="1050"/>
          <w:tab w:val="center" w:pos="4535"/>
        </w:tabs>
        <w:spacing w:line="360" w:lineRule="auto"/>
        <w:jc w:val="center"/>
        <w:outlineLvl w:val="0"/>
        <w:rPr>
          <w:b/>
          <w:bCs/>
          <w:sz w:val="32"/>
          <w:szCs w:val="32"/>
        </w:rPr>
      </w:pPr>
      <w:bookmarkStart w:id="236" w:name="_Toc10212"/>
      <w:bookmarkStart w:id="237" w:name="_Toc31757"/>
      <w:bookmarkStart w:id="238" w:name="_Toc32281"/>
      <w:r>
        <w:rPr>
          <w:rFonts w:hint="eastAsia"/>
          <w:b/>
          <w:bCs/>
          <w:sz w:val="32"/>
          <w:szCs w:val="32"/>
        </w:rPr>
        <w:t>2019年1月1日以来同类项目经验情况一览表</w:t>
      </w:r>
      <w:bookmarkEnd w:id="217"/>
      <w:bookmarkEnd w:id="218"/>
      <w:bookmarkEnd w:id="236"/>
      <w:bookmarkEnd w:id="237"/>
      <w:bookmarkEnd w:id="238"/>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
        <w:rPr>
          <w:rFonts w:ascii="宋体" w:hAnsi="宋体"/>
          <w:sz w:val="24"/>
        </w:rPr>
      </w:pPr>
    </w:p>
    <w:p>
      <w:pPr>
        <w:pStyle w:val="2"/>
        <w:spacing w:line="360" w:lineRule="auto"/>
        <w:ind w:firstLine="480" w:firstLineChars="200"/>
        <w:outlineLvl w:val="0"/>
        <w:rPr>
          <w:b/>
          <w:bCs/>
          <w:sz w:val="36"/>
          <w:szCs w:val="36"/>
        </w:rPr>
      </w:pPr>
      <w:bookmarkStart w:id="239" w:name="_Toc3109"/>
      <w:bookmarkStart w:id="240" w:name="_Toc6536"/>
      <w:bookmarkStart w:id="241" w:name="_Toc16613"/>
      <w:r>
        <w:rPr>
          <w:rFonts w:hint="eastAsia" w:ascii="宋体" w:hAnsi="宋体"/>
          <w:sz w:val="24"/>
        </w:rPr>
        <w:t>注：2019年至今同类项目的业绩用户名单及证明材料（（需提供合同关键页复印件或中标通知书复印件，并加盖供应商公章）</w:t>
      </w:r>
      <w:bookmarkEnd w:id="239"/>
      <w:bookmarkEnd w:id="240"/>
      <w:bookmarkEnd w:id="241"/>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0" w:type="default"/>
          <w:pgSz w:w="11906" w:h="16838"/>
          <w:pgMar w:top="1440" w:right="1134" w:bottom="1440" w:left="1134" w:header="851" w:footer="992" w:gutter="0"/>
          <w:cols w:space="720" w:num="1"/>
          <w:docGrid w:linePitch="312" w:charSpace="0"/>
        </w:sectPr>
      </w:pPr>
      <w:bookmarkStart w:id="242" w:name="_Toc24877"/>
      <w:bookmarkStart w:id="243" w:name="_Toc40346226"/>
      <w:bookmarkStart w:id="244" w:name="_Toc40346385"/>
      <w:bookmarkStart w:id="245" w:name="_Toc40776119"/>
      <w:bookmarkStart w:id="246" w:name="_Toc20164"/>
      <w:bookmarkStart w:id="247" w:name="_Toc17929"/>
      <w:bookmarkStart w:id="248" w:name="_Toc30558"/>
      <w:bookmarkStart w:id="249" w:name="_Toc23732"/>
      <w:bookmarkStart w:id="250" w:name="_Toc21435"/>
      <w:bookmarkStart w:id="251" w:name="_Toc27180"/>
      <w:bookmarkStart w:id="252" w:name="_Toc16505"/>
      <w:bookmarkStart w:id="253" w:name="_Toc9749"/>
    </w:p>
    <w:bookmarkEnd w:id="242"/>
    <w:bookmarkEnd w:id="243"/>
    <w:bookmarkEnd w:id="244"/>
    <w:bookmarkEnd w:id="245"/>
    <w:bookmarkEnd w:id="246"/>
    <w:bookmarkEnd w:id="247"/>
    <w:bookmarkEnd w:id="248"/>
    <w:bookmarkEnd w:id="249"/>
    <w:bookmarkEnd w:id="250"/>
    <w:bookmarkEnd w:id="251"/>
    <w:bookmarkEnd w:id="252"/>
    <w:bookmarkEnd w:id="253"/>
    <w:p>
      <w:pPr>
        <w:widowControl/>
        <w:spacing w:line="500" w:lineRule="atLeast"/>
        <w:rPr>
          <w:rFonts w:ascii="宋体" w:hAnsi="宋体"/>
          <w:b/>
          <w:spacing w:val="4"/>
          <w:kern w:val="0"/>
          <w:szCs w:val="21"/>
        </w:rPr>
      </w:pPr>
      <w:r>
        <w:rPr>
          <w:rFonts w:hint="eastAsia" w:ascii="仿宋" w:hAnsi="仿宋" w:eastAsia="仿宋" w:cs="宋体"/>
          <w:b/>
          <w:kern w:val="0"/>
          <w:sz w:val="24"/>
          <w:szCs w:val="32"/>
        </w:rPr>
        <w:t>公平竞争承诺书模板</w:t>
      </w:r>
    </w:p>
    <w:p>
      <w:pPr>
        <w:jc w:val="center"/>
        <w:rPr>
          <w:b/>
          <w:sz w:val="32"/>
          <w:szCs w:val="32"/>
        </w:rPr>
      </w:pPr>
    </w:p>
    <w:p>
      <w:pPr>
        <w:pStyle w:val="25"/>
        <w:spacing w:line="360" w:lineRule="auto"/>
        <w:jc w:val="center"/>
        <w:outlineLvl w:val="0"/>
        <w:rPr>
          <w:b/>
          <w:bCs/>
          <w:sz w:val="32"/>
          <w:szCs w:val="32"/>
        </w:rPr>
      </w:pPr>
      <w:bookmarkStart w:id="254" w:name="_Toc2196"/>
      <w:bookmarkStart w:id="255" w:name="_Toc5396"/>
      <w:bookmarkStart w:id="256" w:name="_Toc24705"/>
      <w:bookmarkStart w:id="257" w:name="_Toc17932"/>
      <w:bookmarkStart w:id="258" w:name="_Toc31988"/>
      <w:bookmarkStart w:id="259" w:name="_Toc14321"/>
      <w:bookmarkStart w:id="260" w:name="_Toc1521"/>
      <w:bookmarkStart w:id="261" w:name="_Toc25012"/>
      <w:bookmarkStart w:id="262" w:name="_Toc14093"/>
      <w:bookmarkStart w:id="263" w:name="_Toc27834"/>
      <w:bookmarkStart w:id="264" w:name="_Toc19803"/>
      <w:bookmarkStart w:id="265" w:name="_Toc16816"/>
      <w:r>
        <w:rPr>
          <w:rFonts w:hint="eastAsia"/>
          <w:b/>
          <w:bCs/>
          <w:sz w:val="32"/>
          <w:szCs w:val="32"/>
        </w:rPr>
        <w:t>公平竞争承诺书</w:t>
      </w:r>
      <w:bookmarkEnd w:id="254"/>
      <w:bookmarkEnd w:id="255"/>
      <w:bookmarkEnd w:id="256"/>
      <w:bookmarkEnd w:id="257"/>
      <w:bookmarkEnd w:id="258"/>
      <w:bookmarkEnd w:id="259"/>
      <w:bookmarkEnd w:id="260"/>
      <w:bookmarkEnd w:id="261"/>
      <w:bookmarkEnd w:id="262"/>
      <w:bookmarkEnd w:id="263"/>
      <w:bookmarkEnd w:id="264"/>
      <w:bookmarkEnd w:id="265"/>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本公司郑重承诺：本公司保证所提交的相关资质文件和证明材料的真实性，有良好的历史诚信记录，并将依法参与</w:t>
      </w:r>
      <w:r>
        <w:rPr>
          <w:sz w:val="28"/>
          <w:szCs w:val="28"/>
          <w:u w:val="single"/>
        </w:rPr>
        <w:t xml:space="preserve"> </w:t>
      </w:r>
      <w:r>
        <w:rPr>
          <w:rFonts w:hint="eastAsia"/>
          <w:sz w:val="28"/>
          <w:szCs w:val="28"/>
          <w:u w:val="single"/>
        </w:rPr>
        <w:t xml:space="preserve">      </w:t>
      </w:r>
      <w:r>
        <w:rPr>
          <w:sz w:val="28"/>
          <w:szCs w:val="28"/>
          <w:u w:val="single"/>
        </w:rPr>
        <w:t>项目名称</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项目编号           </w:t>
      </w:r>
      <w:r>
        <w:rPr>
          <w:sz w:val="28"/>
          <w:szCs w:val="28"/>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8"/>
          <w:szCs w:val="28"/>
        </w:rPr>
      </w:pPr>
      <w:r>
        <w:rPr>
          <w:b/>
          <w:sz w:val="24"/>
        </w:rPr>
        <w:t xml:space="preserve">                                                 </w:t>
      </w:r>
      <w:r>
        <w:rPr>
          <w:sz w:val="28"/>
          <w:szCs w:val="28"/>
        </w:rPr>
        <w:t xml:space="preserve"> （公司名称，加盖公章）</w:t>
      </w:r>
    </w:p>
    <w:p>
      <w:pPr>
        <w:spacing w:line="360" w:lineRule="auto"/>
        <w:ind w:firstLine="6720" w:firstLineChars="2400"/>
        <w:rPr>
          <w:sz w:val="28"/>
          <w:szCs w:val="28"/>
        </w:rPr>
      </w:pPr>
      <w:r>
        <w:rPr>
          <w:rFonts w:hint="eastAsia"/>
          <w:sz w:val="28"/>
          <w:szCs w:val="28"/>
        </w:rPr>
        <w:t>日期</w:t>
      </w:r>
      <w:r>
        <w:rPr>
          <w:sz w:val="28"/>
          <w:szCs w:val="28"/>
        </w:rPr>
        <w:t>：  年    月   日</w:t>
      </w: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widowControl/>
        <w:spacing w:line="500" w:lineRule="atLeast"/>
        <w:rPr>
          <w:rFonts w:ascii="仿宋" w:hAnsi="仿宋" w:eastAsia="仿宋" w:cs="宋体"/>
          <w:b/>
          <w:kern w:val="0"/>
          <w:sz w:val="24"/>
          <w:szCs w:val="32"/>
        </w:rPr>
      </w:pPr>
      <w:r>
        <w:rPr>
          <w:rFonts w:hint="eastAsia" w:ascii="仿宋" w:hAnsi="仿宋" w:eastAsia="仿宋" w:cs="宋体"/>
          <w:b/>
          <w:kern w:val="0"/>
          <w:sz w:val="24"/>
          <w:szCs w:val="32"/>
        </w:rPr>
        <w:t>关于资格和响应文件的声明函模板</w:t>
      </w:r>
    </w:p>
    <w:p>
      <w:pPr>
        <w:pStyle w:val="25"/>
        <w:spacing w:line="360" w:lineRule="auto"/>
        <w:jc w:val="center"/>
        <w:outlineLvl w:val="0"/>
        <w:rPr>
          <w:b/>
          <w:bCs/>
          <w:sz w:val="32"/>
          <w:szCs w:val="32"/>
        </w:rPr>
      </w:pPr>
      <w:bookmarkStart w:id="266" w:name="_Toc12567"/>
      <w:bookmarkStart w:id="267" w:name="_Toc9308"/>
      <w:bookmarkStart w:id="268" w:name="_Toc9085"/>
      <w:bookmarkStart w:id="269" w:name="_Toc6773"/>
      <w:bookmarkStart w:id="270" w:name="_Toc4538"/>
      <w:bookmarkStart w:id="271" w:name="_Toc5237"/>
      <w:bookmarkStart w:id="272" w:name="_Toc20949"/>
      <w:bookmarkStart w:id="273" w:name="_Toc9333"/>
      <w:bookmarkStart w:id="274" w:name="_Toc9813"/>
      <w:bookmarkStart w:id="275" w:name="_Toc29986"/>
      <w:bookmarkStart w:id="276" w:name="_Toc22349"/>
      <w:bookmarkStart w:id="277" w:name="_Toc12986"/>
      <w:r>
        <w:rPr>
          <w:rFonts w:hint="eastAsia"/>
          <w:b/>
          <w:bCs/>
          <w:sz w:val="32"/>
          <w:szCs w:val="32"/>
        </w:rPr>
        <w:t>关于资格和响应文件的声明函</w:t>
      </w:r>
      <w:bookmarkEnd w:id="266"/>
      <w:bookmarkEnd w:id="267"/>
      <w:bookmarkEnd w:id="268"/>
      <w:bookmarkEnd w:id="269"/>
      <w:bookmarkEnd w:id="270"/>
      <w:bookmarkEnd w:id="271"/>
      <w:bookmarkEnd w:id="272"/>
      <w:bookmarkEnd w:id="273"/>
      <w:bookmarkEnd w:id="274"/>
      <w:bookmarkEnd w:id="275"/>
      <w:bookmarkEnd w:id="276"/>
      <w:bookmarkEnd w:id="277"/>
    </w:p>
    <w:p>
      <w:pPr>
        <w:spacing w:before="120" w:beforeLines="50" w:line="360" w:lineRule="auto"/>
        <w:rPr>
          <w:rFonts w:ascii="宋体" w:hAnsi="宋体"/>
          <w:sz w:val="24"/>
        </w:rPr>
      </w:pPr>
      <w:r>
        <w:rPr>
          <w:rFonts w:hint="eastAsia" w:ascii="宋体" w:hAnsi="宋体"/>
          <w:sz w:val="24"/>
        </w:rPr>
        <w:t>致：</w:t>
      </w:r>
      <w:r>
        <w:rPr>
          <w:rFonts w:hint="eastAsia" w:ascii="宋体" w:hAnsi="宋体"/>
          <w:sz w:val="24"/>
          <w:u w:val="single"/>
        </w:rPr>
        <w:t>南方医科大学第五附属医院</w:t>
      </w:r>
    </w:p>
    <w:p>
      <w:pPr>
        <w:spacing w:line="360" w:lineRule="auto"/>
        <w:rPr>
          <w:rFonts w:ascii="宋体" w:hAnsi="宋体"/>
          <w:sz w:val="24"/>
        </w:rPr>
      </w:pPr>
      <w:r>
        <w:rPr>
          <w:rFonts w:hint="eastAsia" w:ascii="宋体" w:hAnsi="宋体"/>
          <w:sz w:val="24"/>
        </w:rPr>
        <w:t xml:space="preserve">    关于贵院项目名称:</w:t>
      </w:r>
      <w:r>
        <w:rPr>
          <w:rFonts w:hint="eastAsia" w:ascii="宋体" w:hAnsi="宋体"/>
          <w:sz w:val="24"/>
          <w:u w:val="single"/>
        </w:rPr>
        <w:t xml:space="preserve">          </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）采购邀请，本签字人愿意参加项目响应，提供采购文件中规定的货物、工程及服务，并证明提交的下列文件和说明是准确的和真实的。</w:t>
      </w:r>
    </w:p>
    <w:p>
      <w:pPr>
        <w:autoSpaceDE w:val="0"/>
        <w:autoSpaceDN w:val="0"/>
        <w:adjustRightInd w:val="0"/>
        <w:spacing w:line="360" w:lineRule="auto"/>
        <w:ind w:firstLine="420"/>
        <w:jc w:val="left"/>
        <w:textAlignment w:val="baseline"/>
        <w:rPr>
          <w:rFonts w:ascii="宋体" w:hAnsi="宋体"/>
          <w:sz w:val="24"/>
        </w:rPr>
      </w:pPr>
      <w:r>
        <w:rPr>
          <w:rFonts w:hint="eastAsia" w:ascii="宋体" w:hAnsi="宋体"/>
          <w:sz w:val="24"/>
        </w:rPr>
        <w:t>1.能独立承担民事责任，具有从事本项目的经营范围和能力。（相关证明文件附后）</w:t>
      </w:r>
    </w:p>
    <w:p>
      <w:pPr>
        <w:spacing w:line="360" w:lineRule="auto"/>
        <w:rPr>
          <w:rFonts w:ascii="宋体" w:hAnsi="宋体"/>
          <w:sz w:val="24"/>
        </w:rPr>
      </w:pPr>
    </w:p>
    <w:p>
      <w:pPr>
        <w:spacing w:line="360" w:lineRule="auto"/>
        <w:ind w:firstLine="420"/>
        <w:rPr>
          <w:rFonts w:ascii="宋体" w:hAnsi="宋体"/>
          <w:sz w:val="24"/>
        </w:rPr>
      </w:pPr>
      <w:r>
        <w:rPr>
          <w:rFonts w:hint="eastAsia" w:ascii="宋体" w:hAnsi="宋体"/>
          <w:sz w:val="24"/>
        </w:rPr>
        <w:t>2.本单位最近三年企业及其法定代表人未被人民法院列入“失信被执行人名单”。（提供“信用中国”网站或全国法院被执行人信息查询的网页截图）</w:t>
      </w:r>
    </w:p>
    <w:p>
      <w:pPr>
        <w:spacing w:line="360" w:lineRule="auto"/>
        <w:ind w:firstLine="420"/>
        <w:rPr>
          <w:rFonts w:ascii="宋体" w:hAnsi="宋体"/>
          <w:sz w:val="24"/>
        </w:rPr>
      </w:pPr>
    </w:p>
    <w:p>
      <w:pPr>
        <w:spacing w:line="360" w:lineRule="auto"/>
        <w:ind w:firstLine="420"/>
        <w:rPr>
          <w:rFonts w:ascii="宋体" w:hAnsi="宋体"/>
          <w:sz w:val="24"/>
        </w:rPr>
      </w:pPr>
      <w:r>
        <w:rPr>
          <w:rFonts w:hint="eastAsia" w:ascii="宋体" w:hAnsi="宋体"/>
          <w:sz w:val="24"/>
        </w:rPr>
        <w:t>3.本单位保证全部响应文件和问题的回答是真实和有效的，并对所提供资料的真实性负责。</w:t>
      </w:r>
    </w:p>
    <w:p>
      <w:pPr>
        <w:adjustRightInd w:val="0"/>
        <w:snapToGrid w:val="0"/>
        <w:spacing w:line="360" w:lineRule="auto"/>
        <w:rPr>
          <w:rFonts w:ascii="宋体" w:hAnsi="宋体"/>
          <w:sz w:val="24"/>
        </w:rPr>
      </w:pPr>
    </w:p>
    <w:p>
      <w:pPr>
        <w:adjustRightInd w:val="0"/>
        <w:snapToGrid w:val="0"/>
        <w:spacing w:line="360" w:lineRule="auto"/>
        <w:ind w:firstLine="420"/>
        <w:rPr>
          <w:rFonts w:ascii="宋体" w:hAnsi="宋体"/>
          <w:sz w:val="24"/>
        </w:rPr>
      </w:pPr>
      <w:r>
        <w:rPr>
          <w:rFonts w:hint="eastAsia" w:ascii="宋体" w:hAnsi="宋体"/>
          <w:sz w:val="24"/>
        </w:rPr>
        <w:t>法定代表人/负责人（或法定代表人/负责人授权代表）签字：</w:t>
      </w:r>
      <w:r>
        <w:rPr>
          <w:rFonts w:hint="eastAsia" w:ascii="宋体" w:hAnsi="宋体"/>
          <w:sz w:val="24"/>
          <w:u w:val="single"/>
        </w:rPr>
        <w:t xml:space="preserve">                   </w:t>
      </w:r>
    </w:p>
    <w:p>
      <w:pPr>
        <w:adjustRightInd w:val="0"/>
        <w:snapToGrid w:val="0"/>
        <w:spacing w:line="360" w:lineRule="auto"/>
        <w:ind w:firstLine="420"/>
        <w:rPr>
          <w:rFonts w:ascii="宋体" w:hAnsi="宋体"/>
          <w:sz w:val="24"/>
          <w:u w:val="single"/>
        </w:rPr>
      </w:pPr>
      <w:r>
        <w:rPr>
          <w:rFonts w:hint="eastAsia" w:ascii="宋体" w:hAnsi="宋体"/>
          <w:sz w:val="24"/>
        </w:rPr>
        <w:t>供应商名称（加盖公章）：</w:t>
      </w:r>
      <w:r>
        <w:rPr>
          <w:rFonts w:hint="eastAsia" w:ascii="宋体" w:hAnsi="宋体"/>
          <w:sz w:val="24"/>
          <w:u w:val="single"/>
        </w:rPr>
        <w:t xml:space="preserve">                        </w:t>
      </w:r>
    </w:p>
    <w:p>
      <w:pPr>
        <w:adjustRightInd w:val="0"/>
        <w:snapToGrid w:val="0"/>
        <w:spacing w:line="360" w:lineRule="auto"/>
        <w:ind w:firstLine="42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 月</w:t>
      </w:r>
      <w:r>
        <w:rPr>
          <w:rFonts w:hint="eastAsia" w:ascii="宋体" w:hAnsi="宋体"/>
          <w:sz w:val="24"/>
          <w:u w:val="single"/>
        </w:rPr>
        <w:t xml:space="preserve">    </w:t>
      </w:r>
      <w:r>
        <w:rPr>
          <w:rFonts w:hint="eastAsia" w:ascii="宋体" w:hAnsi="宋体"/>
          <w:sz w:val="24"/>
        </w:rPr>
        <w:t xml:space="preserve"> 日</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3"/>
        <w:jc w:val="center"/>
      </w:pPr>
    </w:p>
    <w:p/>
    <w:p>
      <w:pPr>
        <w:pStyle w:val="3"/>
      </w:pPr>
    </w:p>
    <w:p/>
    <w:p>
      <w:pPr>
        <w:pStyle w:val="4"/>
        <w:numPr>
          <w:ilvl w:val="0"/>
          <w:numId w:val="2"/>
        </w:numPr>
        <w:jc w:val="center"/>
        <w:rPr>
          <w:rFonts w:ascii="宋体" w:hAnsi="宋体" w:eastAsia="宋体"/>
          <w:sz w:val="40"/>
        </w:rPr>
      </w:pPr>
      <w:r>
        <w:rPr>
          <w:rFonts w:hint="eastAsia" w:ascii="宋体" w:hAnsi="宋体" w:eastAsia="宋体"/>
          <w:sz w:val="40"/>
        </w:rPr>
        <w:t xml:space="preserve"> </w:t>
      </w:r>
      <w:bookmarkStart w:id="278" w:name="_Toc17933"/>
      <w:bookmarkStart w:id="279" w:name="_Toc26773"/>
      <w:r>
        <w:rPr>
          <w:rFonts w:hint="eastAsia" w:ascii="宋体" w:hAnsi="宋体" w:eastAsia="宋体"/>
          <w:sz w:val="40"/>
        </w:rPr>
        <w:t>合同模板</w:t>
      </w:r>
      <w:bookmarkEnd w:id="278"/>
      <w:r>
        <w:rPr>
          <w:rFonts w:hint="eastAsia" w:ascii="宋体" w:hAnsi="宋体" w:eastAsia="宋体"/>
          <w:sz w:val="40"/>
        </w:rPr>
        <w:t>（报名成功后获得）</w:t>
      </w:r>
      <w:bookmarkEnd w:id="279"/>
    </w:p>
    <w:p/>
    <w:p>
      <w:pPr>
        <w:pStyle w:val="2"/>
      </w:pPr>
    </w:p>
    <w:p>
      <w:pPr>
        <w:pStyle w:val="2"/>
      </w:pPr>
    </w:p>
    <w:p>
      <w:pPr>
        <w:pStyle w:val="2"/>
      </w:pPr>
    </w:p>
    <w:p>
      <w:pPr>
        <w:pStyle w:val="2"/>
      </w:pPr>
    </w:p>
    <w:p>
      <w:pPr>
        <w:pStyle w:val="2"/>
      </w:pPr>
    </w:p>
    <w:p>
      <w:pPr>
        <w:pStyle w:val="22"/>
        <w:spacing w:line="288" w:lineRule="auto"/>
        <w:rPr>
          <w:rFonts w:ascii="宋体" w:hAnsi="宋体" w:cs="宋体"/>
          <w:szCs w:val="21"/>
        </w:rPr>
      </w:pPr>
    </w:p>
    <w:p>
      <w:pPr>
        <w:rPr>
          <w:rFonts w:hAnsi="宋体" w:cs="宋体"/>
        </w:rPr>
      </w:pPr>
    </w:p>
    <w:p>
      <w:pPr>
        <w:pStyle w:val="14"/>
        <w:ind w:left="0" w:leftChars="0"/>
      </w:pPr>
    </w:p>
    <w:p>
      <w:pPr>
        <w:pStyle w:val="14"/>
        <w:ind w:left="0" w:leftChars="0"/>
      </w:pPr>
    </w:p>
    <w:p>
      <w:pPr>
        <w:pStyle w:val="14"/>
        <w:ind w:left="0" w:leftChars="0"/>
      </w:pPr>
    </w:p>
    <w:p>
      <w:pPr>
        <w:pStyle w:val="14"/>
        <w:ind w:left="0" w:leftChars="0"/>
      </w:pPr>
    </w:p>
    <w:p>
      <w:pPr>
        <w:pStyle w:val="14"/>
        <w:ind w:left="0" w:leftChars="0"/>
      </w:pPr>
    </w:p>
    <w:p>
      <w:pPr>
        <w:pStyle w:val="14"/>
        <w:ind w:left="0" w:leftChars="0"/>
      </w:pPr>
    </w:p>
    <w:p>
      <w:pPr>
        <w:pStyle w:val="14"/>
        <w:ind w:left="0" w:leftChars="0"/>
      </w:pPr>
    </w:p>
    <w:p>
      <w:pPr>
        <w:jc w:val="left"/>
        <w:rPr>
          <w:rFonts w:hAnsi="宋体"/>
          <w:b/>
          <w:bCs/>
        </w:rPr>
      </w:pPr>
    </w:p>
    <w:p>
      <w:pPr>
        <w:jc w:val="left"/>
        <w:rPr>
          <w:rFonts w:hAnsi="宋体"/>
          <w:b/>
          <w:bCs/>
        </w:rPr>
      </w:pPr>
    </w:p>
    <w:p>
      <w:pPr>
        <w:jc w:val="left"/>
        <w:rPr>
          <w:rFonts w:hAnsi="宋体"/>
          <w:b/>
          <w:bCs/>
        </w:rPr>
      </w:pPr>
    </w:p>
    <w:p>
      <w:pPr>
        <w:jc w:val="left"/>
        <w:rPr>
          <w:rFonts w:hAnsi="宋体"/>
          <w:b/>
          <w:bCs/>
        </w:rPr>
      </w:pPr>
    </w:p>
    <w:p>
      <w:pPr>
        <w:pStyle w:val="2"/>
      </w:pPr>
    </w:p>
    <w:sectPr>
      <w:headerReference r:id="rId11" w:type="default"/>
      <w:footerReference r:id="rId12"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6</w:t>
                          </w:r>
                          <w:r>
                            <w:fldChar w:fldCharType="end"/>
                          </w:r>
                          <w:r>
                            <w:t xml:space="preserve"> 页 共</w:t>
                          </w:r>
                          <w:r>
                            <w:rPr>
                              <w:rFonts w:hint="eastAsia"/>
                            </w:rPr>
                            <w:t>18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6</w:t>
                    </w:r>
                    <w:r>
                      <w:fldChar w:fldCharType="end"/>
                    </w:r>
                    <w:r>
                      <w:t xml:space="preserve"> 页 共</w:t>
                    </w:r>
                    <w:r>
                      <w:rPr>
                        <w:rFonts w:hint="eastAsia"/>
                      </w:rPr>
                      <w:t>18</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12</w:t>
                          </w:r>
                          <w:r>
                            <w:fldChar w:fldCharType="end"/>
                          </w:r>
                          <w:r>
                            <w:t xml:space="preserve"> 页 共 </w:t>
                          </w:r>
                          <w:r>
                            <w:rPr>
                              <w:rFonts w:hint="eastAsia"/>
                            </w:rPr>
                            <w:t>18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12</w:t>
                    </w:r>
                    <w:r>
                      <w:fldChar w:fldCharType="end"/>
                    </w:r>
                    <w:r>
                      <w:t xml:space="preserve"> 页 共 </w:t>
                    </w:r>
                    <w:r>
                      <w:rPr>
                        <w:rFonts w:hint="eastAsia"/>
                      </w:rPr>
                      <w:t>18</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rPr>
                            <w:t>18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rPr>
                      <w:t>18</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E5064"/>
    <w:rsid w:val="000F05AB"/>
    <w:rsid w:val="000F1EB0"/>
    <w:rsid w:val="00110D15"/>
    <w:rsid w:val="00120B10"/>
    <w:rsid w:val="001259C2"/>
    <w:rsid w:val="001539DE"/>
    <w:rsid w:val="00165A7F"/>
    <w:rsid w:val="00180931"/>
    <w:rsid w:val="001A5715"/>
    <w:rsid w:val="001B3325"/>
    <w:rsid w:val="001E7D42"/>
    <w:rsid w:val="001F7D9D"/>
    <w:rsid w:val="002071C6"/>
    <w:rsid w:val="002128DC"/>
    <w:rsid w:val="0023790F"/>
    <w:rsid w:val="00243C3C"/>
    <w:rsid w:val="00265A24"/>
    <w:rsid w:val="002736DC"/>
    <w:rsid w:val="0028517E"/>
    <w:rsid w:val="00286969"/>
    <w:rsid w:val="00295B31"/>
    <w:rsid w:val="002A6CEE"/>
    <w:rsid w:val="002B4AD3"/>
    <w:rsid w:val="002C3CEE"/>
    <w:rsid w:val="002D4A7A"/>
    <w:rsid w:val="002F2EAD"/>
    <w:rsid w:val="0031072A"/>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01C4"/>
    <w:rsid w:val="00491ADB"/>
    <w:rsid w:val="00494D92"/>
    <w:rsid w:val="00497350"/>
    <w:rsid w:val="004A374B"/>
    <w:rsid w:val="004C012D"/>
    <w:rsid w:val="004D1195"/>
    <w:rsid w:val="004E2C9D"/>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6751D"/>
    <w:rsid w:val="007863B1"/>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D3A9E"/>
    <w:rsid w:val="008F2853"/>
    <w:rsid w:val="0090067A"/>
    <w:rsid w:val="009069D3"/>
    <w:rsid w:val="00906BCB"/>
    <w:rsid w:val="00906FB9"/>
    <w:rsid w:val="009162AB"/>
    <w:rsid w:val="0091728D"/>
    <w:rsid w:val="0092250D"/>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4569F"/>
    <w:rsid w:val="00A671B5"/>
    <w:rsid w:val="00A70330"/>
    <w:rsid w:val="00A73785"/>
    <w:rsid w:val="00AC4C90"/>
    <w:rsid w:val="00AC574D"/>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C3A12"/>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0B7"/>
    <w:rsid w:val="00EB731A"/>
    <w:rsid w:val="00EC444E"/>
    <w:rsid w:val="00EC774C"/>
    <w:rsid w:val="00ED63A0"/>
    <w:rsid w:val="00EE1612"/>
    <w:rsid w:val="00EF50DB"/>
    <w:rsid w:val="00F146CF"/>
    <w:rsid w:val="00F14E2C"/>
    <w:rsid w:val="00F21ECB"/>
    <w:rsid w:val="00F229BC"/>
    <w:rsid w:val="00F26779"/>
    <w:rsid w:val="00F33A31"/>
    <w:rsid w:val="00F35186"/>
    <w:rsid w:val="00F35E93"/>
    <w:rsid w:val="00F375C0"/>
    <w:rsid w:val="00F421D7"/>
    <w:rsid w:val="00F44EEF"/>
    <w:rsid w:val="00F53078"/>
    <w:rsid w:val="00F60284"/>
    <w:rsid w:val="00F63149"/>
    <w:rsid w:val="00F7528E"/>
    <w:rsid w:val="00F86E2B"/>
    <w:rsid w:val="00F870B6"/>
    <w:rsid w:val="00FA3158"/>
    <w:rsid w:val="00FB37B4"/>
    <w:rsid w:val="00FB4E2C"/>
    <w:rsid w:val="00FC406A"/>
    <w:rsid w:val="00FD0E67"/>
    <w:rsid w:val="0141572E"/>
    <w:rsid w:val="01AE423C"/>
    <w:rsid w:val="031C04E2"/>
    <w:rsid w:val="034404CF"/>
    <w:rsid w:val="035A45AA"/>
    <w:rsid w:val="039B179B"/>
    <w:rsid w:val="04151569"/>
    <w:rsid w:val="04E57AC0"/>
    <w:rsid w:val="04EE7118"/>
    <w:rsid w:val="054E169D"/>
    <w:rsid w:val="05907E7A"/>
    <w:rsid w:val="066F5ED2"/>
    <w:rsid w:val="06AE4634"/>
    <w:rsid w:val="07862043"/>
    <w:rsid w:val="079C2FAC"/>
    <w:rsid w:val="07ED2710"/>
    <w:rsid w:val="07ED5D2D"/>
    <w:rsid w:val="08324070"/>
    <w:rsid w:val="08820479"/>
    <w:rsid w:val="08A76D63"/>
    <w:rsid w:val="0A9C5E28"/>
    <w:rsid w:val="0AA45825"/>
    <w:rsid w:val="0BCD2048"/>
    <w:rsid w:val="0C1C35A2"/>
    <w:rsid w:val="0C705246"/>
    <w:rsid w:val="0CAB5273"/>
    <w:rsid w:val="0CAD27D4"/>
    <w:rsid w:val="0D1F6A7A"/>
    <w:rsid w:val="0E970697"/>
    <w:rsid w:val="0ED05230"/>
    <w:rsid w:val="0EE9378D"/>
    <w:rsid w:val="0F2B5904"/>
    <w:rsid w:val="0FE135AF"/>
    <w:rsid w:val="11B73ED3"/>
    <w:rsid w:val="11D50B53"/>
    <w:rsid w:val="12795449"/>
    <w:rsid w:val="12EB2AD0"/>
    <w:rsid w:val="136354E7"/>
    <w:rsid w:val="14331D3D"/>
    <w:rsid w:val="14D65B6A"/>
    <w:rsid w:val="14DF7EC1"/>
    <w:rsid w:val="15325191"/>
    <w:rsid w:val="158C2B6D"/>
    <w:rsid w:val="15D22F3B"/>
    <w:rsid w:val="16133E5E"/>
    <w:rsid w:val="164C7363"/>
    <w:rsid w:val="17087F4C"/>
    <w:rsid w:val="17562ADF"/>
    <w:rsid w:val="1806622E"/>
    <w:rsid w:val="18686D72"/>
    <w:rsid w:val="18714DB4"/>
    <w:rsid w:val="18DE6649"/>
    <w:rsid w:val="19A1106F"/>
    <w:rsid w:val="1A812401"/>
    <w:rsid w:val="1AF93CE3"/>
    <w:rsid w:val="1B977D90"/>
    <w:rsid w:val="1CAC7FE6"/>
    <w:rsid w:val="1DE30DB3"/>
    <w:rsid w:val="1E3A343F"/>
    <w:rsid w:val="1E4F22B0"/>
    <w:rsid w:val="1F187406"/>
    <w:rsid w:val="20995391"/>
    <w:rsid w:val="20B81B4B"/>
    <w:rsid w:val="21282075"/>
    <w:rsid w:val="21CF3215"/>
    <w:rsid w:val="21D627A8"/>
    <w:rsid w:val="21ED0552"/>
    <w:rsid w:val="22A53EBB"/>
    <w:rsid w:val="22F85FBE"/>
    <w:rsid w:val="22FB2B87"/>
    <w:rsid w:val="25394189"/>
    <w:rsid w:val="255D353C"/>
    <w:rsid w:val="25673FA5"/>
    <w:rsid w:val="262F2952"/>
    <w:rsid w:val="26B825AC"/>
    <w:rsid w:val="26C20E41"/>
    <w:rsid w:val="26F058DC"/>
    <w:rsid w:val="272975C1"/>
    <w:rsid w:val="274618E3"/>
    <w:rsid w:val="27715F5E"/>
    <w:rsid w:val="27E21FC8"/>
    <w:rsid w:val="28084236"/>
    <w:rsid w:val="282633A8"/>
    <w:rsid w:val="28716EFA"/>
    <w:rsid w:val="2886681A"/>
    <w:rsid w:val="28EF5E90"/>
    <w:rsid w:val="298D7034"/>
    <w:rsid w:val="2A241B69"/>
    <w:rsid w:val="2A5A3840"/>
    <w:rsid w:val="2A8A0209"/>
    <w:rsid w:val="2B4D5653"/>
    <w:rsid w:val="2B694EC9"/>
    <w:rsid w:val="2BD8709E"/>
    <w:rsid w:val="2BE11C14"/>
    <w:rsid w:val="2C1134D3"/>
    <w:rsid w:val="2C695F59"/>
    <w:rsid w:val="2C901C6B"/>
    <w:rsid w:val="2D07550B"/>
    <w:rsid w:val="2DA7679B"/>
    <w:rsid w:val="2FB56247"/>
    <w:rsid w:val="2FD823C2"/>
    <w:rsid w:val="2FD82C2E"/>
    <w:rsid w:val="311010E0"/>
    <w:rsid w:val="31120C66"/>
    <w:rsid w:val="31EA386E"/>
    <w:rsid w:val="370B587C"/>
    <w:rsid w:val="377A2F71"/>
    <w:rsid w:val="37874A84"/>
    <w:rsid w:val="380B2F5F"/>
    <w:rsid w:val="39C73E26"/>
    <w:rsid w:val="39D13924"/>
    <w:rsid w:val="3AE97DE8"/>
    <w:rsid w:val="3C4552F5"/>
    <w:rsid w:val="3C683C2C"/>
    <w:rsid w:val="3C943841"/>
    <w:rsid w:val="3CF94A44"/>
    <w:rsid w:val="3D6A0B18"/>
    <w:rsid w:val="3DBE51F4"/>
    <w:rsid w:val="3E1B0554"/>
    <w:rsid w:val="3EBA1C45"/>
    <w:rsid w:val="3F8955E2"/>
    <w:rsid w:val="3FF52FF7"/>
    <w:rsid w:val="40065B1F"/>
    <w:rsid w:val="41610F9C"/>
    <w:rsid w:val="416135FA"/>
    <w:rsid w:val="41B60C35"/>
    <w:rsid w:val="41CD076A"/>
    <w:rsid w:val="41F75317"/>
    <w:rsid w:val="42A321BA"/>
    <w:rsid w:val="42AF6223"/>
    <w:rsid w:val="435B5C8B"/>
    <w:rsid w:val="437A6A31"/>
    <w:rsid w:val="43F75E12"/>
    <w:rsid w:val="44062D00"/>
    <w:rsid w:val="44546201"/>
    <w:rsid w:val="44581F51"/>
    <w:rsid w:val="449832F3"/>
    <w:rsid w:val="451E6F60"/>
    <w:rsid w:val="45244DEA"/>
    <w:rsid w:val="46D069DB"/>
    <w:rsid w:val="485129D4"/>
    <w:rsid w:val="48DD66D7"/>
    <w:rsid w:val="48F44CB0"/>
    <w:rsid w:val="49040430"/>
    <w:rsid w:val="49054F84"/>
    <w:rsid w:val="49386EF2"/>
    <w:rsid w:val="4A3B6FBA"/>
    <w:rsid w:val="4A950DCF"/>
    <w:rsid w:val="4B996960"/>
    <w:rsid w:val="4C981BA5"/>
    <w:rsid w:val="4CAF6F6C"/>
    <w:rsid w:val="4CED0E45"/>
    <w:rsid w:val="4D72553A"/>
    <w:rsid w:val="4DDF729F"/>
    <w:rsid w:val="4E011820"/>
    <w:rsid w:val="4E2D698F"/>
    <w:rsid w:val="4E4C452A"/>
    <w:rsid w:val="4E573517"/>
    <w:rsid w:val="4E5E5E11"/>
    <w:rsid w:val="4E98699E"/>
    <w:rsid w:val="4ED23FAB"/>
    <w:rsid w:val="4FD47370"/>
    <w:rsid w:val="50C82D96"/>
    <w:rsid w:val="50FC2A30"/>
    <w:rsid w:val="51403B6E"/>
    <w:rsid w:val="514C42EA"/>
    <w:rsid w:val="51A73BDA"/>
    <w:rsid w:val="51C106FB"/>
    <w:rsid w:val="52726854"/>
    <w:rsid w:val="538E410D"/>
    <w:rsid w:val="53A776AF"/>
    <w:rsid w:val="543201E9"/>
    <w:rsid w:val="55D55D03"/>
    <w:rsid w:val="56187F25"/>
    <w:rsid w:val="5623033B"/>
    <w:rsid w:val="56553C8D"/>
    <w:rsid w:val="5658445F"/>
    <w:rsid w:val="568F6108"/>
    <w:rsid w:val="579161E1"/>
    <w:rsid w:val="584A1AA0"/>
    <w:rsid w:val="5851284C"/>
    <w:rsid w:val="58D76A1B"/>
    <w:rsid w:val="5A4B59E1"/>
    <w:rsid w:val="5A6E3589"/>
    <w:rsid w:val="5A9814EF"/>
    <w:rsid w:val="5B245060"/>
    <w:rsid w:val="5B636FF9"/>
    <w:rsid w:val="5C8E6CC1"/>
    <w:rsid w:val="5CD4150B"/>
    <w:rsid w:val="5D453D32"/>
    <w:rsid w:val="5D6F1865"/>
    <w:rsid w:val="5D8E3A90"/>
    <w:rsid w:val="5E51722A"/>
    <w:rsid w:val="5ED21E8E"/>
    <w:rsid w:val="5ED7519A"/>
    <w:rsid w:val="5F0B7BE8"/>
    <w:rsid w:val="5F7243E2"/>
    <w:rsid w:val="60423FDD"/>
    <w:rsid w:val="60636240"/>
    <w:rsid w:val="61306A6A"/>
    <w:rsid w:val="61316A01"/>
    <w:rsid w:val="614B10EF"/>
    <w:rsid w:val="62FC7815"/>
    <w:rsid w:val="63245135"/>
    <w:rsid w:val="635941B3"/>
    <w:rsid w:val="63D27641"/>
    <w:rsid w:val="63F51BA2"/>
    <w:rsid w:val="64C02086"/>
    <w:rsid w:val="65877B96"/>
    <w:rsid w:val="658925AF"/>
    <w:rsid w:val="65FF5657"/>
    <w:rsid w:val="66845C96"/>
    <w:rsid w:val="673451CA"/>
    <w:rsid w:val="6772399F"/>
    <w:rsid w:val="6780006F"/>
    <w:rsid w:val="684D2239"/>
    <w:rsid w:val="684D2719"/>
    <w:rsid w:val="689C77C3"/>
    <w:rsid w:val="68B72DD1"/>
    <w:rsid w:val="69456BAE"/>
    <w:rsid w:val="69937510"/>
    <w:rsid w:val="6A274C05"/>
    <w:rsid w:val="6B1B462D"/>
    <w:rsid w:val="6B3D662F"/>
    <w:rsid w:val="6C341109"/>
    <w:rsid w:val="6D971A88"/>
    <w:rsid w:val="6DA25BA6"/>
    <w:rsid w:val="6EB208F1"/>
    <w:rsid w:val="6F32730A"/>
    <w:rsid w:val="705C256B"/>
    <w:rsid w:val="7139323E"/>
    <w:rsid w:val="71A36700"/>
    <w:rsid w:val="73093017"/>
    <w:rsid w:val="743D52CE"/>
    <w:rsid w:val="752A0A70"/>
    <w:rsid w:val="752E6281"/>
    <w:rsid w:val="754135B9"/>
    <w:rsid w:val="75656114"/>
    <w:rsid w:val="773551B9"/>
    <w:rsid w:val="776963DA"/>
    <w:rsid w:val="783919C4"/>
    <w:rsid w:val="78D00495"/>
    <w:rsid w:val="78FA1F51"/>
    <w:rsid w:val="795067BF"/>
    <w:rsid w:val="79CB3169"/>
    <w:rsid w:val="79FA6E97"/>
    <w:rsid w:val="7A597865"/>
    <w:rsid w:val="7A6A0692"/>
    <w:rsid w:val="7A6F193F"/>
    <w:rsid w:val="7AFD7BE4"/>
    <w:rsid w:val="7B1665E7"/>
    <w:rsid w:val="7C4A0BE1"/>
    <w:rsid w:val="7C66738C"/>
    <w:rsid w:val="7C6737CC"/>
    <w:rsid w:val="7CC01DE0"/>
    <w:rsid w:val="7E4B6BE5"/>
    <w:rsid w:val="7E7B76A5"/>
    <w:rsid w:val="7E81720C"/>
    <w:rsid w:val="7EB4618D"/>
    <w:rsid w:val="7F0478A0"/>
    <w:rsid w:val="7F4D74FA"/>
    <w:rsid w:val="7F5319DC"/>
    <w:rsid w:val="7FC7402D"/>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Body Text"/>
    <w:basedOn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29"/>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8"/>
    <w:link w:val="11"/>
    <w:qFormat/>
    <w:uiPriority w:val="0"/>
    <w:rPr>
      <w:rFonts w:ascii="Times New Roman" w:hAnsi="Times New Roman" w:eastAsia="宋体" w:cs="Times New Roman"/>
      <w:kern w:val="2"/>
      <w:sz w:val="18"/>
      <w:szCs w:val="18"/>
    </w:rPr>
  </w:style>
  <w:style w:type="character" w:customStyle="1" w:styleId="30">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8"/>
    <w:link w:val="12"/>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8"/>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 w:type="paragraph" w:customStyle="1" w:styleId="39">
    <w:name w:val="普通(网站)1"/>
    <w:basedOn w:val="1"/>
    <w:qFormat/>
    <w:uiPriority w:val="0"/>
    <w:pPr>
      <w:widowControl/>
    </w:pPr>
    <w:rPr>
      <w:rFonts w:hAnsi="宋体"/>
      <w:sz w:val="15"/>
      <w:szCs w:val="15"/>
    </w:rPr>
  </w:style>
  <w:style w:type="paragraph" w:customStyle="1" w:styleId="4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表格标题"/>
    <w:basedOn w:val="1"/>
    <w:qFormat/>
    <w:uiPriority w:val="0"/>
    <w:rPr>
      <w:rFonts w:ascii="宋体" w:hAnsi="宋体" w:cs="宋体"/>
      <w:sz w:val="20"/>
      <w:szCs w:val="20"/>
    </w:rPr>
  </w:style>
  <w:style w:type="paragraph" w:customStyle="1" w:styleId="42">
    <w:name w:val="其他"/>
    <w:basedOn w:val="1"/>
    <w:qFormat/>
    <w:uiPriority w:val="0"/>
    <w:pPr>
      <w:spacing w:line="312" w:lineRule="auto"/>
      <w:ind w:firstLine="360"/>
    </w:pPr>
    <w:rPr>
      <w:rFonts w:ascii="宋体" w:hAnsi="宋体"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20</Pages>
  <Words>6416</Words>
  <Characters>6879</Characters>
  <Lines>63</Lines>
  <Paragraphs>17</Paragraphs>
  <TotalTime>6</TotalTime>
  <ScaleCrop>false</ScaleCrop>
  <LinksUpToDate>false</LinksUpToDate>
  <CharactersWithSpaces>7914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2022-05-11T02:13:00Z</cp:lastPrinted>
  <dcterms:modified xsi:type="dcterms:W3CDTF">2022-05-13T03:38:35Z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47429C040DC449BB8D491E4A4BA5268A</vt:lpwstr>
  </property>
</Properties>
</file>